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4BAF3" w14:textId="44ACD521" w:rsidR="005F6BD0" w:rsidRDefault="00EE4E05" w:rsidP="00EE4E05">
      <w:pPr>
        <w:pStyle w:val="Pagedecouverture"/>
        <w:rPr>
          <w:noProof/>
          <w:lang w:val="en-US"/>
        </w:rPr>
      </w:pPr>
      <w:bookmarkStart w:id="0" w:name="LW_BM_COVERPAGE"/>
      <w:r>
        <w:rPr>
          <w:noProof/>
          <w:lang w:val="en-US"/>
        </w:rPr>
        <w:pict w14:anchorId="0DB35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61CABF1-3602-4CD3-8C1B-E8F850FEC225" style="width:450.75pt;height:307.5pt">
            <v:imagedata r:id="rId8" o:title=""/>
          </v:shape>
        </w:pict>
      </w:r>
    </w:p>
    <w:bookmarkEnd w:id="0"/>
    <w:p w14:paraId="5484EB9F" w14:textId="77777777" w:rsidR="005F6BD0" w:rsidRDefault="005F6BD0">
      <w:pPr>
        <w:rPr>
          <w:noProof/>
          <w:lang w:val="en-US"/>
        </w:rPr>
        <w:sectPr w:rsidR="005F6BD0" w:rsidSect="00EE4E05">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Calibri" w:eastAsia="Calibri" w:hAnsi="Calibri"/>
          <w:b w:val="0"/>
          <w:bCs w:val="0"/>
          <w:noProof/>
          <w:color w:val="auto"/>
          <w:sz w:val="22"/>
          <w:szCs w:val="22"/>
          <w:lang w:val="en-GB" w:eastAsia="en-US"/>
        </w:rPr>
        <w:id w:val="-1133089857"/>
        <w:docPartObj>
          <w:docPartGallery w:val="Table of Contents"/>
          <w:docPartUnique/>
        </w:docPartObj>
      </w:sdtPr>
      <w:sdtEndPr>
        <w:rPr>
          <w:rFonts w:ascii="Times New Roman" w:hAnsi="Times New Roman"/>
        </w:rPr>
      </w:sdtEndPr>
      <w:sdtContent>
        <w:p w14:paraId="0A500975" w14:textId="77777777" w:rsidR="005F6BD0" w:rsidRPr="007F5B1E" w:rsidRDefault="003A348D">
          <w:pPr>
            <w:pStyle w:val="TOCHeading"/>
            <w:rPr>
              <w:rFonts w:ascii="Times New Roman" w:hAnsi="Times New Roman"/>
              <w:noProof/>
              <w:color w:val="auto"/>
              <w:sz w:val="24"/>
              <w:szCs w:val="24"/>
            </w:rPr>
          </w:pPr>
          <w:r w:rsidRPr="007F5B1E">
            <w:rPr>
              <w:rFonts w:ascii="Times New Roman" w:hAnsi="Times New Roman"/>
              <w:noProof/>
              <w:color w:val="auto"/>
              <w:sz w:val="24"/>
              <w:szCs w:val="24"/>
            </w:rPr>
            <w:t>Table of Contents</w:t>
          </w:r>
        </w:p>
        <w:p w14:paraId="3B87870D" w14:textId="77777777" w:rsidR="007F5B1E" w:rsidRPr="007F5B1E" w:rsidRDefault="000A23BB">
          <w:pPr>
            <w:pStyle w:val="TOC1"/>
            <w:rPr>
              <w:rFonts w:ascii="Times New Roman" w:eastAsiaTheme="minorEastAsia" w:hAnsi="Times New Roman"/>
              <w:noProof/>
              <w:sz w:val="24"/>
              <w:szCs w:val="24"/>
              <w:lang w:eastAsia="en-GB"/>
            </w:rPr>
          </w:pPr>
          <w:r w:rsidRPr="007F5B1E">
            <w:rPr>
              <w:rFonts w:ascii="Times New Roman" w:hAnsi="Times New Roman"/>
              <w:b/>
              <w:bCs/>
              <w:noProof/>
              <w:sz w:val="24"/>
              <w:szCs w:val="24"/>
            </w:rPr>
            <w:fldChar w:fldCharType="begin"/>
          </w:r>
          <w:r w:rsidRPr="007F5B1E">
            <w:rPr>
              <w:rFonts w:ascii="Times New Roman" w:hAnsi="Times New Roman"/>
              <w:b/>
              <w:bCs/>
              <w:noProof/>
              <w:sz w:val="24"/>
              <w:szCs w:val="24"/>
            </w:rPr>
            <w:instrText xml:space="preserve"> TOC \o "1-5" \h \z \u </w:instrText>
          </w:r>
          <w:r w:rsidRPr="007F5B1E">
            <w:rPr>
              <w:rFonts w:ascii="Times New Roman" w:hAnsi="Times New Roman"/>
              <w:b/>
              <w:bCs/>
              <w:noProof/>
              <w:sz w:val="24"/>
              <w:szCs w:val="24"/>
            </w:rPr>
            <w:fldChar w:fldCharType="separate"/>
          </w:r>
          <w:hyperlink w:anchor="_Toc20217721" w:history="1">
            <w:r w:rsidR="007F5B1E" w:rsidRPr="007F5B1E">
              <w:rPr>
                <w:rStyle w:val="Hyperlink"/>
                <w:rFonts w:ascii="Times New Roman" w:hAnsi="Times New Roman"/>
                <w:noProof/>
                <w:sz w:val="24"/>
                <w:szCs w:val="24"/>
              </w:rPr>
              <w:t>List of acronyms and abbreviations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_Toc20217721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w:t>
            </w:r>
            <w:r w:rsidR="007F5B1E" w:rsidRPr="007F5B1E">
              <w:rPr>
                <w:rFonts w:ascii="Times New Roman" w:hAnsi="Times New Roman"/>
                <w:noProof/>
                <w:webHidden/>
                <w:sz w:val="24"/>
                <w:szCs w:val="24"/>
              </w:rPr>
              <w:fldChar w:fldCharType="end"/>
            </w:r>
          </w:hyperlink>
        </w:p>
        <w:p w14:paraId="5954C461" w14:textId="77777777" w:rsidR="007F5B1E" w:rsidRPr="007F5B1E" w:rsidRDefault="00EE4E05">
          <w:pPr>
            <w:pStyle w:val="TOC1"/>
            <w:rPr>
              <w:rFonts w:ascii="Times New Roman" w:eastAsiaTheme="minorEastAsia" w:hAnsi="Times New Roman"/>
              <w:noProof/>
              <w:sz w:val="24"/>
              <w:szCs w:val="24"/>
              <w:lang w:eastAsia="en-GB"/>
            </w:rPr>
          </w:pPr>
          <w:hyperlink w:anchor="_Toc20217722" w:history="1">
            <w:r w:rsidR="007F5B1E" w:rsidRPr="007F5B1E">
              <w:rPr>
                <w:rStyle w:val="Hyperlink"/>
                <w:rFonts w:ascii="Times New Roman" w:hAnsi="Times New Roman"/>
                <w:noProof/>
                <w:sz w:val="24"/>
                <w:szCs w:val="24"/>
              </w:rPr>
              <w:t>SUMMARY</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_Toc20217722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4</w:t>
            </w:r>
            <w:r w:rsidR="007F5B1E" w:rsidRPr="007F5B1E">
              <w:rPr>
                <w:rFonts w:ascii="Times New Roman" w:hAnsi="Times New Roman"/>
                <w:noProof/>
                <w:webHidden/>
                <w:sz w:val="24"/>
                <w:szCs w:val="24"/>
              </w:rPr>
              <w:fldChar w:fldCharType="end"/>
            </w:r>
          </w:hyperlink>
        </w:p>
        <w:p w14:paraId="23FEA218" w14:textId="77777777" w:rsidR="007F5B1E" w:rsidRPr="007F5B1E" w:rsidRDefault="00EE4E05">
          <w:pPr>
            <w:pStyle w:val="TOC1"/>
            <w:rPr>
              <w:rFonts w:ascii="Times New Roman" w:eastAsiaTheme="minorEastAsia" w:hAnsi="Times New Roman"/>
              <w:noProof/>
              <w:sz w:val="24"/>
              <w:szCs w:val="24"/>
              <w:lang w:eastAsia="en-GB"/>
            </w:rPr>
          </w:pPr>
          <w:hyperlink w:anchor="_Toc20217723" w:history="1">
            <w:r w:rsidR="007F5B1E" w:rsidRPr="007F5B1E">
              <w:rPr>
                <w:rStyle w:val="Hyperlink"/>
                <w:rFonts w:ascii="Times New Roman" w:hAnsi="Times New Roman"/>
                <w:noProof/>
                <w:sz w:val="24"/>
                <w:szCs w:val="24"/>
              </w:rPr>
              <w:t>1. INTRODUCTION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_Toc20217723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5</w:t>
            </w:r>
            <w:r w:rsidR="007F5B1E" w:rsidRPr="007F5B1E">
              <w:rPr>
                <w:rFonts w:ascii="Times New Roman" w:hAnsi="Times New Roman"/>
                <w:noProof/>
                <w:webHidden/>
                <w:sz w:val="24"/>
                <w:szCs w:val="24"/>
              </w:rPr>
              <w:fldChar w:fldCharType="end"/>
            </w:r>
          </w:hyperlink>
        </w:p>
        <w:p w14:paraId="7A9D38EC" w14:textId="77777777" w:rsidR="007F5B1E" w:rsidRPr="007F5B1E" w:rsidRDefault="00EE4E05">
          <w:pPr>
            <w:pStyle w:val="TOC1"/>
            <w:rPr>
              <w:rFonts w:ascii="Times New Roman" w:eastAsiaTheme="minorEastAsia" w:hAnsi="Times New Roman"/>
              <w:noProof/>
              <w:sz w:val="24"/>
              <w:szCs w:val="24"/>
              <w:lang w:eastAsia="en-GB"/>
            </w:rPr>
          </w:pPr>
          <w:hyperlink w:anchor="_Toc20217724" w:history="1">
            <w:r w:rsidR="007F5B1E" w:rsidRPr="007F5B1E">
              <w:rPr>
                <w:rStyle w:val="Hyperlink"/>
                <w:rFonts w:ascii="Times New Roman" w:hAnsi="Times New Roman"/>
                <w:noProof/>
                <w:sz w:val="24"/>
                <w:szCs w:val="24"/>
              </w:rPr>
              <w:t>2.1 Coverage of activities, installations and aircraft operators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_Toc20217724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7</w:t>
            </w:r>
            <w:r w:rsidR="007F5B1E" w:rsidRPr="007F5B1E">
              <w:rPr>
                <w:rFonts w:ascii="Times New Roman" w:hAnsi="Times New Roman"/>
                <w:noProof/>
                <w:webHidden/>
                <w:sz w:val="24"/>
                <w:szCs w:val="24"/>
              </w:rPr>
              <w:fldChar w:fldCharType="end"/>
            </w:r>
          </w:hyperlink>
        </w:p>
        <w:p w14:paraId="7C9DBD80" w14:textId="77777777" w:rsidR="007F5B1E" w:rsidRPr="007F5B1E" w:rsidRDefault="00EE4E05">
          <w:pPr>
            <w:pStyle w:val="TOC1"/>
            <w:rPr>
              <w:rFonts w:ascii="Times New Roman" w:eastAsiaTheme="minorEastAsia" w:hAnsi="Times New Roman"/>
              <w:noProof/>
              <w:sz w:val="24"/>
              <w:szCs w:val="24"/>
              <w:lang w:eastAsia="en-GB"/>
            </w:rPr>
          </w:pPr>
          <w:hyperlink w:anchor="_Toc20217725" w:history="1">
            <w:r w:rsidR="007F5B1E" w:rsidRPr="007F5B1E">
              <w:rPr>
                <w:rStyle w:val="Hyperlink"/>
                <w:rFonts w:ascii="Times New Roman" w:hAnsi="Times New Roman"/>
                <w:noProof/>
                <w:sz w:val="24"/>
                <w:szCs w:val="24"/>
              </w:rPr>
              <w:t>2.2 Union Registry and the European Union Transaction Log (EUTL)</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_Toc20217725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9</w:t>
            </w:r>
            <w:r w:rsidR="007F5B1E" w:rsidRPr="007F5B1E">
              <w:rPr>
                <w:rFonts w:ascii="Times New Roman" w:hAnsi="Times New Roman"/>
                <w:noProof/>
                <w:webHidden/>
                <w:sz w:val="24"/>
                <w:szCs w:val="24"/>
              </w:rPr>
              <w:fldChar w:fldCharType="end"/>
            </w:r>
          </w:hyperlink>
        </w:p>
        <w:p w14:paraId="4A7BDCCC" w14:textId="77777777" w:rsidR="007F5B1E" w:rsidRPr="007F5B1E" w:rsidRDefault="00EE4E05">
          <w:pPr>
            <w:pStyle w:val="TOC1"/>
            <w:rPr>
              <w:rFonts w:ascii="Times New Roman" w:eastAsiaTheme="minorEastAsia" w:hAnsi="Times New Roman"/>
              <w:noProof/>
              <w:sz w:val="24"/>
              <w:szCs w:val="24"/>
              <w:lang w:eastAsia="en-GB"/>
            </w:rPr>
          </w:pPr>
          <w:hyperlink w:anchor="_Toc20217726" w:history="1">
            <w:r w:rsidR="007F5B1E" w:rsidRPr="007F5B1E">
              <w:rPr>
                <w:rStyle w:val="Hyperlink"/>
                <w:rFonts w:ascii="Times New Roman" w:hAnsi="Times New Roman"/>
                <w:noProof/>
                <w:sz w:val="24"/>
                <w:szCs w:val="24"/>
              </w:rPr>
              <w:t>3. FUNCTIONING OF THE CARBON MARKET IN 2018</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_Toc20217726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10</w:t>
            </w:r>
            <w:r w:rsidR="007F5B1E" w:rsidRPr="007F5B1E">
              <w:rPr>
                <w:rFonts w:ascii="Times New Roman" w:hAnsi="Times New Roman"/>
                <w:noProof/>
                <w:webHidden/>
                <w:sz w:val="24"/>
                <w:szCs w:val="24"/>
              </w:rPr>
              <w:fldChar w:fldCharType="end"/>
            </w:r>
          </w:hyperlink>
        </w:p>
        <w:p w14:paraId="0CD25D59" w14:textId="77777777" w:rsidR="007F5B1E" w:rsidRPr="007F5B1E" w:rsidRDefault="00EE4E05">
          <w:pPr>
            <w:pStyle w:val="TOC2"/>
            <w:tabs>
              <w:tab w:val="right" w:leader="dot" w:pos="9016"/>
            </w:tabs>
            <w:rPr>
              <w:rFonts w:ascii="Times New Roman" w:eastAsiaTheme="minorEastAsia" w:hAnsi="Times New Roman"/>
              <w:noProof/>
              <w:sz w:val="24"/>
              <w:szCs w:val="24"/>
              <w:lang w:eastAsia="en-GB"/>
            </w:rPr>
          </w:pPr>
          <w:hyperlink w:anchor="_Toc20217727" w:history="1">
            <w:r w:rsidR="007F5B1E" w:rsidRPr="007F5B1E">
              <w:rPr>
                <w:rStyle w:val="Hyperlink"/>
                <w:rFonts w:ascii="Times New Roman" w:hAnsi="Times New Roman"/>
                <w:noProof/>
                <w:sz w:val="24"/>
                <w:szCs w:val="24"/>
              </w:rPr>
              <w:t>3.1. Supply: allowances put in circulation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_Toc20217727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11</w:t>
            </w:r>
            <w:r w:rsidR="007F5B1E" w:rsidRPr="007F5B1E">
              <w:rPr>
                <w:rFonts w:ascii="Times New Roman" w:hAnsi="Times New Roman"/>
                <w:noProof/>
                <w:webHidden/>
                <w:sz w:val="24"/>
                <w:szCs w:val="24"/>
              </w:rPr>
              <w:fldChar w:fldCharType="end"/>
            </w:r>
          </w:hyperlink>
        </w:p>
        <w:p w14:paraId="7D53CDA2" w14:textId="77777777" w:rsidR="007F5B1E" w:rsidRPr="007F5B1E" w:rsidRDefault="00EE4E05">
          <w:pPr>
            <w:pStyle w:val="TOC3"/>
            <w:tabs>
              <w:tab w:val="right" w:leader="dot" w:pos="9016"/>
            </w:tabs>
            <w:rPr>
              <w:rFonts w:ascii="Times New Roman" w:eastAsiaTheme="minorEastAsia" w:hAnsi="Times New Roman"/>
              <w:noProof/>
              <w:sz w:val="24"/>
              <w:szCs w:val="24"/>
              <w:lang w:eastAsia="en-GB"/>
            </w:rPr>
          </w:pPr>
          <w:hyperlink w:anchor="_Toc20217728" w:history="1">
            <w:r w:rsidR="007F5B1E" w:rsidRPr="007F5B1E">
              <w:rPr>
                <w:rStyle w:val="Hyperlink"/>
                <w:rFonts w:ascii="Times New Roman" w:hAnsi="Times New Roman"/>
                <w:noProof/>
                <w:sz w:val="24"/>
                <w:szCs w:val="24"/>
              </w:rPr>
              <w:t>3.1.1. Cap</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_Toc20217728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11</w:t>
            </w:r>
            <w:r w:rsidR="007F5B1E" w:rsidRPr="007F5B1E">
              <w:rPr>
                <w:rFonts w:ascii="Times New Roman" w:hAnsi="Times New Roman"/>
                <w:noProof/>
                <w:webHidden/>
                <w:sz w:val="24"/>
                <w:szCs w:val="24"/>
              </w:rPr>
              <w:fldChar w:fldCharType="end"/>
            </w:r>
          </w:hyperlink>
        </w:p>
        <w:p w14:paraId="1304C9CC" w14:textId="77777777" w:rsidR="007F5B1E" w:rsidRPr="007F5B1E" w:rsidRDefault="00EE4E05">
          <w:pPr>
            <w:pStyle w:val="TOC3"/>
            <w:tabs>
              <w:tab w:val="right" w:leader="dot" w:pos="9016"/>
            </w:tabs>
            <w:rPr>
              <w:rFonts w:ascii="Times New Roman" w:eastAsiaTheme="minorEastAsia" w:hAnsi="Times New Roman"/>
              <w:noProof/>
              <w:sz w:val="24"/>
              <w:szCs w:val="24"/>
              <w:lang w:eastAsia="en-GB"/>
            </w:rPr>
          </w:pPr>
          <w:hyperlink w:anchor="_Toc20217729" w:history="1">
            <w:r w:rsidR="007F5B1E" w:rsidRPr="007F5B1E">
              <w:rPr>
                <w:rStyle w:val="Hyperlink"/>
                <w:rFonts w:ascii="Times New Roman" w:hAnsi="Times New Roman"/>
                <w:noProof/>
                <w:sz w:val="24"/>
                <w:szCs w:val="24"/>
              </w:rPr>
              <w:t>3.1.2. Issued allowances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_Toc20217729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13</w:t>
            </w:r>
            <w:r w:rsidR="007F5B1E" w:rsidRPr="007F5B1E">
              <w:rPr>
                <w:rFonts w:ascii="Times New Roman" w:hAnsi="Times New Roman"/>
                <w:noProof/>
                <w:webHidden/>
                <w:sz w:val="24"/>
                <w:szCs w:val="24"/>
              </w:rPr>
              <w:fldChar w:fldCharType="end"/>
            </w:r>
          </w:hyperlink>
        </w:p>
        <w:p w14:paraId="39BE5A05" w14:textId="77777777" w:rsidR="007F5B1E" w:rsidRPr="007F5B1E" w:rsidRDefault="00EE4E05">
          <w:pPr>
            <w:pStyle w:val="TOC4"/>
            <w:tabs>
              <w:tab w:val="right" w:leader="dot" w:pos="9016"/>
            </w:tabs>
            <w:rPr>
              <w:rFonts w:ascii="Times New Roman" w:eastAsiaTheme="minorEastAsia" w:hAnsi="Times New Roman"/>
              <w:noProof/>
              <w:sz w:val="24"/>
              <w:szCs w:val="24"/>
              <w:lang w:eastAsia="en-GB"/>
            </w:rPr>
          </w:pPr>
          <w:hyperlink w:anchor="_Toc20217730" w:history="1">
            <w:r w:rsidR="007F5B1E" w:rsidRPr="007F5B1E">
              <w:rPr>
                <w:rStyle w:val="Hyperlink"/>
                <w:rFonts w:ascii="Times New Roman" w:hAnsi="Times New Roman"/>
                <w:noProof/>
                <w:sz w:val="24"/>
                <w:szCs w:val="24"/>
              </w:rPr>
              <w:t>3.1.2.1.Free allocation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_Toc20217730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13</w:t>
            </w:r>
            <w:r w:rsidR="007F5B1E" w:rsidRPr="007F5B1E">
              <w:rPr>
                <w:rFonts w:ascii="Times New Roman" w:hAnsi="Times New Roman"/>
                <w:noProof/>
                <w:webHidden/>
                <w:sz w:val="24"/>
                <w:szCs w:val="24"/>
              </w:rPr>
              <w:fldChar w:fldCharType="end"/>
            </w:r>
          </w:hyperlink>
        </w:p>
        <w:p w14:paraId="56905386" w14:textId="77777777" w:rsidR="007F5B1E" w:rsidRPr="007F5B1E" w:rsidRDefault="00EE4E05">
          <w:pPr>
            <w:pStyle w:val="TOC4"/>
            <w:tabs>
              <w:tab w:val="right" w:leader="dot" w:pos="9016"/>
            </w:tabs>
            <w:rPr>
              <w:rFonts w:ascii="Times New Roman" w:eastAsiaTheme="minorEastAsia" w:hAnsi="Times New Roman"/>
              <w:noProof/>
              <w:sz w:val="24"/>
              <w:szCs w:val="24"/>
              <w:lang w:eastAsia="en-GB"/>
            </w:rPr>
          </w:pPr>
          <w:hyperlink w:anchor="_Toc20217731" w:history="1">
            <w:r w:rsidR="007F5B1E" w:rsidRPr="007F5B1E">
              <w:rPr>
                <w:rStyle w:val="Hyperlink"/>
                <w:rFonts w:ascii="Times New Roman" w:hAnsi="Times New Roman"/>
                <w:noProof/>
                <w:sz w:val="24"/>
                <w:szCs w:val="24"/>
              </w:rPr>
              <w:t>3.1.2.2. NER 300 programme and the Innovation Fund</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_Toc20217731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16</w:t>
            </w:r>
            <w:r w:rsidR="007F5B1E" w:rsidRPr="007F5B1E">
              <w:rPr>
                <w:rFonts w:ascii="Times New Roman" w:hAnsi="Times New Roman"/>
                <w:noProof/>
                <w:webHidden/>
                <w:sz w:val="24"/>
                <w:szCs w:val="24"/>
              </w:rPr>
              <w:fldChar w:fldCharType="end"/>
            </w:r>
          </w:hyperlink>
        </w:p>
        <w:p w14:paraId="79E1101F" w14:textId="77777777" w:rsidR="007F5B1E" w:rsidRPr="007F5B1E" w:rsidRDefault="00EE4E05">
          <w:pPr>
            <w:pStyle w:val="TOC4"/>
            <w:tabs>
              <w:tab w:val="right" w:leader="dot" w:pos="9016"/>
            </w:tabs>
            <w:rPr>
              <w:rFonts w:ascii="Times New Roman" w:eastAsiaTheme="minorEastAsia" w:hAnsi="Times New Roman"/>
              <w:noProof/>
              <w:sz w:val="24"/>
              <w:szCs w:val="24"/>
              <w:lang w:eastAsia="en-GB"/>
            </w:rPr>
          </w:pPr>
          <w:hyperlink w:anchor="_Toc20217732" w:history="1">
            <w:r w:rsidR="007F5B1E" w:rsidRPr="007F5B1E">
              <w:rPr>
                <w:rStyle w:val="Hyperlink"/>
                <w:rFonts w:ascii="Times New Roman" w:hAnsi="Times New Roman"/>
                <w:noProof/>
                <w:sz w:val="24"/>
                <w:szCs w:val="24"/>
              </w:rPr>
              <w:t>3.1.2.3. Compensation of indirect carbon costs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_Toc20217732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18</w:t>
            </w:r>
            <w:r w:rsidR="007F5B1E" w:rsidRPr="007F5B1E">
              <w:rPr>
                <w:rFonts w:ascii="Times New Roman" w:hAnsi="Times New Roman"/>
                <w:noProof/>
                <w:webHidden/>
                <w:sz w:val="24"/>
                <w:szCs w:val="24"/>
              </w:rPr>
              <w:fldChar w:fldCharType="end"/>
            </w:r>
          </w:hyperlink>
        </w:p>
        <w:p w14:paraId="4A346A4D" w14:textId="77777777" w:rsidR="007F5B1E" w:rsidRPr="007F5B1E" w:rsidRDefault="00EE4E05">
          <w:pPr>
            <w:pStyle w:val="TOC4"/>
            <w:tabs>
              <w:tab w:val="right" w:leader="dot" w:pos="9016"/>
            </w:tabs>
            <w:rPr>
              <w:rFonts w:ascii="Times New Roman" w:eastAsiaTheme="minorEastAsia" w:hAnsi="Times New Roman"/>
              <w:noProof/>
              <w:sz w:val="24"/>
              <w:szCs w:val="24"/>
              <w:lang w:eastAsia="en-GB"/>
            </w:rPr>
          </w:pPr>
          <w:hyperlink w:anchor="_Toc20217733" w:history="1">
            <w:r w:rsidR="007F5B1E" w:rsidRPr="007F5B1E">
              <w:rPr>
                <w:rStyle w:val="Hyperlink"/>
                <w:rFonts w:ascii="Times New Roman" w:eastAsia="Times New Roman" w:hAnsi="Times New Roman"/>
                <w:bCs/>
                <w:noProof/>
                <w:sz w:val="24"/>
                <w:szCs w:val="24"/>
              </w:rPr>
              <w:t>3.1.2.4. Auctioning of allowances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_Toc20217733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20</w:t>
            </w:r>
            <w:r w:rsidR="007F5B1E" w:rsidRPr="007F5B1E">
              <w:rPr>
                <w:rFonts w:ascii="Times New Roman" w:hAnsi="Times New Roman"/>
                <w:noProof/>
                <w:webHidden/>
                <w:sz w:val="24"/>
                <w:szCs w:val="24"/>
              </w:rPr>
              <w:fldChar w:fldCharType="end"/>
            </w:r>
          </w:hyperlink>
        </w:p>
        <w:p w14:paraId="57DEDB52" w14:textId="77777777" w:rsidR="007F5B1E" w:rsidRPr="007F5B1E" w:rsidRDefault="00EE4E05">
          <w:pPr>
            <w:pStyle w:val="TOC4"/>
            <w:tabs>
              <w:tab w:val="right" w:leader="dot" w:pos="9016"/>
            </w:tabs>
            <w:rPr>
              <w:rFonts w:ascii="Times New Roman" w:eastAsiaTheme="minorEastAsia" w:hAnsi="Times New Roman"/>
              <w:noProof/>
              <w:sz w:val="24"/>
              <w:szCs w:val="24"/>
              <w:lang w:eastAsia="en-GB"/>
            </w:rPr>
          </w:pPr>
          <w:hyperlink w:anchor="_Toc20217734" w:history="1">
            <w:r w:rsidR="007F5B1E" w:rsidRPr="007F5B1E">
              <w:rPr>
                <w:rStyle w:val="Hyperlink"/>
                <w:rFonts w:ascii="Times New Roman" w:hAnsi="Times New Roman"/>
                <w:noProof/>
                <w:sz w:val="24"/>
                <w:szCs w:val="24"/>
              </w:rPr>
              <w:t>3.1.2.5. Derogation from full auctioning for electricity and heat production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_Toc20217734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23</w:t>
            </w:r>
            <w:r w:rsidR="007F5B1E" w:rsidRPr="007F5B1E">
              <w:rPr>
                <w:rFonts w:ascii="Times New Roman" w:hAnsi="Times New Roman"/>
                <w:noProof/>
                <w:webHidden/>
                <w:sz w:val="24"/>
                <w:szCs w:val="24"/>
              </w:rPr>
              <w:fldChar w:fldCharType="end"/>
            </w:r>
          </w:hyperlink>
        </w:p>
        <w:p w14:paraId="1B90C058" w14:textId="77777777" w:rsidR="007F5B1E" w:rsidRPr="007F5B1E" w:rsidRDefault="00EE4E05">
          <w:pPr>
            <w:pStyle w:val="TOC3"/>
            <w:tabs>
              <w:tab w:val="right" w:leader="dot" w:pos="9016"/>
            </w:tabs>
            <w:rPr>
              <w:rFonts w:ascii="Times New Roman" w:eastAsiaTheme="minorEastAsia" w:hAnsi="Times New Roman"/>
              <w:noProof/>
              <w:sz w:val="24"/>
              <w:szCs w:val="24"/>
              <w:lang w:eastAsia="en-GB"/>
            </w:rPr>
          </w:pPr>
          <w:hyperlink w:anchor="_Toc20217735" w:history="1">
            <w:r w:rsidR="007F5B1E" w:rsidRPr="007F5B1E">
              <w:rPr>
                <w:rStyle w:val="Hyperlink"/>
                <w:rFonts w:ascii="Times New Roman" w:hAnsi="Times New Roman"/>
                <w:noProof/>
                <w:sz w:val="24"/>
                <w:szCs w:val="24"/>
              </w:rPr>
              <w:t>3.1.3. International credits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_Toc20217735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26</w:t>
            </w:r>
            <w:r w:rsidR="007F5B1E" w:rsidRPr="007F5B1E">
              <w:rPr>
                <w:rFonts w:ascii="Times New Roman" w:hAnsi="Times New Roman"/>
                <w:noProof/>
                <w:webHidden/>
                <w:sz w:val="24"/>
                <w:szCs w:val="24"/>
              </w:rPr>
              <w:fldChar w:fldCharType="end"/>
            </w:r>
          </w:hyperlink>
        </w:p>
        <w:p w14:paraId="1B2FA47F" w14:textId="77777777" w:rsidR="007F5B1E" w:rsidRPr="007F5B1E" w:rsidRDefault="00EE4E05">
          <w:pPr>
            <w:pStyle w:val="TOC2"/>
            <w:tabs>
              <w:tab w:val="right" w:leader="dot" w:pos="9016"/>
            </w:tabs>
            <w:rPr>
              <w:rFonts w:ascii="Times New Roman" w:eastAsiaTheme="minorEastAsia" w:hAnsi="Times New Roman"/>
              <w:noProof/>
              <w:sz w:val="24"/>
              <w:szCs w:val="24"/>
              <w:lang w:eastAsia="en-GB"/>
            </w:rPr>
          </w:pPr>
          <w:hyperlink w:anchor="_Toc20217736" w:history="1">
            <w:r w:rsidR="007F5B1E" w:rsidRPr="007F5B1E">
              <w:rPr>
                <w:rStyle w:val="Hyperlink"/>
                <w:rFonts w:ascii="Times New Roman" w:hAnsi="Times New Roman"/>
                <w:noProof/>
                <w:sz w:val="24"/>
                <w:szCs w:val="24"/>
              </w:rPr>
              <w:t>3.2. Demand: allowances taken out of circulation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_Toc20217736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27</w:t>
            </w:r>
            <w:r w:rsidR="007F5B1E" w:rsidRPr="007F5B1E">
              <w:rPr>
                <w:rFonts w:ascii="Times New Roman" w:hAnsi="Times New Roman"/>
                <w:noProof/>
                <w:webHidden/>
                <w:sz w:val="24"/>
                <w:szCs w:val="24"/>
              </w:rPr>
              <w:fldChar w:fldCharType="end"/>
            </w:r>
          </w:hyperlink>
        </w:p>
        <w:p w14:paraId="0DC65C47" w14:textId="77777777" w:rsidR="007F5B1E" w:rsidRPr="007F5B1E" w:rsidRDefault="00EE4E05">
          <w:pPr>
            <w:pStyle w:val="TOC2"/>
            <w:tabs>
              <w:tab w:val="right" w:leader="dot" w:pos="9016"/>
            </w:tabs>
            <w:rPr>
              <w:rFonts w:ascii="Times New Roman" w:eastAsiaTheme="minorEastAsia" w:hAnsi="Times New Roman"/>
              <w:noProof/>
              <w:sz w:val="24"/>
              <w:szCs w:val="24"/>
              <w:lang w:eastAsia="en-GB"/>
            </w:rPr>
          </w:pPr>
          <w:hyperlink w:anchor="_Toc20217737" w:history="1">
            <w:r w:rsidR="007F5B1E" w:rsidRPr="007F5B1E">
              <w:rPr>
                <w:rStyle w:val="Hyperlink"/>
                <w:rFonts w:ascii="Times New Roman" w:hAnsi="Times New Roman"/>
                <w:noProof/>
                <w:sz w:val="24"/>
                <w:szCs w:val="24"/>
              </w:rPr>
              <w:t>3.3. Balancing supply and demand</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_Toc20217737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28</w:t>
            </w:r>
            <w:r w:rsidR="007F5B1E" w:rsidRPr="007F5B1E">
              <w:rPr>
                <w:rFonts w:ascii="Times New Roman" w:hAnsi="Times New Roman"/>
                <w:noProof/>
                <w:webHidden/>
                <w:sz w:val="24"/>
                <w:szCs w:val="24"/>
              </w:rPr>
              <w:fldChar w:fldCharType="end"/>
            </w:r>
          </w:hyperlink>
        </w:p>
        <w:p w14:paraId="0DCED5DB" w14:textId="77777777" w:rsidR="007F5B1E" w:rsidRPr="007F5B1E" w:rsidRDefault="00EE4E05">
          <w:pPr>
            <w:pStyle w:val="TOC1"/>
            <w:rPr>
              <w:rFonts w:ascii="Times New Roman" w:eastAsiaTheme="minorEastAsia" w:hAnsi="Times New Roman"/>
              <w:noProof/>
              <w:sz w:val="24"/>
              <w:szCs w:val="24"/>
              <w:lang w:eastAsia="en-GB"/>
            </w:rPr>
          </w:pPr>
          <w:hyperlink w:anchor="_Toc20217738" w:history="1">
            <w:r w:rsidR="007F5B1E" w:rsidRPr="007F5B1E">
              <w:rPr>
                <w:rStyle w:val="Hyperlink"/>
                <w:rFonts w:ascii="Times New Roman" w:hAnsi="Times New Roman"/>
                <w:noProof/>
                <w:sz w:val="24"/>
                <w:szCs w:val="24"/>
              </w:rPr>
              <w:t>4. AVIATION</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_Toc20217738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31</w:t>
            </w:r>
            <w:r w:rsidR="007F5B1E" w:rsidRPr="007F5B1E">
              <w:rPr>
                <w:rFonts w:ascii="Times New Roman" w:hAnsi="Times New Roman"/>
                <w:noProof/>
                <w:webHidden/>
                <w:sz w:val="24"/>
                <w:szCs w:val="24"/>
              </w:rPr>
              <w:fldChar w:fldCharType="end"/>
            </w:r>
          </w:hyperlink>
        </w:p>
        <w:p w14:paraId="52EEDFAA" w14:textId="77777777" w:rsidR="007F5B1E" w:rsidRPr="007F5B1E" w:rsidRDefault="00EE4E05">
          <w:pPr>
            <w:pStyle w:val="TOC1"/>
            <w:rPr>
              <w:rFonts w:ascii="Times New Roman" w:eastAsiaTheme="minorEastAsia" w:hAnsi="Times New Roman"/>
              <w:noProof/>
              <w:sz w:val="24"/>
              <w:szCs w:val="24"/>
              <w:lang w:eastAsia="en-GB"/>
            </w:rPr>
          </w:pPr>
          <w:hyperlink w:anchor="_Toc20217739" w:history="1">
            <w:r w:rsidR="007F5B1E" w:rsidRPr="007F5B1E">
              <w:rPr>
                <w:rStyle w:val="Hyperlink"/>
                <w:rFonts w:ascii="Times New Roman" w:hAnsi="Times New Roman"/>
                <w:noProof/>
                <w:sz w:val="24"/>
                <w:szCs w:val="24"/>
              </w:rPr>
              <w:t>5. MARKET OVERSIGHT</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_Toc20217739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33</w:t>
            </w:r>
            <w:r w:rsidR="007F5B1E" w:rsidRPr="007F5B1E">
              <w:rPr>
                <w:rFonts w:ascii="Times New Roman" w:hAnsi="Times New Roman"/>
                <w:noProof/>
                <w:webHidden/>
                <w:sz w:val="24"/>
                <w:szCs w:val="24"/>
              </w:rPr>
              <w:fldChar w:fldCharType="end"/>
            </w:r>
          </w:hyperlink>
        </w:p>
        <w:p w14:paraId="310763EF" w14:textId="77777777" w:rsidR="007F5B1E" w:rsidRPr="007F5B1E" w:rsidRDefault="00EE4E05">
          <w:pPr>
            <w:pStyle w:val="TOC2"/>
            <w:tabs>
              <w:tab w:val="right" w:leader="dot" w:pos="9016"/>
            </w:tabs>
            <w:rPr>
              <w:rFonts w:ascii="Times New Roman" w:eastAsiaTheme="minorEastAsia" w:hAnsi="Times New Roman"/>
              <w:noProof/>
              <w:sz w:val="24"/>
              <w:szCs w:val="24"/>
              <w:lang w:eastAsia="en-GB"/>
            </w:rPr>
          </w:pPr>
          <w:hyperlink w:anchor="_Toc20217740" w:history="1">
            <w:r w:rsidR="007F5B1E" w:rsidRPr="007F5B1E">
              <w:rPr>
                <w:rStyle w:val="Hyperlink"/>
                <w:rFonts w:ascii="Times New Roman" w:hAnsi="Times New Roman"/>
                <w:noProof/>
                <w:sz w:val="24"/>
                <w:szCs w:val="24"/>
              </w:rPr>
              <w:t>5.1. The legal nature and fiscal treatment of emission allowances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_Toc20217740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35</w:t>
            </w:r>
            <w:r w:rsidR="007F5B1E" w:rsidRPr="007F5B1E">
              <w:rPr>
                <w:rFonts w:ascii="Times New Roman" w:hAnsi="Times New Roman"/>
                <w:noProof/>
                <w:webHidden/>
                <w:sz w:val="24"/>
                <w:szCs w:val="24"/>
              </w:rPr>
              <w:fldChar w:fldCharType="end"/>
            </w:r>
          </w:hyperlink>
        </w:p>
        <w:p w14:paraId="0391A63D" w14:textId="77777777" w:rsidR="007F5B1E" w:rsidRPr="007F5B1E" w:rsidRDefault="00EE4E05">
          <w:pPr>
            <w:pStyle w:val="TOC1"/>
            <w:rPr>
              <w:rFonts w:ascii="Times New Roman" w:eastAsiaTheme="minorEastAsia" w:hAnsi="Times New Roman"/>
              <w:noProof/>
              <w:sz w:val="24"/>
              <w:szCs w:val="24"/>
              <w:lang w:eastAsia="en-GB"/>
            </w:rPr>
          </w:pPr>
          <w:hyperlink w:anchor="_Toc20217741" w:history="1">
            <w:r w:rsidR="007F5B1E" w:rsidRPr="007F5B1E">
              <w:rPr>
                <w:rStyle w:val="Hyperlink"/>
                <w:rFonts w:ascii="Times New Roman" w:hAnsi="Times New Roman"/>
                <w:noProof/>
                <w:sz w:val="24"/>
                <w:szCs w:val="24"/>
              </w:rPr>
              <w:t>6. MONITORING, REPORTING AND VERIFICATION OF EMISSIONS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_Toc20217741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36</w:t>
            </w:r>
            <w:r w:rsidR="007F5B1E" w:rsidRPr="007F5B1E">
              <w:rPr>
                <w:rFonts w:ascii="Times New Roman" w:hAnsi="Times New Roman"/>
                <w:noProof/>
                <w:webHidden/>
                <w:sz w:val="24"/>
                <w:szCs w:val="24"/>
              </w:rPr>
              <w:fldChar w:fldCharType="end"/>
            </w:r>
          </w:hyperlink>
        </w:p>
        <w:p w14:paraId="05A3208B" w14:textId="77777777" w:rsidR="007F5B1E" w:rsidRPr="007F5B1E" w:rsidRDefault="00EE4E05">
          <w:pPr>
            <w:pStyle w:val="TOC1"/>
            <w:rPr>
              <w:rFonts w:ascii="Times New Roman" w:eastAsiaTheme="minorEastAsia" w:hAnsi="Times New Roman"/>
              <w:noProof/>
              <w:sz w:val="24"/>
              <w:szCs w:val="24"/>
              <w:lang w:eastAsia="en-GB"/>
            </w:rPr>
          </w:pPr>
          <w:hyperlink w:anchor="_Toc20217742" w:history="1">
            <w:r w:rsidR="007F5B1E" w:rsidRPr="007F5B1E">
              <w:rPr>
                <w:rStyle w:val="Hyperlink"/>
                <w:rFonts w:ascii="Times New Roman" w:hAnsi="Times New Roman"/>
                <w:noProof/>
                <w:sz w:val="24"/>
                <w:szCs w:val="24"/>
                <w:lang w:val="en"/>
              </w:rPr>
              <w:t>7. OVERVIEW OF ADMINISTRATIVE ARRANGEMENTS</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_Toc20217742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38</w:t>
            </w:r>
            <w:r w:rsidR="007F5B1E" w:rsidRPr="007F5B1E">
              <w:rPr>
                <w:rFonts w:ascii="Times New Roman" w:hAnsi="Times New Roman"/>
                <w:noProof/>
                <w:webHidden/>
                <w:sz w:val="24"/>
                <w:szCs w:val="24"/>
              </w:rPr>
              <w:fldChar w:fldCharType="end"/>
            </w:r>
          </w:hyperlink>
        </w:p>
        <w:p w14:paraId="5E2438AE" w14:textId="77777777" w:rsidR="007F5B1E" w:rsidRPr="007F5B1E" w:rsidRDefault="00EE4E05">
          <w:pPr>
            <w:pStyle w:val="TOC1"/>
            <w:rPr>
              <w:rFonts w:ascii="Times New Roman" w:eastAsiaTheme="minorEastAsia" w:hAnsi="Times New Roman"/>
              <w:noProof/>
              <w:sz w:val="24"/>
              <w:szCs w:val="24"/>
              <w:lang w:eastAsia="en-GB"/>
            </w:rPr>
          </w:pPr>
          <w:hyperlink w:anchor="_Toc20217743" w:history="1">
            <w:r w:rsidR="007F5B1E" w:rsidRPr="007F5B1E">
              <w:rPr>
                <w:rStyle w:val="Hyperlink"/>
                <w:rFonts w:ascii="Times New Roman" w:hAnsi="Times New Roman"/>
                <w:noProof/>
                <w:sz w:val="24"/>
                <w:szCs w:val="24"/>
              </w:rPr>
              <w:t>8. COMPLIANCE AND ENFORCEMENT</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_Toc20217743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39</w:t>
            </w:r>
            <w:r w:rsidR="007F5B1E" w:rsidRPr="007F5B1E">
              <w:rPr>
                <w:rFonts w:ascii="Times New Roman" w:hAnsi="Times New Roman"/>
                <w:noProof/>
                <w:webHidden/>
                <w:sz w:val="24"/>
                <w:szCs w:val="24"/>
              </w:rPr>
              <w:fldChar w:fldCharType="end"/>
            </w:r>
          </w:hyperlink>
        </w:p>
        <w:p w14:paraId="2E9F504A" w14:textId="77777777" w:rsidR="007F5B1E" w:rsidRPr="007F5B1E" w:rsidRDefault="00EE4E05">
          <w:pPr>
            <w:pStyle w:val="TOC1"/>
            <w:rPr>
              <w:rFonts w:ascii="Times New Roman" w:eastAsiaTheme="minorEastAsia" w:hAnsi="Times New Roman"/>
              <w:noProof/>
              <w:sz w:val="24"/>
              <w:szCs w:val="24"/>
              <w:lang w:eastAsia="en-GB"/>
            </w:rPr>
          </w:pPr>
          <w:hyperlink w:anchor="_Toc20217744" w:history="1">
            <w:r w:rsidR="007F5B1E" w:rsidRPr="007F5B1E">
              <w:rPr>
                <w:rStyle w:val="Hyperlink"/>
                <w:rFonts w:ascii="Times New Roman" w:hAnsi="Times New Roman"/>
                <w:noProof/>
                <w:sz w:val="24"/>
                <w:szCs w:val="24"/>
              </w:rPr>
              <w:t>9. CONCLUSIONS AND OUTLOOK</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_Toc20217744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40</w:t>
            </w:r>
            <w:r w:rsidR="007F5B1E" w:rsidRPr="007F5B1E">
              <w:rPr>
                <w:rFonts w:ascii="Times New Roman" w:hAnsi="Times New Roman"/>
                <w:noProof/>
                <w:webHidden/>
                <w:sz w:val="24"/>
                <w:szCs w:val="24"/>
              </w:rPr>
              <w:fldChar w:fldCharType="end"/>
            </w:r>
          </w:hyperlink>
        </w:p>
        <w:p w14:paraId="30D801FF" w14:textId="77777777" w:rsidR="007F5B1E" w:rsidRPr="007F5B1E" w:rsidRDefault="00EE4E05">
          <w:pPr>
            <w:pStyle w:val="TOC1"/>
            <w:rPr>
              <w:rFonts w:ascii="Times New Roman" w:eastAsiaTheme="minorEastAsia" w:hAnsi="Times New Roman"/>
              <w:noProof/>
              <w:sz w:val="24"/>
              <w:szCs w:val="24"/>
              <w:lang w:eastAsia="en-GB"/>
            </w:rPr>
          </w:pPr>
          <w:hyperlink w:anchor="_Toc20217745" w:history="1">
            <w:r w:rsidR="007F5B1E" w:rsidRPr="007F5B1E">
              <w:rPr>
                <w:rStyle w:val="Hyperlink"/>
                <w:rFonts w:ascii="Times New Roman" w:hAnsi="Times New Roman"/>
                <w:noProof/>
                <w:sz w:val="24"/>
                <w:szCs w:val="24"/>
              </w:rPr>
              <w:t>ANNEX</w:t>
            </w:r>
            <w:r w:rsidR="007F5B1E" w:rsidRPr="007F5B1E">
              <w:rPr>
                <w:rFonts w:ascii="Times New Roman" w:hAnsi="Times New Roman"/>
                <w:noProof/>
                <w:webHidden/>
                <w:sz w:val="24"/>
                <w:szCs w:val="24"/>
              </w:rPr>
              <w:tab/>
            </w:r>
            <w:r w:rsidR="007F5B1E" w:rsidRPr="007F5B1E">
              <w:rPr>
                <w:rFonts w:ascii="Times New Roman" w:hAnsi="Times New Roman"/>
                <w:noProof/>
                <w:webHidden/>
                <w:sz w:val="24"/>
                <w:szCs w:val="24"/>
              </w:rPr>
              <w:fldChar w:fldCharType="begin"/>
            </w:r>
            <w:r w:rsidR="007F5B1E" w:rsidRPr="007F5B1E">
              <w:rPr>
                <w:rFonts w:ascii="Times New Roman" w:hAnsi="Times New Roman"/>
                <w:noProof/>
                <w:webHidden/>
                <w:sz w:val="24"/>
                <w:szCs w:val="24"/>
              </w:rPr>
              <w:instrText xml:space="preserve"> PAGEREF _Toc20217745 \h </w:instrText>
            </w:r>
            <w:r w:rsidR="007F5B1E" w:rsidRPr="007F5B1E">
              <w:rPr>
                <w:rFonts w:ascii="Times New Roman" w:hAnsi="Times New Roman"/>
                <w:noProof/>
                <w:webHidden/>
                <w:sz w:val="24"/>
                <w:szCs w:val="24"/>
              </w:rPr>
            </w:r>
            <w:r w:rsidR="007F5B1E" w:rsidRPr="007F5B1E">
              <w:rPr>
                <w:rFonts w:ascii="Times New Roman" w:hAnsi="Times New Roman"/>
                <w:noProof/>
                <w:webHidden/>
                <w:sz w:val="24"/>
                <w:szCs w:val="24"/>
              </w:rPr>
              <w:fldChar w:fldCharType="separate"/>
            </w:r>
            <w:r w:rsidR="00936E0E">
              <w:rPr>
                <w:rFonts w:ascii="Times New Roman" w:hAnsi="Times New Roman"/>
                <w:noProof/>
                <w:webHidden/>
                <w:sz w:val="24"/>
                <w:szCs w:val="24"/>
              </w:rPr>
              <w:t>42</w:t>
            </w:r>
            <w:r w:rsidR="007F5B1E" w:rsidRPr="007F5B1E">
              <w:rPr>
                <w:rFonts w:ascii="Times New Roman" w:hAnsi="Times New Roman"/>
                <w:noProof/>
                <w:webHidden/>
                <w:sz w:val="24"/>
                <w:szCs w:val="24"/>
              </w:rPr>
              <w:fldChar w:fldCharType="end"/>
            </w:r>
          </w:hyperlink>
        </w:p>
        <w:p w14:paraId="69D168AE" w14:textId="77777777" w:rsidR="005F6BD0" w:rsidRPr="00516F65" w:rsidRDefault="000A23BB">
          <w:pPr>
            <w:rPr>
              <w:rFonts w:ascii="Times New Roman" w:hAnsi="Times New Roman"/>
              <w:noProof/>
            </w:rPr>
          </w:pPr>
          <w:r w:rsidRPr="007F5B1E">
            <w:rPr>
              <w:rFonts w:ascii="Times New Roman" w:hAnsi="Times New Roman"/>
              <w:b/>
              <w:bCs/>
              <w:noProof/>
              <w:sz w:val="24"/>
              <w:szCs w:val="24"/>
            </w:rPr>
            <w:fldChar w:fldCharType="end"/>
          </w:r>
        </w:p>
      </w:sdtContent>
    </w:sdt>
    <w:p w14:paraId="21A9BB45" w14:textId="77777777" w:rsidR="005F6BD0" w:rsidRPr="00EC4E52" w:rsidRDefault="003A348D" w:rsidP="000A23BB">
      <w:pPr>
        <w:pStyle w:val="Heading1"/>
        <w:spacing w:before="0" w:after="120"/>
        <w:rPr>
          <w:noProof/>
          <w:szCs w:val="24"/>
        </w:rPr>
      </w:pPr>
      <w:bookmarkStart w:id="2" w:name="_Toc519009670"/>
      <w:bookmarkStart w:id="3" w:name="_Toc20217721"/>
      <w:r w:rsidRPr="00EC4E52">
        <w:rPr>
          <w:noProof/>
          <w:szCs w:val="24"/>
        </w:rPr>
        <w:t>List of acronyms and abbreviations</w:t>
      </w:r>
      <w:bookmarkEnd w:id="2"/>
      <w:bookmarkEnd w:id="3"/>
    </w:p>
    <w:p w14:paraId="07821AAA" w14:textId="77777777" w:rsidR="005F6BD0" w:rsidRPr="006434B2" w:rsidRDefault="003A348D" w:rsidP="000A23BB">
      <w:pPr>
        <w:spacing w:after="120"/>
        <w:rPr>
          <w:rFonts w:ascii="Times New Roman" w:hAnsi="Times New Roman"/>
          <w:noProof/>
          <w:sz w:val="24"/>
          <w:szCs w:val="24"/>
        </w:rPr>
      </w:pPr>
      <w:r w:rsidRPr="00516F65">
        <w:rPr>
          <w:rFonts w:ascii="Times New Roman" w:hAnsi="Times New Roman"/>
          <w:noProof/>
          <w:szCs w:val="24"/>
        </w:rPr>
        <w:t>AVR</w:t>
      </w:r>
      <w:r w:rsidR="006434B2">
        <w:rPr>
          <w:rFonts w:ascii="Times New Roman" w:hAnsi="Times New Roman"/>
          <w:noProof/>
          <w:sz w:val="24"/>
          <w:szCs w:val="24"/>
        </w:rPr>
        <w:tab/>
      </w:r>
      <w:r w:rsidR="006434B2">
        <w:rPr>
          <w:rFonts w:ascii="Times New Roman" w:hAnsi="Times New Roman"/>
          <w:noProof/>
          <w:sz w:val="24"/>
          <w:szCs w:val="24"/>
        </w:rPr>
        <w:tab/>
      </w:r>
      <w:r w:rsidRPr="006434B2">
        <w:rPr>
          <w:rFonts w:ascii="Times New Roman" w:hAnsi="Times New Roman"/>
          <w:noProof/>
          <w:sz w:val="24"/>
          <w:szCs w:val="24"/>
        </w:rPr>
        <w:t>Accreditation and Verification Regulation</w:t>
      </w:r>
    </w:p>
    <w:p w14:paraId="2545A202"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CA</w:t>
      </w:r>
      <w:r w:rsidRPr="006434B2">
        <w:rPr>
          <w:rFonts w:ascii="Times New Roman" w:hAnsi="Times New Roman"/>
          <w:noProof/>
          <w:sz w:val="24"/>
          <w:szCs w:val="24"/>
        </w:rPr>
        <w:tab/>
      </w:r>
      <w:r w:rsidRPr="006434B2">
        <w:rPr>
          <w:rFonts w:ascii="Times New Roman" w:hAnsi="Times New Roman"/>
          <w:noProof/>
          <w:sz w:val="24"/>
          <w:szCs w:val="24"/>
        </w:rPr>
        <w:tab/>
        <w:t>Competent Authority</w:t>
      </w:r>
    </w:p>
    <w:p w14:paraId="7B64EDAE"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CCS</w:t>
      </w:r>
      <w:r w:rsidRPr="006434B2">
        <w:rPr>
          <w:rFonts w:ascii="Times New Roman" w:hAnsi="Times New Roman"/>
          <w:noProof/>
          <w:sz w:val="24"/>
          <w:szCs w:val="24"/>
        </w:rPr>
        <w:tab/>
      </w:r>
      <w:r w:rsidRPr="006434B2">
        <w:rPr>
          <w:rFonts w:ascii="Times New Roman" w:hAnsi="Times New Roman"/>
          <w:noProof/>
          <w:sz w:val="24"/>
          <w:szCs w:val="24"/>
        </w:rPr>
        <w:tab/>
        <w:t>Carbon Capture and Storage</w:t>
      </w:r>
    </w:p>
    <w:p w14:paraId="69FF2CEF"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CCU</w:t>
      </w:r>
      <w:r w:rsidRPr="006434B2">
        <w:rPr>
          <w:rFonts w:ascii="Times New Roman" w:hAnsi="Times New Roman"/>
          <w:noProof/>
          <w:sz w:val="24"/>
          <w:szCs w:val="24"/>
        </w:rPr>
        <w:tab/>
      </w:r>
      <w:r w:rsidRPr="006434B2">
        <w:rPr>
          <w:rFonts w:ascii="Times New Roman" w:hAnsi="Times New Roman"/>
          <w:noProof/>
          <w:sz w:val="24"/>
          <w:szCs w:val="24"/>
        </w:rPr>
        <w:tab/>
        <w:t>Carbon Capture and Utilisation</w:t>
      </w:r>
    </w:p>
    <w:p w14:paraId="7D6BCF6C"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CDM</w:t>
      </w:r>
      <w:r w:rsidRPr="006434B2">
        <w:rPr>
          <w:rFonts w:ascii="Times New Roman" w:hAnsi="Times New Roman"/>
          <w:noProof/>
          <w:sz w:val="24"/>
          <w:szCs w:val="24"/>
        </w:rPr>
        <w:tab/>
      </w:r>
      <w:r w:rsidRPr="006434B2">
        <w:rPr>
          <w:rFonts w:ascii="Times New Roman" w:hAnsi="Times New Roman"/>
          <w:noProof/>
          <w:sz w:val="24"/>
          <w:szCs w:val="24"/>
        </w:rPr>
        <w:tab/>
        <w:t>Clean Development Mechanism</w:t>
      </w:r>
    </w:p>
    <w:p w14:paraId="2C015314"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CERs</w:t>
      </w:r>
      <w:r w:rsidRPr="006434B2">
        <w:rPr>
          <w:rFonts w:ascii="Times New Roman" w:hAnsi="Times New Roman"/>
          <w:noProof/>
          <w:sz w:val="24"/>
          <w:szCs w:val="24"/>
        </w:rPr>
        <w:tab/>
      </w:r>
      <w:r w:rsidRPr="006434B2">
        <w:rPr>
          <w:rFonts w:ascii="Times New Roman" w:hAnsi="Times New Roman"/>
          <w:noProof/>
          <w:sz w:val="24"/>
          <w:szCs w:val="24"/>
        </w:rPr>
        <w:tab/>
        <w:t>Certified Emission Reductions</w:t>
      </w:r>
    </w:p>
    <w:p w14:paraId="49DCEF05" w14:textId="77777777" w:rsidR="000A23BB" w:rsidRPr="006434B2" w:rsidRDefault="000A23BB" w:rsidP="000A23BB">
      <w:pPr>
        <w:spacing w:after="120"/>
        <w:rPr>
          <w:rFonts w:ascii="Times New Roman" w:hAnsi="Times New Roman"/>
          <w:noProof/>
          <w:sz w:val="24"/>
          <w:szCs w:val="24"/>
        </w:rPr>
      </w:pPr>
      <w:r w:rsidRPr="00516F65">
        <w:rPr>
          <w:rFonts w:ascii="Times New Roman" w:hAnsi="Times New Roman"/>
          <w:noProof/>
          <w:sz w:val="24"/>
          <w:szCs w:val="24"/>
        </w:rPr>
        <w:t>CORSIA</w:t>
      </w:r>
      <w:r w:rsidRPr="00516F65">
        <w:rPr>
          <w:rFonts w:ascii="Times New Roman" w:hAnsi="Times New Roman"/>
          <w:noProof/>
          <w:sz w:val="24"/>
          <w:szCs w:val="24"/>
        </w:rPr>
        <w:tab/>
        <w:t>Carbon Offsetting and Reduction Scheme for International Aviation</w:t>
      </w:r>
    </w:p>
    <w:p w14:paraId="3BCA7AF8"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CSCF</w:t>
      </w:r>
      <w:r w:rsidRPr="006434B2">
        <w:rPr>
          <w:rFonts w:ascii="Times New Roman" w:hAnsi="Times New Roman"/>
          <w:noProof/>
          <w:sz w:val="24"/>
          <w:szCs w:val="24"/>
        </w:rPr>
        <w:tab/>
      </w:r>
      <w:r w:rsidRPr="006434B2">
        <w:rPr>
          <w:rFonts w:ascii="Times New Roman" w:hAnsi="Times New Roman"/>
          <w:noProof/>
          <w:sz w:val="24"/>
          <w:szCs w:val="24"/>
        </w:rPr>
        <w:tab/>
        <w:t>Cross-Sectional Correction Factor</w:t>
      </w:r>
    </w:p>
    <w:p w14:paraId="61DC4200"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EA</w:t>
      </w:r>
      <w:r w:rsidRPr="006434B2">
        <w:rPr>
          <w:rFonts w:ascii="Times New Roman" w:hAnsi="Times New Roman"/>
          <w:noProof/>
          <w:sz w:val="24"/>
          <w:szCs w:val="24"/>
        </w:rPr>
        <w:tab/>
      </w:r>
      <w:r w:rsidRPr="006434B2">
        <w:rPr>
          <w:rFonts w:ascii="Times New Roman" w:hAnsi="Times New Roman"/>
          <w:noProof/>
          <w:sz w:val="24"/>
          <w:szCs w:val="24"/>
        </w:rPr>
        <w:tab/>
        <w:t>European Cooperation for Accreditation</w:t>
      </w:r>
    </w:p>
    <w:p w14:paraId="59DCE5E5" w14:textId="77777777" w:rsidR="00B36364"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EEA</w:t>
      </w:r>
      <w:r w:rsidRPr="006434B2">
        <w:rPr>
          <w:rFonts w:ascii="Times New Roman" w:hAnsi="Times New Roman"/>
          <w:noProof/>
          <w:sz w:val="24"/>
          <w:szCs w:val="24"/>
        </w:rPr>
        <w:tab/>
      </w:r>
      <w:r w:rsidRPr="006434B2">
        <w:rPr>
          <w:rFonts w:ascii="Times New Roman" w:hAnsi="Times New Roman"/>
          <w:noProof/>
          <w:sz w:val="24"/>
          <w:szCs w:val="24"/>
        </w:rPr>
        <w:tab/>
        <w:t>European Economic A</w:t>
      </w:r>
      <w:r w:rsidR="000A23BB" w:rsidRPr="00516F65">
        <w:rPr>
          <w:rFonts w:ascii="Times New Roman" w:hAnsi="Times New Roman"/>
          <w:noProof/>
          <w:sz w:val="24"/>
          <w:szCs w:val="24"/>
        </w:rPr>
        <w:t>rea</w:t>
      </w:r>
    </w:p>
    <w:p w14:paraId="0A6C719D" w14:textId="77777777" w:rsidR="000A23BB" w:rsidRPr="006434B2" w:rsidRDefault="00B36364" w:rsidP="000A23BB">
      <w:pPr>
        <w:spacing w:after="120"/>
        <w:rPr>
          <w:rFonts w:ascii="Times New Roman" w:hAnsi="Times New Roman"/>
          <w:noProof/>
          <w:sz w:val="24"/>
          <w:szCs w:val="24"/>
        </w:rPr>
      </w:pPr>
      <w:r w:rsidRPr="00516F65">
        <w:rPr>
          <w:rFonts w:ascii="Times New Roman" w:hAnsi="Times New Roman"/>
          <w:noProof/>
          <w:sz w:val="24"/>
          <w:szCs w:val="24"/>
        </w:rPr>
        <w:t>EEA</w:t>
      </w:r>
      <w:r w:rsidRPr="00516F65">
        <w:rPr>
          <w:rFonts w:ascii="Times New Roman" w:hAnsi="Times New Roman"/>
          <w:noProof/>
          <w:sz w:val="24"/>
          <w:szCs w:val="24"/>
        </w:rPr>
        <w:tab/>
      </w:r>
      <w:r w:rsidRPr="00516F65">
        <w:rPr>
          <w:rFonts w:ascii="Times New Roman" w:hAnsi="Times New Roman"/>
          <w:noProof/>
          <w:sz w:val="24"/>
          <w:szCs w:val="24"/>
        </w:rPr>
        <w:tab/>
        <w:t>European Environment Agency</w:t>
      </w:r>
    </w:p>
    <w:p w14:paraId="7D4F4B54"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EEX</w:t>
      </w:r>
      <w:r w:rsidRPr="006434B2">
        <w:rPr>
          <w:rFonts w:ascii="Times New Roman" w:hAnsi="Times New Roman"/>
          <w:noProof/>
          <w:sz w:val="24"/>
          <w:szCs w:val="24"/>
        </w:rPr>
        <w:tab/>
      </w:r>
      <w:r w:rsidRPr="006434B2">
        <w:rPr>
          <w:rFonts w:ascii="Times New Roman" w:hAnsi="Times New Roman"/>
          <w:noProof/>
          <w:sz w:val="24"/>
          <w:szCs w:val="24"/>
        </w:rPr>
        <w:tab/>
        <w:t>European Energy Exchange</w:t>
      </w:r>
    </w:p>
    <w:p w14:paraId="6609D7AA"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EIB</w:t>
      </w:r>
      <w:r w:rsidRPr="006434B2">
        <w:rPr>
          <w:rFonts w:ascii="Times New Roman" w:hAnsi="Times New Roman"/>
          <w:noProof/>
          <w:sz w:val="24"/>
          <w:szCs w:val="24"/>
        </w:rPr>
        <w:tab/>
      </w:r>
      <w:r w:rsidRPr="006434B2">
        <w:rPr>
          <w:rFonts w:ascii="Times New Roman" w:hAnsi="Times New Roman"/>
          <w:noProof/>
          <w:sz w:val="24"/>
          <w:szCs w:val="24"/>
        </w:rPr>
        <w:tab/>
        <w:t>European Investment Bank</w:t>
      </w:r>
    </w:p>
    <w:p w14:paraId="22A3823B"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ERUs</w:t>
      </w:r>
      <w:r w:rsidRPr="006434B2">
        <w:rPr>
          <w:rFonts w:ascii="Times New Roman" w:hAnsi="Times New Roman"/>
          <w:noProof/>
          <w:sz w:val="24"/>
          <w:szCs w:val="24"/>
        </w:rPr>
        <w:tab/>
      </w:r>
      <w:r w:rsidRPr="006434B2">
        <w:rPr>
          <w:rFonts w:ascii="Times New Roman" w:hAnsi="Times New Roman"/>
          <w:noProof/>
          <w:sz w:val="24"/>
          <w:szCs w:val="24"/>
        </w:rPr>
        <w:tab/>
        <w:t>Emission Reduction Units</w:t>
      </w:r>
    </w:p>
    <w:p w14:paraId="75C7D35E" w14:textId="77777777" w:rsidR="000A23BB" w:rsidRPr="00516F65" w:rsidRDefault="000A23BB" w:rsidP="000A23BB">
      <w:pPr>
        <w:spacing w:after="120"/>
        <w:rPr>
          <w:rFonts w:ascii="Times New Roman" w:hAnsi="Times New Roman"/>
          <w:noProof/>
          <w:sz w:val="24"/>
          <w:szCs w:val="24"/>
        </w:rPr>
      </w:pPr>
      <w:r w:rsidRPr="00516F65">
        <w:rPr>
          <w:rFonts w:ascii="Times New Roman" w:hAnsi="Times New Roman"/>
          <w:noProof/>
          <w:sz w:val="24"/>
          <w:szCs w:val="24"/>
        </w:rPr>
        <w:t>ESMA</w:t>
      </w:r>
      <w:r w:rsidRPr="00516F65">
        <w:rPr>
          <w:rFonts w:ascii="Times New Roman" w:hAnsi="Times New Roman"/>
          <w:noProof/>
          <w:sz w:val="24"/>
          <w:szCs w:val="24"/>
        </w:rPr>
        <w:tab/>
      </w:r>
      <w:r w:rsidRPr="00516F65">
        <w:rPr>
          <w:rFonts w:ascii="Times New Roman" w:hAnsi="Times New Roman"/>
          <w:noProof/>
          <w:sz w:val="24"/>
          <w:szCs w:val="24"/>
        </w:rPr>
        <w:tab/>
        <w:t>European Securities and Markets Authority</w:t>
      </w:r>
    </w:p>
    <w:p w14:paraId="0E04B75C"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EU ETS</w:t>
      </w:r>
      <w:r w:rsidRPr="006434B2">
        <w:rPr>
          <w:rFonts w:ascii="Times New Roman" w:hAnsi="Times New Roman"/>
          <w:noProof/>
          <w:sz w:val="24"/>
          <w:szCs w:val="24"/>
        </w:rPr>
        <w:tab/>
        <w:t>European Union Emissions Trading System</w:t>
      </w:r>
    </w:p>
    <w:p w14:paraId="65FB01C9"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EUTL</w:t>
      </w:r>
      <w:r w:rsidRPr="006434B2">
        <w:rPr>
          <w:rFonts w:ascii="Times New Roman" w:hAnsi="Times New Roman"/>
          <w:noProof/>
          <w:sz w:val="24"/>
          <w:szCs w:val="24"/>
        </w:rPr>
        <w:tab/>
      </w:r>
      <w:r w:rsidRPr="006434B2">
        <w:rPr>
          <w:rFonts w:ascii="Times New Roman" w:hAnsi="Times New Roman"/>
          <w:noProof/>
          <w:sz w:val="24"/>
          <w:szCs w:val="24"/>
        </w:rPr>
        <w:tab/>
        <w:t>European Union Transaction Log</w:t>
      </w:r>
    </w:p>
    <w:p w14:paraId="69807327"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 xml:space="preserve">GHG  </w:t>
      </w:r>
      <w:r w:rsidRPr="006434B2">
        <w:rPr>
          <w:rFonts w:ascii="Times New Roman" w:hAnsi="Times New Roman"/>
          <w:noProof/>
          <w:sz w:val="24"/>
          <w:szCs w:val="24"/>
        </w:rPr>
        <w:tab/>
      </w:r>
      <w:r w:rsidRPr="006434B2">
        <w:rPr>
          <w:rFonts w:ascii="Times New Roman" w:hAnsi="Times New Roman"/>
          <w:noProof/>
          <w:sz w:val="24"/>
          <w:szCs w:val="24"/>
        </w:rPr>
        <w:tab/>
        <w:t>Greenhouse Gas</w:t>
      </w:r>
    </w:p>
    <w:p w14:paraId="7FCE9806" w14:textId="77777777" w:rsidR="005F6BD0" w:rsidRPr="00DE75EA" w:rsidRDefault="003A348D" w:rsidP="000A23BB">
      <w:pPr>
        <w:spacing w:after="120"/>
        <w:rPr>
          <w:rFonts w:ascii="Times New Roman" w:hAnsi="Times New Roman"/>
          <w:noProof/>
          <w:sz w:val="24"/>
          <w:szCs w:val="24"/>
        </w:rPr>
      </w:pPr>
      <w:r w:rsidRPr="00DE75EA">
        <w:rPr>
          <w:rFonts w:ascii="Times New Roman" w:hAnsi="Times New Roman"/>
          <w:noProof/>
          <w:sz w:val="24"/>
          <w:szCs w:val="24"/>
        </w:rPr>
        <w:t>ICAO</w:t>
      </w:r>
      <w:r w:rsidRPr="00DE75EA">
        <w:rPr>
          <w:rFonts w:ascii="Times New Roman" w:hAnsi="Times New Roman"/>
          <w:noProof/>
          <w:sz w:val="24"/>
          <w:szCs w:val="24"/>
        </w:rPr>
        <w:tab/>
      </w:r>
      <w:r w:rsidRPr="00DE75EA">
        <w:rPr>
          <w:rFonts w:ascii="Times New Roman" w:hAnsi="Times New Roman"/>
          <w:noProof/>
          <w:sz w:val="24"/>
          <w:szCs w:val="24"/>
        </w:rPr>
        <w:tab/>
        <w:t>International Civil Aviation Organization</w:t>
      </w:r>
    </w:p>
    <w:p w14:paraId="33AB1DDC" w14:textId="77777777" w:rsidR="000A23BB" w:rsidRPr="00DE75EA" w:rsidRDefault="003A348D" w:rsidP="000A23BB">
      <w:pPr>
        <w:spacing w:after="120"/>
        <w:rPr>
          <w:rFonts w:ascii="Times New Roman" w:hAnsi="Times New Roman"/>
          <w:noProof/>
          <w:sz w:val="24"/>
          <w:szCs w:val="24"/>
        </w:rPr>
      </w:pPr>
      <w:r w:rsidRPr="00DE75EA">
        <w:rPr>
          <w:rFonts w:ascii="Times New Roman" w:hAnsi="Times New Roman"/>
          <w:noProof/>
          <w:sz w:val="24"/>
          <w:szCs w:val="24"/>
        </w:rPr>
        <w:t>ICE</w:t>
      </w:r>
      <w:r w:rsidRPr="00DE75EA">
        <w:rPr>
          <w:rFonts w:ascii="Times New Roman" w:hAnsi="Times New Roman"/>
          <w:noProof/>
          <w:sz w:val="24"/>
          <w:szCs w:val="24"/>
        </w:rPr>
        <w:tab/>
      </w:r>
      <w:r w:rsidRPr="00DE75EA">
        <w:rPr>
          <w:rFonts w:ascii="Times New Roman" w:hAnsi="Times New Roman"/>
          <w:noProof/>
          <w:sz w:val="24"/>
          <w:szCs w:val="24"/>
        </w:rPr>
        <w:tab/>
        <w:t>I</w:t>
      </w:r>
      <w:r w:rsidR="00155185" w:rsidRPr="00DE75EA">
        <w:rPr>
          <w:rFonts w:ascii="Times New Roman" w:hAnsi="Times New Roman"/>
          <w:noProof/>
          <w:sz w:val="24"/>
          <w:szCs w:val="24"/>
        </w:rPr>
        <w:t>nterContinental Exchange</w:t>
      </w:r>
      <w:r w:rsidRPr="00DE75EA">
        <w:rPr>
          <w:rFonts w:ascii="Times New Roman" w:hAnsi="Times New Roman"/>
          <w:noProof/>
          <w:sz w:val="24"/>
          <w:szCs w:val="24"/>
        </w:rPr>
        <w:t xml:space="preserve"> Future</w:t>
      </w:r>
      <w:r w:rsidR="00155185" w:rsidRPr="00DE75EA">
        <w:rPr>
          <w:rFonts w:ascii="Times New Roman" w:hAnsi="Times New Roman"/>
          <w:noProof/>
          <w:sz w:val="24"/>
          <w:szCs w:val="24"/>
        </w:rPr>
        <w:t>s</w:t>
      </w:r>
      <w:r w:rsidRPr="00DE75EA">
        <w:rPr>
          <w:rFonts w:ascii="Times New Roman" w:hAnsi="Times New Roman"/>
          <w:noProof/>
          <w:sz w:val="24"/>
          <w:szCs w:val="24"/>
        </w:rPr>
        <w:t xml:space="preserve"> Europe</w:t>
      </w:r>
      <w:r w:rsidR="000A23BB" w:rsidRPr="00DE75EA">
        <w:rPr>
          <w:rFonts w:ascii="Times New Roman" w:hAnsi="Times New Roman"/>
          <w:noProof/>
          <w:sz w:val="24"/>
          <w:szCs w:val="24"/>
        </w:rPr>
        <w:t xml:space="preserve"> </w:t>
      </w:r>
    </w:p>
    <w:p w14:paraId="46A5482E" w14:textId="77777777" w:rsidR="00B36364" w:rsidRPr="006434B2" w:rsidRDefault="006434B2" w:rsidP="000A23BB">
      <w:pPr>
        <w:spacing w:after="120"/>
        <w:rPr>
          <w:rFonts w:ascii="Times New Roman" w:hAnsi="Times New Roman"/>
          <w:noProof/>
          <w:sz w:val="24"/>
          <w:szCs w:val="24"/>
        </w:rPr>
      </w:pPr>
      <w:r>
        <w:rPr>
          <w:rFonts w:ascii="Times New Roman" w:hAnsi="Times New Roman"/>
          <w:noProof/>
          <w:sz w:val="24"/>
          <w:szCs w:val="24"/>
        </w:rPr>
        <w:t xml:space="preserve">InnovFin EDP </w:t>
      </w:r>
      <w:r w:rsidR="00B36364" w:rsidRPr="00516F65">
        <w:rPr>
          <w:rFonts w:ascii="Times New Roman" w:hAnsi="Times New Roman"/>
          <w:noProof/>
          <w:sz w:val="24"/>
          <w:szCs w:val="24"/>
        </w:rPr>
        <w:t xml:space="preserve">InnovFin Energy Demonstration Projects </w:t>
      </w:r>
    </w:p>
    <w:p w14:paraId="4DCEDC95"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JI</w:t>
      </w:r>
      <w:r w:rsidRPr="006434B2">
        <w:rPr>
          <w:rFonts w:ascii="Times New Roman" w:hAnsi="Times New Roman"/>
          <w:noProof/>
          <w:sz w:val="24"/>
          <w:szCs w:val="24"/>
        </w:rPr>
        <w:tab/>
      </w:r>
      <w:r w:rsidRPr="006434B2">
        <w:rPr>
          <w:rFonts w:ascii="Times New Roman" w:hAnsi="Times New Roman"/>
          <w:noProof/>
          <w:sz w:val="24"/>
          <w:szCs w:val="24"/>
        </w:rPr>
        <w:tab/>
        <w:t>Joint Implementation</w:t>
      </w:r>
    </w:p>
    <w:p w14:paraId="13F13219"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MAR</w:t>
      </w:r>
      <w:r w:rsidRPr="006434B2">
        <w:rPr>
          <w:rFonts w:ascii="Times New Roman" w:hAnsi="Times New Roman"/>
          <w:noProof/>
          <w:sz w:val="24"/>
          <w:szCs w:val="24"/>
        </w:rPr>
        <w:tab/>
      </w:r>
      <w:r w:rsidRPr="006434B2">
        <w:rPr>
          <w:rFonts w:ascii="Times New Roman" w:hAnsi="Times New Roman"/>
          <w:noProof/>
          <w:sz w:val="24"/>
          <w:szCs w:val="24"/>
        </w:rPr>
        <w:tab/>
        <w:t>Market Abuse Regulation</w:t>
      </w:r>
    </w:p>
    <w:p w14:paraId="271BA720"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MiFID2</w:t>
      </w:r>
      <w:r w:rsidRPr="006434B2">
        <w:rPr>
          <w:rFonts w:ascii="Times New Roman" w:hAnsi="Times New Roman"/>
          <w:noProof/>
          <w:sz w:val="24"/>
          <w:szCs w:val="24"/>
        </w:rPr>
        <w:tab/>
        <w:t>Directive on Markets in Financial Instruments</w:t>
      </w:r>
    </w:p>
    <w:p w14:paraId="6AE73962" w14:textId="77777777" w:rsidR="000A23BB" w:rsidRPr="006434B2" w:rsidRDefault="000A23BB" w:rsidP="000A23BB">
      <w:pPr>
        <w:spacing w:after="120"/>
        <w:rPr>
          <w:rFonts w:ascii="Times New Roman" w:hAnsi="Times New Roman"/>
          <w:noProof/>
          <w:sz w:val="24"/>
          <w:szCs w:val="24"/>
        </w:rPr>
      </w:pPr>
      <w:r w:rsidRPr="00516F65">
        <w:rPr>
          <w:rFonts w:ascii="Times New Roman" w:hAnsi="Times New Roman"/>
          <w:noProof/>
          <w:sz w:val="24"/>
          <w:szCs w:val="24"/>
        </w:rPr>
        <w:t>MiFIR</w:t>
      </w:r>
      <w:r w:rsidRPr="00516F65">
        <w:rPr>
          <w:rFonts w:ascii="Times New Roman" w:hAnsi="Times New Roman"/>
          <w:noProof/>
          <w:sz w:val="24"/>
          <w:szCs w:val="24"/>
        </w:rPr>
        <w:tab/>
      </w:r>
      <w:r w:rsidRPr="00516F65">
        <w:rPr>
          <w:rFonts w:ascii="Times New Roman" w:hAnsi="Times New Roman"/>
          <w:noProof/>
          <w:sz w:val="24"/>
          <w:szCs w:val="24"/>
        </w:rPr>
        <w:tab/>
        <w:t>Regulation on Markets in Financial Instruments</w:t>
      </w:r>
    </w:p>
    <w:p w14:paraId="43915EBC"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MRR</w:t>
      </w:r>
      <w:r w:rsidRPr="006434B2">
        <w:rPr>
          <w:rFonts w:ascii="Times New Roman" w:hAnsi="Times New Roman"/>
          <w:noProof/>
          <w:sz w:val="24"/>
          <w:szCs w:val="24"/>
        </w:rPr>
        <w:tab/>
      </w:r>
      <w:r w:rsidRPr="006434B2">
        <w:rPr>
          <w:rFonts w:ascii="Times New Roman" w:hAnsi="Times New Roman"/>
          <w:noProof/>
          <w:sz w:val="24"/>
          <w:szCs w:val="24"/>
        </w:rPr>
        <w:tab/>
        <w:t>Monitoring and Reporting Regulation</w:t>
      </w:r>
    </w:p>
    <w:p w14:paraId="3AEC2F22"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MRVA</w:t>
      </w:r>
      <w:r w:rsidRPr="006434B2">
        <w:rPr>
          <w:rFonts w:ascii="Times New Roman" w:hAnsi="Times New Roman"/>
          <w:noProof/>
          <w:sz w:val="24"/>
          <w:szCs w:val="24"/>
        </w:rPr>
        <w:tab/>
        <w:t>Monitoring, Reporting, Verification and Accreditation</w:t>
      </w:r>
    </w:p>
    <w:p w14:paraId="11D90737"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 xml:space="preserve">MSR  </w:t>
      </w:r>
      <w:r w:rsidRPr="006434B2">
        <w:rPr>
          <w:rFonts w:ascii="Times New Roman" w:hAnsi="Times New Roman"/>
          <w:noProof/>
          <w:sz w:val="24"/>
          <w:szCs w:val="24"/>
        </w:rPr>
        <w:tab/>
      </w:r>
      <w:r w:rsidRPr="006434B2">
        <w:rPr>
          <w:rFonts w:ascii="Times New Roman" w:hAnsi="Times New Roman"/>
          <w:noProof/>
          <w:sz w:val="24"/>
          <w:szCs w:val="24"/>
        </w:rPr>
        <w:tab/>
        <w:t>Market Stability Reserve</w:t>
      </w:r>
    </w:p>
    <w:p w14:paraId="4DF696FB" w14:textId="77777777" w:rsidR="005F6BD0" w:rsidRPr="006434B2" w:rsidRDefault="003A348D" w:rsidP="000A23BB">
      <w:pPr>
        <w:spacing w:after="120"/>
        <w:rPr>
          <w:rFonts w:ascii="Times New Roman" w:hAnsi="Times New Roman"/>
          <w:noProof/>
          <w:sz w:val="24"/>
          <w:szCs w:val="24"/>
        </w:rPr>
      </w:pPr>
      <w:r w:rsidRPr="006434B2">
        <w:rPr>
          <w:rFonts w:ascii="Times New Roman" w:hAnsi="Times New Roman"/>
          <w:noProof/>
          <w:sz w:val="24"/>
          <w:szCs w:val="24"/>
        </w:rPr>
        <w:t>NAB</w:t>
      </w:r>
      <w:r w:rsidRPr="006434B2">
        <w:rPr>
          <w:rFonts w:ascii="Times New Roman" w:hAnsi="Times New Roman"/>
          <w:noProof/>
          <w:sz w:val="24"/>
          <w:szCs w:val="24"/>
        </w:rPr>
        <w:tab/>
      </w:r>
      <w:r w:rsidRPr="006434B2">
        <w:rPr>
          <w:rFonts w:ascii="Times New Roman" w:hAnsi="Times New Roman"/>
          <w:noProof/>
          <w:sz w:val="24"/>
          <w:szCs w:val="24"/>
        </w:rPr>
        <w:tab/>
        <w:t>National Accreditation Body</w:t>
      </w:r>
    </w:p>
    <w:p w14:paraId="080AF866" w14:textId="77777777" w:rsidR="005F6BD0" w:rsidRPr="00516F65" w:rsidRDefault="003A348D" w:rsidP="000A23BB">
      <w:pPr>
        <w:spacing w:after="120"/>
        <w:rPr>
          <w:rFonts w:ascii="Times New Roman" w:hAnsi="Times New Roman"/>
          <w:noProof/>
          <w:sz w:val="24"/>
          <w:szCs w:val="24"/>
        </w:rPr>
      </w:pPr>
      <w:r w:rsidRPr="006434B2">
        <w:rPr>
          <w:rFonts w:ascii="Times New Roman" w:hAnsi="Times New Roman"/>
          <w:noProof/>
          <w:sz w:val="24"/>
          <w:szCs w:val="24"/>
        </w:rPr>
        <w:t>NER</w:t>
      </w:r>
      <w:r w:rsidRPr="006434B2">
        <w:rPr>
          <w:rFonts w:ascii="Times New Roman" w:hAnsi="Times New Roman"/>
          <w:noProof/>
          <w:sz w:val="24"/>
          <w:szCs w:val="24"/>
        </w:rPr>
        <w:tab/>
      </w:r>
      <w:r w:rsidRPr="006434B2">
        <w:rPr>
          <w:rFonts w:ascii="Times New Roman" w:hAnsi="Times New Roman"/>
          <w:noProof/>
          <w:sz w:val="24"/>
          <w:szCs w:val="24"/>
        </w:rPr>
        <w:tab/>
        <w:t>New Entrants Reserve</w:t>
      </w:r>
    </w:p>
    <w:p w14:paraId="27E81309" w14:textId="77777777" w:rsidR="00B36364" w:rsidRPr="00516F65" w:rsidRDefault="00B36364" w:rsidP="000A23BB">
      <w:pPr>
        <w:spacing w:after="120"/>
        <w:rPr>
          <w:rFonts w:ascii="Times New Roman" w:hAnsi="Times New Roman"/>
          <w:noProof/>
          <w:sz w:val="24"/>
          <w:szCs w:val="24"/>
        </w:rPr>
      </w:pPr>
      <w:r w:rsidRPr="00516F65">
        <w:rPr>
          <w:rFonts w:ascii="Times New Roman" w:hAnsi="Times New Roman"/>
          <w:noProof/>
          <w:sz w:val="24"/>
          <w:szCs w:val="24"/>
        </w:rPr>
        <w:t>OTC</w:t>
      </w:r>
      <w:r w:rsidRPr="00516F65">
        <w:rPr>
          <w:rFonts w:ascii="Times New Roman" w:hAnsi="Times New Roman"/>
          <w:noProof/>
          <w:sz w:val="24"/>
          <w:szCs w:val="24"/>
        </w:rPr>
        <w:tab/>
      </w:r>
      <w:r w:rsidRPr="00516F65">
        <w:rPr>
          <w:rFonts w:ascii="Times New Roman" w:hAnsi="Times New Roman"/>
          <w:noProof/>
          <w:sz w:val="24"/>
          <w:szCs w:val="24"/>
        </w:rPr>
        <w:tab/>
        <w:t>Over-the-counter</w:t>
      </w:r>
    </w:p>
    <w:p w14:paraId="0D2EF9AB" w14:textId="77777777" w:rsidR="005F6BD0" w:rsidRPr="00516F65" w:rsidRDefault="003A348D" w:rsidP="000A23BB">
      <w:pPr>
        <w:spacing w:after="120"/>
        <w:rPr>
          <w:rFonts w:ascii="Times New Roman" w:hAnsi="Times New Roman"/>
          <w:noProof/>
          <w:sz w:val="24"/>
          <w:szCs w:val="24"/>
          <w:lang w:val="fr-BE"/>
        </w:rPr>
      </w:pPr>
      <w:r w:rsidRPr="00516F65">
        <w:rPr>
          <w:rFonts w:ascii="Times New Roman" w:hAnsi="Times New Roman"/>
          <w:noProof/>
          <w:sz w:val="24"/>
          <w:szCs w:val="24"/>
          <w:lang w:val="fr-BE"/>
        </w:rPr>
        <w:t>PFCs</w:t>
      </w:r>
      <w:r w:rsidRPr="00516F65">
        <w:rPr>
          <w:rFonts w:ascii="Times New Roman" w:hAnsi="Times New Roman"/>
          <w:noProof/>
          <w:sz w:val="24"/>
          <w:szCs w:val="24"/>
          <w:lang w:val="fr-BE"/>
        </w:rPr>
        <w:tab/>
      </w:r>
      <w:r w:rsidRPr="00516F65">
        <w:rPr>
          <w:rFonts w:ascii="Times New Roman" w:hAnsi="Times New Roman"/>
          <w:noProof/>
          <w:sz w:val="24"/>
          <w:szCs w:val="24"/>
          <w:lang w:val="fr-BE"/>
        </w:rPr>
        <w:tab/>
        <w:t>Perfluorocarbons</w:t>
      </w:r>
    </w:p>
    <w:p w14:paraId="5E2CCDD7" w14:textId="77777777" w:rsidR="005F6BD0" w:rsidRPr="00516F65" w:rsidRDefault="003A348D" w:rsidP="000A23BB">
      <w:pPr>
        <w:spacing w:after="120"/>
        <w:rPr>
          <w:rFonts w:ascii="Times New Roman" w:hAnsi="Times New Roman"/>
          <w:noProof/>
          <w:sz w:val="24"/>
          <w:szCs w:val="24"/>
          <w:lang w:val="fr-BE"/>
        </w:rPr>
      </w:pPr>
      <w:r w:rsidRPr="00516F65">
        <w:rPr>
          <w:rFonts w:ascii="Times New Roman" w:hAnsi="Times New Roman"/>
          <w:noProof/>
          <w:sz w:val="24"/>
          <w:szCs w:val="24"/>
          <w:lang w:val="fr-BE"/>
        </w:rPr>
        <w:t>RES</w:t>
      </w:r>
      <w:r w:rsidRPr="00516F65">
        <w:rPr>
          <w:rFonts w:ascii="Times New Roman" w:hAnsi="Times New Roman"/>
          <w:noProof/>
          <w:sz w:val="24"/>
          <w:szCs w:val="24"/>
          <w:lang w:val="fr-BE"/>
        </w:rPr>
        <w:tab/>
      </w:r>
      <w:r w:rsidRPr="00516F65">
        <w:rPr>
          <w:rFonts w:ascii="Times New Roman" w:hAnsi="Times New Roman"/>
          <w:noProof/>
          <w:sz w:val="24"/>
          <w:szCs w:val="24"/>
          <w:lang w:val="fr-BE"/>
        </w:rPr>
        <w:tab/>
        <w:t>Renewable Energy Sources</w:t>
      </w:r>
    </w:p>
    <w:p w14:paraId="77E19E33" w14:textId="77777777" w:rsidR="000A23BB" w:rsidRPr="00516F65" w:rsidRDefault="000A23BB" w:rsidP="000A23BB">
      <w:pPr>
        <w:spacing w:after="120"/>
        <w:rPr>
          <w:rFonts w:ascii="Times New Roman" w:hAnsi="Times New Roman"/>
          <w:noProof/>
          <w:sz w:val="24"/>
          <w:szCs w:val="24"/>
        </w:rPr>
      </w:pPr>
      <w:r w:rsidRPr="00516F65">
        <w:rPr>
          <w:rFonts w:ascii="Times New Roman" w:hAnsi="Times New Roman"/>
          <w:noProof/>
          <w:sz w:val="24"/>
          <w:szCs w:val="24"/>
        </w:rPr>
        <w:t>SARPs</w:t>
      </w:r>
      <w:r w:rsidRPr="00516F65">
        <w:rPr>
          <w:rFonts w:ascii="Times New Roman" w:hAnsi="Times New Roman"/>
          <w:noProof/>
          <w:sz w:val="24"/>
          <w:szCs w:val="24"/>
        </w:rPr>
        <w:tab/>
      </w:r>
      <w:r w:rsidRPr="00516F65">
        <w:rPr>
          <w:rFonts w:ascii="Times New Roman" w:hAnsi="Times New Roman"/>
          <w:noProof/>
          <w:sz w:val="24"/>
          <w:szCs w:val="24"/>
        </w:rPr>
        <w:tab/>
        <w:t>CORSIA Standards and Recommended Practices</w:t>
      </w:r>
    </w:p>
    <w:p w14:paraId="257EF65A" w14:textId="77777777" w:rsidR="005F6BD0" w:rsidRPr="00516F65" w:rsidRDefault="003A348D">
      <w:pPr>
        <w:rPr>
          <w:rFonts w:ascii="Times New Roman" w:hAnsi="Times New Roman"/>
          <w:noProof/>
          <w:sz w:val="24"/>
          <w:szCs w:val="24"/>
        </w:rPr>
      </w:pPr>
      <w:r w:rsidRPr="006434B2">
        <w:rPr>
          <w:rFonts w:ascii="Times New Roman" w:hAnsi="Times New Roman"/>
          <w:noProof/>
          <w:sz w:val="24"/>
          <w:szCs w:val="24"/>
        </w:rPr>
        <w:t>TNAC</w:t>
      </w:r>
      <w:r w:rsidRPr="006434B2">
        <w:rPr>
          <w:rFonts w:ascii="Times New Roman" w:hAnsi="Times New Roman"/>
          <w:noProof/>
          <w:sz w:val="24"/>
          <w:szCs w:val="24"/>
        </w:rPr>
        <w:tab/>
      </w:r>
      <w:r w:rsidRPr="006434B2">
        <w:rPr>
          <w:rFonts w:ascii="Times New Roman" w:hAnsi="Times New Roman"/>
          <w:noProof/>
          <w:sz w:val="24"/>
          <w:szCs w:val="24"/>
        </w:rPr>
        <w:tab/>
        <w:t>Total Number of Allowances in Circulation</w:t>
      </w:r>
    </w:p>
    <w:p w14:paraId="12BD9CDC" w14:textId="77777777" w:rsidR="006434B2" w:rsidRDefault="006434B2">
      <w:pPr>
        <w:rPr>
          <w:rFonts w:ascii="Times New Roman" w:hAnsi="Times New Roman"/>
          <w:noProof/>
          <w:szCs w:val="24"/>
        </w:rPr>
      </w:pPr>
    </w:p>
    <w:p w14:paraId="0F376650" w14:textId="77777777" w:rsidR="006434B2" w:rsidRDefault="006434B2">
      <w:pPr>
        <w:rPr>
          <w:rFonts w:ascii="Times New Roman" w:hAnsi="Times New Roman"/>
          <w:noProof/>
          <w:szCs w:val="24"/>
        </w:rPr>
      </w:pPr>
    </w:p>
    <w:p w14:paraId="5B5CBBFD" w14:textId="77777777" w:rsidR="006434B2" w:rsidRDefault="006434B2">
      <w:pPr>
        <w:rPr>
          <w:rFonts w:ascii="Times New Roman" w:hAnsi="Times New Roman"/>
          <w:noProof/>
          <w:szCs w:val="24"/>
        </w:rPr>
      </w:pPr>
    </w:p>
    <w:p w14:paraId="0FA4CA34" w14:textId="77777777" w:rsidR="006434B2" w:rsidRDefault="006434B2">
      <w:pPr>
        <w:rPr>
          <w:rFonts w:ascii="Times New Roman" w:hAnsi="Times New Roman"/>
          <w:noProof/>
          <w:szCs w:val="24"/>
        </w:rPr>
      </w:pPr>
    </w:p>
    <w:p w14:paraId="3FEDF8F1" w14:textId="77777777" w:rsidR="006434B2" w:rsidRDefault="006434B2">
      <w:pPr>
        <w:rPr>
          <w:rFonts w:ascii="Times New Roman" w:hAnsi="Times New Roman"/>
          <w:noProof/>
          <w:szCs w:val="24"/>
        </w:rPr>
      </w:pPr>
    </w:p>
    <w:p w14:paraId="27741D67" w14:textId="77777777" w:rsidR="006434B2" w:rsidRDefault="006434B2">
      <w:pPr>
        <w:rPr>
          <w:rFonts w:ascii="Times New Roman" w:hAnsi="Times New Roman"/>
          <w:noProof/>
          <w:szCs w:val="24"/>
        </w:rPr>
      </w:pPr>
    </w:p>
    <w:p w14:paraId="2C98C8D1" w14:textId="77777777" w:rsidR="006434B2" w:rsidRDefault="006434B2">
      <w:pPr>
        <w:rPr>
          <w:rFonts w:ascii="Times New Roman" w:hAnsi="Times New Roman"/>
          <w:noProof/>
          <w:szCs w:val="24"/>
        </w:rPr>
      </w:pPr>
    </w:p>
    <w:p w14:paraId="7C5CCFF1" w14:textId="77777777" w:rsidR="006434B2" w:rsidRDefault="006434B2">
      <w:pPr>
        <w:rPr>
          <w:rFonts w:ascii="Times New Roman" w:hAnsi="Times New Roman"/>
          <w:noProof/>
          <w:szCs w:val="24"/>
        </w:rPr>
      </w:pPr>
    </w:p>
    <w:p w14:paraId="0FA23E79" w14:textId="77777777" w:rsidR="006434B2" w:rsidRDefault="006434B2">
      <w:pPr>
        <w:rPr>
          <w:rFonts w:ascii="Times New Roman" w:hAnsi="Times New Roman"/>
          <w:noProof/>
          <w:szCs w:val="24"/>
        </w:rPr>
      </w:pPr>
    </w:p>
    <w:p w14:paraId="5E436D6A" w14:textId="77777777" w:rsidR="006434B2" w:rsidRPr="00516F65" w:rsidRDefault="006434B2">
      <w:pPr>
        <w:rPr>
          <w:rFonts w:ascii="Times New Roman" w:hAnsi="Times New Roman"/>
          <w:noProof/>
          <w:szCs w:val="24"/>
        </w:rPr>
      </w:pPr>
    </w:p>
    <w:p w14:paraId="5BC963F5" w14:textId="77777777" w:rsidR="005F6BD0" w:rsidRDefault="003A348D" w:rsidP="00516F65">
      <w:pPr>
        <w:pStyle w:val="Heading1"/>
        <w:rPr>
          <w:noProof/>
        </w:rPr>
      </w:pPr>
      <w:bookmarkStart w:id="4" w:name="_Toc20217722"/>
      <w:r>
        <w:rPr>
          <w:noProof/>
        </w:rPr>
        <w:t>SUMMARY</w:t>
      </w:r>
      <w:bookmarkEnd w:id="4"/>
    </w:p>
    <w:p w14:paraId="580C8FC9" w14:textId="77777777" w:rsidR="005F6BD0" w:rsidRDefault="003A348D">
      <w:pPr>
        <w:rPr>
          <w:rFonts w:ascii="Times New Roman" w:hAnsi="Times New Roman"/>
          <w:noProof/>
          <w:sz w:val="24"/>
          <w:szCs w:val="24"/>
        </w:rPr>
      </w:pPr>
      <w:r>
        <w:rPr>
          <w:noProof/>
          <w:lang w:eastAsia="en-GB"/>
        </w:rPr>
        <mc:AlternateContent>
          <mc:Choice Requires="wps">
            <w:drawing>
              <wp:inline distT="0" distB="0" distL="0" distR="0" wp14:anchorId="40E3650B" wp14:editId="4494243A">
                <wp:extent cx="5691226" cy="4381500"/>
                <wp:effectExtent l="0" t="0" r="2413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4381500"/>
                        </a:xfrm>
                        <a:prstGeom prst="rect">
                          <a:avLst/>
                        </a:prstGeom>
                        <a:solidFill>
                          <a:sysClr val="window" lastClr="FFFFFF">
                            <a:lumMod val="85000"/>
                          </a:sysClr>
                        </a:solidFill>
                        <a:ln w="12700">
                          <a:solidFill>
                            <a:srgbClr val="000000"/>
                          </a:solidFill>
                          <a:miter lim="800000"/>
                          <a:headEnd/>
                          <a:tailEnd/>
                        </a:ln>
                      </wps:spPr>
                      <wps:txbx>
                        <w:txbxContent>
                          <w:p w14:paraId="1656593D" w14:textId="77777777" w:rsidR="00516F65" w:rsidRDefault="00516F65">
                            <w:pPr>
                              <w:jc w:val="both"/>
                              <w:rPr>
                                <w:rFonts w:ascii="Times New Roman" w:hAnsi="Times New Roman"/>
                                <w:sz w:val="24"/>
                                <w:szCs w:val="24"/>
                              </w:rPr>
                            </w:pPr>
                            <w:r>
                              <w:rPr>
                                <w:rFonts w:ascii="Times New Roman" w:hAnsi="Times New Roman"/>
                                <w:sz w:val="24"/>
                                <w:szCs w:val="24"/>
                              </w:rPr>
                              <w:t>In 2018, emissions from installations covered by the European Emi</w:t>
                            </w:r>
                            <w:r w:rsidR="00E47213">
                              <w:rPr>
                                <w:rFonts w:ascii="Times New Roman" w:hAnsi="Times New Roman"/>
                                <w:sz w:val="24"/>
                                <w:szCs w:val="24"/>
                              </w:rPr>
                              <w:t xml:space="preserve">ssions Trading System (EU ETS) </w:t>
                            </w:r>
                            <w:r>
                              <w:rPr>
                                <w:rFonts w:ascii="Times New Roman" w:hAnsi="Times New Roman"/>
                                <w:noProof/>
                                <w:sz w:val="24"/>
                                <w:szCs w:val="24"/>
                              </w:rPr>
                              <w:t>decreased by 4.1% compared to 2017. The</w:t>
                            </w:r>
                            <w:r w:rsidRPr="00E63E09">
                              <w:rPr>
                                <w:rFonts w:ascii="Times New Roman" w:hAnsi="Times New Roman"/>
                                <w:noProof/>
                                <w:sz w:val="24"/>
                                <w:szCs w:val="24"/>
                              </w:rPr>
                              <w:t xml:space="preserve"> </w:t>
                            </w:r>
                            <w:r>
                              <w:rPr>
                                <w:rFonts w:ascii="Times New Roman" w:hAnsi="Times New Roman"/>
                                <w:noProof/>
                                <w:sz w:val="24"/>
                                <w:szCs w:val="24"/>
                              </w:rPr>
                              <w:t xml:space="preserve">decrease </w:t>
                            </w:r>
                            <w:r w:rsidRPr="00E63E09">
                              <w:rPr>
                                <w:rFonts w:ascii="Times New Roman" w:hAnsi="Times New Roman"/>
                                <w:noProof/>
                                <w:sz w:val="24"/>
                                <w:szCs w:val="24"/>
                              </w:rPr>
                              <w:t xml:space="preserve">was mainly driven by </w:t>
                            </w:r>
                            <w:r w:rsidR="008E46B6">
                              <w:rPr>
                                <w:rFonts w:ascii="Times New Roman" w:hAnsi="Times New Roman"/>
                                <w:noProof/>
                                <w:sz w:val="24"/>
                                <w:szCs w:val="24"/>
                              </w:rPr>
                              <w:t>electricity and heat production</w:t>
                            </w:r>
                            <w:r w:rsidRPr="00E63E09">
                              <w:rPr>
                                <w:rFonts w:ascii="Times New Roman" w:hAnsi="Times New Roman"/>
                                <w:noProof/>
                                <w:sz w:val="24"/>
                                <w:szCs w:val="24"/>
                              </w:rPr>
                              <w:t>, whereas emissions fro</w:t>
                            </w:r>
                            <w:r>
                              <w:rPr>
                                <w:rFonts w:ascii="Times New Roman" w:hAnsi="Times New Roman"/>
                                <w:noProof/>
                                <w:sz w:val="24"/>
                                <w:szCs w:val="24"/>
                              </w:rPr>
                              <w:t xml:space="preserve">m industry decreased only slightly </w:t>
                            </w:r>
                            <w:r>
                              <w:rPr>
                                <w:rFonts w:ascii="Times New Roman" w:hAnsi="Times New Roman"/>
                                <w:sz w:val="24"/>
                                <w:szCs w:val="24"/>
                              </w:rPr>
                              <w:t>(</w:t>
                            </w:r>
                            <w:r w:rsidRPr="00BD381F">
                              <w:rPr>
                                <w:rFonts w:ascii="Times New Roman" w:hAnsi="Times New Roman"/>
                                <w:sz w:val="24"/>
                                <w:szCs w:val="24"/>
                              </w:rPr>
                              <w:t>see Table 7 in section 3.2</w:t>
                            </w:r>
                            <w:r>
                              <w:rPr>
                                <w:rFonts w:ascii="Times New Roman" w:hAnsi="Times New Roman"/>
                                <w:sz w:val="24"/>
                                <w:szCs w:val="24"/>
                              </w:rPr>
                              <w:t>). Verified emissions from aviation continued to grow, marking an increase of 3.9% compared to 2017 (</w:t>
                            </w:r>
                            <w:r w:rsidRPr="00BD381F">
                              <w:rPr>
                                <w:rFonts w:ascii="Times New Roman" w:hAnsi="Times New Roman"/>
                                <w:sz w:val="24"/>
                                <w:szCs w:val="24"/>
                              </w:rPr>
                              <w:t>see Table 8 in section</w:t>
                            </w:r>
                            <w:r>
                              <w:rPr>
                                <w:rFonts w:ascii="Times New Roman" w:hAnsi="Times New Roman"/>
                                <w:sz w:val="24"/>
                                <w:szCs w:val="24"/>
                              </w:rPr>
                              <w:t xml:space="preserve"> 4).</w:t>
                            </w:r>
                          </w:p>
                          <w:p w14:paraId="09AA47EA" w14:textId="77777777" w:rsidR="00516F65" w:rsidRDefault="00516F65">
                            <w:pPr>
                              <w:jc w:val="both"/>
                              <w:rPr>
                                <w:rFonts w:ascii="Times New Roman" w:hAnsi="Times New Roman"/>
                                <w:sz w:val="24"/>
                                <w:szCs w:val="24"/>
                              </w:rPr>
                            </w:pPr>
                            <w:r w:rsidRPr="004D7FF1">
                              <w:rPr>
                                <w:rFonts w:ascii="Times New Roman" w:hAnsi="Times New Roman"/>
                                <w:sz w:val="24"/>
                                <w:szCs w:val="24"/>
                              </w:rPr>
                              <w:t>Following the ado</w:t>
                            </w:r>
                            <w:r>
                              <w:rPr>
                                <w:rFonts w:ascii="Times New Roman" w:hAnsi="Times New Roman"/>
                                <w:sz w:val="24"/>
                                <w:szCs w:val="24"/>
                              </w:rPr>
                              <w:t>ption of the revised EU ETS Directive, the focus has</w:t>
                            </w:r>
                            <w:r w:rsidRPr="004D7FF1">
                              <w:rPr>
                                <w:rFonts w:ascii="Times New Roman" w:hAnsi="Times New Roman"/>
                                <w:sz w:val="24"/>
                                <w:szCs w:val="24"/>
                              </w:rPr>
                              <w:t xml:space="preserve"> shifted towards implementing the new provisions ahead of the start of phase 4. Implement</w:t>
                            </w:r>
                            <w:r>
                              <w:rPr>
                                <w:rFonts w:ascii="Times New Roman" w:hAnsi="Times New Roman"/>
                                <w:sz w:val="24"/>
                                <w:szCs w:val="24"/>
                              </w:rPr>
                              <w:t xml:space="preserve">ation work is in full swing, with new </w:t>
                            </w:r>
                            <w:r w:rsidR="00D52704">
                              <w:rPr>
                                <w:rFonts w:ascii="Times New Roman" w:hAnsi="Times New Roman"/>
                                <w:sz w:val="24"/>
                                <w:szCs w:val="24"/>
                              </w:rPr>
                              <w:t xml:space="preserve">implementing </w:t>
                            </w:r>
                            <w:r>
                              <w:rPr>
                                <w:rFonts w:ascii="Times New Roman" w:hAnsi="Times New Roman"/>
                                <w:sz w:val="24"/>
                                <w:szCs w:val="24"/>
                              </w:rPr>
                              <w:t xml:space="preserve">legislation on the carbon leakage list, free allocation rules, the Innovation Fund, auctioning, MRVA, and </w:t>
                            </w:r>
                            <w:r w:rsidR="00D52704">
                              <w:rPr>
                                <w:rFonts w:ascii="Times New Roman" w:hAnsi="Times New Roman"/>
                                <w:sz w:val="24"/>
                                <w:szCs w:val="24"/>
                              </w:rPr>
                              <w:t xml:space="preserve">on </w:t>
                            </w:r>
                            <w:r>
                              <w:rPr>
                                <w:rFonts w:ascii="Times New Roman" w:hAnsi="Times New Roman"/>
                                <w:sz w:val="24"/>
                                <w:szCs w:val="24"/>
                              </w:rPr>
                              <w:t xml:space="preserve">the Union Registry having been adopted over the past year (see chapters 2.2, 3.1.2 and 6.1). </w:t>
                            </w:r>
                          </w:p>
                          <w:p w14:paraId="64958BCF" w14:textId="58E91DF9" w:rsidR="00516F65" w:rsidRDefault="00516F65" w:rsidP="00723364">
                            <w:pPr>
                              <w:jc w:val="both"/>
                              <w:rPr>
                                <w:rFonts w:ascii="Times New Roman" w:hAnsi="Times New Roman"/>
                                <w:sz w:val="24"/>
                                <w:szCs w:val="24"/>
                              </w:rPr>
                            </w:pPr>
                            <w:r>
                              <w:rPr>
                                <w:rFonts w:ascii="Times New Roman" w:hAnsi="Times New Roman"/>
                                <w:sz w:val="24"/>
                                <w:szCs w:val="24"/>
                              </w:rPr>
                              <w:t xml:space="preserve">The Market Stability Reserve surplus indicator </w:t>
                            </w:r>
                            <w:r w:rsidRPr="00723364">
                              <w:rPr>
                                <w:rFonts w:ascii="Times New Roman" w:hAnsi="Times New Roman"/>
                                <w:sz w:val="24"/>
                                <w:szCs w:val="24"/>
                              </w:rPr>
                              <w:t>was published for the third time, correspond</w:t>
                            </w:r>
                            <w:r>
                              <w:rPr>
                                <w:rFonts w:ascii="Times New Roman" w:hAnsi="Times New Roman"/>
                                <w:sz w:val="24"/>
                                <w:szCs w:val="24"/>
                              </w:rPr>
                              <w:t xml:space="preserve">ing to 1 654 909 824 allowances. Its </w:t>
                            </w:r>
                            <w:r w:rsidRPr="00723364">
                              <w:rPr>
                                <w:rFonts w:ascii="Times New Roman" w:hAnsi="Times New Roman"/>
                                <w:sz w:val="24"/>
                                <w:szCs w:val="24"/>
                              </w:rPr>
                              <w:t>publication will continue to lead to the pl</w:t>
                            </w:r>
                            <w:r>
                              <w:rPr>
                                <w:rFonts w:ascii="Times New Roman" w:hAnsi="Times New Roman"/>
                                <w:sz w:val="24"/>
                                <w:szCs w:val="24"/>
                              </w:rPr>
                              <w:t>acement of allowances in the reserve</w:t>
                            </w:r>
                            <w:r w:rsidRPr="00723364">
                              <w:rPr>
                                <w:rFonts w:ascii="Times New Roman" w:hAnsi="Times New Roman"/>
                                <w:sz w:val="24"/>
                                <w:szCs w:val="24"/>
                              </w:rPr>
                              <w:t xml:space="preserve">, </w:t>
                            </w:r>
                            <w:r w:rsidR="00DE75EA">
                              <w:rPr>
                                <w:rFonts w:ascii="Times New Roman" w:hAnsi="Times New Roman"/>
                                <w:sz w:val="24"/>
                                <w:szCs w:val="24"/>
                              </w:rPr>
                              <w:t>reducing</w:t>
                            </w:r>
                            <w:r w:rsidR="00143C3B">
                              <w:rPr>
                                <w:rFonts w:ascii="Times New Roman" w:hAnsi="Times New Roman"/>
                                <w:sz w:val="24"/>
                                <w:szCs w:val="24"/>
                              </w:rPr>
                              <w:t xml:space="preserve"> the </w:t>
                            </w:r>
                            <w:r w:rsidRPr="003F30A8">
                              <w:rPr>
                                <w:rFonts w:ascii="Times New Roman" w:hAnsi="Times New Roman"/>
                                <w:sz w:val="24"/>
                                <w:szCs w:val="24"/>
                              </w:rPr>
                              <w:t xml:space="preserve">auction volume by </w:t>
                            </w:r>
                            <w:r w:rsidR="00155185" w:rsidRPr="003F30A8">
                              <w:rPr>
                                <w:rFonts w:ascii="Times New Roman" w:hAnsi="Times New Roman"/>
                                <w:sz w:val="24"/>
                                <w:szCs w:val="24"/>
                              </w:rPr>
                              <w:t>nearly 40%, or</w:t>
                            </w:r>
                            <w:r w:rsidR="00155185" w:rsidRPr="004C116F">
                              <w:rPr>
                                <w:rFonts w:ascii="Times New Roman" w:hAnsi="Times New Roman"/>
                                <w:sz w:val="24"/>
                                <w:szCs w:val="24"/>
                              </w:rPr>
                              <w:t xml:space="preserve"> </w:t>
                            </w:r>
                            <w:r w:rsidRPr="004C116F">
                              <w:rPr>
                                <w:rFonts w:ascii="Times New Roman" w:hAnsi="Times New Roman"/>
                                <w:sz w:val="24"/>
                                <w:szCs w:val="24"/>
                              </w:rPr>
                              <w:t xml:space="preserve">close to 397 million </w:t>
                            </w:r>
                            <w:r w:rsidR="00B75E76" w:rsidRPr="004C116F">
                              <w:rPr>
                                <w:rFonts w:ascii="Times New Roman" w:hAnsi="Times New Roman"/>
                                <w:sz w:val="24"/>
                                <w:szCs w:val="24"/>
                              </w:rPr>
                              <w:t xml:space="preserve">allowances </w:t>
                            </w:r>
                            <w:r w:rsidRPr="004C116F">
                              <w:rPr>
                                <w:rFonts w:ascii="Times New Roman" w:hAnsi="Times New Roman"/>
                                <w:sz w:val="24"/>
                                <w:szCs w:val="24"/>
                              </w:rPr>
                              <w:t>in 2019</w:t>
                            </w:r>
                            <w:r w:rsidR="00DE75EA">
                              <w:rPr>
                                <w:rFonts w:ascii="Times New Roman" w:hAnsi="Times New Roman"/>
                                <w:sz w:val="24"/>
                                <w:szCs w:val="24"/>
                              </w:rPr>
                              <w:t xml:space="preserve"> </w:t>
                            </w:r>
                            <w:r w:rsidRPr="00516F65">
                              <w:rPr>
                                <w:rFonts w:ascii="Times New Roman" w:hAnsi="Times New Roman"/>
                                <w:sz w:val="24"/>
                                <w:szCs w:val="24"/>
                              </w:rPr>
                              <w:t>(see chapter 3.3).</w:t>
                            </w:r>
                          </w:p>
                          <w:p w14:paraId="5821800E" w14:textId="77777777" w:rsidR="00516F65" w:rsidRPr="00D24B99" w:rsidRDefault="00D52704" w:rsidP="00D24B99">
                            <w:pPr>
                              <w:jc w:val="both"/>
                              <w:rPr>
                                <w:rFonts w:ascii="Times New Roman" w:hAnsi="Times New Roman"/>
                                <w:sz w:val="24"/>
                                <w:szCs w:val="24"/>
                              </w:rPr>
                            </w:pPr>
                            <w:r>
                              <w:rPr>
                                <w:rFonts w:ascii="Times New Roman" w:hAnsi="Times New Roman"/>
                                <w:sz w:val="24"/>
                                <w:szCs w:val="24"/>
                              </w:rPr>
                              <w:t xml:space="preserve">In </w:t>
                            </w:r>
                            <w:r w:rsidR="000A114B">
                              <w:rPr>
                                <w:rFonts w:ascii="Times New Roman" w:hAnsi="Times New Roman"/>
                                <w:sz w:val="24"/>
                                <w:szCs w:val="24"/>
                              </w:rPr>
                              <w:t>2018, a strengthened carbon price signal in the European carbon market</w:t>
                            </w:r>
                            <w:r>
                              <w:rPr>
                                <w:rFonts w:ascii="Times New Roman" w:hAnsi="Times New Roman"/>
                                <w:sz w:val="24"/>
                                <w:szCs w:val="24"/>
                              </w:rPr>
                              <w:t xml:space="preserve"> led to a record amount</w:t>
                            </w:r>
                            <w:r w:rsidR="00516F65">
                              <w:rPr>
                                <w:rFonts w:ascii="Times New Roman" w:hAnsi="Times New Roman"/>
                                <w:sz w:val="24"/>
                                <w:szCs w:val="24"/>
                              </w:rPr>
                              <w:t xml:space="preserve"> of </w:t>
                            </w:r>
                            <w:r w:rsidR="00516F65" w:rsidRPr="00BD381F">
                              <w:rPr>
                                <w:rFonts w:ascii="Times New Roman" w:hAnsi="Times New Roman"/>
                                <w:sz w:val="24"/>
                                <w:szCs w:val="24"/>
                              </w:rPr>
                              <w:t>revenues of some EUR 14 billion</w:t>
                            </w:r>
                            <w:r w:rsidR="00516F65">
                              <w:rPr>
                                <w:rFonts w:ascii="Times New Roman" w:hAnsi="Times New Roman"/>
                                <w:sz w:val="24"/>
                                <w:szCs w:val="24"/>
                              </w:rPr>
                              <w:t xml:space="preserve"> from the auctioning of allowances for Member States. </w:t>
                            </w:r>
                            <w:r w:rsidR="00516F65" w:rsidRPr="00D24B99">
                              <w:rPr>
                                <w:rFonts w:ascii="Times New Roman" w:hAnsi="Times New Roman"/>
                                <w:sz w:val="24"/>
                                <w:szCs w:val="24"/>
                              </w:rPr>
                              <w:t>Member States spent or pla</w:t>
                            </w:r>
                            <w:r w:rsidR="00516F65">
                              <w:rPr>
                                <w:rFonts w:ascii="Times New Roman" w:hAnsi="Times New Roman"/>
                                <w:sz w:val="24"/>
                                <w:szCs w:val="24"/>
                              </w:rPr>
                              <w:t>nned to spend</w:t>
                            </w:r>
                            <w:r w:rsidR="00D30645">
                              <w:rPr>
                                <w:rFonts w:ascii="Times New Roman" w:hAnsi="Times New Roman"/>
                                <w:sz w:val="24"/>
                                <w:szCs w:val="24"/>
                              </w:rPr>
                              <w:t xml:space="preserve"> </w:t>
                            </w:r>
                            <w:r w:rsidR="00D30645" w:rsidRPr="001B4818">
                              <w:rPr>
                                <w:rFonts w:ascii="Times New Roman" w:hAnsi="Times New Roman"/>
                                <w:sz w:val="24"/>
                                <w:szCs w:val="24"/>
                              </w:rPr>
                              <w:t>close to 70%</w:t>
                            </w:r>
                            <w:r w:rsidR="00E47213" w:rsidRPr="001B4818">
                              <w:rPr>
                                <w:rFonts w:ascii="Times New Roman" w:hAnsi="Times New Roman"/>
                                <w:sz w:val="24"/>
                                <w:szCs w:val="24"/>
                              </w:rPr>
                              <w:t xml:space="preserve"> </w:t>
                            </w:r>
                            <w:r w:rsidR="00516F65" w:rsidRPr="001B4818">
                              <w:rPr>
                                <w:rFonts w:ascii="Times New Roman" w:hAnsi="Times New Roman"/>
                                <w:sz w:val="24"/>
                                <w:szCs w:val="24"/>
                              </w:rPr>
                              <w:t>of</w:t>
                            </w:r>
                            <w:r w:rsidR="00516F65" w:rsidRPr="00D24B99">
                              <w:rPr>
                                <w:rFonts w:ascii="Times New Roman" w:hAnsi="Times New Roman"/>
                                <w:sz w:val="24"/>
                                <w:szCs w:val="24"/>
                              </w:rPr>
                              <w:t xml:space="preserve"> these revenues for specified climate and en</w:t>
                            </w:r>
                            <w:r w:rsidR="00516F65">
                              <w:rPr>
                                <w:rFonts w:ascii="Times New Roman" w:hAnsi="Times New Roman"/>
                                <w:sz w:val="24"/>
                                <w:szCs w:val="24"/>
                              </w:rPr>
                              <w:t>ergy related purposes over the course of the year (see chapter</w:t>
                            </w:r>
                            <w:r w:rsidR="00516F65" w:rsidRPr="00BD381F">
                              <w:rPr>
                                <w:rFonts w:ascii="Times New Roman" w:hAnsi="Times New Roman"/>
                                <w:sz w:val="24"/>
                                <w:szCs w:val="24"/>
                              </w:rPr>
                              <w:t xml:space="preserve"> 3.1.2.4)</w:t>
                            </w:r>
                            <w:r w:rsidR="00516F65" w:rsidRPr="00D24B99">
                              <w:rPr>
                                <w:rFonts w:ascii="Times New Roman" w:hAnsi="Times New Roman"/>
                                <w:sz w:val="24"/>
                                <w:szCs w:val="24"/>
                              </w:rPr>
                              <w:t xml:space="preserve"> </w:t>
                            </w:r>
                          </w:p>
                          <w:p w14:paraId="183A7C98" w14:textId="77777777" w:rsidR="00516F65" w:rsidRDefault="00516F65">
                            <w:pPr>
                              <w:jc w:val="both"/>
                            </w:pPr>
                          </w:p>
                        </w:txbxContent>
                      </wps:txbx>
                      <wps:bodyPr rot="0" vert="horz" wrap="square" lIns="91440" tIns="45720" rIns="91440" bIns="45720" anchor="t" anchorCtr="0">
                        <a:noAutofit/>
                      </wps:bodyPr>
                    </wps:wsp>
                  </a:graphicData>
                </a:graphic>
              </wp:inline>
            </w:drawing>
          </mc:Choice>
          <mc:Fallback>
            <w:pict>
              <v:shapetype w14:anchorId="40E3650B" id="_x0000_t202" coordsize="21600,21600" o:spt="202" path="m,l,21600r21600,l21600,xe">
                <v:stroke joinstyle="miter"/>
                <v:path gradientshapeok="t" o:connecttype="rect"/>
              </v:shapetype>
              <v:shape id="Text Box 2" o:spid="_x0000_s1026" type="#_x0000_t202" style="width:448.1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" fillcolor="#d9d9d9" strokeweight="1pt">
                <v:textbox>
                  <w:txbxContent>
                    <w:p w14:paraId="1656593D" w14:textId="77777777" w:rsidR="00516F65" w:rsidRDefault="00516F65">
                      <w:pPr>
                        <w:jc w:val="both"/>
                        <w:rPr>
                          <w:rFonts w:ascii="Times New Roman" w:hAnsi="Times New Roman"/>
                          <w:sz w:val="24"/>
                          <w:szCs w:val="24"/>
                        </w:rPr>
                      </w:pPr>
                      <w:r>
                        <w:rPr>
                          <w:rFonts w:ascii="Times New Roman" w:hAnsi="Times New Roman"/>
                          <w:sz w:val="24"/>
                          <w:szCs w:val="24"/>
                        </w:rPr>
                        <w:t>In 2018, emissions from installations covered by the European Emi</w:t>
                      </w:r>
                      <w:r w:rsidR="00E47213">
                        <w:rPr>
                          <w:rFonts w:ascii="Times New Roman" w:hAnsi="Times New Roman"/>
                          <w:sz w:val="24"/>
                          <w:szCs w:val="24"/>
                        </w:rPr>
                        <w:t xml:space="preserve">ssions Trading System (EU ETS) </w:t>
                      </w:r>
                      <w:r>
                        <w:rPr>
                          <w:rFonts w:ascii="Times New Roman" w:hAnsi="Times New Roman"/>
                          <w:noProof/>
                          <w:sz w:val="24"/>
                          <w:szCs w:val="24"/>
                        </w:rPr>
                        <w:t>decreased by 4.1% compared to 2017. The</w:t>
                      </w:r>
                      <w:r w:rsidRPr="00E63E09">
                        <w:rPr>
                          <w:rFonts w:ascii="Times New Roman" w:hAnsi="Times New Roman"/>
                          <w:noProof/>
                          <w:sz w:val="24"/>
                          <w:szCs w:val="24"/>
                        </w:rPr>
                        <w:t xml:space="preserve"> </w:t>
                      </w:r>
                      <w:r>
                        <w:rPr>
                          <w:rFonts w:ascii="Times New Roman" w:hAnsi="Times New Roman"/>
                          <w:noProof/>
                          <w:sz w:val="24"/>
                          <w:szCs w:val="24"/>
                        </w:rPr>
                        <w:t xml:space="preserve">decrease </w:t>
                      </w:r>
                      <w:r w:rsidRPr="00E63E09">
                        <w:rPr>
                          <w:rFonts w:ascii="Times New Roman" w:hAnsi="Times New Roman"/>
                          <w:noProof/>
                          <w:sz w:val="24"/>
                          <w:szCs w:val="24"/>
                        </w:rPr>
                        <w:t xml:space="preserve">was mainly driven by </w:t>
                      </w:r>
                      <w:r w:rsidR="008E46B6">
                        <w:rPr>
                          <w:rFonts w:ascii="Times New Roman" w:hAnsi="Times New Roman"/>
                          <w:noProof/>
                          <w:sz w:val="24"/>
                          <w:szCs w:val="24"/>
                        </w:rPr>
                        <w:t>electricity and heat production</w:t>
                      </w:r>
                      <w:r w:rsidRPr="00E63E09">
                        <w:rPr>
                          <w:rFonts w:ascii="Times New Roman" w:hAnsi="Times New Roman"/>
                          <w:noProof/>
                          <w:sz w:val="24"/>
                          <w:szCs w:val="24"/>
                        </w:rPr>
                        <w:t>, whereas emissions fro</w:t>
                      </w:r>
                      <w:r>
                        <w:rPr>
                          <w:rFonts w:ascii="Times New Roman" w:hAnsi="Times New Roman"/>
                          <w:noProof/>
                          <w:sz w:val="24"/>
                          <w:szCs w:val="24"/>
                        </w:rPr>
                        <w:t xml:space="preserve">m industry decreased only slightly </w:t>
                      </w:r>
                      <w:r>
                        <w:rPr>
                          <w:rFonts w:ascii="Times New Roman" w:hAnsi="Times New Roman"/>
                          <w:sz w:val="24"/>
                          <w:szCs w:val="24"/>
                        </w:rPr>
                        <w:t>(</w:t>
                      </w:r>
                      <w:r w:rsidRPr="00BD381F">
                        <w:rPr>
                          <w:rFonts w:ascii="Times New Roman" w:hAnsi="Times New Roman"/>
                          <w:sz w:val="24"/>
                          <w:szCs w:val="24"/>
                        </w:rPr>
                        <w:t>see Table 7 in section 3.2</w:t>
                      </w:r>
                      <w:r>
                        <w:rPr>
                          <w:rFonts w:ascii="Times New Roman" w:hAnsi="Times New Roman"/>
                          <w:sz w:val="24"/>
                          <w:szCs w:val="24"/>
                        </w:rPr>
                        <w:t>). Verified emissions from aviation continued to grow, marking an increase of 3.9% compared to 2017 (</w:t>
                      </w:r>
                      <w:r w:rsidRPr="00BD381F">
                        <w:rPr>
                          <w:rFonts w:ascii="Times New Roman" w:hAnsi="Times New Roman"/>
                          <w:sz w:val="24"/>
                          <w:szCs w:val="24"/>
                        </w:rPr>
                        <w:t>see Table 8 in section</w:t>
                      </w:r>
                      <w:r>
                        <w:rPr>
                          <w:rFonts w:ascii="Times New Roman" w:hAnsi="Times New Roman"/>
                          <w:sz w:val="24"/>
                          <w:szCs w:val="24"/>
                        </w:rPr>
                        <w:t xml:space="preserve"> 4).</w:t>
                      </w:r>
                    </w:p>
                    <w:p w14:paraId="09AA47EA" w14:textId="77777777" w:rsidR="00516F65" w:rsidRDefault="00516F65">
                      <w:pPr>
                        <w:jc w:val="both"/>
                        <w:rPr>
                          <w:rFonts w:ascii="Times New Roman" w:hAnsi="Times New Roman"/>
                          <w:sz w:val="24"/>
                          <w:szCs w:val="24"/>
                        </w:rPr>
                      </w:pPr>
                      <w:r w:rsidRPr="004D7FF1">
                        <w:rPr>
                          <w:rFonts w:ascii="Times New Roman" w:hAnsi="Times New Roman"/>
                          <w:sz w:val="24"/>
                          <w:szCs w:val="24"/>
                        </w:rPr>
                        <w:t>Following the ado</w:t>
                      </w:r>
                      <w:r>
                        <w:rPr>
                          <w:rFonts w:ascii="Times New Roman" w:hAnsi="Times New Roman"/>
                          <w:sz w:val="24"/>
                          <w:szCs w:val="24"/>
                        </w:rPr>
                        <w:t>ption of the revised EU ETS Directive, the focus has</w:t>
                      </w:r>
                      <w:r w:rsidRPr="004D7FF1">
                        <w:rPr>
                          <w:rFonts w:ascii="Times New Roman" w:hAnsi="Times New Roman"/>
                          <w:sz w:val="24"/>
                          <w:szCs w:val="24"/>
                        </w:rPr>
                        <w:t xml:space="preserve"> shifted towards implementing the new provisions ahead of the start of phase 4. Implement</w:t>
                      </w:r>
                      <w:r>
                        <w:rPr>
                          <w:rFonts w:ascii="Times New Roman" w:hAnsi="Times New Roman"/>
                          <w:sz w:val="24"/>
                          <w:szCs w:val="24"/>
                        </w:rPr>
                        <w:t xml:space="preserve">ation work is in full swing, with new </w:t>
                      </w:r>
                      <w:r w:rsidR="00D52704">
                        <w:rPr>
                          <w:rFonts w:ascii="Times New Roman" w:hAnsi="Times New Roman"/>
                          <w:sz w:val="24"/>
                          <w:szCs w:val="24"/>
                        </w:rPr>
                        <w:t xml:space="preserve">implementing </w:t>
                      </w:r>
                      <w:r>
                        <w:rPr>
                          <w:rFonts w:ascii="Times New Roman" w:hAnsi="Times New Roman"/>
                          <w:sz w:val="24"/>
                          <w:szCs w:val="24"/>
                        </w:rPr>
                        <w:t xml:space="preserve">legislation on the carbon leakage list, free allocation rules, the Innovation Fund, auctioning, MRVA, and </w:t>
                      </w:r>
                      <w:r w:rsidR="00D52704">
                        <w:rPr>
                          <w:rFonts w:ascii="Times New Roman" w:hAnsi="Times New Roman"/>
                          <w:sz w:val="24"/>
                          <w:szCs w:val="24"/>
                        </w:rPr>
                        <w:t xml:space="preserve">on </w:t>
                      </w:r>
                      <w:r>
                        <w:rPr>
                          <w:rFonts w:ascii="Times New Roman" w:hAnsi="Times New Roman"/>
                          <w:sz w:val="24"/>
                          <w:szCs w:val="24"/>
                        </w:rPr>
                        <w:t xml:space="preserve">the Union Registry having been adopted over the past year (see chapters 2.2, 3.1.2 and 6.1). </w:t>
                      </w:r>
                    </w:p>
                    <w:p w14:paraId="64958BCF" w14:textId="58E91DF9" w:rsidR="00516F65" w:rsidRDefault="00516F65" w:rsidP="00723364">
                      <w:pPr>
                        <w:jc w:val="both"/>
                        <w:rPr>
                          <w:rFonts w:ascii="Times New Roman" w:hAnsi="Times New Roman"/>
                          <w:sz w:val="24"/>
                          <w:szCs w:val="24"/>
                        </w:rPr>
                      </w:pPr>
                      <w:r>
                        <w:rPr>
                          <w:rFonts w:ascii="Times New Roman" w:hAnsi="Times New Roman"/>
                          <w:sz w:val="24"/>
                          <w:szCs w:val="24"/>
                        </w:rPr>
                        <w:t xml:space="preserve">The Market Stability Reserve surplus indicator </w:t>
                      </w:r>
                      <w:r w:rsidRPr="00723364">
                        <w:rPr>
                          <w:rFonts w:ascii="Times New Roman" w:hAnsi="Times New Roman"/>
                          <w:sz w:val="24"/>
                          <w:szCs w:val="24"/>
                        </w:rPr>
                        <w:t>was published for the third time, correspond</w:t>
                      </w:r>
                      <w:r>
                        <w:rPr>
                          <w:rFonts w:ascii="Times New Roman" w:hAnsi="Times New Roman"/>
                          <w:sz w:val="24"/>
                          <w:szCs w:val="24"/>
                        </w:rPr>
                        <w:t xml:space="preserve">ing to 1 654 909 824 allowances. Its </w:t>
                      </w:r>
                      <w:r w:rsidRPr="00723364">
                        <w:rPr>
                          <w:rFonts w:ascii="Times New Roman" w:hAnsi="Times New Roman"/>
                          <w:sz w:val="24"/>
                          <w:szCs w:val="24"/>
                        </w:rPr>
                        <w:t>publication will continue to lead to the pl</w:t>
                      </w:r>
                      <w:r>
                        <w:rPr>
                          <w:rFonts w:ascii="Times New Roman" w:hAnsi="Times New Roman"/>
                          <w:sz w:val="24"/>
                          <w:szCs w:val="24"/>
                        </w:rPr>
                        <w:t>acement of allowances in the reserve</w:t>
                      </w:r>
                      <w:r w:rsidRPr="00723364">
                        <w:rPr>
                          <w:rFonts w:ascii="Times New Roman" w:hAnsi="Times New Roman"/>
                          <w:sz w:val="24"/>
                          <w:szCs w:val="24"/>
                        </w:rPr>
                        <w:t xml:space="preserve">, </w:t>
                      </w:r>
                      <w:r w:rsidR="00DE75EA">
                        <w:rPr>
                          <w:rFonts w:ascii="Times New Roman" w:hAnsi="Times New Roman"/>
                          <w:sz w:val="24"/>
                          <w:szCs w:val="24"/>
                        </w:rPr>
                        <w:t>reducing</w:t>
                      </w:r>
                      <w:r w:rsidR="00143C3B">
                        <w:rPr>
                          <w:rFonts w:ascii="Times New Roman" w:hAnsi="Times New Roman"/>
                          <w:sz w:val="24"/>
                          <w:szCs w:val="24"/>
                        </w:rPr>
                        <w:t xml:space="preserve"> the </w:t>
                      </w:r>
                      <w:r w:rsidRPr="003F30A8">
                        <w:rPr>
                          <w:rFonts w:ascii="Times New Roman" w:hAnsi="Times New Roman"/>
                          <w:sz w:val="24"/>
                          <w:szCs w:val="24"/>
                        </w:rPr>
                        <w:t xml:space="preserve">auction volume by </w:t>
                      </w:r>
                      <w:r w:rsidR="00155185" w:rsidRPr="003F30A8">
                        <w:rPr>
                          <w:rFonts w:ascii="Times New Roman" w:hAnsi="Times New Roman"/>
                          <w:sz w:val="24"/>
                          <w:szCs w:val="24"/>
                        </w:rPr>
                        <w:t>nearly 40%, or</w:t>
                      </w:r>
                      <w:r w:rsidR="00155185" w:rsidRPr="004C116F">
                        <w:rPr>
                          <w:rFonts w:ascii="Times New Roman" w:hAnsi="Times New Roman"/>
                          <w:sz w:val="24"/>
                          <w:szCs w:val="24"/>
                        </w:rPr>
                        <w:t xml:space="preserve"> </w:t>
                      </w:r>
                      <w:r w:rsidRPr="004C116F">
                        <w:rPr>
                          <w:rFonts w:ascii="Times New Roman" w:hAnsi="Times New Roman"/>
                          <w:sz w:val="24"/>
                          <w:szCs w:val="24"/>
                        </w:rPr>
                        <w:t xml:space="preserve">close to 397 million </w:t>
                      </w:r>
                      <w:r w:rsidR="00B75E76" w:rsidRPr="004C116F">
                        <w:rPr>
                          <w:rFonts w:ascii="Times New Roman" w:hAnsi="Times New Roman"/>
                          <w:sz w:val="24"/>
                          <w:szCs w:val="24"/>
                        </w:rPr>
                        <w:t xml:space="preserve">allowances </w:t>
                      </w:r>
                      <w:r w:rsidRPr="004C116F">
                        <w:rPr>
                          <w:rFonts w:ascii="Times New Roman" w:hAnsi="Times New Roman"/>
                          <w:sz w:val="24"/>
                          <w:szCs w:val="24"/>
                        </w:rPr>
                        <w:t>in 2019</w:t>
                      </w:r>
                      <w:r w:rsidR="00DE75EA">
                        <w:rPr>
                          <w:rFonts w:ascii="Times New Roman" w:hAnsi="Times New Roman"/>
                          <w:sz w:val="24"/>
                          <w:szCs w:val="24"/>
                        </w:rPr>
                        <w:t xml:space="preserve"> </w:t>
                      </w:r>
                      <w:r w:rsidRPr="00516F65">
                        <w:rPr>
                          <w:rFonts w:ascii="Times New Roman" w:hAnsi="Times New Roman"/>
                          <w:sz w:val="24"/>
                          <w:szCs w:val="24"/>
                        </w:rPr>
                        <w:t>(see chapter 3.3).</w:t>
                      </w:r>
                    </w:p>
                    <w:p w14:paraId="5821800E" w14:textId="77777777" w:rsidR="00516F65" w:rsidRPr="00D24B99" w:rsidRDefault="00D52704" w:rsidP="00D24B99">
                      <w:pPr>
                        <w:jc w:val="both"/>
                        <w:rPr>
                          <w:rFonts w:ascii="Times New Roman" w:hAnsi="Times New Roman"/>
                          <w:sz w:val="24"/>
                          <w:szCs w:val="24"/>
                        </w:rPr>
                      </w:pPr>
                      <w:r>
                        <w:rPr>
                          <w:rFonts w:ascii="Times New Roman" w:hAnsi="Times New Roman"/>
                          <w:sz w:val="24"/>
                          <w:szCs w:val="24"/>
                        </w:rPr>
                        <w:t xml:space="preserve">In </w:t>
                      </w:r>
                      <w:r w:rsidR="000A114B">
                        <w:rPr>
                          <w:rFonts w:ascii="Times New Roman" w:hAnsi="Times New Roman"/>
                          <w:sz w:val="24"/>
                          <w:szCs w:val="24"/>
                        </w:rPr>
                        <w:t>2018, a strengthened carbon price signal in the European carbon market</w:t>
                      </w:r>
                      <w:r>
                        <w:rPr>
                          <w:rFonts w:ascii="Times New Roman" w:hAnsi="Times New Roman"/>
                          <w:sz w:val="24"/>
                          <w:szCs w:val="24"/>
                        </w:rPr>
                        <w:t xml:space="preserve"> led to a record amount</w:t>
                      </w:r>
                      <w:r w:rsidR="00516F65">
                        <w:rPr>
                          <w:rFonts w:ascii="Times New Roman" w:hAnsi="Times New Roman"/>
                          <w:sz w:val="24"/>
                          <w:szCs w:val="24"/>
                        </w:rPr>
                        <w:t xml:space="preserve"> of </w:t>
                      </w:r>
                      <w:r w:rsidR="00516F65" w:rsidRPr="00BD381F">
                        <w:rPr>
                          <w:rFonts w:ascii="Times New Roman" w:hAnsi="Times New Roman"/>
                          <w:sz w:val="24"/>
                          <w:szCs w:val="24"/>
                        </w:rPr>
                        <w:t>revenues of some EUR 14 billion</w:t>
                      </w:r>
                      <w:r w:rsidR="00516F65">
                        <w:rPr>
                          <w:rFonts w:ascii="Times New Roman" w:hAnsi="Times New Roman"/>
                          <w:sz w:val="24"/>
                          <w:szCs w:val="24"/>
                        </w:rPr>
                        <w:t xml:space="preserve"> from the auctioning of allowances for Member States. </w:t>
                      </w:r>
                      <w:r w:rsidR="00516F65" w:rsidRPr="00D24B99">
                        <w:rPr>
                          <w:rFonts w:ascii="Times New Roman" w:hAnsi="Times New Roman"/>
                          <w:sz w:val="24"/>
                          <w:szCs w:val="24"/>
                        </w:rPr>
                        <w:t>Member States spent or pla</w:t>
                      </w:r>
                      <w:r w:rsidR="00516F65">
                        <w:rPr>
                          <w:rFonts w:ascii="Times New Roman" w:hAnsi="Times New Roman"/>
                          <w:sz w:val="24"/>
                          <w:szCs w:val="24"/>
                        </w:rPr>
                        <w:t>nned to spend</w:t>
                      </w:r>
                      <w:r w:rsidR="00D30645">
                        <w:rPr>
                          <w:rFonts w:ascii="Times New Roman" w:hAnsi="Times New Roman"/>
                          <w:sz w:val="24"/>
                          <w:szCs w:val="24"/>
                        </w:rPr>
                        <w:t xml:space="preserve"> </w:t>
                      </w:r>
                      <w:r w:rsidR="00D30645" w:rsidRPr="001B4818">
                        <w:rPr>
                          <w:rFonts w:ascii="Times New Roman" w:hAnsi="Times New Roman"/>
                          <w:sz w:val="24"/>
                          <w:szCs w:val="24"/>
                        </w:rPr>
                        <w:t>close to 70%</w:t>
                      </w:r>
                      <w:r w:rsidR="00E47213" w:rsidRPr="001B4818">
                        <w:rPr>
                          <w:rFonts w:ascii="Times New Roman" w:hAnsi="Times New Roman"/>
                          <w:sz w:val="24"/>
                          <w:szCs w:val="24"/>
                        </w:rPr>
                        <w:t xml:space="preserve"> </w:t>
                      </w:r>
                      <w:r w:rsidR="00516F65" w:rsidRPr="001B4818">
                        <w:rPr>
                          <w:rFonts w:ascii="Times New Roman" w:hAnsi="Times New Roman"/>
                          <w:sz w:val="24"/>
                          <w:szCs w:val="24"/>
                        </w:rPr>
                        <w:t>of</w:t>
                      </w:r>
                      <w:r w:rsidR="00516F65" w:rsidRPr="00D24B99">
                        <w:rPr>
                          <w:rFonts w:ascii="Times New Roman" w:hAnsi="Times New Roman"/>
                          <w:sz w:val="24"/>
                          <w:szCs w:val="24"/>
                        </w:rPr>
                        <w:t xml:space="preserve"> these revenues for specified climate and en</w:t>
                      </w:r>
                      <w:r w:rsidR="00516F65">
                        <w:rPr>
                          <w:rFonts w:ascii="Times New Roman" w:hAnsi="Times New Roman"/>
                          <w:sz w:val="24"/>
                          <w:szCs w:val="24"/>
                        </w:rPr>
                        <w:t>ergy related purposes over the course of the year (see chapter</w:t>
                      </w:r>
                      <w:r w:rsidR="00516F65" w:rsidRPr="00BD381F">
                        <w:rPr>
                          <w:rFonts w:ascii="Times New Roman" w:hAnsi="Times New Roman"/>
                          <w:sz w:val="24"/>
                          <w:szCs w:val="24"/>
                        </w:rPr>
                        <w:t xml:space="preserve"> 3.1.2.4)</w:t>
                      </w:r>
                      <w:r w:rsidR="00516F65" w:rsidRPr="00D24B99">
                        <w:rPr>
                          <w:rFonts w:ascii="Times New Roman" w:hAnsi="Times New Roman"/>
                          <w:sz w:val="24"/>
                          <w:szCs w:val="24"/>
                        </w:rPr>
                        <w:t xml:space="preserve"> </w:t>
                      </w:r>
                    </w:p>
                    <w:p w14:paraId="183A7C98" w14:textId="77777777" w:rsidR="00516F65" w:rsidRDefault="00516F65">
                      <w:pPr>
                        <w:jc w:val="both"/>
                      </w:pPr>
                    </w:p>
                  </w:txbxContent>
                </v:textbox>
                <w10:anchorlock/>
              </v:shape>
            </w:pict>
          </mc:Fallback>
        </mc:AlternateContent>
      </w:r>
      <w:bookmarkStart w:id="5" w:name="_Toc490850418"/>
      <w:bookmarkStart w:id="6" w:name="_Toc519009671"/>
    </w:p>
    <w:p w14:paraId="74F4ED6E" w14:textId="77777777" w:rsidR="005F6BD0" w:rsidRDefault="005F6BD0">
      <w:pPr>
        <w:jc w:val="both"/>
        <w:rPr>
          <w:rFonts w:ascii="Times New Roman" w:hAnsi="Times New Roman"/>
          <w:noProof/>
          <w:sz w:val="24"/>
          <w:szCs w:val="24"/>
        </w:rPr>
      </w:pPr>
    </w:p>
    <w:p w14:paraId="734585E0" w14:textId="77777777" w:rsidR="005F6BD0" w:rsidRDefault="005F6BD0">
      <w:pPr>
        <w:jc w:val="both"/>
        <w:rPr>
          <w:rFonts w:ascii="Times New Roman" w:hAnsi="Times New Roman"/>
          <w:noProof/>
          <w:sz w:val="24"/>
          <w:szCs w:val="24"/>
        </w:rPr>
      </w:pPr>
    </w:p>
    <w:p w14:paraId="4D2DD863" w14:textId="77777777" w:rsidR="00901490" w:rsidRDefault="00901490">
      <w:pPr>
        <w:jc w:val="both"/>
        <w:rPr>
          <w:rFonts w:ascii="Times New Roman" w:hAnsi="Times New Roman"/>
          <w:noProof/>
          <w:sz w:val="24"/>
          <w:szCs w:val="24"/>
        </w:rPr>
      </w:pPr>
    </w:p>
    <w:p w14:paraId="72D32B19" w14:textId="77777777" w:rsidR="00901490" w:rsidRDefault="00901490">
      <w:pPr>
        <w:jc w:val="both"/>
        <w:rPr>
          <w:rFonts w:ascii="Times New Roman" w:hAnsi="Times New Roman"/>
          <w:noProof/>
          <w:sz w:val="24"/>
          <w:szCs w:val="24"/>
        </w:rPr>
      </w:pPr>
    </w:p>
    <w:p w14:paraId="2A2955D2" w14:textId="77777777" w:rsidR="00901490" w:rsidRDefault="00901490">
      <w:pPr>
        <w:jc w:val="both"/>
        <w:rPr>
          <w:rFonts w:ascii="Times New Roman" w:hAnsi="Times New Roman"/>
          <w:noProof/>
          <w:sz w:val="24"/>
          <w:szCs w:val="24"/>
        </w:rPr>
      </w:pPr>
    </w:p>
    <w:p w14:paraId="0ECE16F5" w14:textId="77777777" w:rsidR="00BF0600" w:rsidRDefault="00BF0600">
      <w:pPr>
        <w:jc w:val="both"/>
        <w:rPr>
          <w:rFonts w:ascii="Times New Roman" w:hAnsi="Times New Roman"/>
          <w:noProof/>
          <w:sz w:val="24"/>
          <w:szCs w:val="24"/>
        </w:rPr>
      </w:pPr>
    </w:p>
    <w:p w14:paraId="13537B4A" w14:textId="77777777" w:rsidR="007748C6" w:rsidRDefault="007748C6">
      <w:pPr>
        <w:jc w:val="both"/>
        <w:rPr>
          <w:rFonts w:ascii="Times New Roman" w:hAnsi="Times New Roman"/>
          <w:noProof/>
          <w:sz w:val="24"/>
          <w:szCs w:val="24"/>
        </w:rPr>
      </w:pPr>
    </w:p>
    <w:p w14:paraId="04AD87E6" w14:textId="77777777" w:rsidR="007748C6" w:rsidRDefault="007748C6">
      <w:pPr>
        <w:jc w:val="both"/>
        <w:rPr>
          <w:rFonts w:ascii="Times New Roman" w:hAnsi="Times New Roman"/>
          <w:noProof/>
          <w:sz w:val="24"/>
          <w:szCs w:val="24"/>
        </w:rPr>
      </w:pPr>
    </w:p>
    <w:p w14:paraId="10433702" w14:textId="77777777" w:rsidR="006434B2" w:rsidRDefault="006434B2" w:rsidP="00516F65"/>
    <w:p w14:paraId="7DA200E5" w14:textId="77777777" w:rsidR="00E47213" w:rsidRDefault="00E47213" w:rsidP="00516F65"/>
    <w:p w14:paraId="4B0941BC" w14:textId="77777777" w:rsidR="005F6BD0" w:rsidRDefault="003A348D" w:rsidP="00516F65">
      <w:pPr>
        <w:pStyle w:val="Heading1"/>
        <w:rPr>
          <w:noProof/>
        </w:rPr>
      </w:pPr>
      <w:bookmarkStart w:id="7" w:name="_Toc20217723"/>
      <w:r>
        <w:rPr>
          <w:noProof/>
        </w:rPr>
        <w:t>1. INTRODUCTION</w:t>
      </w:r>
      <w:bookmarkEnd w:id="5"/>
      <w:bookmarkEnd w:id="6"/>
      <w:bookmarkEnd w:id="7"/>
    </w:p>
    <w:p w14:paraId="3D2B9C8B" w14:textId="77777777" w:rsidR="005F6BD0" w:rsidRPr="004724FA" w:rsidRDefault="003A348D">
      <w:pPr>
        <w:jc w:val="both"/>
        <w:rPr>
          <w:rFonts w:ascii="Times New Roman" w:hAnsi="Times New Roman"/>
          <w:b/>
          <w:noProof/>
          <w:sz w:val="24"/>
          <w:szCs w:val="24"/>
        </w:rPr>
      </w:pPr>
      <w:r>
        <w:rPr>
          <w:rFonts w:ascii="Times New Roman" w:hAnsi="Times New Roman"/>
          <w:noProof/>
          <w:sz w:val="24"/>
          <w:szCs w:val="24"/>
        </w:rPr>
        <w:t xml:space="preserve">The EU Emissions Trading System (EU ETS) has been the cornerstone of the EU's strategy for reducing greenhouse gas (GHG) emissions from industry and </w:t>
      </w:r>
      <w:r w:rsidR="008E46B6">
        <w:rPr>
          <w:rFonts w:ascii="Times New Roman" w:hAnsi="Times New Roman"/>
          <w:noProof/>
          <w:sz w:val="24"/>
          <w:szCs w:val="24"/>
        </w:rPr>
        <w:t>electricity and heat production</w:t>
      </w:r>
      <w:r>
        <w:rPr>
          <w:rFonts w:ascii="Times New Roman" w:hAnsi="Times New Roman"/>
          <w:noProof/>
          <w:sz w:val="24"/>
          <w:szCs w:val="24"/>
        </w:rPr>
        <w:t xml:space="preserve"> since 2005. It contributes significantly to</w:t>
      </w:r>
      <w:r w:rsidR="008E412B">
        <w:rPr>
          <w:rFonts w:ascii="Times New Roman" w:hAnsi="Times New Roman"/>
          <w:noProof/>
          <w:sz w:val="24"/>
          <w:szCs w:val="24"/>
        </w:rPr>
        <w:t xml:space="preserve"> achieving</w:t>
      </w:r>
      <w:r w:rsidR="005A4F64">
        <w:rPr>
          <w:rFonts w:ascii="Times New Roman" w:hAnsi="Times New Roman"/>
          <w:noProof/>
          <w:sz w:val="24"/>
          <w:szCs w:val="24"/>
        </w:rPr>
        <w:t xml:space="preserve"> </w:t>
      </w:r>
      <w:r>
        <w:rPr>
          <w:rFonts w:ascii="Times New Roman" w:hAnsi="Times New Roman"/>
          <w:noProof/>
          <w:sz w:val="24"/>
          <w:szCs w:val="24"/>
        </w:rPr>
        <w:t xml:space="preserve">the </w:t>
      </w:r>
      <w:r w:rsidR="008E412B">
        <w:rPr>
          <w:rFonts w:ascii="Times New Roman" w:hAnsi="Times New Roman"/>
          <w:noProof/>
          <w:sz w:val="24"/>
          <w:szCs w:val="24"/>
        </w:rPr>
        <w:t xml:space="preserve">overall </w:t>
      </w:r>
      <w:r>
        <w:rPr>
          <w:rFonts w:ascii="Times New Roman" w:hAnsi="Times New Roman"/>
          <w:noProof/>
          <w:sz w:val="24"/>
          <w:szCs w:val="24"/>
        </w:rPr>
        <w:t xml:space="preserve">EU target of cutting GHG emissions by 20% from 1990 levels by 2020. </w:t>
      </w:r>
      <w:r w:rsidRPr="00CE42E1">
        <w:rPr>
          <w:rFonts w:ascii="Times New Roman" w:hAnsi="Times New Roman"/>
          <w:noProof/>
          <w:sz w:val="24"/>
          <w:szCs w:val="24"/>
        </w:rPr>
        <w:t>While the EU is on track to surpass this target</w:t>
      </w:r>
      <w:r w:rsidR="008E412B" w:rsidRPr="00CE42E1">
        <w:rPr>
          <w:rFonts w:ascii="Times New Roman" w:hAnsi="Times New Roman"/>
          <w:noProof/>
          <w:sz w:val="24"/>
          <w:szCs w:val="24"/>
        </w:rPr>
        <w:t>,</w:t>
      </w:r>
      <w:r w:rsidRPr="00CE42E1">
        <w:rPr>
          <w:rFonts w:ascii="Times New Roman" w:hAnsi="Times New Roman"/>
          <w:noProof/>
          <w:sz w:val="24"/>
          <w:szCs w:val="24"/>
        </w:rPr>
        <w:t xml:space="preserve"> cutting GHG emissions by at least 40% </w:t>
      </w:r>
      <w:r w:rsidR="007C5853" w:rsidRPr="00CE42E1">
        <w:rPr>
          <w:rFonts w:ascii="Times New Roman" w:hAnsi="Times New Roman"/>
          <w:noProof/>
          <w:sz w:val="24"/>
          <w:szCs w:val="24"/>
        </w:rPr>
        <w:t>(</w:t>
      </w:r>
      <w:r w:rsidRPr="00CE42E1">
        <w:rPr>
          <w:rFonts w:ascii="Times New Roman" w:hAnsi="Times New Roman"/>
          <w:noProof/>
          <w:sz w:val="24"/>
          <w:szCs w:val="24"/>
        </w:rPr>
        <w:t>as part of the EU's</w:t>
      </w:r>
      <w:r w:rsidR="007C5853" w:rsidRPr="00CE42E1">
        <w:rPr>
          <w:rFonts w:ascii="Times New Roman" w:hAnsi="Times New Roman"/>
          <w:noProof/>
          <w:sz w:val="24"/>
          <w:szCs w:val="24"/>
        </w:rPr>
        <w:t xml:space="preserve"> current</w:t>
      </w:r>
      <w:r w:rsidRPr="00CE42E1">
        <w:rPr>
          <w:rFonts w:ascii="Times New Roman" w:hAnsi="Times New Roman"/>
          <w:noProof/>
          <w:sz w:val="24"/>
          <w:szCs w:val="24"/>
        </w:rPr>
        <w:t xml:space="preserve"> 2030 climate and energy policy framework</w:t>
      </w:r>
      <w:r w:rsidR="007C5853" w:rsidRPr="00516F65">
        <w:rPr>
          <w:rFonts w:ascii="Times New Roman" w:hAnsi="Times New Roman"/>
          <w:noProof/>
          <w:sz w:val="24"/>
          <w:szCs w:val="24"/>
        </w:rPr>
        <w:t xml:space="preserve">) and </w:t>
      </w:r>
      <w:r w:rsidR="00B554D5" w:rsidRPr="00516F65">
        <w:rPr>
          <w:rFonts w:ascii="Times New Roman" w:hAnsi="Times New Roman"/>
          <w:noProof/>
          <w:sz w:val="24"/>
          <w:szCs w:val="24"/>
        </w:rPr>
        <w:t>at least</w:t>
      </w:r>
      <w:r w:rsidR="007C5853" w:rsidRPr="00516F65">
        <w:rPr>
          <w:rFonts w:ascii="Times New Roman" w:hAnsi="Times New Roman"/>
          <w:noProof/>
          <w:sz w:val="24"/>
          <w:szCs w:val="24"/>
        </w:rPr>
        <w:t xml:space="preserve"> 5</w:t>
      </w:r>
      <w:r w:rsidR="00B554D5" w:rsidRPr="00516F65">
        <w:rPr>
          <w:rFonts w:ascii="Times New Roman" w:hAnsi="Times New Roman"/>
          <w:noProof/>
          <w:sz w:val="24"/>
          <w:szCs w:val="24"/>
        </w:rPr>
        <w:t>0</w:t>
      </w:r>
      <w:r w:rsidR="007C5853" w:rsidRPr="00516F65">
        <w:rPr>
          <w:rFonts w:ascii="Times New Roman" w:hAnsi="Times New Roman"/>
          <w:noProof/>
          <w:sz w:val="24"/>
          <w:szCs w:val="24"/>
        </w:rPr>
        <w:t>%</w:t>
      </w:r>
      <w:r w:rsidR="00143C3B">
        <w:rPr>
          <w:rFonts w:ascii="Times New Roman" w:hAnsi="Times New Roman"/>
          <w:noProof/>
          <w:sz w:val="24"/>
          <w:szCs w:val="24"/>
        </w:rPr>
        <w:t>,</w:t>
      </w:r>
      <w:r w:rsidR="00143C3B" w:rsidRPr="00143C3B">
        <w:rPr>
          <w:rFonts w:ascii="Times New Roman" w:hAnsi="Times New Roman"/>
          <w:noProof/>
          <w:sz w:val="24"/>
          <w:szCs w:val="24"/>
        </w:rPr>
        <w:t xml:space="preserve"> going towards 55% in a responsib</w:t>
      </w:r>
      <w:r w:rsidR="00143C3B">
        <w:rPr>
          <w:rFonts w:ascii="Times New Roman" w:hAnsi="Times New Roman"/>
          <w:noProof/>
          <w:sz w:val="24"/>
          <w:szCs w:val="24"/>
        </w:rPr>
        <w:t>l</w:t>
      </w:r>
      <w:r w:rsidR="00143C3B" w:rsidRPr="00143C3B">
        <w:rPr>
          <w:rFonts w:ascii="Times New Roman" w:hAnsi="Times New Roman"/>
          <w:noProof/>
          <w:sz w:val="24"/>
          <w:szCs w:val="24"/>
        </w:rPr>
        <w:t>e way</w:t>
      </w:r>
      <w:r w:rsidR="0023458A" w:rsidRPr="00516F65">
        <w:rPr>
          <w:rFonts w:ascii="Times New Roman" w:hAnsi="Times New Roman"/>
          <w:noProof/>
          <w:sz w:val="24"/>
          <w:szCs w:val="24"/>
        </w:rPr>
        <w:t xml:space="preserve"> </w:t>
      </w:r>
      <w:r w:rsidR="007C5853" w:rsidRPr="00516F65">
        <w:rPr>
          <w:rFonts w:ascii="Times New Roman" w:hAnsi="Times New Roman"/>
          <w:noProof/>
          <w:sz w:val="24"/>
          <w:szCs w:val="24"/>
        </w:rPr>
        <w:t>(taking into account the Political Guidelines</w:t>
      </w:r>
      <w:r w:rsidR="007C5853" w:rsidRPr="00516F65">
        <w:rPr>
          <w:rStyle w:val="FootnoteReference"/>
          <w:rFonts w:ascii="Times New Roman" w:hAnsi="Times New Roman"/>
          <w:noProof/>
          <w:sz w:val="24"/>
          <w:szCs w:val="24"/>
        </w:rPr>
        <w:footnoteReference w:id="1"/>
      </w:r>
      <w:r w:rsidR="007C5853" w:rsidRPr="00516F65">
        <w:rPr>
          <w:rFonts w:ascii="Times New Roman" w:hAnsi="Times New Roman"/>
          <w:noProof/>
          <w:sz w:val="24"/>
          <w:szCs w:val="24"/>
        </w:rPr>
        <w:t xml:space="preserve"> for the incoming Commission)</w:t>
      </w:r>
      <w:r w:rsidR="00143C3B">
        <w:rPr>
          <w:rFonts w:ascii="Times New Roman" w:hAnsi="Times New Roman"/>
          <w:noProof/>
          <w:sz w:val="24"/>
          <w:szCs w:val="24"/>
        </w:rPr>
        <w:t>,</w:t>
      </w:r>
      <w:r w:rsidR="00B554D5" w:rsidRPr="00516F65">
        <w:rPr>
          <w:rFonts w:ascii="Times New Roman" w:hAnsi="Times New Roman"/>
          <w:noProof/>
          <w:sz w:val="24"/>
          <w:szCs w:val="24"/>
        </w:rPr>
        <w:t xml:space="preserve"> </w:t>
      </w:r>
      <w:r w:rsidR="004B05D2" w:rsidRPr="00516F65">
        <w:rPr>
          <w:rFonts w:ascii="Times New Roman" w:hAnsi="Times New Roman"/>
          <w:noProof/>
          <w:sz w:val="24"/>
          <w:szCs w:val="24"/>
        </w:rPr>
        <w:t>would require</w:t>
      </w:r>
      <w:r w:rsidRPr="00516F65">
        <w:rPr>
          <w:rFonts w:ascii="Times New Roman" w:hAnsi="Times New Roman"/>
          <w:noProof/>
          <w:sz w:val="24"/>
          <w:szCs w:val="24"/>
        </w:rPr>
        <w:t xml:space="preserve"> continued progress.</w:t>
      </w:r>
    </w:p>
    <w:p w14:paraId="4D2152C4" w14:textId="0AB8B81F" w:rsidR="005F6BD0" w:rsidRDefault="0085272D">
      <w:pPr>
        <w:jc w:val="both"/>
        <w:rPr>
          <w:rFonts w:ascii="Times New Roman" w:hAnsi="Times New Roman"/>
          <w:noProof/>
          <w:sz w:val="24"/>
          <w:szCs w:val="24"/>
        </w:rPr>
      </w:pPr>
      <w:r w:rsidRPr="004724FA">
        <w:rPr>
          <w:rFonts w:ascii="Times New Roman" w:hAnsi="Times New Roman"/>
          <w:noProof/>
          <w:sz w:val="24"/>
          <w:szCs w:val="24"/>
        </w:rPr>
        <w:t xml:space="preserve">Following the </w:t>
      </w:r>
      <w:r w:rsidR="00E1692F" w:rsidRPr="004724FA">
        <w:rPr>
          <w:rFonts w:ascii="Times New Roman" w:hAnsi="Times New Roman"/>
          <w:noProof/>
          <w:sz w:val="24"/>
          <w:szCs w:val="24"/>
        </w:rPr>
        <w:t xml:space="preserve">entering into </w:t>
      </w:r>
      <w:r w:rsidR="005A4F64" w:rsidRPr="004724FA">
        <w:rPr>
          <w:rFonts w:ascii="Times New Roman" w:hAnsi="Times New Roman"/>
          <w:noProof/>
          <w:sz w:val="24"/>
          <w:szCs w:val="24"/>
        </w:rPr>
        <w:t>force</w:t>
      </w:r>
      <w:r w:rsidR="00E1692F" w:rsidRPr="004724FA">
        <w:rPr>
          <w:rFonts w:ascii="Times New Roman" w:hAnsi="Times New Roman"/>
          <w:noProof/>
          <w:sz w:val="24"/>
          <w:szCs w:val="24"/>
        </w:rPr>
        <w:t xml:space="preserve"> of the </w:t>
      </w:r>
      <w:r w:rsidR="008E412B" w:rsidRPr="004724FA">
        <w:rPr>
          <w:rFonts w:ascii="Times New Roman" w:hAnsi="Times New Roman"/>
          <w:noProof/>
          <w:sz w:val="24"/>
          <w:szCs w:val="24"/>
        </w:rPr>
        <w:t>EU ETS revision</w:t>
      </w:r>
      <w:r w:rsidR="008E412B" w:rsidRPr="004724FA">
        <w:rPr>
          <w:rStyle w:val="FootnoteReference"/>
          <w:rFonts w:ascii="Times New Roman" w:hAnsi="Times New Roman"/>
          <w:noProof/>
          <w:sz w:val="24"/>
          <w:szCs w:val="24"/>
        </w:rPr>
        <w:footnoteReference w:id="2"/>
      </w:r>
      <w:r w:rsidR="008E412B" w:rsidRPr="004724FA">
        <w:rPr>
          <w:rFonts w:ascii="Times New Roman" w:hAnsi="Times New Roman"/>
          <w:noProof/>
          <w:sz w:val="24"/>
          <w:szCs w:val="24"/>
        </w:rPr>
        <w:t xml:space="preserve"> for phase 4</w:t>
      </w:r>
      <w:r w:rsidR="003A348D" w:rsidRPr="004724FA">
        <w:rPr>
          <w:rFonts w:ascii="Times New Roman" w:hAnsi="Times New Roman"/>
          <w:noProof/>
          <w:sz w:val="24"/>
          <w:szCs w:val="24"/>
        </w:rPr>
        <w:t xml:space="preserve"> </w:t>
      </w:r>
      <w:r w:rsidR="00E1692F" w:rsidRPr="004724FA">
        <w:rPr>
          <w:rFonts w:ascii="Times New Roman" w:hAnsi="Times New Roman"/>
          <w:noProof/>
          <w:sz w:val="24"/>
          <w:szCs w:val="24"/>
        </w:rPr>
        <w:t xml:space="preserve">in April 2018, </w:t>
      </w:r>
      <w:r w:rsidR="008E412B" w:rsidRPr="004724FA">
        <w:rPr>
          <w:rFonts w:ascii="Times New Roman" w:hAnsi="Times New Roman"/>
          <w:noProof/>
          <w:sz w:val="24"/>
          <w:szCs w:val="24"/>
        </w:rPr>
        <w:t xml:space="preserve">the adoption of the implementing legislation for </w:t>
      </w:r>
      <w:r w:rsidR="005B7436" w:rsidRPr="004724FA">
        <w:rPr>
          <w:rFonts w:ascii="Times New Roman" w:hAnsi="Times New Roman"/>
          <w:noProof/>
          <w:sz w:val="24"/>
          <w:szCs w:val="24"/>
        </w:rPr>
        <w:t>the fourth trading period</w:t>
      </w:r>
      <w:r w:rsidR="008E412B" w:rsidRPr="004724FA">
        <w:rPr>
          <w:rFonts w:ascii="Times New Roman" w:hAnsi="Times New Roman"/>
          <w:noProof/>
          <w:sz w:val="24"/>
          <w:szCs w:val="24"/>
        </w:rPr>
        <w:t xml:space="preserve"> is progressing at a fast pace.</w:t>
      </w:r>
      <w:r w:rsidR="005B7436" w:rsidRPr="004724FA">
        <w:rPr>
          <w:rFonts w:ascii="Times New Roman" w:hAnsi="Times New Roman"/>
          <w:noProof/>
          <w:sz w:val="24"/>
          <w:szCs w:val="24"/>
        </w:rPr>
        <w:t xml:space="preserve"> Over the past year, implementing legislation on the new carbon leakage list and free allocation rules has been adopted, and the </w:t>
      </w:r>
      <w:r w:rsidR="00D52704">
        <w:rPr>
          <w:rFonts w:ascii="Times New Roman" w:hAnsi="Times New Roman"/>
          <w:noProof/>
          <w:sz w:val="24"/>
          <w:szCs w:val="24"/>
        </w:rPr>
        <w:t xml:space="preserve">legal framework for the </w:t>
      </w:r>
      <w:r w:rsidR="005B7436" w:rsidRPr="004724FA">
        <w:rPr>
          <w:rFonts w:ascii="Times New Roman" w:hAnsi="Times New Roman"/>
          <w:noProof/>
          <w:sz w:val="24"/>
          <w:szCs w:val="24"/>
        </w:rPr>
        <w:t xml:space="preserve">Union Registry system has been revised to accommodate the required adjustments for phase 4. Moreover, </w:t>
      </w:r>
      <w:r w:rsidR="0015759E" w:rsidRPr="004724FA">
        <w:rPr>
          <w:rFonts w:ascii="Times New Roman" w:hAnsi="Times New Roman"/>
          <w:noProof/>
          <w:sz w:val="24"/>
          <w:szCs w:val="24"/>
        </w:rPr>
        <w:t>the rules for the operationalisation of the Innovation Fund – the ETS’s main instrument for the funding of low-carbon innovative technologies and breakthrough innovation in phase 4</w:t>
      </w:r>
      <w:r w:rsidR="00143C3B">
        <w:rPr>
          <w:rFonts w:ascii="Times New Roman" w:hAnsi="Times New Roman"/>
          <w:noProof/>
          <w:sz w:val="24"/>
          <w:szCs w:val="24"/>
        </w:rPr>
        <w:t xml:space="preserve"> -</w:t>
      </w:r>
      <w:r w:rsidR="0015759E" w:rsidRPr="004724FA">
        <w:rPr>
          <w:rFonts w:ascii="Times New Roman" w:hAnsi="Times New Roman"/>
          <w:noProof/>
          <w:sz w:val="24"/>
          <w:szCs w:val="24"/>
        </w:rPr>
        <w:t xml:space="preserve"> have been established. </w:t>
      </w:r>
      <w:r w:rsidR="006E6706" w:rsidRPr="004724FA">
        <w:rPr>
          <w:rFonts w:ascii="Times New Roman" w:hAnsi="Times New Roman"/>
          <w:noProof/>
          <w:sz w:val="24"/>
          <w:szCs w:val="24"/>
        </w:rPr>
        <w:t xml:space="preserve">At the same time, the </w:t>
      </w:r>
      <w:r w:rsidR="0015759E" w:rsidRPr="004724FA">
        <w:rPr>
          <w:rFonts w:ascii="Times New Roman" w:hAnsi="Times New Roman"/>
          <w:noProof/>
          <w:sz w:val="24"/>
          <w:szCs w:val="24"/>
        </w:rPr>
        <w:t>Auctioning Regulation has been revised</w:t>
      </w:r>
      <w:r w:rsidR="003E3302" w:rsidRPr="004724FA">
        <w:rPr>
          <w:rFonts w:ascii="Times New Roman" w:hAnsi="Times New Roman"/>
          <w:noProof/>
          <w:sz w:val="24"/>
          <w:szCs w:val="24"/>
        </w:rPr>
        <w:t xml:space="preserve"> </w:t>
      </w:r>
      <w:r w:rsidR="0015759E" w:rsidRPr="004724FA">
        <w:rPr>
          <w:rFonts w:ascii="Times New Roman" w:hAnsi="Times New Roman"/>
          <w:noProof/>
          <w:sz w:val="24"/>
          <w:szCs w:val="24"/>
        </w:rPr>
        <w:t xml:space="preserve">to enable the </w:t>
      </w:r>
      <w:r w:rsidR="006E6706" w:rsidRPr="004724FA">
        <w:rPr>
          <w:rFonts w:ascii="Times New Roman" w:hAnsi="Times New Roman"/>
          <w:noProof/>
          <w:sz w:val="24"/>
          <w:szCs w:val="24"/>
        </w:rPr>
        <w:t xml:space="preserve">auctioning of the first 50 </w:t>
      </w:r>
      <w:r w:rsidR="007D74C8" w:rsidRPr="004724FA">
        <w:rPr>
          <w:rFonts w:ascii="Times New Roman" w:hAnsi="Times New Roman"/>
          <w:noProof/>
          <w:sz w:val="24"/>
          <w:szCs w:val="24"/>
        </w:rPr>
        <w:t xml:space="preserve">million allowances for the Innovation Fund </w:t>
      </w:r>
      <w:r w:rsidR="006E6706" w:rsidRPr="004724FA">
        <w:rPr>
          <w:rFonts w:ascii="Times New Roman" w:hAnsi="Times New Roman"/>
          <w:noProof/>
          <w:sz w:val="24"/>
          <w:szCs w:val="24"/>
        </w:rPr>
        <w:t xml:space="preserve">in </w:t>
      </w:r>
      <w:r w:rsidR="006E6706" w:rsidRPr="00516F65">
        <w:rPr>
          <w:rFonts w:ascii="Times New Roman" w:hAnsi="Times New Roman"/>
          <w:noProof/>
          <w:sz w:val="24"/>
          <w:szCs w:val="24"/>
        </w:rPr>
        <w:t>2020</w:t>
      </w:r>
      <w:r w:rsidR="004724FA" w:rsidRPr="003F30A8">
        <w:rPr>
          <w:rFonts w:ascii="Times New Roman" w:hAnsi="Times New Roman"/>
          <w:noProof/>
          <w:sz w:val="24"/>
          <w:szCs w:val="24"/>
        </w:rPr>
        <w:t>.</w:t>
      </w:r>
      <w:r w:rsidR="00B47A9B" w:rsidRPr="003F30A8">
        <w:rPr>
          <w:rFonts w:ascii="Times New Roman" w:hAnsi="Times New Roman"/>
          <w:noProof/>
          <w:sz w:val="24"/>
          <w:szCs w:val="24"/>
        </w:rPr>
        <w:t xml:space="preserve"> </w:t>
      </w:r>
      <w:r w:rsidR="004724FA" w:rsidRPr="001B4818">
        <w:rPr>
          <w:rFonts w:ascii="Times New Roman" w:hAnsi="Times New Roman"/>
          <w:noProof/>
          <w:sz w:val="24"/>
          <w:szCs w:val="24"/>
        </w:rPr>
        <w:t xml:space="preserve">A </w:t>
      </w:r>
      <w:r w:rsidR="00B47A9B" w:rsidRPr="001B4818">
        <w:rPr>
          <w:rFonts w:ascii="Times New Roman" w:hAnsi="Times New Roman"/>
          <w:noProof/>
          <w:sz w:val="24"/>
          <w:szCs w:val="24"/>
        </w:rPr>
        <w:t xml:space="preserve">second revision </w:t>
      </w:r>
      <w:r w:rsidR="003E3302" w:rsidRPr="001B4818">
        <w:rPr>
          <w:rFonts w:ascii="Times New Roman" w:hAnsi="Times New Roman"/>
          <w:noProof/>
          <w:sz w:val="24"/>
          <w:szCs w:val="24"/>
        </w:rPr>
        <w:t xml:space="preserve">to </w:t>
      </w:r>
      <w:r w:rsidR="009E7D2F" w:rsidRPr="001B4818">
        <w:rPr>
          <w:rFonts w:ascii="Times New Roman" w:hAnsi="Times New Roman"/>
          <w:noProof/>
          <w:sz w:val="24"/>
          <w:szCs w:val="24"/>
        </w:rPr>
        <w:t>create the institutional</w:t>
      </w:r>
      <w:r w:rsidR="003E3302" w:rsidRPr="001B4818">
        <w:rPr>
          <w:rFonts w:ascii="Times New Roman" w:hAnsi="Times New Roman"/>
          <w:noProof/>
          <w:sz w:val="24"/>
          <w:szCs w:val="24"/>
        </w:rPr>
        <w:t xml:space="preserve"> framework for th</w:t>
      </w:r>
      <w:r w:rsidR="00B47A9B" w:rsidRPr="001B4818">
        <w:rPr>
          <w:rFonts w:ascii="Times New Roman" w:hAnsi="Times New Roman"/>
          <w:noProof/>
          <w:sz w:val="24"/>
          <w:szCs w:val="24"/>
        </w:rPr>
        <w:t xml:space="preserve">e auctioning of allowances for </w:t>
      </w:r>
      <w:r w:rsidR="003E3302" w:rsidRPr="001B4818">
        <w:rPr>
          <w:rFonts w:ascii="Times New Roman" w:hAnsi="Times New Roman"/>
          <w:noProof/>
          <w:sz w:val="24"/>
          <w:szCs w:val="24"/>
        </w:rPr>
        <w:t>the Innovation and the Mode</w:t>
      </w:r>
      <w:r w:rsidR="00D52704" w:rsidRPr="001B4818">
        <w:rPr>
          <w:rFonts w:ascii="Times New Roman" w:hAnsi="Times New Roman"/>
          <w:noProof/>
          <w:sz w:val="24"/>
          <w:szCs w:val="24"/>
        </w:rPr>
        <w:t>rnisation Funds in</w:t>
      </w:r>
      <w:r w:rsidR="00B47A9B" w:rsidRPr="001B4818">
        <w:rPr>
          <w:rFonts w:ascii="Times New Roman" w:hAnsi="Times New Roman"/>
          <w:noProof/>
          <w:sz w:val="24"/>
          <w:szCs w:val="24"/>
        </w:rPr>
        <w:t xml:space="preserve"> </w:t>
      </w:r>
      <w:r w:rsidR="003E3302" w:rsidRPr="001B4818">
        <w:rPr>
          <w:rFonts w:ascii="Times New Roman" w:hAnsi="Times New Roman"/>
          <w:noProof/>
          <w:sz w:val="24"/>
          <w:szCs w:val="24"/>
        </w:rPr>
        <w:t>phase 4</w:t>
      </w:r>
      <w:r w:rsidR="00B47A9B" w:rsidRPr="001B4818">
        <w:rPr>
          <w:rFonts w:ascii="Times New Roman" w:hAnsi="Times New Roman"/>
          <w:noProof/>
          <w:sz w:val="24"/>
          <w:szCs w:val="24"/>
        </w:rPr>
        <w:t xml:space="preserve"> </w:t>
      </w:r>
      <w:r w:rsidR="004724FA" w:rsidRPr="001B4818">
        <w:rPr>
          <w:rFonts w:ascii="Times New Roman" w:hAnsi="Times New Roman"/>
          <w:noProof/>
          <w:sz w:val="24"/>
          <w:szCs w:val="24"/>
        </w:rPr>
        <w:t xml:space="preserve">was adopted by the Commission </w:t>
      </w:r>
      <w:r w:rsidR="00516F65" w:rsidRPr="001B4818">
        <w:rPr>
          <w:rFonts w:ascii="Times New Roman" w:hAnsi="Times New Roman"/>
          <w:noProof/>
          <w:sz w:val="24"/>
          <w:szCs w:val="24"/>
        </w:rPr>
        <w:t>in August 2019</w:t>
      </w:r>
      <w:r w:rsidR="00D30645" w:rsidRPr="001B4818">
        <w:rPr>
          <w:rFonts w:ascii="Times New Roman" w:hAnsi="Times New Roman"/>
          <w:noProof/>
          <w:sz w:val="24"/>
          <w:szCs w:val="24"/>
        </w:rPr>
        <w:t>.</w:t>
      </w:r>
      <w:r w:rsidR="0023458A" w:rsidRPr="004724FA">
        <w:rPr>
          <w:rFonts w:ascii="Times New Roman" w:hAnsi="Times New Roman"/>
          <w:noProof/>
          <w:sz w:val="24"/>
          <w:szCs w:val="24"/>
        </w:rPr>
        <w:t xml:space="preserve"> </w:t>
      </w:r>
      <w:r w:rsidR="0015759E" w:rsidRPr="004724FA">
        <w:rPr>
          <w:rFonts w:ascii="Times New Roman" w:hAnsi="Times New Roman"/>
          <w:noProof/>
          <w:sz w:val="24"/>
          <w:szCs w:val="24"/>
        </w:rPr>
        <w:t>Last,</w:t>
      </w:r>
      <w:r w:rsidR="006E6706" w:rsidRPr="004724FA">
        <w:rPr>
          <w:rFonts w:ascii="Times New Roman" w:hAnsi="Times New Roman"/>
          <w:noProof/>
          <w:sz w:val="24"/>
          <w:szCs w:val="24"/>
        </w:rPr>
        <w:t xml:space="preserve"> but not least, the monitoring, reporting, verification and accreditation (MRVA) framework </w:t>
      </w:r>
      <w:r w:rsidR="007D74C8" w:rsidRPr="004724FA">
        <w:rPr>
          <w:rFonts w:ascii="Times New Roman" w:hAnsi="Times New Roman"/>
          <w:noProof/>
          <w:sz w:val="24"/>
          <w:szCs w:val="24"/>
        </w:rPr>
        <w:t xml:space="preserve">of the EU ETS </w:t>
      </w:r>
      <w:r w:rsidR="006E6706" w:rsidRPr="004724FA">
        <w:rPr>
          <w:rFonts w:ascii="Times New Roman" w:hAnsi="Times New Roman"/>
          <w:noProof/>
          <w:sz w:val="24"/>
          <w:szCs w:val="24"/>
        </w:rPr>
        <w:t xml:space="preserve">has been updated to improve and clarify existing rules based on </w:t>
      </w:r>
      <w:r w:rsidR="00F21EEC" w:rsidRPr="004724FA">
        <w:rPr>
          <w:rFonts w:ascii="Times New Roman" w:hAnsi="Times New Roman"/>
          <w:noProof/>
          <w:sz w:val="24"/>
          <w:szCs w:val="24"/>
        </w:rPr>
        <w:t xml:space="preserve">the </w:t>
      </w:r>
      <w:r w:rsidR="006E6706" w:rsidRPr="004724FA">
        <w:rPr>
          <w:rFonts w:ascii="Times New Roman" w:hAnsi="Times New Roman"/>
          <w:noProof/>
          <w:sz w:val="24"/>
          <w:szCs w:val="24"/>
        </w:rPr>
        <w:t>implementation experience from phase 3. The Commission is swiftly finalising the remaining implementing provisions, with the aim of having them adopted</w:t>
      </w:r>
      <w:r w:rsidR="00F97003" w:rsidRPr="004724FA">
        <w:rPr>
          <w:rFonts w:ascii="Times New Roman" w:hAnsi="Times New Roman"/>
          <w:noProof/>
          <w:sz w:val="24"/>
          <w:szCs w:val="24"/>
        </w:rPr>
        <w:t xml:space="preserve"> b</w:t>
      </w:r>
      <w:r w:rsidR="005A4F64" w:rsidRPr="004724FA">
        <w:rPr>
          <w:rFonts w:ascii="Times New Roman" w:hAnsi="Times New Roman"/>
          <w:noProof/>
          <w:sz w:val="24"/>
          <w:szCs w:val="24"/>
        </w:rPr>
        <w:t>efore</w:t>
      </w:r>
      <w:r w:rsidR="00F97003" w:rsidRPr="004724FA">
        <w:rPr>
          <w:rFonts w:ascii="Times New Roman" w:hAnsi="Times New Roman"/>
          <w:noProof/>
          <w:sz w:val="24"/>
          <w:szCs w:val="24"/>
        </w:rPr>
        <w:t xml:space="preserve"> Ja</w:t>
      </w:r>
      <w:r w:rsidR="00432B47" w:rsidRPr="004724FA">
        <w:rPr>
          <w:rFonts w:ascii="Times New Roman" w:hAnsi="Times New Roman"/>
          <w:noProof/>
          <w:sz w:val="24"/>
          <w:szCs w:val="24"/>
        </w:rPr>
        <w:t>nuary 2021, when the</w:t>
      </w:r>
      <w:r w:rsidR="00432B47">
        <w:rPr>
          <w:rFonts w:ascii="Times New Roman" w:hAnsi="Times New Roman"/>
          <w:noProof/>
          <w:sz w:val="24"/>
          <w:szCs w:val="24"/>
        </w:rPr>
        <w:t xml:space="preserve"> new trading</w:t>
      </w:r>
      <w:r w:rsidR="006E6706">
        <w:rPr>
          <w:rFonts w:ascii="Times New Roman" w:hAnsi="Times New Roman"/>
          <w:noProof/>
          <w:sz w:val="24"/>
          <w:szCs w:val="24"/>
        </w:rPr>
        <w:t xml:space="preserve"> period will start. </w:t>
      </w:r>
    </w:p>
    <w:p w14:paraId="127113FB" w14:textId="77777777" w:rsidR="007D74C8" w:rsidRDefault="00FD386D" w:rsidP="00CD7EDD">
      <w:pPr>
        <w:jc w:val="both"/>
        <w:rPr>
          <w:rFonts w:ascii="Times New Roman" w:hAnsi="Times New Roman"/>
          <w:noProof/>
          <w:sz w:val="24"/>
          <w:szCs w:val="24"/>
        </w:rPr>
      </w:pPr>
      <w:r>
        <w:rPr>
          <w:rFonts w:ascii="Times New Roman" w:hAnsi="Times New Roman"/>
          <w:noProof/>
          <w:sz w:val="24"/>
          <w:szCs w:val="24"/>
        </w:rPr>
        <w:t xml:space="preserve">The </w:t>
      </w:r>
      <w:r w:rsidR="00432B47" w:rsidRPr="00432B47">
        <w:rPr>
          <w:rFonts w:ascii="Times New Roman" w:hAnsi="Times New Roman"/>
          <w:noProof/>
          <w:sz w:val="24"/>
          <w:szCs w:val="24"/>
        </w:rPr>
        <w:t>legislative changes agreed in recent years to address</w:t>
      </w:r>
      <w:r w:rsidR="00432B47">
        <w:rPr>
          <w:rFonts w:ascii="Times New Roman" w:hAnsi="Times New Roman"/>
          <w:noProof/>
          <w:sz w:val="24"/>
          <w:szCs w:val="24"/>
        </w:rPr>
        <w:t xml:space="preserve"> the surplus of allowances </w:t>
      </w:r>
      <w:r w:rsidR="007D74C8">
        <w:rPr>
          <w:rFonts w:ascii="Times New Roman" w:hAnsi="Times New Roman"/>
          <w:noProof/>
          <w:sz w:val="24"/>
          <w:szCs w:val="24"/>
        </w:rPr>
        <w:t xml:space="preserve">in the carbon market </w:t>
      </w:r>
      <w:r w:rsidR="00432B47">
        <w:rPr>
          <w:rFonts w:ascii="Times New Roman" w:hAnsi="Times New Roman"/>
          <w:noProof/>
          <w:sz w:val="24"/>
          <w:szCs w:val="24"/>
        </w:rPr>
        <w:t xml:space="preserve">have </w:t>
      </w:r>
      <w:r w:rsidR="00432B47" w:rsidRPr="00432B47">
        <w:rPr>
          <w:rFonts w:ascii="Times New Roman" w:hAnsi="Times New Roman"/>
          <w:noProof/>
          <w:sz w:val="24"/>
          <w:szCs w:val="24"/>
        </w:rPr>
        <w:t>start</w:t>
      </w:r>
      <w:r w:rsidR="00432B47">
        <w:rPr>
          <w:rFonts w:ascii="Times New Roman" w:hAnsi="Times New Roman"/>
          <w:noProof/>
          <w:sz w:val="24"/>
          <w:szCs w:val="24"/>
        </w:rPr>
        <w:t>ed</w:t>
      </w:r>
      <w:r w:rsidR="00F21EEC">
        <w:rPr>
          <w:rFonts w:ascii="Times New Roman" w:hAnsi="Times New Roman"/>
          <w:noProof/>
          <w:sz w:val="24"/>
          <w:szCs w:val="24"/>
        </w:rPr>
        <w:t xml:space="preserve"> to bear</w:t>
      </w:r>
      <w:r w:rsidR="00432B47" w:rsidRPr="00432B47">
        <w:rPr>
          <w:rFonts w:ascii="Times New Roman" w:hAnsi="Times New Roman"/>
          <w:noProof/>
          <w:sz w:val="24"/>
          <w:szCs w:val="24"/>
        </w:rPr>
        <w:t xml:space="preserve"> fruit. </w:t>
      </w:r>
      <w:r w:rsidR="00432B47">
        <w:rPr>
          <w:rFonts w:ascii="Times New Roman" w:hAnsi="Times New Roman"/>
          <w:noProof/>
          <w:sz w:val="24"/>
          <w:szCs w:val="24"/>
        </w:rPr>
        <w:t xml:space="preserve">Since the publication of the last carbon market report, the Market Stability Reserve surplus indicator </w:t>
      </w:r>
      <w:r w:rsidR="00825DBF">
        <w:rPr>
          <w:rFonts w:ascii="Times New Roman" w:hAnsi="Times New Roman"/>
          <w:noProof/>
          <w:sz w:val="24"/>
          <w:szCs w:val="24"/>
        </w:rPr>
        <w:t>has been published for the third time. Based on the indicator and</w:t>
      </w:r>
      <w:r w:rsidR="00825DBF" w:rsidRPr="00825DBF">
        <w:rPr>
          <w:rFonts w:ascii="Times New Roman" w:hAnsi="Times New Roman"/>
          <w:noProof/>
          <w:sz w:val="24"/>
          <w:szCs w:val="24"/>
        </w:rPr>
        <w:t xml:space="preserve"> the revised </w:t>
      </w:r>
      <w:r w:rsidR="007D74C8">
        <w:rPr>
          <w:rFonts w:ascii="Times New Roman" w:hAnsi="Times New Roman"/>
          <w:noProof/>
          <w:sz w:val="24"/>
          <w:szCs w:val="24"/>
        </w:rPr>
        <w:t xml:space="preserve">EU </w:t>
      </w:r>
      <w:r w:rsidR="00825DBF">
        <w:rPr>
          <w:rFonts w:ascii="Times New Roman" w:hAnsi="Times New Roman"/>
          <w:noProof/>
          <w:sz w:val="24"/>
          <w:szCs w:val="24"/>
        </w:rPr>
        <w:t xml:space="preserve">ETS </w:t>
      </w:r>
      <w:r w:rsidR="00825DBF" w:rsidRPr="00825DBF">
        <w:rPr>
          <w:rFonts w:ascii="Times New Roman" w:hAnsi="Times New Roman"/>
          <w:noProof/>
          <w:sz w:val="24"/>
          <w:szCs w:val="24"/>
        </w:rPr>
        <w:t xml:space="preserve">legislation, </w:t>
      </w:r>
      <w:r w:rsidR="00825DBF" w:rsidRPr="00516F65">
        <w:rPr>
          <w:rFonts w:ascii="Times New Roman" w:hAnsi="Times New Roman"/>
          <w:noProof/>
          <w:sz w:val="24"/>
          <w:szCs w:val="24"/>
        </w:rPr>
        <w:t xml:space="preserve">auction volumes </w:t>
      </w:r>
      <w:r w:rsidR="00B330E6" w:rsidRPr="00516F65">
        <w:rPr>
          <w:rFonts w:ascii="Times New Roman" w:hAnsi="Times New Roman"/>
          <w:noProof/>
          <w:sz w:val="24"/>
          <w:szCs w:val="24"/>
        </w:rPr>
        <w:t>in 2019</w:t>
      </w:r>
      <w:r w:rsidR="00825DBF" w:rsidRPr="004724FA">
        <w:rPr>
          <w:rFonts w:ascii="Times New Roman" w:hAnsi="Times New Roman"/>
          <w:noProof/>
          <w:sz w:val="24"/>
          <w:szCs w:val="24"/>
        </w:rPr>
        <w:t xml:space="preserve"> will be reduced by</w:t>
      </w:r>
      <w:r w:rsidRPr="004724FA">
        <w:rPr>
          <w:rFonts w:ascii="Times New Roman" w:hAnsi="Times New Roman"/>
          <w:noProof/>
          <w:sz w:val="24"/>
          <w:szCs w:val="24"/>
        </w:rPr>
        <w:t xml:space="preserve"> almost 400 million allowances</w:t>
      </w:r>
      <w:r w:rsidR="00F21EEC" w:rsidRPr="004724FA">
        <w:rPr>
          <w:rFonts w:ascii="Times New Roman" w:hAnsi="Times New Roman"/>
          <w:noProof/>
          <w:sz w:val="24"/>
          <w:szCs w:val="24"/>
        </w:rPr>
        <w:t>, corresponding to</w:t>
      </w:r>
      <w:r w:rsidRPr="004724FA">
        <w:rPr>
          <w:rFonts w:ascii="Times New Roman" w:hAnsi="Times New Roman"/>
          <w:noProof/>
          <w:sz w:val="24"/>
          <w:szCs w:val="24"/>
        </w:rPr>
        <w:t xml:space="preserve"> </w:t>
      </w:r>
      <w:r w:rsidR="004724FA">
        <w:rPr>
          <w:rFonts w:ascii="Times New Roman" w:hAnsi="Times New Roman"/>
          <w:noProof/>
          <w:sz w:val="24"/>
          <w:szCs w:val="24"/>
        </w:rPr>
        <w:t xml:space="preserve">24% </w:t>
      </w:r>
      <w:r w:rsidRPr="004724FA">
        <w:rPr>
          <w:rFonts w:ascii="Times New Roman" w:hAnsi="Times New Roman"/>
          <w:noProof/>
          <w:sz w:val="24"/>
          <w:szCs w:val="24"/>
        </w:rPr>
        <w:t>of the surplus.</w:t>
      </w:r>
      <w:r>
        <w:rPr>
          <w:rFonts w:ascii="Times New Roman" w:hAnsi="Times New Roman"/>
          <w:noProof/>
          <w:sz w:val="24"/>
          <w:szCs w:val="24"/>
        </w:rPr>
        <w:t xml:space="preserve"> </w:t>
      </w:r>
    </w:p>
    <w:p w14:paraId="17183171" w14:textId="77777777" w:rsidR="00CD7EDD" w:rsidRDefault="00FD386D" w:rsidP="00CD7EDD">
      <w:pPr>
        <w:jc w:val="both"/>
        <w:rPr>
          <w:rFonts w:ascii="Times New Roman" w:hAnsi="Times New Roman"/>
          <w:noProof/>
          <w:sz w:val="24"/>
          <w:szCs w:val="24"/>
        </w:rPr>
      </w:pPr>
      <w:r>
        <w:rPr>
          <w:rFonts w:ascii="Times New Roman" w:hAnsi="Times New Roman"/>
          <w:noProof/>
          <w:sz w:val="24"/>
          <w:szCs w:val="24"/>
        </w:rPr>
        <w:t xml:space="preserve">The past year was also </w:t>
      </w:r>
      <w:r w:rsidR="00CD7EDD">
        <w:rPr>
          <w:rFonts w:ascii="Times New Roman" w:hAnsi="Times New Roman"/>
          <w:noProof/>
          <w:sz w:val="24"/>
          <w:szCs w:val="24"/>
        </w:rPr>
        <w:t>marked by</w:t>
      </w:r>
      <w:r w:rsidR="00CD7EDD" w:rsidRPr="00CD7EDD">
        <w:rPr>
          <w:rFonts w:ascii="Times New Roman" w:hAnsi="Times New Roman"/>
          <w:noProof/>
          <w:sz w:val="24"/>
          <w:szCs w:val="24"/>
        </w:rPr>
        <w:t xml:space="preserve"> </w:t>
      </w:r>
      <w:r w:rsidR="00F21EEC">
        <w:rPr>
          <w:rFonts w:ascii="Times New Roman" w:hAnsi="Times New Roman"/>
          <w:noProof/>
          <w:sz w:val="24"/>
          <w:szCs w:val="24"/>
        </w:rPr>
        <w:t xml:space="preserve">the increased confidence of </w:t>
      </w:r>
      <w:r w:rsidR="00CD7EDD" w:rsidRPr="00CD7EDD">
        <w:rPr>
          <w:rFonts w:ascii="Times New Roman" w:hAnsi="Times New Roman"/>
          <w:noProof/>
          <w:sz w:val="24"/>
          <w:szCs w:val="24"/>
        </w:rPr>
        <w:t>market pa</w:t>
      </w:r>
      <w:r w:rsidR="007D74C8">
        <w:rPr>
          <w:rFonts w:ascii="Times New Roman" w:hAnsi="Times New Roman"/>
          <w:noProof/>
          <w:sz w:val="24"/>
          <w:szCs w:val="24"/>
        </w:rPr>
        <w:t>rticipants, which was</w:t>
      </w:r>
      <w:r w:rsidR="00CD7EDD">
        <w:rPr>
          <w:rFonts w:ascii="Times New Roman" w:hAnsi="Times New Roman"/>
          <w:noProof/>
          <w:sz w:val="24"/>
          <w:szCs w:val="24"/>
        </w:rPr>
        <w:t xml:space="preserve"> reflected in a</w:t>
      </w:r>
      <w:r w:rsidR="00CD7EDD" w:rsidRPr="00CD7EDD">
        <w:rPr>
          <w:rFonts w:ascii="Times New Roman" w:hAnsi="Times New Roman"/>
          <w:noProof/>
          <w:sz w:val="24"/>
          <w:szCs w:val="24"/>
        </w:rPr>
        <w:t xml:space="preserve"> reinforced car</w:t>
      </w:r>
      <w:r w:rsidR="00CD7EDD">
        <w:rPr>
          <w:rFonts w:ascii="Times New Roman" w:hAnsi="Times New Roman"/>
          <w:noProof/>
          <w:sz w:val="24"/>
          <w:szCs w:val="24"/>
        </w:rPr>
        <w:t xml:space="preserve">bon price signal. </w:t>
      </w:r>
      <w:r w:rsidR="007D74C8">
        <w:rPr>
          <w:rFonts w:ascii="Times New Roman" w:hAnsi="Times New Roman"/>
          <w:noProof/>
          <w:sz w:val="24"/>
          <w:szCs w:val="24"/>
        </w:rPr>
        <w:t>The higher price of emission allowances led to a substantial</w:t>
      </w:r>
      <w:r>
        <w:rPr>
          <w:rFonts w:ascii="Times New Roman" w:hAnsi="Times New Roman"/>
          <w:noProof/>
          <w:sz w:val="24"/>
          <w:szCs w:val="24"/>
        </w:rPr>
        <w:t xml:space="preserve"> increase in the </w:t>
      </w:r>
      <w:r w:rsidR="00CD7EDD" w:rsidRPr="00CD7EDD">
        <w:rPr>
          <w:rFonts w:ascii="Times New Roman" w:hAnsi="Times New Roman"/>
          <w:noProof/>
          <w:sz w:val="24"/>
          <w:szCs w:val="24"/>
        </w:rPr>
        <w:t xml:space="preserve">total revenues </w:t>
      </w:r>
      <w:r>
        <w:rPr>
          <w:rFonts w:ascii="Times New Roman" w:hAnsi="Times New Roman"/>
          <w:noProof/>
          <w:sz w:val="24"/>
          <w:szCs w:val="24"/>
        </w:rPr>
        <w:t xml:space="preserve">from auctioning </w:t>
      </w:r>
      <w:r w:rsidR="00CD7EDD" w:rsidRPr="00CD7EDD">
        <w:rPr>
          <w:rFonts w:ascii="Times New Roman" w:hAnsi="Times New Roman"/>
          <w:noProof/>
          <w:sz w:val="24"/>
          <w:szCs w:val="24"/>
        </w:rPr>
        <w:t>generated by Member States</w:t>
      </w:r>
      <w:r>
        <w:rPr>
          <w:rFonts w:ascii="Times New Roman" w:hAnsi="Times New Roman"/>
          <w:noProof/>
          <w:sz w:val="24"/>
          <w:szCs w:val="24"/>
        </w:rPr>
        <w:t xml:space="preserve"> - in 2018</w:t>
      </w:r>
      <w:r w:rsidRPr="00FD386D">
        <w:rPr>
          <w:rFonts w:ascii="Times New Roman" w:hAnsi="Times New Roman"/>
          <w:noProof/>
          <w:sz w:val="24"/>
          <w:szCs w:val="24"/>
        </w:rPr>
        <w:t>, the generated tota</w:t>
      </w:r>
      <w:r>
        <w:rPr>
          <w:rFonts w:ascii="Times New Roman" w:hAnsi="Times New Roman"/>
          <w:noProof/>
          <w:sz w:val="24"/>
          <w:szCs w:val="24"/>
        </w:rPr>
        <w:t xml:space="preserve">l revenues were EUR 14  billion, more than two times higher than the </w:t>
      </w:r>
      <w:r w:rsidR="00F21EEC">
        <w:rPr>
          <w:rFonts w:ascii="Times New Roman" w:hAnsi="Times New Roman"/>
          <w:noProof/>
          <w:sz w:val="24"/>
          <w:szCs w:val="24"/>
        </w:rPr>
        <w:t xml:space="preserve">revenues generated in 2017. </w:t>
      </w:r>
      <w:r w:rsidR="001B4818">
        <w:rPr>
          <w:rFonts w:ascii="Times New Roman" w:hAnsi="Times New Roman"/>
          <w:noProof/>
          <w:sz w:val="24"/>
          <w:szCs w:val="24"/>
        </w:rPr>
        <w:t>Based on data submitted by Member States, o</w:t>
      </w:r>
      <w:r w:rsidR="007D74C8" w:rsidRPr="001B4818">
        <w:rPr>
          <w:rFonts w:ascii="Times New Roman" w:hAnsi="Times New Roman"/>
          <w:noProof/>
          <w:sz w:val="24"/>
          <w:szCs w:val="24"/>
        </w:rPr>
        <w:t>ver the course of 2018,</w:t>
      </w:r>
      <w:r w:rsidR="00D30645" w:rsidRPr="001B4818">
        <w:rPr>
          <w:rFonts w:ascii="Times New Roman" w:hAnsi="Times New Roman"/>
          <w:noProof/>
          <w:sz w:val="24"/>
          <w:szCs w:val="24"/>
        </w:rPr>
        <w:t xml:space="preserve"> close to 70%</w:t>
      </w:r>
      <w:r w:rsidR="005D1F30" w:rsidRPr="001B4818">
        <w:rPr>
          <w:rFonts w:ascii="Times New Roman" w:hAnsi="Times New Roman"/>
          <w:noProof/>
          <w:sz w:val="24"/>
          <w:szCs w:val="24"/>
        </w:rPr>
        <w:t xml:space="preserve"> of these revenues were spent (or were planne</w:t>
      </w:r>
      <w:r w:rsidR="001B4818">
        <w:rPr>
          <w:rFonts w:ascii="Times New Roman" w:hAnsi="Times New Roman"/>
          <w:noProof/>
          <w:sz w:val="24"/>
          <w:szCs w:val="24"/>
        </w:rPr>
        <w:t>d for spending)</w:t>
      </w:r>
      <w:r w:rsidR="005D1F30" w:rsidRPr="001B4818">
        <w:rPr>
          <w:rFonts w:ascii="Times New Roman" w:hAnsi="Times New Roman"/>
          <w:noProof/>
          <w:sz w:val="24"/>
          <w:szCs w:val="24"/>
        </w:rPr>
        <w:t xml:space="preserve"> on specified climate and</w:t>
      </w:r>
      <w:r w:rsidR="007D74C8" w:rsidRPr="001B4818">
        <w:rPr>
          <w:rFonts w:ascii="Times New Roman" w:hAnsi="Times New Roman"/>
          <w:noProof/>
          <w:sz w:val="24"/>
          <w:szCs w:val="24"/>
        </w:rPr>
        <w:t xml:space="preserve"> energy related purposes</w:t>
      </w:r>
      <w:r w:rsidR="005D1F30" w:rsidRPr="001B4818">
        <w:rPr>
          <w:rFonts w:ascii="Times New Roman" w:hAnsi="Times New Roman"/>
          <w:noProof/>
          <w:sz w:val="24"/>
          <w:szCs w:val="24"/>
        </w:rPr>
        <w:t>.</w:t>
      </w:r>
    </w:p>
    <w:p w14:paraId="162D8ACE" w14:textId="77777777" w:rsidR="005F6BD0" w:rsidRDefault="003A348D">
      <w:pPr>
        <w:jc w:val="both"/>
        <w:rPr>
          <w:rFonts w:ascii="Times New Roman" w:hAnsi="Times New Roman"/>
          <w:noProof/>
          <w:sz w:val="24"/>
          <w:szCs w:val="24"/>
        </w:rPr>
      </w:pPr>
      <w:r>
        <w:rPr>
          <w:rFonts w:ascii="Times New Roman" w:hAnsi="Times New Roman"/>
          <w:noProof/>
          <w:sz w:val="24"/>
          <w:szCs w:val="24"/>
        </w:rPr>
        <w:t>This Report on the functioning of the European carbon market is presented in accordance with the requirements of Articles 10(5) and 21(2) of Directive 2003/87/EC</w:t>
      </w:r>
      <w:r>
        <w:rPr>
          <w:rStyle w:val="FootnoteReference"/>
          <w:rFonts w:ascii="Times New Roman" w:hAnsi="Times New Roman"/>
          <w:noProof/>
          <w:sz w:val="24"/>
          <w:szCs w:val="24"/>
        </w:rPr>
        <w:footnoteReference w:id="3"/>
      </w:r>
      <w:r>
        <w:rPr>
          <w:rFonts w:ascii="Times New Roman" w:hAnsi="Times New Roman"/>
          <w:noProof/>
          <w:sz w:val="24"/>
          <w:szCs w:val="24"/>
        </w:rPr>
        <w:t xml:space="preserve"> (EU ETS Directive). As stipulated by the Directive, the objective of the report is to provide a regular snapshot of developments in the European carbon market on an annual basis. </w:t>
      </w:r>
    </w:p>
    <w:p w14:paraId="6C32B0A3" w14:textId="77777777" w:rsidR="005F6BD0" w:rsidRDefault="003A348D">
      <w:pPr>
        <w:jc w:val="both"/>
        <w:rPr>
          <w:rFonts w:ascii="Times New Roman" w:hAnsi="Times New Roman"/>
          <w:noProof/>
          <w:sz w:val="24"/>
          <w:szCs w:val="24"/>
        </w:rPr>
      </w:pPr>
      <w:r>
        <w:rPr>
          <w:rFonts w:ascii="Times New Roman" w:hAnsi="Times New Roman"/>
          <w:noProof/>
          <w:sz w:val="24"/>
          <w:szCs w:val="24"/>
        </w:rPr>
        <w:t>The report covers the year 201</w:t>
      </w:r>
      <w:r w:rsidR="0078606D">
        <w:rPr>
          <w:rFonts w:ascii="Times New Roman" w:hAnsi="Times New Roman"/>
          <w:noProof/>
          <w:sz w:val="24"/>
          <w:szCs w:val="24"/>
        </w:rPr>
        <w:t>8</w:t>
      </w:r>
      <w:r>
        <w:rPr>
          <w:rFonts w:ascii="Times New Roman" w:hAnsi="Times New Roman"/>
          <w:noProof/>
          <w:sz w:val="24"/>
          <w:szCs w:val="24"/>
        </w:rPr>
        <w:t>, but also presents initiatives proposed or agreed in the first half of 201</w:t>
      </w:r>
      <w:r w:rsidR="0078606D">
        <w:rPr>
          <w:rFonts w:ascii="Times New Roman" w:hAnsi="Times New Roman"/>
          <w:noProof/>
          <w:sz w:val="24"/>
          <w:szCs w:val="24"/>
        </w:rPr>
        <w:t>9</w:t>
      </w:r>
      <w:r>
        <w:rPr>
          <w:rFonts w:ascii="Times New Roman" w:hAnsi="Times New Roman"/>
          <w:noProof/>
          <w:sz w:val="24"/>
          <w:szCs w:val="24"/>
        </w:rPr>
        <w:t xml:space="preserve">. </w:t>
      </w:r>
    </w:p>
    <w:p w14:paraId="6FAF5912" w14:textId="77777777" w:rsidR="00143C3B" w:rsidRDefault="003A348D" w:rsidP="00516F65">
      <w:pPr>
        <w:jc w:val="both"/>
        <w:rPr>
          <w:rFonts w:ascii="Times New Roman" w:hAnsi="Times New Roman"/>
          <w:noProof/>
          <w:sz w:val="24"/>
          <w:szCs w:val="24"/>
        </w:rPr>
      </w:pPr>
      <w:r>
        <w:rPr>
          <w:rFonts w:ascii="Times New Roman" w:hAnsi="Times New Roman"/>
          <w:noProof/>
          <w:sz w:val="24"/>
          <w:szCs w:val="24"/>
        </w:rPr>
        <w:t>Unless otherwise indicated, data used for this report were the ones publicly available and at the disposal of the Commission by end</w:t>
      </w:r>
      <w:r w:rsidR="00B444B8">
        <w:rPr>
          <w:rFonts w:ascii="Times New Roman" w:hAnsi="Times New Roman"/>
          <w:noProof/>
          <w:sz w:val="24"/>
          <w:szCs w:val="24"/>
        </w:rPr>
        <w:t xml:space="preserve"> </w:t>
      </w:r>
      <w:r>
        <w:rPr>
          <w:rFonts w:ascii="Times New Roman" w:hAnsi="Times New Roman"/>
          <w:noProof/>
          <w:sz w:val="24"/>
          <w:szCs w:val="24"/>
        </w:rPr>
        <w:t>June 201</w:t>
      </w:r>
      <w:r w:rsidR="0078606D">
        <w:rPr>
          <w:rFonts w:ascii="Times New Roman" w:hAnsi="Times New Roman"/>
          <w:noProof/>
          <w:sz w:val="24"/>
          <w:szCs w:val="24"/>
        </w:rPr>
        <w:t>9</w:t>
      </w:r>
      <w:r w:rsidRPr="00143C3B">
        <w:footnoteReference w:id="4"/>
      </w:r>
      <w:r>
        <w:rPr>
          <w:rFonts w:ascii="Times New Roman" w:hAnsi="Times New Roman"/>
          <w:noProof/>
          <w:sz w:val="24"/>
          <w:szCs w:val="24"/>
        </w:rPr>
        <w:t>. General and descriptive information on</w:t>
      </w:r>
      <w:r w:rsidR="00794E5D">
        <w:rPr>
          <w:rFonts w:ascii="Times New Roman" w:hAnsi="Times New Roman"/>
          <w:noProof/>
          <w:sz w:val="24"/>
          <w:szCs w:val="24"/>
        </w:rPr>
        <w:t xml:space="preserve"> </w:t>
      </w:r>
      <w:r>
        <w:rPr>
          <w:rFonts w:ascii="Times New Roman" w:hAnsi="Times New Roman"/>
          <w:noProof/>
          <w:sz w:val="24"/>
          <w:szCs w:val="24"/>
        </w:rPr>
        <w:t>the EU ETS is included in boxes throughout the report.</w:t>
      </w:r>
      <w:bookmarkStart w:id="8" w:name="_Toc427931123"/>
      <w:bookmarkEnd w:id="8"/>
    </w:p>
    <w:p w14:paraId="34F8EB1F" w14:textId="77777777" w:rsidR="00143C3B" w:rsidRDefault="00143C3B" w:rsidP="00143C3B">
      <w:pPr>
        <w:rPr>
          <w:noProof/>
        </w:rPr>
      </w:pPr>
      <w:r>
        <w:rPr>
          <w:noProof/>
        </w:rPr>
        <w:br w:type="page"/>
      </w:r>
    </w:p>
    <w:p w14:paraId="4C60C72C" w14:textId="77777777" w:rsidR="005F6BD0" w:rsidRPr="00516F65" w:rsidRDefault="00A52F4C" w:rsidP="00516F65">
      <w:pPr>
        <w:jc w:val="both"/>
        <w:rPr>
          <w:rFonts w:ascii="Times New Roman" w:hAnsi="Times New Roman"/>
          <w:b/>
          <w:noProof/>
          <w:sz w:val="24"/>
          <w:szCs w:val="24"/>
          <w:lang w:eastAsia="en-GB"/>
        </w:rPr>
      </w:pPr>
      <w:r w:rsidRPr="00516F65">
        <w:rPr>
          <w:rFonts w:ascii="Times New Roman" w:hAnsi="Times New Roman"/>
          <w:b/>
          <w:noProof/>
          <w:sz w:val="24"/>
          <w:szCs w:val="24"/>
          <w:lang w:eastAsia="en-GB"/>
        </w:rPr>
        <w:t>2</w:t>
      </w:r>
      <w:r w:rsidR="003A348D" w:rsidRPr="00516F65">
        <w:rPr>
          <w:rFonts w:ascii="Times New Roman" w:hAnsi="Times New Roman"/>
          <w:b/>
          <w:noProof/>
          <w:sz w:val="24"/>
          <w:szCs w:val="24"/>
          <w:lang w:eastAsia="en-GB"/>
        </w:rPr>
        <w:t>. EU ETS INFRASRUCTURE</w:t>
      </w:r>
    </w:p>
    <w:p w14:paraId="37C5C4B1" w14:textId="77777777" w:rsidR="005F6BD0" w:rsidRDefault="00A52F4C">
      <w:pPr>
        <w:pStyle w:val="Heading1"/>
        <w:spacing w:before="0" w:after="200"/>
        <w:rPr>
          <w:noProof/>
        </w:rPr>
      </w:pPr>
      <w:bookmarkStart w:id="9" w:name="_Toc490850420"/>
      <w:bookmarkStart w:id="10" w:name="_Toc519009676"/>
      <w:bookmarkStart w:id="11" w:name="_Toc20217724"/>
      <w:r>
        <w:rPr>
          <w:noProof/>
        </w:rPr>
        <w:t>2</w:t>
      </w:r>
      <w:r w:rsidR="003A348D">
        <w:rPr>
          <w:noProof/>
        </w:rPr>
        <w:t>.1 Coverage of activities, installations and aircraft operators</w:t>
      </w:r>
      <w:bookmarkEnd w:id="9"/>
      <w:bookmarkEnd w:id="10"/>
      <w:bookmarkEnd w:id="11"/>
      <w:r w:rsidR="003A348D">
        <w:rPr>
          <w:noProof/>
        </w:rPr>
        <w:tab/>
      </w:r>
    </w:p>
    <w:p w14:paraId="39178EBF" w14:textId="77777777" w:rsidR="00743ED3" w:rsidRDefault="00743ED3" w:rsidP="00743ED3">
      <w:pPr>
        <w:rPr>
          <w:noProof/>
          <w:highlight w:val="yellow"/>
        </w:rPr>
      </w:pPr>
      <w:r>
        <w:rPr>
          <w:noProof/>
          <w:lang w:eastAsia="en-GB"/>
        </w:rPr>
        <mc:AlternateContent>
          <mc:Choice Requires="wps">
            <w:drawing>
              <wp:inline distT="0" distB="0" distL="0" distR="0" wp14:anchorId="44B41B6F" wp14:editId="4C8D3DAD">
                <wp:extent cx="5691226" cy="6313336"/>
                <wp:effectExtent l="0" t="0" r="24130" b="1143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6313336"/>
                        </a:xfrm>
                        <a:prstGeom prst="rect">
                          <a:avLst/>
                        </a:prstGeom>
                        <a:solidFill>
                          <a:sysClr val="window" lastClr="FFFFFF">
                            <a:lumMod val="85000"/>
                          </a:sysClr>
                        </a:solidFill>
                        <a:ln w="12700">
                          <a:solidFill>
                            <a:srgbClr val="000000"/>
                          </a:solidFill>
                          <a:miter lim="800000"/>
                          <a:headEnd/>
                          <a:tailEnd/>
                        </a:ln>
                      </wps:spPr>
                      <wps:txbx>
                        <w:txbxContent>
                          <w:p w14:paraId="73E01DD9" w14:textId="77777777" w:rsidR="00516F65" w:rsidRDefault="00516F65" w:rsidP="00743ED3">
                            <w:pPr>
                              <w:suppressAutoHyphens/>
                              <w:jc w:val="both"/>
                              <w:rPr>
                                <w:rFonts w:ascii="Times New Roman" w:hAnsi="Times New Roman"/>
                                <w:sz w:val="24"/>
                                <w:szCs w:val="24"/>
                              </w:rPr>
                            </w:pPr>
                            <w:r>
                              <w:rPr>
                                <w:rFonts w:ascii="Times New Roman" w:hAnsi="Times New Roman"/>
                                <w:sz w:val="24"/>
                                <w:szCs w:val="24"/>
                              </w:rPr>
                              <w:t xml:space="preserve">The EU ETS operates in the 31 countries of the European Economic Area (EEA). It limits emissions from nearly 11,000 power plants and manufacturing installations as well as over 500 aircraft operators flying between EEA's airports. It </w:t>
                            </w:r>
                            <w:r w:rsidRPr="001B4818">
                              <w:rPr>
                                <w:rFonts w:ascii="Times New Roman" w:hAnsi="Times New Roman"/>
                                <w:sz w:val="24"/>
                                <w:szCs w:val="24"/>
                              </w:rPr>
                              <w:t>covers around</w:t>
                            </w:r>
                            <w:r w:rsidR="00D30645" w:rsidRPr="001B4818">
                              <w:rPr>
                                <w:rFonts w:ascii="Times New Roman" w:hAnsi="Times New Roman"/>
                                <w:sz w:val="24"/>
                                <w:szCs w:val="24"/>
                              </w:rPr>
                              <w:t xml:space="preserve"> 39</w:t>
                            </w:r>
                            <w:r w:rsidRPr="001B4818">
                              <w:rPr>
                                <w:rFonts w:ascii="Times New Roman" w:hAnsi="Times New Roman"/>
                                <w:sz w:val="24"/>
                                <w:szCs w:val="24"/>
                              </w:rPr>
                              <w:t>% of the</w:t>
                            </w:r>
                            <w:r>
                              <w:rPr>
                                <w:rFonts w:ascii="Times New Roman" w:hAnsi="Times New Roman"/>
                                <w:sz w:val="24"/>
                                <w:szCs w:val="24"/>
                              </w:rPr>
                              <w:t xml:space="preserve"> EU's GHG emissions.</w:t>
                            </w:r>
                          </w:p>
                          <w:p w14:paraId="77E60C62" w14:textId="77777777" w:rsidR="00516F65" w:rsidRDefault="00516F65" w:rsidP="00743ED3">
                            <w:pPr>
                              <w:jc w:val="both"/>
                              <w:rPr>
                                <w:rFonts w:ascii="Times New Roman" w:hAnsi="Times New Roman"/>
                                <w:sz w:val="24"/>
                                <w:szCs w:val="24"/>
                              </w:rPr>
                            </w:pPr>
                            <w:r>
                              <w:rPr>
                                <w:rFonts w:ascii="Times New Roman" w:hAnsi="Times New Roman"/>
                                <w:sz w:val="24"/>
                                <w:szCs w:val="24"/>
                              </w:rPr>
                              <w:t>In phase 3 (2013-2020)*, the sectors with stationary installations regulated by the EU ETS are energy intensive industries, including power stations and other combustion plants with &gt;20MW thermal rated input (except hazardous or municipal waste installations), oil refineries, coke ovens, iron and steel, cement clinker, glass, lime, bricks, ceramics, pulp, paper and board, aluminium, petrochemicals, ammonia, nitric, adipic, glyoxal and glyoxylic acid production, CO</w:t>
                            </w:r>
                            <w:r>
                              <w:rPr>
                                <w:rFonts w:ascii="Times New Roman" w:hAnsi="Times New Roman"/>
                                <w:sz w:val="24"/>
                                <w:szCs w:val="24"/>
                                <w:vertAlign w:val="subscript"/>
                              </w:rPr>
                              <w:t>2</w:t>
                            </w:r>
                            <w:r>
                              <w:rPr>
                                <w:rFonts w:ascii="Times New Roman" w:hAnsi="Times New Roman"/>
                                <w:sz w:val="24"/>
                                <w:szCs w:val="24"/>
                              </w:rPr>
                              <w:t xml:space="preserve"> capture, transport in pipelines and geological storage of CO</w:t>
                            </w:r>
                            <w:r>
                              <w:rPr>
                                <w:rFonts w:ascii="Times New Roman" w:hAnsi="Times New Roman"/>
                                <w:sz w:val="24"/>
                                <w:szCs w:val="24"/>
                                <w:vertAlign w:val="subscript"/>
                              </w:rPr>
                              <w:t>2</w:t>
                            </w:r>
                            <w:r>
                              <w:rPr>
                                <w:rFonts w:ascii="Times New Roman" w:hAnsi="Times New Roman"/>
                                <w:sz w:val="24"/>
                                <w:szCs w:val="24"/>
                              </w:rPr>
                              <w:t xml:space="preserve">. </w:t>
                            </w:r>
                          </w:p>
                          <w:p w14:paraId="4F7603DC" w14:textId="4A91D654" w:rsidR="00516F65" w:rsidRDefault="00516F65" w:rsidP="00743ED3">
                            <w:pPr>
                              <w:jc w:val="both"/>
                              <w:rPr>
                                <w:rFonts w:ascii="Times New Roman" w:hAnsi="Times New Roman"/>
                                <w:sz w:val="24"/>
                                <w:szCs w:val="24"/>
                              </w:rPr>
                            </w:pPr>
                            <w:r>
                              <w:rPr>
                                <w:rFonts w:ascii="Times New Roman" w:hAnsi="Times New Roman"/>
                                <w:sz w:val="24"/>
                                <w:szCs w:val="24"/>
                              </w:rPr>
                              <w:t xml:space="preserve">The aviation scope of the EU ETS was limited to flights within the EEA in the period 2013-2016, pending the adoption of a global approach by the International Civil Aviation Organization (ICAO). </w:t>
                            </w:r>
                            <w:r w:rsidR="009D1D9B">
                              <w:rPr>
                                <w:rFonts w:ascii="Times New Roman" w:hAnsi="Times New Roman"/>
                                <w:sz w:val="24"/>
                                <w:szCs w:val="24"/>
                              </w:rPr>
                              <w:t xml:space="preserve">To support the development </w:t>
                            </w:r>
                            <w:r>
                              <w:rPr>
                                <w:rFonts w:ascii="Times New Roman" w:hAnsi="Times New Roman"/>
                                <w:sz w:val="24"/>
                                <w:szCs w:val="24"/>
                              </w:rPr>
                              <w:t xml:space="preserve">of the Carbon Offsetting and Reduction Scheme for International Aviation (CORSIA), in 2017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 </w:t>
                            </w:r>
                          </w:p>
                          <w:p w14:paraId="7D7EFD4A" w14:textId="0971C6F6" w:rsidR="00516F65" w:rsidRDefault="00516F65" w:rsidP="00743ED3">
                            <w:pPr>
                              <w:jc w:val="both"/>
                              <w:rPr>
                                <w:rFonts w:ascii="Times New Roman" w:hAnsi="Times New Roman"/>
                                <w:sz w:val="24"/>
                                <w:szCs w:val="24"/>
                              </w:rPr>
                            </w:pPr>
                            <w:r>
                              <w:rPr>
                                <w:rFonts w:ascii="Times New Roman" w:hAnsi="Times New Roman"/>
                                <w:sz w:val="24"/>
                                <w:szCs w:val="24"/>
                              </w:rPr>
                              <w:t>The EU ETS covers carbon dioxide (CO</w:t>
                            </w:r>
                            <w:r>
                              <w:rPr>
                                <w:rFonts w:ascii="Times New Roman" w:hAnsi="Times New Roman"/>
                                <w:sz w:val="24"/>
                                <w:szCs w:val="24"/>
                                <w:vertAlign w:val="subscript"/>
                              </w:rPr>
                              <w:t>2</w:t>
                            </w:r>
                            <w:r>
                              <w:rPr>
                                <w:rFonts w:ascii="Times New Roman" w:hAnsi="Times New Roman"/>
                                <w:sz w:val="24"/>
                                <w:szCs w:val="24"/>
                              </w:rPr>
                              <w:t>) emissions, but also nitrous oxide (N</w:t>
                            </w:r>
                            <w:r>
                              <w:rPr>
                                <w:rFonts w:ascii="Times New Roman" w:hAnsi="Times New Roman"/>
                                <w:sz w:val="24"/>
                                <w:szCs w:val="24"/>
                                <w:vertAlign w:val="subscript"/>
                              </w:rPr>
                              <w:t>2</w:t>
                            </w:r>
                            <w:r>
                              <w:rPr>
                                <w:rFonts w:ascii="Times New Roman" w:hAnsi="Times New Roman"/>
                                <w:sz w:val="24"/>
                                <w:szCs w:val="24"/>
                              </w:rPr>
                              <w:t>O) emissions from all nitric, adipic, glyoxylic acid and glyoxal production, and perfluorocarbons (PFC) emissions from aluminium production. Even though participation in the EU ETS is mandatory, in some sectors only installations above a certain size are included. Moreover, participating countries can exclude small installations (emitting less than 25 000 tonnes of CO</w:t>
                            </w:r>
                            <w:r>
                              <w:rPr>
                                <w:rFonts w:ascii="Times New Roman" w:hAnsi="Times New Roman"/>
                                <w:sz w:val="24"/>
                                <w:szCs w:val="24"/>
                                <w:vertAlign w:val="subscript"/>
                              </w:rPr>
                              <w:t>2e</w:t>
                            </w:r>
                            <w:r>
                              <w:rPr>
                                <w:rFonts w:ascii="Times New Roman" w:hAnsi="Times New Roman"/>
                                <w:sz w:val="24"/>
                                <w:szCs w:val="24"/>
                              </w:rPr>
                              <w:t>) from the system if alternative and equivalent measures are in place. In phase 4 very small emitters (with reported emissions of less than 2 500 tonnes of CO</w:t>
                            </w:r>
                            <w:r>
                              <w:rPr>
                                <w:rFonts w:ascii="Times New Roman" w:hAnsi="Times New Roman"/>
                                <w:sz w:val="24"/>
                                <w:szCs w:val="24"/>
                                <w:vertAlign w:val="subscript"/>
                              </w:rPr>
                              <w:t xml:space="preserve">2e </w:t>
                            </w:r>
                            <w:r>
                              <w:rPr>
                                <w:rFonts w:ascii="Times New Roman" w:hAnsi="Times New Roman"/>
                                <w:sz w:val="24"/>
                                <w:szCs w:val="24"/>
                              </w:rPr>
                              <w:t>in the last three years) can be excluded from the EU ETS subject to the existence of simplified monitoring arrangements to assess the quantity of their emissions. Participating countries may also add more sectors and GHGs to the EU ETS</w:t>
                            </w:r>
                            <w:r w:rsidR="00143C3B">
                              <w:rPr>
                                <w:rFonts w:ascii="Times New Roman" w:hAnsi="Times New Roman"/>
                                <w:sz w:val="24"/>
                                <w:szCs w:val="24"/>
                              </w:rPr>
                              <w:t xml:space="preserve"> so called “opt-in”)</w:t>
                            </w:r>
                            <w:r>
                              <w:rPr>
                                <w:rFonts w:ascii="Times New Roman" w:hAnsi="Times New Roman"/>
                                <w:sz w:val="24"/>
                                <w:szCs w:val="24"/>
                              </w:rPr>
                              <w:t>.</w:t>
                            </w:r>
                          </w:p>
                          <w:p w14:paraId="0BC7EF14" w14:textId="77777777" w:rsidR="00516F65" w:rsidRDefault="00516F65" w:rsidP="00743ED3">
                            <w:pPr>
                              <w:jc w:val="both"/>
                              <w:rPr>
                                <w:rFonts w:ascii="Times New Roman" w:hAnsi="Times New Roman"/>
                                <w:sz w:val="18"/>
                                <w:szCs w:val="18"/>
                              </w:rPr>
                            </w:pPr>
                            <w:r>
                              <w:rPr>
                                <w:rFonts w:ascii="Times New Roman" w:hAnsi="Times New Roman"/>
                                <w:sz w:val="18"/>
                                <w:szCs w:val="18"/>
                              </w:rPr>
                              <w:t>* Information on phases 1 and 2 of the EU ETS can be found here:</w:t>
                            </w:r>
                            <w:r>
                              <w:rPr>
                                <w:rFonts w:ascii="Times New Roman" w:hAnsi="Times New Roman"/>
                                <w:sz w:val="24"/>
                                <w:szCs w:val="24"/>
                              </w:rPr>
                              <w:t xml:space="preserve"> </w:t>
                            </w:r>
                            <w:r>
                              <w:rPr>
                                <w:rFonts w:ascii="Times New Roman" w:hAnsi="Times New Roman"/>
                                <w:sz w:val="18"/>
                                <w:szCs w:val="18"/>
                              </w:rPr>
                              <w:t>https://ec.europa.eu/clima/policies/ets/pre2013_en</w:t>
                            </w:r>
                          </w:p>
                          <w:p w14:paraId="102B9B06" w14:textId="77777777" w:rsidR="00516F65" w:rsidRDefault="00516F65" w:rsidP="00743ED3">
                            <w:pPr>
                              <w:jc w:val="both"/>
                            </w:pPr>
                          </w:p>
                        </w:txbxContent>
                      </wps:txbx>
                      <wps:bodyPr rot="0" vert="horz" wrap="square" lIns="91440" tIns="45720" rIns="91440" bIns="45720" anchor="t" anchorCtr="0">
                        <a:noAutofit/>
                      </wps:bodyPr>
                    </wps:wsp>
                  </a:graphicData>
                </a:graphic>
              </wp:inline>
            </w:drawing>
          </mc:Choice>
          <mc:Fallback>
            <w:pict>
              <v:shape w14:anchorId="44B41B6F" id="_x0000_s1027" type="#_x0000_t202" style="width:448.15pt;height:4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" fillcolor="#d9d9d9" strokeweight="1pt">
                <v:textbox>
                  <w:txbxContent>
                    <w:p w14:paraId="73E01DD9" w14:textId="77777777" w:rsidR="00516F65" w:rsidRDefault="00516F65" w:rsidP="00743ED3">
                      <w:pPr>
                        <w:suppressAutoHyphens/>
                        <w:jc w:val="both"/>
                        <w:rPr>
                          <w:rFonts w:ascii="Times New Roman" w:hAnsi="Times New Roman"/>
                          <w:sz w:val="24"/>
                          <w:szCs w:val="24"/>
                        </w:rPr>
                      </w:pPr>
                      <w:r>
                        <w:rPr>
                          <w:rFonts w:ascii="Times New Roman" w:hAnsi="Times New Roman"/>
                          <w:sz w:val="24"/>
                          <w:szCs w:val="24"/>
                        </w:rPr>
                        <w:t xml:space="preserve">The EU ETS operates in the 31 countries of the European Economic Area (EEA). It limits emissions from nearly 11,000 power plants and manufacturing installations as well as over 500 aircraft operators flying between EEA's airports. It </w:t>
                      </w:r>
                      <w:r w:rsidRPr="001B4818">
                        <w:rPr>
                          <w:rFonts w:ascii="Times New Roman" w:hAnsi="Times New Roman"/>
                          <w:sz w:val="24"/>
                          <w:szCs w:val="24"/>
                        </w:rPr>
                        <w:t>covers around</w:t>
                      </w:r>
                      <w:r w:rsidR="00D30645" w:rsidRPr="001B4818">
                        <w:rPr>
                          <w:rFonts w:ascii="Times New Roman" w:hAnsi="Times New Roman"/>
                          <w:sz w:val="24"/>
                          <w:szCs w:val="24"/>
                        </w:rPr>
                        <w:t xml:space="preserve"> 39</w:t>
                      </w:r>
                      <w:r w:rsidRPr="001B4818">
                        <w:rPr>
                          <w:rFonts w:ascii="Times New Roman" w:hAnsi="Times New Roman"/>
                          <w:sz w:val="24"/>
                          <w:szCs w:val="24"/>
                        </w:rPr>
                        <w:t>% of the</w:t>
                      </w:r>
                      <w:r>
                        <w:rPr>
                          <w:rFonts w:ascii="Times New Roman" w:hAnsi="Times New Roman"/>
                          <w:sz w:val="24"/>
                          <w:szCs w:val="24"/>
                        </w:rPr>
                        <w:t xml:space="preserve"> EU's GHG emissions.</w:t>
                      </w:r>
                    </w:p>
                    <w:p w14:paraId="77E60C62" w14:textId="77777777" w:rsidR="00516F65" w:rsidRDefault="00516F65" w:rsidP="00743ED3">
                      <w:pPr>
                        <w:jc w:val="both"/>
                        <w:rPr>
                          <w:rFonts w:ascii="Times New Roman" w:hAnsi="Times New Roman"/>
                          <w:sz w:val="24"/>
                          <w:szCs w:val="24"/>
                        </w:rPr>
                      </w:pPr>
                      <w:r>
                        <w:rPr>
                          <w:rFonts w:ascii="Times New Roman" w:hAnsi="Times New Roman"/>
                          <w:sz w:val="24"/>
                          <w:szCs w:val="24"/>
                        </w:rPr>
                        <w:t>In phase 3 (2013-2020)*, the sectors with stationary installations regulated by the EU ETS are energy intensive industries, including power stations and other combustion plants with &gt;20MW thermal rated input (except hazardous or municipal waste installations), oil refineries, coke ovens, iron and steel, cement clinker, glass, lime, bricks, ceramics, pulp, paper and board, aluminium, petrochemicals, ammonia, nitric, adipic, glyoxal and glyoxylic acid production, CO</w:t>
                      </w:r>
                      <w:r>
                        <w:rPr>
                          <w:rFonts w:ascii="Times New Roman" w:hAnsi="Times New Roman"/>
                          <w:sz w:val="24"/>
                          <w:szCs w:val="24"/>
                          <w:vertAlign w:val="subscript"/>
                        </w:rPr>
                        <w:t>2</w:t>
                      </w:r>
                      <w:r>
                        <w:rPr>
                          <w:rFonts w:ascii="Times New Roman" w:hAnsi="Times New Roman"/>
                          <w:sz w:val="24"/>
                          <w:szCs w:val="24"/>
                        </w:rPr>
                        <w:t xml:space="preserve"> capture, transport in pipelines and geological storage of CO</w:t>
                      </w:r>
                      <w:r>
                        <w:rPr>
                          <w:rFonts w:ascii="Times New Roman" w:hAnsi="Times New Roman"/>
                          <w:sz w:val="24"/>
                          <w:szCs w:val="24"/>
                          <w:vertAlign w:val="subscript"/>
                        </w:rPr>
                        <w:t>2</w:t>
                      </w:r>
                      <w:r>
                        <w:rPr>
                          <w:rFonts w:ascii="Times New Roman" w:hAnsi="Times New Roman"/>
                          <w:sz w:val="24"/>
                          <w:szCs w:val="24"/>
                        </w:rPr>
                        <w:t xml:space="preserve">. </w:t>
                      </w:r>
                    </w:p>
                    <w:p w14:paraId="4F7603DC" w14:textId="4A91D654" w:rsidR="00516F65" w:rsidRDefault="00516F65" w:rsidP="00743ED3">
                      <w:pPr>
                        <w:jc w:val="both"/>
                        <w:rPr>
                          <w:rFonts w:ascii="Times New Roman" w:hAnsi="Times New Roman"/>
                          <w:sz w:val="24"/>
                          <w:szCs w:val="24"/>
                        </w:rPr>
                      </w:pPr>
                      <w:r>
                        <w:rPr>
                          <w:rFonts w:ascii="Times New Roman" w:hAnsi="Times New Roman"/>
                          <w:sz w:val="24"/>
                          <w:szCs w:val="24"/>
                        </w:rPr>
                        <w:t xml:space="preserve">The aviation scope of the EU ETS was limited to flights within the EEA in the period 2013-2016, pending the adoption of a global approach by the International Civil Aviation Organization (ICAO). </w:t>
                      </w:r>
                      <w:r w:rsidR="009D1D9B">
                        <w:rPr>
                          <w:rFonts w:ascii="Times New Roman" w:hAnsi="Times New Roman"/>
                          <w:sz w:val="24"/>
                          <w:szCs w:val="24"/>
                        </w:rPr>
                        <w:t xml:space="preserve">To support the development </w:t>
                      </w:r>
                      <w:r>
                        <w:rPr>
                          <w:rFonts w:ascii="Times New Roman" w:hAnsi="Times New Roman"/>
                          <w:sz w:val="24"/>
                          <w:szCs w:val="24"/>
                        </w:rPr>
                        <w:t xml:space="preserve">of the Carbon Offsetting and Reduction Scheme for International Aviation (CORSIA), in 2017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 </w:t>
                      </w:r>
                    </w:p>
                    <w:p w14:paraId="7D7EFD4A" w14:textId="0971C6F6" w:rsidR="00516F65" w:rsidRDefault="00516F65" w:rsidP="00743ED3">
                      <w:pPr>
                        <w:jc w:val="both"/>
                        <w:rPr>
                          <w:rFonts w:ascii="Times New Roman" w:hAnsi="Times New Roman"/>
                          <w:sz w:val="24"/>
                          <w:szCs w:val="24"/>
                        </w:rPr>
                      </w:pPr>
                      <w:r>
                        <w:rPr>
                          <w:rFonts w:ascii="Times New Roman" w:hAnsi="Times New Roman"/>
                          <w:sz w:val="24"/>
                          <w:szCs w:val="24"/>
                        </w:rPr>
                        <w:t>The EU ETS covers carbon dioxide (CO</w:t>
                      </w:r>
                      <w:r>
                        <w:rPr>
                          <w:rFonts w:ascii="Times New Roman" w:hAnsi="Times New Roman"/>
                          <w:sz w:val="24"/>
                          <w:szCs w:val="24"/>
                          <w:vertAlign w:val="subscript"/>
                        </w:rPr>
                        <w:t>2</w:t>
                      </w:r>
                      <w:r>
                        <w:rPr>
                          <w:rFonts w:ascii="Times New Roman" w:hAnsi="Times New Roman"/>
                          <w:sz w:val="24"/>
                          <w:szCs w:val="24"/>
                        </w:rPr>
                        <w:t>) emissions, but also nitrous oxide (N</w:t>
                      </w:r>
                      <w:r>
                        <w:rPr>
                          <w:rFonts w:ascii="Times New Roman" w:hAnsi="Times New Roman"/>
                          <w:sz w:val="24"/>
                          <w:szCs w:val="24"/>
                          <w:vertAlign w:val="subscript"/>
                        </w:rPr>
                        <w:t>2</w:t>
                      </w:r>
                      <w:r>
                        <w:rPr>
                          <w:rFonts w:ascii="Times New Roman" w:hAnsi="Times New Roman"/>
                          <w:sz w:val="24"/>
                          <w:szCs w:val="24"/>
                        </w:rPr>
                        <w:t>O) emissions from all nitric, adipic, glyoxylic acid and glyoxal production, and perfluorocarbons (PFC) emissions from aluminium production. Even though participation in the EU ETS is mandatory, in some sectors only installations above a certain size are included. Moreover, participating countries can exclude small installations (emitting less than 25 000 tonnes of CO</w:t>
                      </w:r>
                      <w:r>
                        <w:rPr>
                          <w:rFonts w:ascii="Times New Roman" w:hAnsi="Times New Roman"/>
                          <w:sz w:val="24"/>
                          <w:szCs w:val="24"/>
                          <w:vertAlign w:val="subscript"/>
                        </w:rPr>
                        <w:t>2e</w:t>
                      </w:r>
                      <w:r>
                        <w:rPr>
                          <w:rFonts w:ascii="Times New Roman" w:hAnsi="Times New Roman"/>
                          <w:sz w:val="24"/>
                          <w:szCs w:val="24"/>
                        </w:rPr>
                        <w:t>) from the system if alternative and equivalent measures are in place. In phase 4 very small emitters (with reported emissions of less than 2 500 tonnes of CO</w:t>
                      </w:r>
                      <w:r>
                        <w:rPr>
                          <w:rFonts w:ascii="Times New Roman" w:hAnsi="Times New Roman"/>
                          <w:sz w:val="24"/>
                          <w:szCs w:val="24"/>
                          <w:vertAlign w:val="subscript"/>
                        </w:rPr>
                        <w:t xml:space="preserve">2e </w:t>
                      </w:r>
                      <w:r>
                        <w:rPr>
                          <w:rFonts w:ascii="Times New Roman" w:hAnsi="Times New Roman"/>
                          <w:sz w:val="24"/>
                          <w:szCs w:val="24"/>
                        </w:rPr>
                        <w:t>in the last three years) can be excluded from the EU ETS subject to the existence of simplified monitoring arrangements to assess the quantity of their emissions. Participating countries may also add more sectors and GHGs to the EU ETS</w:t>
                      </w:r>
                      <w:r w:rsidR="00143C3B">
                        <w:rPr>
                          <w:rFonts w:ascii="Times New Roman" w:hAnsi="Times New Roman"/>
                          <w:sz w:val="24"/>
                          <w:szCs w:val="24"/>
                        </w:rPr>
                        <w:t xml:space="preserve"> so called “opt-in”)</w:t>
                      </w:r>
                      <w:r>
                        <w:rPr>
                          <w:rFonts w:ascii="Times New Roman" w:hAnsi="Times New Roman"/>
                          <w:sz w:val="24"/>
                          <w:szCs w:val="24"/>
                        </w:rPr>
                        <w:t>.</w:t>
                      </w:r>
                    </w:p>
                    <w:p w14:paraId="0BC7EF14" w14:textId="77777777" w:rsidR="00516F65" w:rsidRDefault="00516F65" w:rsidP="00743ED3">
                      <w:pPr>
                        <w:jc w:val="both"/>
                        <w:rPr>
                          <w:rFonts w:ascii="Times New Roman" w:hAnsi="Times New Roman"/>
                          <w:sz w:val="18"/>
                          <w:szCs w:val="18"/>
                        </w:rPr>
                      </w:pPr>
                      <w:r>
                        <w:rPr>
                          <w:rFonts w:ascii="Times New Roman" w:hAnsi="Times New Roman"/>
                          <w:sz w:val="18"/>
                          <w:szCs w:val="18"/>
                        </w:rPr>
                        <w:t>* Information on phases 1 and 2 of the EU ETS can be found here:</w:t>
                      </w:r>
                      <w:r>
                        <w:rPr>
                          <w:rFonts w:ascii="Times New Roman" w:hAnsi="Times New Roman"/>
                          <w:sz w:val="24"/>
                          <w:szCs w:val="24"/>
                        </w:rPr>
                        <w:t xml:space="preserve"> </w:t>
                      </w:r>
                      <w:r>
                        <w:rPr>
                          <w:rFonts w:ascii="Times New Roman" w:hAnsi="Times New Roman"/>
                          <w:sz w:val="18"/>
                          <w:szCs w:val="18"/>
                        </w:rPr>
                        <w:t>https://ec.europa.eu/clima/policies/ets/pre2013_en</w:t>
                      </w:r>
                    </w:p>
                    <w:p w14:paraId="102B9B06" w14:textId="77777777" w:rsidR="00516F65" w:rsidRDefault="00516F65" w:rsidP="00743ED3">
                      <w:pPr>
                        <w:jc w:val="both"/>
                      </w:pPr>
                    </w:p>
                  </w:txbxContent>
                </v:textbox>
                <w10:anchorlock/>
              </v:shape>
            </w:pict>
          </mc:Fallback>
        </mc:AlternateContent>
      </w:r>
    </w:p>
    <w:p w14:paraId="57CC040F" w14:textId="77777777" w:rsidR="00743ED3" w:rsidRPr="00516F65" w:rsidRDefault="00743ED3" w:rsidP="00743ED3">
      <w:pPr>
        <w:jc w:val="both"/>
        <w:rPr>
          <w:rFonts w:ascii="Times New Roman" w:hAnsi="Times New Roman"/>
          <w:noProof/>
          <w:sz w:val="24"/>
          <w:szCs w:val="24"/>
        </w:rPr>
      </w:pPr>
      <w:r w:rsidRPr="00516F65">
        <w:rPr>
          <w:rFonts w:ascii="Times New Roman" w:hAnsi="Times New Roman"/>
          <w:noProof/>
          <w:sz w:val="24"/>
          <w:szCs w:val="24"/>
        </w:rPr>
        <w:t>According to the Article 21 reports submitted by participating countries</w:t>
      </w:r>
      <w:r w:rsidRPr="00516F65">
        <w:rPr>
          <w:rStyle w:val="FootnoteReference"/>
          <w:rFonts w:ascii="Times New Roman" w:hAnsi="Times New Roman"/>
          <w:noProof/>
          <w:sz w:val="24"/>
          <w:szCs w:val="24"/>
        </w:rPr>
        <w:footnoteReference w:id="5"/>
      </w:r>
      <w:r w:rsidRPr="00516F65">
        <w:rPr>
          <w:rFonts w:ascii="Times New Roman" w:hAnsi="Times New Roman"/>
          <w:noProof/>
          <w:sz w:val="24"/>
          <w:szCs w:val="24"/>
        </w:rPr>
        <w:t xml:space="preserve"> in 2019, there were a total of 10 744 permitted installations in 2018.</w:t>
      </w:r>
    </w:p>
    <w:p w14:paraId="48C4A903" w14:textId="77777777" w:rsidR="00743ED3" w:rsidRPr="003F30A8" w:rsidRDefault="00743ED3" w:rsidP="00743ED3">
      <w:pPr>
        <w:jc w:val="both"/>
        <w:rPr>
          <w:rFonts w:ascii="Times New Roman" w:hAnsi="Times New Roman"/>
          <w:noProof/>
          <w:sz w:val="24"/>
          <w:szCs w:val="24"/>
        </w:rPr>
      </w:pPr>
      <w:r w:rsidRPr="00516F65">
        <w:rPr>
          <w:rFonts w:ascii="Times New Roman" w:hAnsi="Times New Roman"/>
          <w:noProof/>
          <w:sz w:val="24"/>
          <w:szCs w:val="24"/>
        </w:rPr>
        <w:t xml:space="preserve">As was the case in previous years, the fuels combusted within the EU ETS in 2018 remained overwhelmingly fossil. However, 29 countries also reported biomass use in connection with 2 181 installations (20.3% of all installations). Two countries (LI and MT) did not report any </w:t>
      </w:r>
      <w:r w:rsidRPr="00171CDC">
        <w:rPr>
          <w:rFonts w:ascii="Times New Roman" w:hAnsi="Times New Roman"/>
          <w:noProof/>
          <w:sz w:val="24"/>
          <w:szCs w:val="24"/>
        </w:rPr>
        <w:t>use of biomass</w:t>
      </w:r>
      <w:r w:rsidR="00C82E25" w:rsidRPr="00171CDC">
        <w:rPr>
          <w:rFonts w:ascii="Times New Roman" w:hAnsi="Times New Roman"/>
          <w:noProof/>
          <w:sz w:val="24"/>
          <w:szCs w:val="24"/>
        </w:rPr>
        <w:t>.</w:t>
      </w:r>
      <w:r w:rsidRPr="00171CDC">
        <w:rPr>
          <w:rFonts w:ascii="Times New Roman" w:hAnsi="Times New Roman"/>
          <w:noProof/>
          <w:sz w:val="24"/>
          <w:szCs w:val="24"/>
        </w:rPr>
        <w:t xml:space="preserve"> </w:t>
      </w:r>
      <w:r w:rsidR="00A1580F" w:rsidRPr="00171CDC">
        <w:rPr>
          <w:rFonts w:ascii="Times New Roman" w:hAnsi="Times New Roman"/>
          <w:noProof/>
          <w:sz w:val="24"/>
          <w:szCs w:val="24"/>
        </w:rPr>
        <w:t>Total e</w:t>
      </w:r>
      <w:r w:rsidRPr="00171CDC">
        <w:rPr>
          <w:rFonts w:ascii="Times New Roman" w:hAnsi="Times New Roman"/>
          <w:noProof/>
          <w:sz w:val="24"/>
          <w:szCs w:val="24"/>
        </w:rPr>
        <w:t>missions</w:t>
      </w:r>
      <w:r w:rsidR="00C82E25" w:rsidRPr="00171CDC">
        <w:rPr>
          <w:rFonts w:ascii="Times New Roman" w:hAnsi="Times New Roman"/>
          <w:noProof/>
          <w:sz w:val="24"/>
          <w:szCs w:val="24"/>
        </w:rPr>
        <w:t xml:space="preserve"> </w:t>
      </w:r>
      <w:r w:rsidRPr="00171CDC">
        <w:rPr>
          <w:rFonts w:ascii="Times New Roman" w:hAnsi="Times New Roman"/>
          <w:noProof/>
          <w:sz w:val="24"/>
          <w:szCs w:val="24"/>
        </w:rPr>
        <w:t>from biomass in 2018 amounted to approximately 1</w:t>
      </w:r>
      <w:r w:rsidR="004C116F" w:rsidRPr="00171CDC">
        <w:rPr>
          <w:rFonts w:ascii="Times New Roman" w:hAnsi="Times New Roman"/>
          <w:noProof/>
          <w:sz w:val="24"/>
          <w:szCs w:val="24"/>
        </w:rPr>
        <w:t>51</w:t>
      </w:r>
      <w:r w:rsidRPr="00171CDC">
        <w:rPr>
          <w:rFonts w:ascii="Times New Roman" w:hAnsi="Times New Roman"/>
          <w:noProof/>
          <w:sz w:val="24"/>
          <w:szCs w:val="24"/>
        </w:rPr>
        <w:t xml:space="preserve"> million </w:t>
      </w:r>
      <w:r w:rsidRPr="003F30A8">
        <w:rPr>
          <w:rFonts w:ascii="Times New Roman" w:hAnsi="Times New Roman"/>
          <w:noProof/>
          <w:sz w:val="24"/>
          <w:szCs w:val="24"/>
        </w:rPr>
        <w:t>tonnes 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w:t>
      </w:r>
      <w:r w:rsidRPr="001B4818">
        <w:rPr>
          <w:rFonts w:ascii="Times New Roman" w:hAnsi="Times New Roman"/>
          <w:noProof/>
          <w:sz w:val="24"/>
          <w:szCs w:val="24"/>
        </w:rPr>
        <w:t>(</w:t>
      </w:r>
      <w:r w:rsidR="00D30645" w:rsidRPr="001B4818">
        <w:rPr>
          <w:rFonts w:ascii="Times New Roman" w:hAnsi="Times New Roman"/>
          <w:noProof/>
          <w:sz w:val="24"/>
          <w:szCs w:val="24"/>
        </w:rPr>
        <w:t>9</w:t>
      </w:r>
      <w:r w:rsidRPr="001B4818">
        <w:rPr>
          <w:rFonts w:ascii="Times New Roman" w:hAnsi="Times New Roman"/>
          <w:noProof/>
          <w:sz w:val="24"/>
          <w:szCs w:val="24"/>
        </w:rPr>
        <w:t>% of ETS reported emissions),</w:t>
      </w:r>
      <w:r w:rsidRPr="003F30A8">
        <w:rPr>
          <w:rFonts w:ascii="Times New Roman" w:hAnsi="Times New Roman"/>
          <w:noProof/>
          <w:sz w:val="24"/>
          <w:szCs w:val="24"/>
        </w:rPr>
        <w:t xml:space="preserve"> a</w:t>
      </w:r>
      <w:r w:rsidR="004C116F" w:rsidRPr="003F30A8">
        <w:rPr>
          <w:rFonts w:ascii="Times New Roman" w:hAnsi="Times New Roman"/>
          <w:noProof/>
          <w:sz w:val="24"/>
          <w:szCs w:val="24"/>
        </w:rPr>
        <w:t xml:space="preserve"> slight </w:t>
      </w:r>
      <w:r w:rsidRPr="003F30A8">
        <w:rPr>
          <w:rFonts w:ascii="Times New Roman" w:hAnsi="Times New Roman"/>
          <w:noProof/>
          <w:sz w:val="24"/>
          <w:szCs w:val="24"/>
        </w:rPr>
        <w:t>increase from the 145 million tonnes 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in 2017 (8% of ETS reported emissions). </w:t>
      </w:r>
      <w:r w:rsidR="003F30A8">
        <w:rPr>
          <w:rFonts w:ascii="Times New Roman" w:hAnsi="Times New Roman"/>
          <w:noProof/>
          <w:sz w:val="24"/>
          <w:szCs w:val="24"/>
        </w:rPr>
        <w:t>Out of these, 99.2</w:t>
      </w:r>
      <w:r w:rsidR="00A1580F" w:rsidRPr="003F30A8">
        <w:rPr>
          <w:rFonts w:ascii="Times New Roman" w:hAnsi="Times New Roman"/>
          <w:noProof/>
          <w:sz w:val="24"/>
          <w:szCs w:val="24"/>
        </w:rPr>
        <w:t>% were zero-rated</w:t>
      </w:r>
      <w:r w:rsidR="00A1580F" w:rsidRPr="00171CDC">
        <w:rPr>
          <w:rStyle w:val="FootnoteReference"/>
          <w:rFonts w:ascii="Times New Roman" w:hAnsi="Times New Roman"/>
          <w:noProof/>
          <w:sz w:val="24"/>
          <w:szCs w:val="24"/>
        </w:rPr>
        <w:footnoteReference w:id="6"/>
      </w:r>
      <w:r w:rsidR="00A1580F" w:rsidRPr="00171CDC">
        <w:rPr>
          <w:rFonts w:ascii="Times New Roman" w:hAnsi="Times New Roman"/>
          <w:noProof/>
          <w:sz w:val="24"/>
          <w:szCs w:val="24"/>
        </w:rPr>
        <w:t xml:space="preserve">. </w:t>
      </w:r>
      <w:r w:rsidRPr="00171CDC">
        <w:rPr>
          <w:rFonts w:ascii="Times New Roman" w:hAnsi="Times New Roman"/>
          <w:noProof/>
          <w:sz w:val="24"/>
          <w:szCs w:val="24"/>
        </w:rPr>
        <w:t>For 2018, no country reported use of biofuel for aircraft operators, while for 2017 only Sweden had reported such use for two aircraft operators.</w:t>
      </w:r>
    </w:p>
    <w:p w14:paraId="3B94B1B4" w14:textId="77777777" w:rsidR="00F24CFE" w:rsidRDefault="00743ED3" w:rsidP="00743ED3">
      <w:pPr>
        <w:jc w:val="both"/>
        <w:rPr>
          <w:rFonts w:ascii="Times New Roman" w:hAnsi="Times New Roman"/>
          <w:noProof/>
          <w:sz w:val="24"/>
          <w:szCs w:val="24"/>
        </w:rPr>
      </w:pPr>
      <w:r w:rsidRPr="003F30A8">
        <w:rPr>
          <w:rFonts w:ascii="Times New Roman" w:hAnsi="Times New Roman"/>
          <w:noProof/>
          <w:sz w:val="24"/>
          <w:szCs w:val="24"/>
        </w:rPr>
        <w:t>Within the installation categories based on annual emissions</w:t>
      </w:r>
      <w:r w:rsidRPr="00171CDC">
        <w:rPr>
          <w:rFonts w:ascii="Times New Roman" w:hAnsi="Times New Roman"/>
          <w:noProof/>
          <w:sz w:val="24"/>
          <w:szCs w:val="24"/>
          <w:vertAlign w:val="superscript"/>
        </w:rPr>
        <w:footnoteReference w:id="7"/>
      </w:r>
      <w:r w:rsidRPr="00171CDC">
        <w:rPr>
          <w:rFonts w:ascii="Times New Roman" w:hAnsi="Times New Roman"/>
          <w:noProof/>
          <w:sz w:val="24"/>
          <w:szCs w:val="24"/>
        </w:rPr>
        <w:t xml:space="preserve">, the data for 2018 shows that, as in previous years, 72% of installations are category A, 21% are category B and 7% are category C. 6 113 </w:t>
      </w:r>
      <w:r w:rsidR="009B1CC8" w:rsidRPr="00171CDC">
        <w:rPr>
          <w:rFonts w:ascii="Times New Roman" w:hAnsi="Times New Roman"/>
          <w:noProof/>
          <w:sz w:val="24"/>
          <w:szCs w:val="24"/>
        </w:rPr>
        <w:t>installations were reported as “</w:t>
      </w:r>
      <w:r w:rsidRPr="003F30A8">
        <w:rPr>
          <w:rFonts w:ascii="Times New Roman" w:hAnsi="Times New Roman"/>
          <w:noProof/>
          <w:sz w:val="24"/>
          <w:szCs w:val="24"/>
        </w:rPr>
        <w:t>i</w:t>
      </w:r>
      <w:r w:rsidR="009B1CC8" w:rsidRPr="003F30A8">
        <w:rPr>
          <w:rFonts w:ascii="Times New Roman" w:hAnsi="Times New Roman"/>
          <w:noProof/>
          <w:sz w:val="24"/>
          <w:szCs w:val="24"/>
        </w:rPr>
        <w:t>nstallations with low emissions</w:t>
      </w:r>
      <w:r w:rsidR="009B1CC8" w:rsidRPr="00171CDC">
        <w:rPr>
          <w:rFonts w:ascii="Times New Roman" w:hAnsi="Times New Roman"/>
          <w:noProof/>
          <w:sz w:val="24"/>
          <w:szCs w:val="24"/>
        </w:rPr>
        <w:t>”</w:t>
      </w:r>
      <w:r w:rsidR="00880749">
        <w:rPr>
          <w:rStyle w:val="FootnoteReference"/>
          <w:rFonts w:ascii="Times New Roman" w:hAnsi="Times New Roman"/>
          <w:noProof/>
          <w:sz w:val="24"/>
          <w:szCs w:val="24"/>
        </w:rPr>
        <w:footnoteReference w:id="8"/>
      </w:r>
      <w:r w:rsidRPr="00171CDC">
        <w:rPr>
          <w:rFonts w:ascii="Times New Roman" w:hAnsi="Times New Roman"/>
          <w:noProof/>
          <w:sz w:val="24"/>
          <w:szCs w:val="24"/>
        </w:rPr>
        <w:t xml:space="preserve"> (57% of the total).</w:t>
      </w:r>
      <w:r w:rsidRPr="00516F65">
        <w:rPr>
          <w:rFonts w:ascii="Times New Roman" w:hAnsi="Times New Roman"/>
          <w:noProof/>
          <w:sz w:val="24"/>
          <w:szCs w:val="24"/>
        </w:rPr>
        <w:t xml:space="preserve"> </w:t>
      </w:r>
      <w:r w:rsidRPr="003F30A8">
        <w:rPr>
          <w:rFonts w:ascii="Times New Roman" w:hAnsi="Times New Roman"/>
          <w:noProof/>
          <w:sz w:val="24"/>
          <w:szCs w:val="24"/>
        </w:rPr>
        <w:t xml:space="preserve"> </w:t>
      </w:r>
    </w:p>
    <w:p w14:paraId="52722985" w14:textId="77777777" w:rsidR="00743ED3" w:rsidRPr="00516F65" w:rsidRDefault="00743ED3" w:rsidP="00743ED3">
      <w:pPr>
        <w:jc w:val="both"/>
        <w:rPr>
          <w:rFonts w:ascii="Times New Roman" w:hAnsi="Times New Roman"/>
          <w:noProof/>
          <w:sz w:val="24"/>
          <w:szCs w:val="24"/>
        </w:rPr>
      </w:pPr>
      <w:r w:rsidRPr="003F30A8">
        <w:rPr>
          <w:rFonts w:ascii="Times New Roman" w:hAnsi="Times New Roman"/>
          <w:noProof/>
          <w:sz w:val="24"/>
          <w:szCs w:val="24"/>
        </w:rPr>
        <w:t>Regarding EU ETS activities additionally listed for non-CO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emissions, permits are reported as issued in 12 countries for primary aluminium and perfluorocarbons (PFCs) (DE, FR, EL, IS, IT, NL, NO, RO, SE, SI, SK, UK), while for nitric acid production and N</w:t>
      </w:r>
      <w:r w:rsidRPr="003F30A8">
        <w:rPr>
          <w:rFonts w:ascii="Times New Roman" w:hAnsi="Times New Roman"/>
          <w:noProof/>
          <w:sz w:val="24"/>
          <w:szCs w:val="24"/>
          <w:vertAlign w:val="subscript"/>
        </w:rPr>
        <w:t>2</w:t>
      </w:r>
      <w:r w:rsidRPr="003F30A8">
        <w:rPr>
          <w:rFonts w:ascii="Times New Roman" w:hAnsi="Times New Roman"/>
          <w:noProof/>
          <w:sz w:val="24"/>
          <w:szCs w:val="24"/>
        </w:rPr>
        <w:t>O permits are reported as issued in 20 countries (all except CY, DK, EE, ES, IE, IS, LI, LU, LV, MT, and SI). The other N</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O sectors – adipic acid production and glyoxal and glyoxylic acid production are reported in </w:t>
      </w:r>
      <w:r w:rsidR="00B554D5" w:rsidRPr="003F30A8">
        <w:rPr>
          <w:rFonts w:ascii="Times New Roman" w:hAnsi="Times New Roman"/>
          <w:noProof/>
          <w:sz w:val="24"/>
          <w:szCs w:val="24"/>
        </w:rPr>
        <w:t>three</w:t>
      </w:r>
      <w:r w:rsidRPr="003F30A8">
        <w:rPr>
          <w:rFonts w:ascii="Times New Roman" w:hAnsi="Times New Roman"/>
          <w:noProof/>
          <w:sz w:val="24"/>
          <w:szCs w:val="24"/>
        </w:rPr>
        <w:t xml:space="preserve"> (DE, FR, IT) and </w:t>
      </w:r>
      <w:r w:rsidR="00B554D5" w:rsidRPr="003F30A8">
        <w:rPr>
          <w:rFonts w:ascii="Times New Roman" w:hAnsi="Times New Roman"/>
          <w:noProof/>
          <w:sz w:val="24"/>
          <w:szCs w:val="24"/>
        </w:rPr>
        <w:t>two</w:t>
      </w:r>
      <w:r w:rsidRPr="003F30A8">
        <w:rPr>
          <w:rFonts w:ascii="Times New Roman" w:hAnsi="Times New Roman"/>
          <w:noProof/>
          <w:sz w:val="24"/>
          <w:szCs w:val="24"/>
        </w:rPr>
        <w:t xml:space="preserve"> (DE, FR) countries, respectively. Only Norway and Austria declar</w:t>
      </w:r>
      <w:r w:rsidR="00516F65" w:rsidRPr="003F30A8">
        <w:rPr>
          <w:rFonts w:ascii="Times New Roman" w:hAnsi="Times New Roman"/>
          <w:noProof/>
          <w:sz w:val="24"/>
          <w:szCs w:val="24"/>
        </w:rPr>
        <w:t>ed</w:t>
      </w:r>
      <w:r w:rsidRPr="003F30A8">
        <w:rPr>
          <w:rFonts w:ascii="Times New Roman" w:hAnsi="Times New Roman"/>
          <w:noProof/>
          <w:sz w:val="24"/>
          <w:szCs w:val="24"/>
        </w:rPr>
        <w:t xml:space="preserve"> CO</w:t>
      </w:r>
      <w:r w:rsidRPr="003F30A8">
        <w:rPr>
          <w:rFonts w:ascii="Times New Roman" w:hAnsi="Times New Roman"/>
          <w:noProof/>
          <w:sz w:val="24"/>
          <w:szCs w:val="24"/>
          <w:vertAlign w:val="subscript"/>
        </w:rPr>
        <w:t>2</w:t>
      </w:r>
      <w:r w:rsidRPr="003F30A8">
        <w:rPr>
          <w:rFonts w:ascii="Times New Roman" w:hAnsi="Times New Roman"/>
          <w:noProof/>
          <w:sz w:val="24"/>
          <w:szCs w:val="24"/>
        </w:rPr>
        <w:t xml:space="preserve"> capture and storage activities.</w:t>
      </w:r>
    </w:p>
    <w:p w14:paraId="00AFB913" w14:textId="77777777" w:rsidR="00743ED3" w:rsidRPr="00516F65" w:rsidRDefault="00743ED3" w:rsidP="00743ED3">
      <w:pPr>
        <w:jc w:val="both"/>
        <w:rPr>
          <w:rFonts w:ascii="Times New Roman" w:hAnsi="Times New Roman"/>
          <w:noProof/>
          <w:sz w:val="24"/>
          <w:szCs w:val="24"/>
        </w:rPr>
      </w:pPr>
      <w:r w:rsidRPr="00516F65">
        <w:rPr>
          <w:rFonts w:ascii="Times New Roman" w:hAnsi="Times New Roman"/>
          <w:noProof/>
          <w:sz w:val="24"/>
          <w:szCs w:val="24"/>
        </w:rPr>
        <w:t>As last year, seven countries (ES, FR, HR, IS, IT, SI, UK) have made use of the possibility to exclude small emitters from the EU ETS in line with Art</w:t>
      </w:r>
      <w:r w:rsidR="00F24CFE">
        <w:rPr>
          <w:rFonts w:ascii="Times New Roman" w:hAnsi="Times New Roman"/>
          <w:noProof/>
          <w:sz w:val="24"/>
          <w:szCs w:val="24"/>
        </w:rPr>
        <w:t>icle 27 of the EU ETS Directive</w:t>
      </w:r>
      <w:r w:rsidRPr="00516F65">
        <w:rPr>
          <w:rFonts w:ascii="Times New Roman" w:hAnsi="Times New Roman"/>
          <w:noProof/>
          <w:sz w:val="24"/>
          <w:szCs w:val="24"/>
        </w:rPr>
        <w:t>. Emissions excluded for 2018 amounted to 2.92 million tonnes CO</w:t>
      </w:r>
      <w:r w:rsidRPr="00516F65">
        <w:rPr>
          <w:rFonts w:ascii="Times New Roman" w:hAnsi="Times New Roman"/>
          <w:noProof/>
          <w:sz w:val="24"/>
          <w:szCs w:val="24"/>
          <w:vertAlign w:val="subscript"/>
        </w:rPr>
        <w:t>2</w:t>
      </w:r>
      <w:r w:rsidRPr="00516F65">
        <w:rPr>
          <w:rFonts w:ascii="Times New Roman" w:hAnsi="Times New Roman"/>
          <w:noProof/>
          <w:sz w:val="24"/>
          <w:szCs w:val="24"/>
        </w:rPr>
        <w:t xml:space="preserve"> (some 0.17% of total verified emissions, compared to 0.16% the year before).</w:t>
      </w:r>
    </w:p>
    <w:p w14:paraId="705BB4A3" w14:textId="77777777" w:rsidR="00743ED3" w:rsidRPr="00516F65" w:rsidRDefault="00743ED3" w:rsidP="00743ED3">
      <w:pPr>
        <w:jc w:val="both"/>
        <w:rPr>
          <w:rFonts w:ascii="Times New Roman" w:hAnsi="Times New Roman"/>
          <w:noProof/>
          <w:sz w:val="24"/>
          <w:szCs w:val="24"/>
        </w:rPr>
      </w:pPr>
      <w:r w:rsidRPr="00516F65">
        <w:rPr>
          <w:rFonts w:ascii="Times New Roman" w:hAnsi="Times New Roman"/>
          <w:noProof/>
          <w:sz w:val="24"/>
          <w:szCs w:val="24"/>
        </w:rPr>
        <w:t>According to Article 21 submissions in 2019, so far eight countries (BE, DK, FR, HR, HU, LI, LT, NL) have taken advantage of the provision offered by Article 13 of the Monitoring and Reporting Regulation (MRR)</w:t>
      </w:r>
      <w:r w:rsidRPr="00516F65">
        <w:rPr>
          <w:rStyle w:val="FootnoteReference"/>
          <w:rFonts w:ascii="Times New Roman" w:hAnsi="Times New Roman"/>
          <w:noProof/>
          <w:sz w:val="24"/>
          <w:szCs w:val="24"/>
        </w:rPr>
        <w:footnoteReference w:id="9"/>
      </w:r>
      <w:r w:rsidRPr="00516F65">
        <w:rPr>
          <w:rFonts w:ascii="Times New Roman" w:hAnsi="Times New Roman"/>
          <w:noProof/>
          <w:sz w:val="24"/>
          <w:szCs w:val="24"/>
        </w:rPr>
        <w:t xml:space="preserve"> to allow use of simplified monitoring plans in low risk cases for stationary installations. In the case of aircraft operators with low emissions, three countries reported use of this provision for 2018 (BE, IS and PL).</w:t>
      </w:r>
    </w:p>
    <w:p w14:paraId="092DCDE6" w14:textId="77777777" w:rsidR="00154103" w:rsidRPr="00E72EF9" w:rsidRDefault="00743ED3" w:rsidP="002802C4">
      <w:pPr>
        <w:jc w:val="both"/>
      </w:pPr>
      <w:r w:rsidRPr="00516F65">
        <w:rPr>
          <w:rFonts w:ascii="Times New Roman" w:hAnsi="Times New Roman"/>
          <w:noProof/>
          <w:sz w:val="24"/>
          <w:szCs w:val="24"/>
        </w:rPr>
        <w:t>In 2018, 655 aircraft operators were reported to have a monitoring plan (compared to 541 for 2017, and 503 for 2016). 50% (328) of the reported operators were commercial, while the other 50% (327) were non-commercial.</w:t>
      </w:r>
      <w:r w:rsidRPr="00516F65">
        <w:rPr>
          <w:rStyle w:val="FootnoteReference"/>
          <w:rFonts w:ascii="Times New Roman" w:hAnsi="Times New Roman"/>
          <w:noProof/>
          <w:sz w:val="24"/>
          <w:szCs w:val="24"/>
        </w:rPr>
        <w:footnoteReference w:id="10"/>
      </w:r>
      <w:r w:rsidRPr="00516F65">
        <w:rPr>
          <w:rFonts w:ascii="Times New Roman" w:hAnsi="Times New Roman"/>
          <w:noProof/>
          <w:sz w:val="24"/>
          <w:szCs w:val="24"/>
        </w:rPr>
        <w:t xml:space="preserve"> A total of 287 (44%) qualified as small emitters (compared to 280 (52%) in 2017 and 249 (50%) in 2016).</w:t>
      </w:r>
      <w:r>
        <w:rPr>
          <w:rFonts w:ascii="Times New Roman" w:hAnsi="Times New Roman"/>
          <w:noProof/>
          <w:sz w:val="24"/>
          <w:szCs w:val="24"/>
        </w:rPr>
        <w:t xml:space="preserve"> </w:t>
      </w:r>
    </w:p>
    <w:p w14:paraId="3D40B929" w14:textId="77777777" w:rsidR="005F6BD0" w:rsidRDefault="00A52F4C">
      <w:pPr>
        <w:pStyle w:val="Heading1"/>
        <w:spacing w:before="0" w:after="200"/>
        <w:rPr>
          <w:noProof/>
        </w:rPr>
      </w:pPr>
      <w:bookmarkStart w:id="12" w:name="_Toc426378556"/>
      <w:bookmarkStart w:id="13" w:name="_Toc490850421"/>
      <w:bookmarkStart w:id="14" w:name="_Toc519009677"/>
      <w:bookmarkStart w:id="15" w:name="_Toc20217725"/>
      <w:bookmarkEnd w:id="12"/>
      <w:r>
        <w:rPr>
          <w:noProof/>
        </w:rPr>
        <w:t>2</w:t>
      </w:r>
      <w:r w:rsidR="003A348D">
        <w:rPr>
          <w:noProof/>
        </w:rPr>
        <w:t>.2 Union Registry and the European Union Transaction Log (EUTL)</w:t>
      </w:r>
      <w:bookmarkEnd w:id="13"/>
      <w:bookmarkEnd w:id="14"/>
      <w:bookmarkEnd w:id="15"/>
    </w:p>
    <w:p w14:paraId="770C341B" w14:textId="77777777" w:rsidR="005F6BD0" w:rsidRDefault="003A348D">
      <w:pPr>
        <w:jc w:val="both"/>
        <w:rPr>
          <w:rFonts w:ascii="Times New Roman" w:hAnsi="Times New Roman"/>
          <w:noProof/>
          <w:sz w:val="24"/>
          <w:szCs w:val="24"/>
        </w:rPr>
      </w:pPr>
      <w:r>
        <w:rPr>
          <w:rFonts w:ascii="Times New Roman" w:hAnsi="Times New Roman"/>
          <w:noProof/>
          <w:sz w:val="24"/>
          <w:szCs w:val="24"/>
          <w:lang w:eastAsia="en-GB"/>
        </w:rPr>
        <mc:AlternateContent>
          <mc:Choice Requires="wps">
            <w:drawing>
              <wp:inline distT="0" distB="0" distL="0" distR="0" wp14:anchorId="6183F335" wp14:editId="1E161E89">
                <wp:extent cx="5727802" cy="3384550"/>
                <wp:effectExtent l="0" t="0" r="25400" b="254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384550"/>
                        </a:xfrm>
                        <a:prstGeom prst="rect">
                          <a:avLst/>
                        </a:prstGeom>
                        <a:solidFill>
                          <a:schemeClr val="bg1">
                            <a:lumMod val="85000"/>
                          </a:schemeClr>
                        </a:solidFill>
                        <a:ln w="12700" cmpd="sng">
                          <a:solidFill>
                            <a:srgbClr val="000000">
                              <a:alpha val="70000"/>
                            </a:srgbClr>
                          </a:solidFill>
                          <a:miter lim="800000"/>
                          <a:headEnd/>
                          <a:tailEnd/>
                        </a:ln>
                      </wps:spPr>
                      <wps:txbx>
                        <w:txbxContent>
                          <w:p w14:paraId="7E9D4E00" w14:textId="77777777" w:rsidR="00516F65" w:rsidRDefault="00516F65">
                            <w:pPr>
                              <w:jc w:val="both"/>
                              <w:rPr>
                                <w:rFonts w:ascii="Times New Roman" w:hAnsi="Times New Roman"/>
                                <w:sz w:val="24"/>
                                <w:szCs w:val="24"/>
                              </w:rPr>
                            </w:pPr>
                            <w:r>
                              <w:rPr>
                                <w:rFonts w:ascii="Times New Roman" w:hAnsi="Times New Roman"/>
                                <w:sz w:val="24"/>
                                <w:szCs w:val="24"/>
                              </w:rPr>
                              <w:t xml:space="preserve">The Union Registry and the European Union Transaction Log (EUTL) track the ownership of general and aviation allowances by recording the amounts owned in the accounts and the transactions between accounts. They are operated and maintained by the Commission, whereas the national registry administrators in the participating countries remain the point of contact for the representatives of the accounts (companies or natural persons). While the Union Registry holds accounts for stationary installations and for aircraft operators, the EUTL automatically checks, records and authorises all transactions between accounts, thus ensuring that all transfers comply with EU ETS rules. </w:t>
                            </w:r>
                          </w:p>
                          <w:p w14:paraId="73C641F8" w14:textId="77777777" w:rsidR="00516F65" w:rsidRDefault="00516F65">
                            <w:pPr>
                              <w:shd w:val="clear" w:color="auto" w:fill="D9D9D9" w:themeFill="background1" w:themeFillShade="D9"/>
                              <w:jc w:val="both"/>
                              <w:rPr>
                                <w:rFonts w:ascii="Times New Roman" w:hAnsi="Times New Roman"/>
                                <w:sz w:val="24"/>
                                <w:szCs w:val="24"/>
                              </w:rPr>
                            </w:pPr>
                            <w:r>
                              <w:rPr>
                                <w:rFonts w:ascii="Times New Roman" w:hAnsi="Times New Roman"/>
                                <w:sz w:val="24"/>
                                <w:szCs w:val="24"/>
                              </w:rPr>
                              <w:t>The data recorded in the Union Registry and the EUTL is an important source of information for various types of ETS reporting, such as the calculation of the Market Stability Reserve surplus indicator (</w:t>
                            </w:r>
                            <w:r w:rsidRPr="00BD381F">
                              <w:rPr>
                                <w:rFonts w:ascii="Times New Roman" w:hAnsi="Times New Roman"/>
                                <w:sz w:val="24"/>
                                <w:szCs w:val="24"/>
                              </w:rPr>
                              <w:t>see chapter 3.3) and</w:t>
                            </w:r>
                            <w:r>
                              <w:rPr>
                                <w:rFonts w:ascii="Times New Roman" w:hAnsi="Times New Roman"/>
                                <w:sz w:val="24"/>
                                <w:szCs w:val="24"/>
                              </w:rPr>
                              <w:t xml:space="preserve"> the reporting done by the European Environment Agency (EEA). The EUTL also provides transparency in the EU ETS, publishing* information on the compliance of stationary installations and aircraft operators with ETS provisions.</w:t>
                            </w:r>
                          </w:p>
                          <w:p w14:paraId="17DDBD8F" w14:textId="77777777" w:rsidR="00516F65"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xml:space="preserve">* </w:t>
                            </w:r>
                            <w:r w:rsidRPr="007F5B1E">
                              <w:rPr>
                                <w:rFonts w:ascii="Times New Roman" w:hAnsi="Times New Roman"/>
                                <w:sz w:val="18"/>
                                <w:szCs w:val="18"/>
                              </w:rPr>
                              <w:t xml:space="preserve">The information published by the EUTL can be found at: </w:t>
                            </w:r>
                            <w:r w:rsidR="00626D3C" w:rsidRPr="007F5B1E">
                              <w:rPr>
                                <w:rFonts w:ascii="Times New Roman" w:hAnsi="Times New Roman"/>
                                <w:sz w:val="18"/>
                                <w:szCs w:val="18"/>
                              </w:rPr>
                              <w:t>https://ec.europa.eu/clima/ets/</w:t>
                            </w:r>
                          </w:p>
                          <w:p w14:paraId="30BDD12B" w14:textId="77777777" w:rsidR="00516F65" w:rsidRDefault="00516F65">
                            <w:pPr>
                              <w:shd w:val="clear" w:color="auto" w:fill="D9D9D9" w:themeFill="background1" w:themeFillShade="D9"/>
                              <w:jc w:val="both"/>
                              <w:rPr>
                                <w:rFonts w:ascii="Times New Roman" w:hAnsi="Times New Roman"/>
                                <w:sz w:val="24"/>
                                <w:szCs w:val="24"/>
                              </w:rPr>
                            </w:pPr>
                          </w:p>
                          <w:p w14:paraId="7D0E3DA0" w14:textId="77777777" w:rsidR="00516F65" w:rsidRDefault="00516F65"/>
                        </w:txbxContent>
                      </wps:txbx>
                      <wps:bodyPr rot="0" vert="horz" wrap="square" lIns="91440" tIns="45720" rIns="91440" bIns="45720" anchor="t" anchorCtr="0">
                        <a:noAutofit/>
                      </wps:bodyPr>
                    </wps:wsp>
                  </a:graphicData>
                </a:graphic>
              </wp:inline>
            </w:drawing>
          </mc:Choice>
          <mc:Fallback>
            <w:pict>
              <v:shape w14:anchorId="6183F335" id="_x0000_s1028" type="#_x0000_t202" style="width:451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" fillcolor="#d8d8d8 [2732]" strokeweight="1pt">
                <v:stroke opacity="46003f"/>
                <v:textbox>
                  <w:txbxContent>
                    <w:p w14:paraId="7E9D4E00" w14:textId="77777777" w:rsidR="00516F65" w:rsidRDefault="00516F65">
                      <w:pPr>
                        <w:jc w:val="both"/>
                        <w:rPr>
                          <w:rFonts w:ascii="Times New Roman" w:hAnsi="Times New Roman"/>
                          <w:sz w:val="24"/>
                          <w:szCs w:val="24"/>
                        </w:rPr>
                      </w:pPr>
                      <w:r>
                        <w:rPr>
                          <w:rFonts w:ascii="Times New Roman" w:hAnsi="Times New Roman"/>
                          <w:sz w:val="24"/>
                          <w:szCs w:val="24"/>
                        </w:rPr>
                        <w:t xml:space="preserve">The Union Registry and the European Union Transaction Log (EUTL) track the ownership of general and aviation allowances by recording the amounts owned in the accounts and the transactions between accounts. They are operated and maintained by the Commission, whereas the national registry administrators in the participating countries remain the point of contact for the representatives of the accounts (companies or natural persons). While the Union Registry holds accounts for stationary installations and for aircraft operators, the EUTL automatically checks, records and authorises all transactions between accounts, thus ensuring that all transfers comply with EU ETS rules. </w:t>
                      </w:r>
                    </w:p>
                    <w:p w14:paraId="73C641F8" w14:textId="77777777" w:rsidR="00516F65" w:rsidRDefault="00516F65">
                      <w:pPr>
                        <w:shd w:val="clear" w:color="auto" w:fill="D9D9D9" w:themeFill="background1" w:themeFillShade="D9"/>
                        <w:jc w:val="both"/>
                        <w:rPr>
                          <w:rFonts w:ascii="Times New Roman" w:hAnsi="Times New Roman"/>
                          <w:sz w:val="24"/>
                          <w:szCs w:val="24"/>
                        </w:rPr>
                      </w:pPr>
                      <w:r>
                        <w:rPr>
                          <w:rFonts w:ascii="Times New Roman" w:hAnsi="Times New Roman"/>
                          <w:sz w:val="24"/>
                          <w:szCs w:val="24"/>
                        </w:rPr>
                        <w:t>The data recorded in the Union Registry and the EUTL is an important source of information for various types of ETS reporting, such as the calculation of the Market Stability Reserve surplus indicator (</w:t>
                      </w:r>
                      <w:r w:rsidRPr="00BD381F">
                        <w:rPr>
                          <w:rFonts w:ascii="Times New Roman" w:hAnsi="Times New Roman"/>
                          <w:sz w:val="24"/>
                          <w:szCs w:val="24"/>
                        </w:rPr>
                        <w:t>see chapter 3.3) and</w:t>
                      </w:r>
                      <w:r>
                        <w:rPr>
                          <w:rFonts w:ascii="Times New Roman" w:hAnsi="Times New Roman"/>
                          <w:sz w:val="24"/>
                          <w:szCs w:val="24"/>
                        </w:rPr>
                        <w:t xml:space="preserve"> the reporting done by the European Environment Agency (EEA). The EUTL also provides transparency in the EU ETS, publishing* information on the compliance of stationary installations and aircraft operators with ETS provisions.</w:t>
                      </w:r>
                    </w:p>
                    <w:p w14:paraId="17DDBD8F" w14:textId="77777777" w:rsidR="00516F65"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xml:space="preserve">* </w:t>
                      </w:r>
                      <w:r w:rsidRPr="007F5B1E">
                        <w:rPr>
                          <w:rFonts w:ascii="Times New Roman" w:hAnsi="Times New Roman"/>
                          <w:sz w:val="18"/>
                          <w:szCs w:val="18"/>
                        </w:rPr>
                        <w:t xml:space="preserve">The information published by the EUTL can be found at: </w:t>
                      </w:r>
                      <w:r w:rsidR="00626D3C" w:rsidRPr="007F5B1E">
                        <w:rPr>
                          <w:rFonts w:ascii="Times New Roman" w:hAnsi="Times New Roman"/>
                          <w:sz w:val="18"/>
                          <w:szCs w:val="18"/>
                        </w:rPr>
                        <w:t>https://ec.europa.eu/clima/ets/</w:t>
                      </w:r>
                    </w:p>
                    <w:p w14:paraId="30BDD12B" w14:textId="77777777" w:rsidR="00516F65" w:rsidRDefault="00516F65">
                      <w:pPr>
                        <w:shd w:val="clear" w:color="auto" w:fill="D9D9D9" w:themeFill="background1" w:themeFillShade="D9"/>
                        <w:jc w:val="both"/>
                        <w:rPr>
                          <w:rFonts w:ascii="Times New Roman" w:hAnsi="Times New Roman"/>
                          <w:sz w:val="24"/>
                          <w:szCs w:val="24"/>
                        </w:rPr>
                      </w:pPr>
                    </w:p>
                    <w:p w14:paraId="7D0E3DA0" w14:textId="77777777" w:rsidR="00516F65" w:rsidRDefault="00516F65"/>
                  </w:txbxContent>
                </v:textbox>
                <w10:anchorlock/>
              </v:shape>
            </w:pict>
          </mc:Fallback>
        </mc:AlternateContent>
      </w:r>
    </w:p>
    <w:p w14:paraId="2A37E453" w14:textId="77777777" w:rsidR="005F6BD0" w:rsidRDefault="003A348D">
      <w:pPr>
        <w:jc w:val="both"/>
        <w:rPr>
          <w:rFonts w:ascii="Times New Roman" w:hAnsi="Times New Roman"/>
          <w:noProof/>
          <w:sz w:val="24"/>
          <w:szCs w:val="24"/>
        </w:rPr>
      </w:pPr>
      <w:r>
        <w:rPr>
          <w:rFonts w:ascii="Times New Roman" w:hAnsi="Times New Roman"/>
          <w:noProof/>
          <w:sz w:val="24"/>
          <w:szCs w:val="24"/>
        </w:rPr>
        <w:t>The Union Registry and the EUTL were fully operational for 365 days around the clock throughout 201</w:t>
      </w:r>
      <w:r w:rsidR="006530AB">
        <w:rPr>
          <w:rFonts w:ascii="Times New Roman" w:hAnsi="Times New Roman"/>
          <w:noProof/>
          <w:sz w:val="24"/>
          <w:szCs w:val="24"/>
        </w:rPr>
        <w:t>8</w:t>
      </w:r>
      <w:r>
        <w:rPr>
          <w:rFonts w:ascii="Times New Roman" w:hAnsi="Times New Roman"/>
          <w:noProof/>
          <w:sz w:val="24"/>
          <w:szCs w:val="24"/>
        </w:rPr>
        <w:t xml:space="preserve">, with only minor interruptions adding up to a total of approximately </w:t>
      </w:r>
      <w:r w:rsidR="006530AB">
        <w:rPr>
          <w:rFonts w:ascii="Times New Roman" w:hAnsi="Times New Roman"/>
          <w:noProof/>
          <w:sz w:val="24"/>
          <w:szCs w:val="24"/>
        </w:rPr>
        <w:t>26</w:t>
      </w:r>
      <w:r>
        <w:rPr>
          <w:rFonts w:ascii="Times New Roman" w:hAnsi="Times New Roman"/>
          <w:noProof/>
          <w:sz w:val="24"/>
          <w:szCs w:val="24"/>
        </w:rPr>
        <w:t xml:space="preserve"> hours due to technical upgrades.</w:t>
      </w:r>
    </w:p>
    <w:p w14:paraId="3D3F0903" w14:textId="77777777" w:rsidR="00F105F2" w:rsidRDefault="006530AB" w:rsidP="006530AB">
      <w:pPr>
        <w:jc w:val="both"/>
        <w:rPr>
          <w:rFonts w:ascii="Times New Roman" w:hAnsi="Times New Roman"/>
          <w:noProof/>
          <w:sz w:val="24"/>
          <w:szCs w:val="24"/>
        </w:rPr>
      </w:pPr>
      <w:r>
        <w:rPr>
          <w:rFonts w:ascii="Times New Roman" w:hAnsi="Times New Roman"/>
          <w:noProof/>
          <w:sz w:val="24"/>
          <w:szCs w:val="24"/>
        </w:rPr>
        <w:t>From 1 January 2019</w:t>
      </w:r>
      <w:r w:rsidR="008D0DEA">
        <w:rPr>
          <w:rFonts w:ascii="Times New Roman" w:hAnsi="Times New Roman"/>
          <w:noProof/>
          <w:sz w:val="24"/>
          <w:szCs w:val="24"/>
        </w:rPr>
        <w:t>,</w:t>
      </w:r>
      <w:r>
        <w:rPr>
          <w:rFonts w:ascii="Times New Roman" w:hAnsi="Times New Roman"/>
          <w:noProof/>
          <w:sz w:val="24"/>
          <w:szCs w:val="24"/>
        </w:rPr>
        <w:t xml:space="preserve"> </w:t>
      </w:r>
      <w:r w:rsidRPr="00140835">
        <w:rPr>
          <w:rFonts w:ascii="Times New Roman" w:hAnsi="Times New Roman"/>
          <w:noProof/>
          <w:sz w:val="24"/>
          <w:szCs w:val="24"/>
        </w:rPr>
        <w:t xml:space="preserve">the Commission </w:t>
      </w:r>
      <w:r w:rsidRPr="001F507B">
        <w:rPr>
          <w:rFonts w:ascii="Times New Roman" w:hAnsi="Times New Roman"/>
          <w:noProof/>
          <w:sz w:val="24"/>
          <w:szCs w:val="24"/>
        </w:rPr>
        <w:t>suspended</w:t>
      </w:r>
      <w:r w:rsidRPr="00A324A5">
        <w:rPr>
          <w:rFonts w:ascii="Times New Roman" w:hAnsi="Times New Roman"/>
          <w:sz w:val="24"/>
          <w:szCs w:val="24"/>
          <w:vertAlign w:val="superscript"/>
        </w:rPr>
        <w:footnoteReference w:id="11"/>
      </w:r>
      <w:r w:rsidRPr="001F507B">
        <w:rPr>
          <w:rFonts w:ascii="Times New Roman" w:hAnsi="Times New Roman"/>
          <w:noProof/>
          <w:sz w:val="24"/>
          <w:szCs w:val="24"/>
          <w:vertAlign w:val="superscript"/>
        </w:rPr>
        <w:t xml:space="preserve"> </w:t>
      </w:r>
      <w:r w:rsidRPr="001F507B">
        <w:rPr>
          <w:rFonts w:ascii="Times New Roman" w:hAnsi="Times New Roman"/>
          <w:noProof/>
          <w:sz w:val="24"/>
          <w:szCs w:val="24"/>
        </w:rPr>
        <w:t>all processes</w:t>
      </w:r>
      <w:r w:rsidRPr="00140835">
        <w:rPr>
          <w:rFonts w:ascii="Times New Roman" w:hAnsi="Times New Roman"/>
          <w:noProof/>
          <w:sz w:val="24"/>
          <w:szCs w:val="24"/>
        </w:rPr>
        <w:t xml:space="preserve"> for the UK relating to free allocation, auctioning and the exchange of international credits</w:t>
      </w:r>
      <w:r>
        <w:rPr>
          <w:rFonts w:ascii="Times New Roman" w:hAnsi="Times New Roman"/>
          <w:noProof/>
          <w:sz w:val="24"/>
          <w:szCs w:val="24"/>
        </w:rPr>
        <w:t>, i</w:t>
      </w:r>
      <w:r w:rsidRPr="00140835">
        <w:rPr>
          <w:rFonts w:ascii="Times New Roman" w:hAnsi="Times New Roman"/>
          <w:noProof/>
          <w:sz w:val="24"/>
          <w:szCs w:val="24"/>
        </w:rPr>
        <w:t xml:space="preserve">n accordance with the safeguard </w:t>
      </w:r>
      <w:r w:rsidRPr="001B4818">
        <w:rPr>
          <w:rFonts w:ascii="Times New Roman" w:hAnsi="Times New Roman"/>
          <w:noProof/>
          <w:sz w:val="24"/>
          <w:szCs w:val="24"/>
        </w:rPr>
        <w:t>measures</w:t>
      </w:r>
      <w:r w:rsidRPr="001B4818">
        <w:rPr>
          <w:rFonts w:ascii="Times New Roman" w:hAnsi="Times New Roman"/>
          <w:sz w:val="24"/>
          <w:szCs w:val="24"/>
          <w:vertAlign w:val="superscript"/>
        </w:rPr>
        <w:footnoteReference w:id="12"/>
      </w:r>
      <w:r w:rsidRPr="001B4818">
        <w:rPr>
          <w:rFonts w:ascii="Times New Roman" w:hAnsi="Times New Roman"/>
          <w:noProof/>
          <w:sz w:val="24"/>
          <w:szCs w:val="24"/>
        </w:rPr>
        <w:t xml:space="preserve"> to</w:t>
      </w:r>
      <w:r w:rsidRPr="00140835">
        <w:rPr>
          <w:rFonts w:ascii="Times New Roman" w:hAnsi="Times New Roman"/>
          <w:noProof/>
          <w:sz w:val="24"/>
          <w:szCs w:val="24"/>
        </w:rPr>
        <w:t xml:space="preserve"> protect the environmental integrity of the EU ETS in cases where EU law ceases to apply to a Member State withdrawing from the EU.</w:t>
      </w:r>
      <w:r>
        <w:rPr>
          <w:rFonts w:ascii="Times New Roman" w:hAnsi="Times New Roman"/>
          <w:noProof/>
          <w:sz w:val="24"/>
          <w:szCs w:val="24"/>
        </w:rPr>
        <w:t xml:space="preserve"> </w:t>
      </w:r>
    </w:p>
    <w:p w14:paraId="36498F28" w14:textId="77777777" w:rsidR="006530AB" w:rsidRPr="009F1DEA" w:rsidRDefault="006530AB" w:rsidP="009F1DEA">
      <w:pPr>
        <w:jc w:val="both"/>
        <w:rPr>
          <w:rFonts w:ascii="Times New Roman" w:hAnsi="Times New Roman"/>
          <w:noProof/>
          <w:sz w:val="24"/>
          <w:szCs w:val="24"/>
        </w:rPr>
      </w:pPr>
      <w:r>
        <w:rPr>
          <w:rFonts w:ascii="Times New Roman" w:hAnsi="Times New Roman"/>
          <w:noProof/>
          <w:sz w:val="24"/>
          <w:szCs w:val="24"/>
        </w:rPr>
        <w:t>In March 2019, Commission Delegated Regulation (EU) 2019/1122</w:t>
      </w:r>
      <w:r w:rsidR="00324F32">
        <w:rPr>
          <w:rStyle w:val="FootnoteReference"/>
          <w:rFonts w:ascii="Times New Roman" w:hAnsi="Times New Roman"/>
          <w:noProof/>
          <w:sz w:val="24"/>
          <w:szCs w:val="24"/>
        </w:rPr>
        <w:footnoteReference w:id="13"/>
      </w:r>
      <w:r w:rsidR="00324F32">
        <w:t xml:space="preserve"> </w:t>
      </w:r>
      <w:r>
        <w:rPr>
          <w:rFonts w:ascii="Times New Roman" w:hAnsi="Times New Roman"/>
          <w:noProof/>
          <w:sz w:val="24"/>
          <w:szCs w:val="24"/>
        </w:rPr>
        <w:t>was adopted,</w:t>
      </w:r>
      <w:r w:rsidR="00F105F2">
        <w:rPr>
          <w:rFonts w:ascii="Times New Roman" w:hAnsi="Times New Roman"/>
          <w:noProof/>
          <w:sz w:val="24"/>
          <w:szCs w:val="24"/>
        </w:rPr>
        <w:t xml:space="preserve"> setting </w:t>
      </w:r>
      <w:r>
        <w:rPr>
          <w:rFonts w:ascii="Times New Roman" w:hAnsi="Times New Roman"/>
          <w:noProof/>
          <w:sz w:val="24"/>
          <w:szCs w:val="24"/>
        </w:rPr>
        <w:t>the rules for the functioning of the Union Reg</w:t>
      </w:r>
      <w:r w:rsidR="00F105F2">
        <w:rPr>
          <w:rFonts w:ascii="Times New Roman" w:hAnsi="Times New Roman"/>
          <w:noProof/>
          <w:sz w:val="24"/>
          <w:szCs w:val="24"/>
        </w:rPr>
        <w:t>istry in</w:t>
      </w:r>
      <w:r w:rsidR="008D0F40">
        <w:rPr>
          <w:rFonts w:ascii="Times New Roman" w:hAnsi="Times New Roman"/>
          <w:noProof/>
          <w:sz w:val="24"/>
          <w:szCs w:val="24"/>
        </w:rPr>
        <w:t xml:space="preserve"> the next EU ETS trading period</w:t>
      </w:r>
      <w:r w:rsidR="00F105F2">
        <w:rPr>
          <w:rFonts w:ascii="Times New Roman" w:hAnsi="Times New Roman"/>
          <w:noProof/>
          <w:sz w:val="24"/>
          <w:szCs w:val="24"/>
        </w:rPr>
        <w:t xml:space="preserve"> (2021-2030)</w:t>
      </w:r>
      <w:r>
        <w:rPr>
          <w:rFonts w:ascii="Times New Roman" w:hAnsi="Times New Roman"/>
          <w:noProof/>
          <w:sz w:val="24"/>
          <w:szCs w:val="24"/>
        </w:rPr>
        <w:t>.</w:t>
      </w:r>
      <w:r w:rsidR="00F105F2">
        <w:rPr>
          <w:rFonts w:ascii="Times New Roman" w:hAnsi="Times New Roman"/>
          <w:noProof/>
          <w:sz w:val="24"/>
          <w:szCs w:val="24"/>
        </w:rPr>
        <w:t xml:space="preserve"> The Regulation </w:t>
      </w:r>
      <w:r w:rsidR="004A6FE8">
        <w:rPr>
          <w:rFonts w:ascii="Times New Roman" w:hAnsi="Times New Roman"/>
          <w:noProof/>
          <w:sz w:val="24"/>
          <w:szCs w:val="24"/>
        </w:rPr>
        <w:t>enables</w:t>
      </w:r>
      <w:r w:rsidR="002221CF">
        <w:rPr>
          <w:rFonts w:ascii="Times New Roman" w:hAnsi="Times New Roman"/>
          <w:noProof/>
          <w:sz w:val="24"/>
          <w:szCs w:val="24"/>
        </w:rPr>
        <w:t xml:space="preserve"> the </w:t>
      </w:r>
      <w:r w:rsidR="008872EF">
        <w:rPr>
          <w:rFonts w:ascii="Times New Roman" w:hAnsi="Times New Roman"/>
          <w:noProof/>
          <w:sz w:val="24"/>
          <w:szCs w:val="24"/>
        </w:rPr>
        <w:t>Union Registry</w:t>
      </w:r>
      <w:r w:rsidR="004A6FE8">
        <w:rPr>
          <w:rFonts w:ascii="Times New Roman" w:hAnsi="Times New Roman"/>
          <w:noProof/>
          <w:sz w:val="24"/>
          <w:szCs w:val="24"/>
        </w:rPr>
        <w:t xml:space="preserve"> to comply</w:t>
      </w:r>
      <w:r w:rsidR="00C92807" w:rsidRPr="00C92807">
        <w:rPr>
          <w:rFonts w:ascii="Times New Roman" w:hAnsi="Times New Roman"/>
          <w:noProof/>
          <w:sz w:val="24"/>
          <w:szCs w:val="24"/>
        </w:rPr>
        <w:t xml:space="preserve"> with the requi</w:t>
      </w:r>
      <w:r w:rsidR="00C92807">
        <w:rPr>
          <w:rFonts w:ascii="Times New Roman" w:hAnsi="Times New Roman"/>
          <w:noProof/>
          <w:sz w:val="24"/>
          <w:szCs w:val="24"/>
        </w:rPr>
        <w:t xml:space="preserve">rements </w:t>
      </w:r>
      <w:r w:rsidR="006D15F4">
        <w:rPr>
          <w:rFonts w:ascii="Times New Roman" w:hAnsi="Times New Roman"/>
          <w:noProof/>
          <w:sz w:val="24"/>
          <w:szCs w:val="24"/>
        </w:rPr>
        <w:t xml:space="preserve">for phase 4 </w:t>
      </w:r>
      <w:r w:rsidR="00C92807">
        <w:rPr>
          <w:rFonts w:ascii="Times New Roman" w:hAnsi="Times New Roman"/>
          <w:noProof/>
          <w:sz w:val="24"/>
          <w:szCs w:val="24"/>
        </w:rPr>
        <w:t xml:space="preserve">set </w:t>
      </w:r>
      <w:r w:rsidR="006D15F4">
        <w:rPr>
          <w:rFonts w:ascii="Times New Roman" w:hAnsi="Times New Roman"/>
          <w:noProof/>
          <w:sz w:val="24"/>
          <w:szCs w:val="24"/>
        </w:rPr>
        <w:t>by the revised EU ETS Directive,</w:t>
      </w:r>
      <w:r w:rsidR="008872EF">
        <w:rPr>
          <w:rFonts w:ascii="Times New Roman" w:hAnsi="Times New Roman"/>
          <w:noProof/>
          <w:sz w:val="24"/>
          <w:szCs w:val="24"/>
        </w:rPr>
        <w:t xml:space="preserve"> </w:t>
      </w:r>
      <w:r w:rsidR="008872EF" w:rsidRPr="00516F65">
        <w:rPr>
          <w:rFonts w:ascii="Times New Roman" w:hAnsi="Times New Roman"/>
          <w:noProof/>
          <w:sz w:val="24"/>
          <w:szCs w:val="24"/>
        </w:rPr>
        <w:t>for example</w:t>
      </w:r>
      <w:r w:rsidR="006D15F4" w:rsidRPr="00516F65">
        <w:rPr>
          <w:rFonts w:ascii="Times New Roman" w:hAnsi="Times New Roman"/>
          <w:noProof/>
          <w:sz w:val="24"/>
          <w:szCs w:val="24"/>
        </w:rPr>
        <w:t xml:space="preserve"> by adjus</w:t>
      </w:r>
      <w:r w:rsidR="004A6FE8" w:rsidRPr="00516F65">
        <w:rPr>
          <w:rFonts w:ascii="Times New Roman" w:hAnsi="Times New Roman"/>
          <w:noProof/>
          <w:sz w:val="24"/>
          <w:szCs w:val="24"/>
        </w:rPr>
        <w:t xml:space="preserve">ting </w:t>
      </w:r>
      <w:r w:rsidR="002221CF" w:rsidRPr="00516F65">
        <w:rPr>
          <w:rFonts w:ascii="Times New Roman" w:hAnsi="Times New Roman"/>
          <w:noProof/>
          <w:sz w:val="24"/>
          <w:szCs w:val="24"/>
        </w:rPr>
        <w:t xml:space="preserve">the </w:t>
      </w:r>
      <w:r w:rsidR="004A6FE8" w:rsidRPr="00516F65">
        <w:rPr>
          <w:rFonts w:ascii="Times New Roman" w:hAnsi="Times New Roman"/>
          <w:noProof/>
          <w:sz w:val="24"/>
          <w:szCs w:val="24"/>
        </w:rPr>
        <w:t>functionalities</w:t>
      </w:r>
      <w:r w:rsidR="00D52704">
        <w:rPr>
          <w:rFonts w:ascii="Times New Roman" w:hAnsi="Times New Roman"/>
          <w:noProof/>
          <w:sz w:val="24"/>
          <w:szCs w:val="24"/>
        </w:rPr>
        <w:t xml:space="preserve"> so </w:t>
      </w:r>
      <w:r w:rsidR="008872EF" w:rsidRPr="00516F65">
        <w:rPr>
          <w:rFonts w:ascii="Times New Roman" w:hAnsi="Times New Roman"/>
          <w:noProof/>
          <w:sz w:val="24"/>
          <w:szCs w:val="24"/>
        </w:rPr>
        <w:t>that allowances are valid indefinitely</w:t>
      </w:r>
      <w:r w:rsidR="002221CF" w:rsidRPr="00516F65">
        <w:rPr>
          <w:rFonts w:ascii="Times New Roman" w:hAnsi="Times New Roman"/>
          <w:noProof/>
          <w:sz w:val="24"/>
          <w:szCs w:val="24"/>
        </w:rPr>
        <w:t xml:space="preserve"> </w:t>
      </w:r>
      <w:r w:rsidR="00E360E0" w:rsidRPr="00516F65">
        <w:rPr>
          <w:rFonts w:ascii="Times New Roman" w:hAnsi="Times New Roman"/>
          <w:noProof/>
          <w:sz w:val="24"/>
          <w:szCs w:val="24"/>
        </w:rPr>
        <w:t xml:space="preserve">and </w:t>
      </w:r>
      <w:r w:rsidR="002221CF" w:rsidRPr="00516F65">
        <w:rPr>
          <w:rFonts w:ascii="Times New Roman" w:hAnsi="Times New Roman"/>
          <w:noProof/>
          <w:sz w:val="24"/>
          <w:szCs w:val="24"/>
        </w:rPr>
        <w:t>can only be used to cover</w:t>
      </w:r>
      <w:r w:rsidR="006D15F4" w:rsidRPr="00516F65">
        <w:rPr>
          <w:rFonts w:ascii="Times New Roman" w:hAnsi="Times New Roman"/>
          <w:noProof/>
          <w:sz w:val="24"/>
          <w:szCs w:val="24"/>
        </w:rPr>
        <w:t xml:space="preserve"> emissions </w:t>
      </w:r>
      <w:r w:rsidR="008D0F40" w:rsidRPr="00516F65">
        <w:rPr>
          <w:rFonts w:ascii="Times New Roman" w:hAnsi="Times New Roman"/>
          <w:noProof/>
          <w:sz w:val="24"/>
          <w:szCs w:val="24"/>
        </w:rPr>
        <w:t xml:space="preserve">as of </w:t>
      </w:r>
      <w:r w:rsidR="006D15F4" w:rsidRPr="00516F65">
        <w:rPr>
          <w:rFonts w:ascii="Times New Roman" w:hAnsi="Times New Roman"/>
          <w:noProof/>
          <w:sz w:val="24"/>
          <w:szCs w:val="24"/>
        </w:rPr>
        <w:t>the first year of the ten-year pe</w:t>
      </w:r>
      <w:r w:rsidR="004A6FE8" w:rsidRPr="00516F65">
        <w:rPr>
          <w:rFonts w:ascii="Times New Roman" w:hAnsi="Times New Roman"/>
          <w:noProof/>
          <w:sz w:val="24"/>
          <w:szCs w:val="24"/>
        </w:rPr>
        <w:t xml:space="preserve">riod in which they were issued, </w:t>
      </w:r>
      <w:r w:rsidR="00E360E0" w:rsidRPr="00516F65">
        <w:rPr>
          <w:rFonts w:ascii="Times New Roman" w:hAnsi="Times New Roman"/>
          <w:noProof/>
          <w:sz w:val="24"/>
          <w:szCs w:val="24"/>
        </w:rPr>
        <w:t xml:space="preserve">as well as </w:t>
      </w:r>
      <w:r w:rsidR="002221CF" w:rsidRPr="00516F65">
        <w:rPr>
          <w:rFonts w:ascii="Times New Roman" w:hAnsi="Times New Roman"/>
          <w:noProof/>
          <w:sz w:val="24"/>
          <w:szCs w:val="24"/>
        </w:rPr>
        <w:t>to ensure that</w:t>
      </w:r>
      <w:r w:rsidR="004A6FE8" w:rsidRPr="00516F65">
        <w:rPr>
          <w:rFonts w:ascii="Times New Roman" w:hAnsi="Times New Roman"/>
          <w:noProof/>
          <w:sz w:val="24"/>
          <w:szCs w:val="24"/>
        </w:rPr>
        <w:t xml:space="preserve"> international credits </w:t>
      </w:r>
      <w:r w:rsidR="00E360E0" w:rsidRPr="00516F65">
        <w:rPr>
          <w:rFonts w:ascii="Times New Roman" w:hAnsi="Times New Roman"/>
          <w:noProof/>
          <w:sz w:val="24"/>
          <w:szCs w:val="24"/>
        </w:rPr>
        <w:t>cannot be used to cover emissions</w:t>
      </w:r>
      <w:r w:rsidR="00D52704">
        <w:rPr>
          <w:rFonts w:ascii="Times New Roman" w:hAnsi="Times New Roman"/>
          <w:noProof/>
          <w:sz w:val="24"/>
          <w:szCs w:val="24"/>
        </w:rPr>
        <w:t xml:space="preserve"> </w:t>
      </w:r>
      <w:r w:rsidR="008D0F40" w:rsidRPr="00516F65">
        <w:rPr>
          <w:rFonts w:ascii="Times New Roman" w:hAnsi="Times New Roman"/>
          <w:noProof/>
          <w:sz w:val="24"/>
          <w:szCs w:val="24"/>
        </w:rPr>
        <w:t>as of</w:t>
      </w:r>
      <w:r w:rsidR="002221CF" w:rsidRPr="00516F65">
        <w:rPr>
          <w:rFonts w:ascii="Times New Roman" w:hAnsi="Times New Roman"/>
          <w:noProof/>
          <w:sz w:val="24"/>
          <w:szCs w:val="24"/>
        </w:rPr>
        <w:t xml:space="preserve"> 2021.</w:t>
      </w:r>
      <w:r w:rsidR="002221CF">
        <w:rPr>
          <w:rFonts w:ascii="Times New Roman" w:hAnsi="Times New Roman"/>
          <w:noProof/>
          <w:sz w:val="24"/>
          <w:szCs w:val="24"/>
        </w:rPr>
        <w:t xml:space="preserve"> Moreover, the </w:t>
      </w:r>
      <w:r w:rsidR="00E360E0">
        <w:rPr>
          <w:rFonts w:ascii="Times New Roman" w:hAnsi="Times New Roman"/>
          <w:noProof/>
          <w:sz w:val="24"/>
          <w:szCs w:val="24"/>
        </w:rPr>
        <w:t xml:space="preserve">new </w:t>
      </w:r>
      <w:r w:rsidR="002221CF">
        <w:rPr>
          <w:rFonts w:ascii="Times New Roman" w:hAnsi="Times New Roman"/>
          <w:noProof/>
          <w:sz w:val="24"/>
          <w:szCs w:val="24"/>
        </w:rPr>
        <w:t xml:space="preserve">Regulation </w:t>
      </w:r>
      <w:r w:rsidR="002221CF" w:rsidRPr="002221CF">
        <w:rPr>
          <w:rFonts w:ascii="Times New Roman" w:hAnsi="Times New Roman"/>
          <w:noProof/>
          <w:sz w:val="24"/>
          <w:szCs w:val="24"/>
        </w:rPr>
        <w:t>adapt</w:t>
      </w:r>
      <w:r w:rsidR="002221CF">
        <w:rPr>
          <w:rFonts w:ascii="Times New Roman" w:hAnsi="Times New Roman"/>
          <w:noProof/>
          <w:sz w:val="24"/>
          <w:szCs w:val="24"/>
        </w:rPr>
        <w:t>s</w:t>
      </w:r>
      <w:r w:rsidR="002221CF" w:rsidRPr="002221CF">
        <w:rPr>
          <w:rFonts w:ascii="Times New Roman" w:hAnsi="Times New Roman"/>
          <w:noProof/>
          <w:sz w:val="24"/>
          <w:szCs w:val="24"/>
        </w:rPr>
        <w:t xml:space="preserve"> the rules regulating the Union Registry to align th</w:t>
      </w:r>
      <w:r w:rsidR="009F1DEA">
        <w:rPr>
          <w:rFonts w:ascii="Times New Roman" w:hAnsi="Times New Roman"/>
          <w:noProof/>
          <w:sz w:val="24"/>
          <w:szCs w:val="24"/>
        </w:rPr>
        <w:t xml:space="preserve">em with the requirements of </w:t>
      </w:r>
      <w:r w:rsidR="002221CF" w:rsidRPr="002221CF">
        <w:rPr>
          <w:rFonts w:ascii="Times New Roman" w:hAnsi="Times New Roman"/>
          <w:noProof/>
          <w:sz w:val="24"/>
          <w:szCs w:val="24"/>
        </w:rPr>
        <w:t>financial market legislation</w:t>
      </w:r>
      <w:r w:rsidR="009F1DEA">
        <w:rPr>
          <w:rFonts w:ascii="Times New Roman" w:hAnsi="Times New Roman"/>
          <w:noProof/>
          <w:sz w:val="24"/>
          <w:szCs w:val="24"/>
        </w:rPr>
        <w:t>, f</w:t>
      </w:r>
      <w:r w:rsidR="009F1DEA" w:rsidRPr="009F1DEA">
        <w:rPr>
          <w:rFonts w:ascii="Times New Roman" w:hAnsi="Times New Roman"/>
          <w:noProof/>
          <w:sz w:val="24"/>
          <w:szCs w:val="24"/>
        </w:rPr>
        <w:t>ollowing the classification of emission</w:t>
      </w:r>
      <w:r w:rsidR="009F1DEA">
        <w:rPr>
          <w:rFonts w:ascii="Times New Roman" w:hAnsi="Times New Roman"/>
          <w:noProof/>
          <w:sz w:val="24"/>
          <w:szCs w:val="24"/>
        </w:rPr>
        <w:t xml:space="preserve"> allowances </w:t>
      </w:r>
      <w:r w:rsidR="009F1DEA" w:rsidRPr="009F1DEA">
        <w:rPr>
          <w:rFonts w:ascii="Times New Roman" w:hAnsi="Times New Roman"/>
          <w:noProof/>
          <w:sz w:val="24"/>
          <w:szCs w:val="24"/>
        </w:rPr>
        <w:t>as ‘financial instruments’ under Directive 2014/65/EU</w:t>
      </w:r>
      <w:r w:rsidR="00F75C7F">
        <w:rPr>
          <w:rStyle w:val="FootnoteReference"/>
          <w:rFonts w:ascii="Times New Roman" w:hAnsi="Times New Roman"/>
          <w:noProof/>
          <w:sz w:val="24"/>
          <w:szCs w:val="24"/>
        </w:rPr>
        <w:footnoteReference w:id="14"/>
      </w:r>
      <w:r w:rsidR="008D0F40">
        <w:rPr>
          <w:rFonts w:ascii="Times New Roman" w:hAnsi="Times New Roman"/>
          <w:noProof/>
          <w:sz w:val="24"/>
          <w:szCs w:val="24"/>
        </w:rPr>
        <w:t xml:space="preserve"> as of 3 January 2018 </w:t>
      </w:r>
      <w:r w:rsidR="00DB415D" w:rsidRPr="00516F65">
        <w:rPr>
          <w:rFonts w:ascii="Times New Roman" w:hAnsi="Times New Roman"/>
          <w:noProof/>
          <w:sz w:val="24"/>
          <w:szCs w:val="24"/>
        </w:rPr>
        <w:t>and with the requirements of the revised data protection rules.</w:t>
      </w:r>
      <w:r w:rsidR="00DB415D" w:rsidRPr="00516F65" w:rsidDel="00DB415D">
        <w:rPr>
          <w:rFonts w:ascii="Times New Roman" w:hAnsi="Times New Roman"/>
          <w:noProof/>
          <w:sz w:val="24"/>
          <w:szCs w:val="24"/>
        </w:rPr>
        <w:t xml:space="preserve"> </w:t>
      </w:r>
    </w:p>
    <w:p w14:paraId="3F05CDEB" w14:textId="77777777" w:rsidR="005F6BD0" w:rsidRDefault="00A52F4C">
      <w:pPr>
        <w:pStyle w:val="Heading1"/>
        <w:spacing w:before="0" w:after="200"/>
        <w:rPr>
          <w:noProof/>
        </w:rPr>
      </w:pPr>
      <w:bookmarkStart w:id="16" w:name="_Toc490850422"/>
      <w:bookmarkStart w:id="17" w:name="_Toc519009678"/>
      <w:bookmarkStart w:id="18" w:name="_Toc20217726"/>
      <w:r>
        <w:rPr>
          <w:noProof/>
        </w:rPr>
        <w:t>3</w:t>
      </w:r>
      <w:r w:rsidR="003A348D">
        <w:rPr>
          <w:noProof/>
        </w:rPr>
        <w:t>. FUNCTIONING OF THE CARBON MARKET IN 201</w:t>
      </w:r>
      <w:r w:rsidR="00943DA5">
        <w:rPr>
          <w:noProof/>
        </w:rPr>
        <w:t>8</w:t>
      </w:r>
      <w:bookmarkEnd w:id="16"/>
      <w:bookmarkEnd w:id="17"/>
      <w:bookmarkEnd w:id="18"/>
      <w:r w:rsidR="003A348D">
        <w:rPr>
          <w:noProof/>
        </w:rPr>
        <w:t xml:space="preserve"> </w:t>
      </w:r>
    </w:p>
    <w:p w14:paraId="5CB988C9" w14:textId="77777777" w:rsidR="005F6BD0" w:rsidRDefault="003A348D">
      <w:pPr>
        <w:jc w:val="both"/>
        <w:rPr>
          <w:rFonts w:ascii="Times New Roman" w:hAnsi="Times New Roman"/>
          <w:noProof/>
          <w:sz w:val="24"/>
          <w:szCs w:val="24"/>
        </w:rPr>
      </w:pPr>
      <w:r>
        <w:rPr>
          <w:rFonts w:ascii="Times New Roman" w:hAnsi="Times New Roman"/>
          <w:noProof/>
          <w:sz w:val="24"/>
          <w:szCs w:val="24"/>
        </w:rPr>
        <w:t>This chapter provides information on aspects relating to the supply and demand of allowances in the EU ETS. The supply side section includes information on the cap, free allocation, the NER300 programme</w:t>
      </w:r>
      <w:r w:rsidR="008D0F40">
        <w:rPr>
          <w:rFonts w:ascii="Times New Roman" w:hAnsi="Times New Roman"/>
          <w:noProof/>
          <w:sz w:val="24"/>
          <w:szCs w:val="24"/>
        </w:rPr>
        <w:t xml:space="preserve"> </w:t>
      </w:r>
      <w:r w:rsidR="003A0CD7">
        <w:rPr>
          <w:rFonts w:ascii="Times New Roman" w:hAnsi="Times New Roman"/>
          <w:noProof/>
          <w:sz w:val="24"/>
          <w:szCs w:val="24"/>
        </w:rPr>
        <w:t>(including preparations for</w:t>
      </w:r>
      <w:r w:rsidR="008D0F40">
        <w:rPr>
          <w:rFonts w:ascii="Times New Roman" w:hAnsi="Times New Roman"/>
          <w:noProof/>
          <w:sz w:val="24"/>
          <w:szCs w:val="24"/>
        </w:rPr>
        <w:t xml:space="preserve"> the </w:t>
      </w:r>
      <w:r w:rsidR="003A0CD7">
        <w:rPr>
          <w:rFonts w:ascii="Times New Roman" w:hAnsi="Times New Roman"/>
          <w:noProof/>
          <w:sz w:val="24"/>
          <w:szCs w:val="24"/>
        </w:rPr>
        <w:t xml:space="preserve">forthcoming </w:t>
      </w:r>
      <w:r w:rsidR="008D0F40">
        <w:rPr>
          <w:rFonts w:ascii="Times New Roman" w:hAnsi="Times New Roman"/>
          <w:noProof/>
          <w:sz w:val="24"/>
          <w:szCs w:val="24"/>
        </w:rPr>
        <w:t>Innovation Fund</w:t>
      </w:r>
      <w:r w:rsidR="003A0CD7">
        <w:rPr>
          <w:rFonts w:ascii="Times New Roman" w:hAnsi="Times New Roman"/>
          <w:noProof/>
          <w:sz w:val="24"/>
          <w:szCs w:val="24"/>
        </w:rPr>
        <w:t>)</w:t>
      </w:r>
      <w:r>
        <w:rPr>
          <w:rFonts w:ascii="Times New Roman" w:hAnsi="Times New Roman"/>
          <w:noProof/>
          <w:sz w:val="24"/>
          <w:szCs w:val="24"/>
        </w:rPr>
        <w:t xml:space="preserve">, auctioning, the derogation from full auctioning for </w:t>
      </w:r>
      <w:r w:rsidR="008E46B6">
        <w:rPr>
          <w:rFonts w:ascii="Times New Roman" w:hAnsi="Times New Roman"/>
          <w:noProof/>
          <w:sz w:val="24"/>
          <w:szCs w:val="24"/>
        </w:rPr>
        <w:t>electricity and heat production</w:t>
      </w:r>
      <w:r>
        <w:rPr>
          <w:rFonts w:ascii="Times New Roman" w:hAnsi="Times New Roman"/>
          <w:noProof/>
          <w:sz w:val="24"/>
          <w:szCs w:val="24"/>
        </w:rPr>
        <w:t xml:space="preserve"> (Article 10c), the use of international credits, and a chapter on indirect carbon cost compensation schemes.</w:t>
      </w:r>
    </w:p>
    <w:p w14:paraId="54C16DBF"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On the demand side, information is provided on the number of verified emissions and on the </w:t>
      </w:r>
      <w:r w:rsidRPr="00516F65">
        <w:rPr>
          <w:rFonts w:ascii="Times New Roman" w:hAnsi="Times New Roman"/>
          <w:noProof/>
          <w:sz w:val="24"/>
          <w:szCs w:val="24"/>
        </w:rPr>
        <w:t xml:space="preserve">balancing </w:t>
      </w:r>
      <w:r w:rsidR="007A047B" w:rsidRPr="00516F65">
        <w:rPr>
          <w:rFonts w:ascii="Times New Roman" w:hAnsi="Times New Roman"/>
          <w:noProof/>
          <w:sz w:val="24"/>
          <w:szCs w:val="24"/>
        </w:rPr>
        <w:t xml:space="preserve">of </w:t>
      </w:r>
      <w:r w:rsidRPr="00516F65">
        <w:rPr>
          <w:rFonts w:ascii="Times New Roman" w:hAnsi="Times New Roman"/>
          <w:noProof/>
          <w:sz w:val="24"/>
          <w:szCs w:val="24"/>
        </w:rPr>
        <w:t>the supply and demand of allowances</w:t>
      </w:r>
      <w:r w:rsidR="006B33D0" w:rsidRPr="00516F65">
        <w:rPr>
          <w:rFonts w:ascii="Times New Roman" w:hAnsi="Times New Roman"/>
          <w:noProof/>
          <w:sz w:val="24"/>
          <w:szCs w:val="24"/>
        </w:rPr>
        <w:t xml:space="preserve"> in the carbon market</w:t>
      </w:r>
      <w:r w:rsidR="007A047B" w:rsidRPr="00516F65">
        <w:rPr>
          <w:rFonts w:ascii="Times New Roman" w:hAnsi="Times New Roman"/>
          <w:noProof/>
          <w:sz w:val="24"/>
          <w:szCs w:val="24"/>
        </w:rPr>
        <w:t xml:space="preserve"> via</w:t>
      </w:r>
      <w:r w:rsidR="00B554D5" w:rsidRPr="00516F65">
        <w:rPr>
          <w:rFonts w:ascii="Times New Roman" w:hAnsi="Times New Roman"/>
          <w:noProof/>
          <w:sz w:val="24"/>
          <w:szCs w:val="24"/>
        </w:rPr>
        <w:t xml:space="preserve"> </w:t>
      </w:r>
      <w:r w:rsidRPr="00516F65">
        <w:rPr>
          <w:rFonts w:ascii="Times New Roman" w:hAnsi="Times New Roman"/>
          <w:noProof/>
          <w:sz w:val="24"/>
          <w:szCs w:val="24"/>
        </w:rPr>
        <w:t>the Market Stability Reserve (MSR).</w:t>
      </w:r>
    </w:p>
    <w:p w14:paraId="1B9C135A" w14:textId="77777777" w:rsidR="005F6BD0" w:rsidRDefault="00A52F4C">
      <w:pPr>
        <w:pStyle w:val="Heading2"/>
        <w:spacing w:before="0" w:after="200"/>
        <w:rPr>
          <w:i w:val="0"/>
          <w:noProof/>
        </w:rPr>
      </w:pPr>
      <w:bookmarkStart w:id="19" w:name="_Toc490850423"/>
      <w:bookmarkStart w:id="20" w:name="_Toc519009679"/>
      <w:bookmarkStart w:id="21" w:name="_Toc20217727"/>
      <w:r>
        <w:rPr>
          <w:i w:val="0"/>
          <w:noProof/>
        </w:rPr>
        <w:t>3</w:t>
      </w:r>
      <w:r w:rsidR="003A348D">
        <w:rPr>
          <w:i w:val="0"/>
          <w:noProof/>
        </w:rPr>
        <w:t>.1. Supply: allowances put in circulation</w:t>
      </w:r>
      <w:bookmarkEnd w:id="19"/>
      <w:bookmarkEnd w:id="20"/>
      <w:bookmarkEnd w:id="21"/>
      <w:r w:rsidR="003A348D">
        <w:rPr>
          <w:i w:val="0"/>
          <w:noProof/>
        </w:rPr>
        <w:t xml:space="preserve"> </w:t>
      </w:r>
    </w:p>
    <w:p w14:paraId="4D9F2ACD" w14:textId="77777777" w:rsidR="005F6BD0" w:rsidRDefault="00A52F4C">
      <w:pPr>
        <w:pStyle w:val="Heading3"/>
        <w:spacing w:before="0" w:after="200"/>
        <w:ind w:left="720"/>
        <w:rPr>
          <w:noProof/>
        </w:rPr>
      </w:pPr>
      <w:bookmarkStart w:id="22" w:name="_Toc490850424"/>
      <w:bookmarkStart w:id="23" w:name="_Toc519009680"/>
      <w:bookmarkStart w:id="24" w:name="_Toc20217728"/>
      <w:r>
        <w:rPr>
          <w:noProof/>
        </w:rPr>
        <w:t>3</w:t>
      </w:r>
      <w:r w:rsidR="003A348D">
        <w:rPr>
          <w:noProof/>
        </w:rPr>
        <w:t>.1.1. Cap</w:t>
      </w:r>
      <w:bookmarkEnd w:id="22"/>
      <w:bookmarkEnd w:id="23"/>
      <w:bookmarkEnd w:id="24"/>
    </w:p>
    <w:p w14:paraId="6E39E2C5" w14:textId="77777777" w:rsidR="005F6BD0" w:rsidRDefault="003A348D">
      <w:pPr>
        <w:jc w:val="both"/>
        <w:rPr>
          <w:rFonts w:ascii="Times New Roman" w:hAnsi="Times New Roman"/>
          <w:noProof/>
          <w:sz w:val="24"/>
          <w:szCs w:val="24"/>
        </w:rPr>
      </w:pPr>
      <w:r>
        <w:rPr>
          <w:noProof/>
          <w:szCs w:val="24"/>
          <w:lang w:eastAsia="en-GB"/>
        </w:rPr>
        <mc:AlternateContent>
          <mc:Choice Requires="wps">
            <w:drawing>
              <wp:inline distT="0" distB="0" distL="0" distR="0" wp14:anchorId="519E1EEC" wp14:editId="3A152391">
                <wp:extent cx="5771693" cy="4994564"/>
                <wp:effectExtent l="0" t="0" r="19685" b="158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4994564"/>
                        </a:xfrm>
                        <a:prstGeom prst="rect">
                          <a:avLst/>
                        </a:prstGeom>
                        <a:solidFill>
                          <a:schemeClr val="bg1">
                            <a:lumMod val="85000"/>
                          </a:schemeClr>
                        </a:solidFill>
                        <a:ln w="12700">
                          <a:solidFill>
                            <a:srgbClr val="000000"/>
                          </a:solidFill>
                          <a:miter lim="800000"/>
                          <a:headEnd/>
                          <a:tailEnd/>
                        </a:ln>
                      </wps:spPr>
                      <wps:txbx>
                        <w:txbxContent>
                          <w:p w14:paraId="2CB28A0E" w14:textId="1BD0D46A" w:rsidR="00516F65" w:rsidRDefault="00516F65">
                            <w:pPr>
                              <w:jc w:val="both"/>
                              <w:rPr>
                                <w:rFonts w:ascii="Times New Roman" w:hAnsi="Times New Roman"/>
                                <w:sz w:val="24"/>
                                <w:szCs w:val="24"/>
                              </w:rPr>
                            </w:pPr>
                            <w:r>
                              <w:rPr>
                                <w:rFonts w:ascii="Times New Roman" w:hAnsi="Times New Roman"/>
                                <w:sz w:val="24"/>
                                <w:szCs w:val="24"/>
                              </w:rPr>
                              <w:t xml:space="preserve">The cap is the absolute quantity of </w:t>
                            </w:r>
                            <w:r w:rsidR="00B75E76">
                              <w:rPr>
                                <w:rFonts w:ascii="Times New Roman" w:hAnsi="Times New Roman"/>
                                <w:sz w:val="24"/>
                                <w:szCs w:val="24"/>
                              </w:rPr>
                              <w:t>GHGs, which</w:t>
                            </w:r>
                            <w:r>
                              <w:rPr>
                                <w:rFonts w:ascii="Times New Roman" w:hAnsi="Times New Roman"/>
                                <w:sz w:val="24"/>
                                <w:szCs w:val="24"/>
                              </w:rPr>
                              <w:t xml:space="preserve"> may be emitted by covered entities to ensure the emission reduction target is met and that it corresponds to the number of allowances put in circulation over a trading period. In phase 3 a common EU-wide cap applies, replacing the pr</w:t>
                            </w:r>
                            <w:r w:rsidR="00B75E76">
                              <w:rPr>
                                <w:rFonts w:ascii="Times New Roman" w:hAnsi="Times New Roman"/>
                                <w:sz w:val="24"/>
                                <w:szCs w:val="24"/>
                              </w:rPr>
                              <w:t>evious system of national caps.</w:t>
                            </w:r>
                          </w:p>
                          <w:p w14:paraId="586703C4" w14:textId="77777777" w:rsidR="00516F65" w:rsidRDefault="00516F65">
                            <w:pPr>
                              <w:jc w:val="both"/>
                              <w:rPr>
                                <w:rFonts w:ascii="Times New Roman" w:hAnsi="Times New Roman"/>
                                <w:sz w:val="24"/>
                                <w:szCs w:val="24"/>
                              </w:rPr>
                            </w:pPr>
                            <w:r>
                              <w:rPr>
                                <w:rFonts w:ascii="Times New Roman" w:hAnsi="Times New Roman"/>
                                <w:sz w:val="24"/>
                                <w:szCs w:val="24"/>
                              </w:rPr>
                              <w:t>The 2013 cap for emissions from stationary installations was set at 2 084 301 856 allowances. This cap decreases each year by a linear reduction factor of 1.74% of the average total quantity of allowances issued annually in 2008-2012, thus ensuring that the number of allowances that can be used by stationary installations will be 21% lower in 2020 than in 2005.</w:t>
                            </w:r>
                          </w:p>
                          <w:p w14:paraId="03085764" w14:textId="7279C260" w:rsidR="00516F65" w:rsidRDefault="00516F65">
                            <w:pPr>
                              <w:jc w:val="both"/>
                              <w:rPr>
                                <w:rFonts w:ascii="Times New Roman" w:hAnsi="Times New Roman"/>
                                <w:sz w:val="24"/>
                                <w:szCs w:val="24"/>
                              </w:rPr>
                            </w:pPr>
                            <w:r>
                              <w:rPr>
                                <w:rFonts w:ascii="Times New Roman" w:hAnsi="Times New Roman"/>
                                <w:sz w:val="24"/>
                                <w:szCs w:val="24"/>
                              </w:rPr>
                              <w:t xml:space="preserve">The aviation sector cap was originally set at 210 349 264 aviation allowances per year, which is 5% below the average annual level of aviation emissions in 2004-2006. It increased by 116 524 aviation allowances on 1 January 2014 to accommodate Croatia joining the EU ETS. This cap was meant to reflect the 2008 legislation* which stated that all flights from, to and within the EEA would be included in the EU ETS. However, the scope of the EU ETS was temporarily limited to flights within the EEA between 2013 and 2016 to support the development of a global measure by the ICAO to stabilise emissions from international aviation at 2020 levels. Therefore, the number of aviation allowances put into circulation in 2013-2016 was significantly lower than the original cap. In 2017, </w:t>
                            </w:r>
                            <w:r w:rsidR="009D1D9B">
                              <w:rPr>
                                <w:rFonts w:ascii="Times New Roman" w:hAnsi="Times New Roman"/>
                                <w:sz w:val="24"/>
                                <w:szCs w:val="24"/>
                              </w:rPr>
                              <w:t xml:space="preserve">to support the development </w:t>
                            </w:r>
                            <w:r>
                              <w:rPr>
                                <w:rFonts w:ascii="Times New Roman" w:hAnsi="Times New Roman"/>
                                <w:sz w:val="24"/>
                                <w:szCs w:val="24"/>
                              </w:rPr>
                              <w:t xml:space="preserve">of the ICAO global measure,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w:t>
                            </w:r>
                          </w:p>
                          <w:p w14:paraId="720D3AFE" w14:textId="77777777" w:rsidR="00516F65" w:rsidRDefault="00516F65">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Directive 2008/101/EC of the European Parliament and of the Council of 19 November 2008,amending Directive 2003/87/EC so as to include aviation activities in the scheme for greenhouse gas emission allowance trading within the Community</w:t>
                            </w:r>
                          </w:p>
                          <w:p w14:paraId="009D0DCD" w14:textId="77777777" w:rsidR="00516F65" w:rsidRDefault="00516F65">
                            <w:pPr>
                              <w:jc w:val="both"/>
                              <w:rPr>
                                <w:rFonts w:ascii="Times New Roman" w:hAnsi="Times New Roman"/>
                                <w:sz w:val="24"/>
                                <w:szCs w:val="24"/>
                              </w:rPr>
                            </w:pPr>
                          </w:p>
                          <w:p w14:paraId="24272EB1" w14:textId="77777777" w:rsidR="00516F65" w:rsidRDefault="00516F65">
                            <w:pPr>
                              <w:jc w:val="both"/>
                              <w:rPr>
                                <w:rFonts w:ascii="Times New Roman" w:hAnsi="Times New Roman"/>
                                <w:sz w:val="24"/>
                                <w:szCs w:val="24"/>
                              </w:rPr>
                            </w:pPr>
                          </w:p>
                          <w:p w14:paraId="0E36FF24" w14:textId="77777777" w:rsidR="00516F65" w:rsidRDefault="00516F65">
                            <w:pPr>
                              <w:jc w:val="both"/>
                              <w:rPr>
                                <w:rFonts w:ascii="Times New Roman" w:hAnsi="Times New Roman"/>
                                <w:sz w:val="24"/>
                                <w:szCs w:val="24"/>
                              </w:rPr>
                            </w:pPr>
                          </w:p>
                          <w:p w14:paraId="6EE6C7F4" w14:textId="77777777" w:rsidR="00516F65" w:rsidRDefault="00516F65">
                            <w:pPr>
                              <w:jc w:val="both"/>
                              <w:rPr>
                                <w:lang w:val="en"/>
                              </w:rPr>
                            </w:pPr>
                          </w:p>
                          <w:p w14:paraId="2691C2DB" w14:textId="77777777" w:rsidR="00516F65" w:rsidRDefault="00516F65">
                            <w:pPr>
                              <w:jc w:val="both"/>
                              <w:rPr>
                                <w:rFonts w:ascii="Times New Roman" w:hAnsi="Times New Roman"/>
                                <w:sz w:val="24"/>
                                <w:szCs w:val="24"/>
                                <w:lang w:val="en"/>
                              </w:rPr>
                            </w:pPr>
                          </w:p>
                          <w:p w14:paraId="40ED1A4F" w14:textId="77777777" w:rsidR="00516F65" w:rsidRDefault="00516F65"/>
                        </w:txbxContent>
                      </wps:txbx>
                      <wps:bodyPr rot="0" vert="horz" wrap="square" lIns="91440" tIns="45720" rIns="91440" bIns="45720" anchor="t" anchorCtr="0">
                        <a:noAutofit/>
                      </wps:bodyPr>
                    </wps:wsp>
                  </a:graphicData>
                </a:graphic>
              </wp:inline>
            </w:drawing>
          </mc:Choice>
          <mc:Fallback>
            <w:pict>
              <v:shape w14:anchorId="519E1EEC" id="_x0000_s1029" type="#_x0000_t202" style="width:454.45pt;height:3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" fillcolor="#d8d8d8 [2732]" strokeweight="1pt">
                <v:textbox>
                  <w:txbxContent>
                    <w:p w14:paraId="2CB28A0E" w14:textId="1BD0D46A" w:rsidR="00516F65" w:rsidRDefault="00516F65">
                      <w:pPr>
                        <w:jc w:val="both"/>
                        <w:rPr>
                          <w:rFonts w:ascii="Times New Roman" w:hAnsi="Times New Roman"/>
                          <w:sz w:val="24"/>
                          <w:szCs w:val="24"/>
                        </w:rPr>
                      </w:pPr>
                      <w:r>
                        <w:rPr>
                          <w:rFonts w:ascii="Times New Roman" w:hAnsi="Times New Roman"/>
                          <w:sz w:val="24"/>
                          <w:szCs w:val="24"/>
                        </w:rPr>
                        <w:t xml:space="preserve">The cap is the absolute quantity of </w:t>
                      </w:r>
                      <w:r w:rsidR="00B75E76">
                        <w:rPr>
                          <w:rFonts w:ascii="Times New Roman" w:hAnsi="Times New Roman"/>
                          <w:sz w:val="24"/>
                          <w:szCs w:val="24"/>
                        </w:rPr>
                        <w:t>GHGs, which</w:t>
                      </w:r>
                      <w:r>
                        <w:rPr>
                          <w:rFonts w:ascii="Times New Roman" w:hAnsi="Times New Roman"/>
                          <w:sz w:val="24"/>
                          <w:szCs w:val="24"/>
                        </w:rPr>
                        <w:t xml:space="preserve"> may be emitted by covered entities to ensure the emission reduction target is met and that it corresponds to the number of allowances put in circulation over a trading period. In phase 3 a common EU-wide cap applies, replacing the pr</w:t>
                      </w:r>
                      <w:r w:rsidR="00B75E76">
                        <w:rPr>
                          <w:rFonts w:ascii="Times New Roman" w:hAnsi="Times New Roman"/>
                          <w:sz w:val="24"/>
                          <w:szCs w:val="24"/>
                        </w:rPr>
                        <w:t>evious system of national caps.</w:t>
                      </w:r>
                    </w:p>
                    <w:p w14:paraId="586703C4" w14:textId="77777777" w:rsidR="00516F65" w:rsidRDefault="00516F65">
                      <w:pPr>
                        <w:jc w:val="both"/>
                        <w:rPr>
                          <w:rFonts w:ascii="Times New Roman" w:hAnsi="Times New Roman"/>
                          <w:sz w:val="24"/>
                          <w:szCs w:val="24"/>
                        </w:rPr>
                      </w:pPr>
                      <w:r>
                        <w:rPr>
                          <w:rFonts w:ascii="Times New Roman" w:hAnsi="Times New Roman"/>
                          <w:sz w:val="24"/>
                          <w:szCs w:val="24"/>
                        </w:rPr>
                        <w:t>The 2013 cap for emissions from stationary installations was set at 2 084 301 856 allowances. This cap decreases each year by a linear reduction factor of 1.74% of the average total quantity of allowances issued annually in 2008-2012, thus ensuring that the number of allowances that can be used by stationary installations will be 21% lower in 2020 than in 2005.</w:t>
                      </w:r>
                    </w:p>
                    <w:p w14:paraId="03085764" w14:textId="7279C260" w:rsidR="00516F65" w:rsidRDefault="00516F65">
                      <w:pPr>
                        <w:jc w:val="both"/>
                        <w:rPr>
                          <w:rFonts w:ascii="Times New Roman" w:hAnsi="Times New Roman"/>
                          <w:sz w:val="24"/>
                          <w:szCs w:val="24"/>
                        </w:rPr>
                      </w:pPr>
                      <w:r>
                        <w:rPr>
                          <w:rFonts w:ascii="Times New Roman" w:hAnsi="Times New Roman"/>
                          <w:sz w:val="24"/>
                          <w:szCs w:val="24"/>
                        </w:rPr>
                        <w:t xml:space="preserve">The aviation sector cap was originally set at 210 349 264 aviation allowances per year, which is 5% below the average annual level of aviation emissions in 2004-2006. It increased by 116 524 aviation allowances on 1 January 2014 to accommodate Croatia joining the EU ETS. This cap was meant to reflect the 2008 legislation* which stated that all flights from, to and within the EEA would be included in the EU ETS. However, the scope of the EU ETS was temporarily limited to flights within the EEA between 2013 and 2016 to support the development of a global measure by the ICAO to stabilise emissions from international aviation at 2020 levels. Therefore, the number of aviation allowances put into circulation in 2013-2016 was significantly lower than the original cap. In 2017, </w:t>
                      </w:r>
                      <w:r w:rsidR="009D1D9B">
                        <w:rPr>
                          <w:rFonts w:ascii="Times New Roman" w:hAnsi="Times New Roman"/>
                          <w:sz w:val="24"/>
                          <w:szCs w:val="24"/>
                        </w:rPr>
                        <w:t xml:space="preserve">to support the development </w:t>
                      </w:r>
                      <w:r>
                        <w:rPr>
                          <w:rFonts w:ascii="Times New Roman" w:hAnsi="Times New Roman"/>
                          <w:sz w:val="24"/>
                          <w:szCs w:val="24"/>
                        </w:rPr>
                        <w:t xml:space="preserve">of the ICAO global measure,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was prolonged until 2023 (see chapter 4).</w:t>
                      </w:r>
                    </w:p>
                    <w:p w14:paraId="720D3AFE" w14:textId="77777777" w:rsidR="00516F65" w:rsidRDefault="00516F65">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Directive 2008/101/EC of the European Parliament and of the Council of 19 November 2008,amending Directive 2003/87/EC so as to include aviation activities in the scheme for greenhouse gas emission allowance trading within the Community</w:t>
                      </w:r>
                    </w:p>
                    <w:p w14:paraId="009D0DCD" w14:textId="77777777" w:rsidR="00516F65" w:rsidRDefault="00516F65">
                      <w:pPr>
                        <w:jc w:val="both"/>
                        <w:rPr>
                          <w:rFonts w:ascii="Times New Roman" w:hAnsi="Times New Roman"/>
                          <w:sz w:val="24"/>
                          <w:szCs w:val="24"/>
                        </w:rPr>
                      </w:pPr>
                    </w:p>
                    <w:p w14:paraId="24272EB1" w14:textId="77777777" w:rsidR="00516F65" w:rsidRDefault="00516F65">
                      <w:pPr>
                        <w:jc w:val="both"/>
                        <w:rPr>
                          <w:rFonts w:ascii="Times New Roman" w:hAnsi="Times New Roman"/>
                          <w:sz w:val="24"/>
                          <w:szCs w:val="24"/>
                        </w:rPr>
                      </w:pPr>
                    </w:p>
                    <w:p w14:paraId="0E36FF24" w14:textId="77777777" w:rsidR="00516F65" w:rsidRDefault="00516F65">
                      <w:pPr>
                        <w:jc w:val="both"/>
                        <w:rPr>
                          <w:rFonts w:ascii="Times New Roman" w:hAnsi="Times New Roman"/>
                          <w:sz w:val="24"/>
                          <w:szCs w:val="24"/>
                        </w:rPr>
                      </w:pPr>
                    </w:p>
                    <w:p w14:paraId="6EE6C7F4" w14:textId="77777777" w:rsidR="00516F65" w:rsidRDefault="00516F65">
                      <w:pPr>
                        <w:jc w:val="both"/>
                        <w:rPr>
                          <w:lang w:val="en"/>
                        </w:rPr>
                      </w:pPr>
                    </w:p>
                    <w:p w14:paraId="2691C2DB" w14:textId="77777777" w:rsidR="00516F65" w:rsidRDefault="00516F65">
                      <w:pPr>
                        <w:jc w:val="both"/>
                        <w:rPr>
                          <w:rFonts w:ascii="Times New Roman" w:hAnsi="Times New Roman"/>
                          <w:sz w:val="24"/>
                          <w:szCs w:val="24"/>
                          <w:lang w:val="en"/>
                        </w:rPr>
                      </w:pPr>
                    </w:p>
                    <w:p w14:paraId="40ED1A4F" w14:textId="77777777" w:rsidR="00516F65" w:rsidRDefault="00516F65"/>
                  </w:txbxContent>
                </v:textbox>
                <w10:anchorlock/>
              </v:shape>
            </w:pict>
          </mc:Fallback>
        </mc:AlternateContent>
      </w:r>
    </w:p>
    <w:p w14:paraId="3DBD99C6" w14:textId="77777777" w:rsidR="005F6BD0" w:rsidRDefault="003A348D">
      <w:pPr>
        <w:spacing w:after="0"/>
        <w:jc w:val="both"/>
        <w:rPr>
          <w:rFonts w:ascii="Times New Roman" w:hAnsi="Times New Roman"/>
          <w:noProof/>
          <w:sz w:val="24"/>
          <w:szCs w:val="24"/>
        </w:rPr>
      </w:pPr>
      <w:r>
        <w:rPr>
          <w:rFonts w:ascii="Times New Roman" w:hAnsi="Times New Roman"/>
          <w:noProof/>
          <w:sz w:val="24"/>
          <w:szCs w:val="24"/>
        </w:rPr>
        <w:t>Table 1 shows the figures for the cap for stationary installations and the number of aviation allowances put annually into circulation</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for each year during phase 3 of the EU ETS.</w:t>
      </w:r>
    </w:p>
    <w:p w14:paraId="2DC124A9" w14:textId="77777777" w:rsidR="005F6BD0" w:rsidRDefault="005F6BD0">
      <w:pPr>
        <w:spacing w:after="0"/>
        <w:jc w:val="both"/>
        <w:rPr>
          <w:rFonts w:ascii="Times New Roman" w:hAnsi="Times New Roman"/>
          <w:noProof/>
          <w:sz w:val="24"/>
          <w:szCs w:val="24"/>
        </w:rPr>
      </w:pPr>
    </w:p>
    <w:p w14:paraId="65A8382A" w14:textId="77777777" w:rsidR="005F6BD0" w:rsidRDefault="005F6BD0">
      <w:pPr>
        <w:spacing w:after="0"/>
        <w:jc w:val="both"/>
        <w:rPr>
          <w:rFonts w:ascii="Times New Roman" w:hAnsi="Times New Roman"/>
          <w:noProof/>
          <w:sz w:val="24"/>
          <w:szCs w:val="24"/>
        </w:rPr>
      </w:pPr>
    </w:p>
    <w:p w14:paraId="017F9C1F" w14:textId="77777777" w:rsidR="005F6BD0" w:rsidRDefault="005F6BD0">
      <w:pPr>
        <w:spacing w:after="0"/>
        <w:jc w:val="both"/>
        <w:rPr>
          <w:rFonts w:ascii="Times New Roman" w:hAnsi="Times New Roman"/>
          <w:noProof/>
          <w:sz w:val="24"/>
          <w:szCs w:val="24"/>
        </w:rPr>
      </w:pPr>
    </w:p>
    <w:p w14:paraId="17950437" w14:textId="77777777" w:rsidR="005F6BD0" w:rsidRDefault="005F6BD0">
      <w:pPr>
        <w:spacing w:after="0"/>
        <w:jc w:val="both"/>
        <w:rPr>
          <w:rFonts w:ascii="Times New Roman" w:hAnsi="Times New Roman"/>
          <w:noProof/>
          <w:sz w:val="24"/>
          <w:szCs w:val="24"/>
        </w:rPr>
      </w:pPr>
    </w:p>
    <w:p w14:paraId="4ACF793D" w14:textId="77777777" w:rsidR="005F6BD0" w:rsidRDefault="005F6BD0">
      <w:pPr>
        <w:spacing w:after="0"/>
        <w:jc w:val="both"/>
        <w:rPr>
          <w:rFonts w:ascii="Times New Roman" w:hAnsi="Times New Roman"/>
          <w:noProof/>
          <w:sz w:val="24"/>
          <w:szCs w:val="24"/>
        </w:rPr>
      </w:pPr>
    </w:p>
    <w:p w14:paraId="146AF48A" w14:textId="77777777" w:rsidR="005F6BD0" w:rsidRDefault="005F6BD0">
      <w:pPr>
        <w:spacing w:after="0"/>
        <w:jc w:val="both"/>
        <w:rPr>
          <w:rFonts w:ascii="Times New Roman" w:hAnsi="Times New Roman"/>
          <w:noProof/>
          <w:sz w:val="24"/>
          <w:szCs w:val="24"/>
        </w:rPr>
      </w:pPr>
    </w:p>
    <w:p w14:paraId="663405FB" w14:textId="77777777" w:rsidR="005F6BD0" w:rsidRDefault="005F6BD0">
      <w:pPr>
        <w:spacing w:after="0"/>
        <w:jc w:val="both"/>
        <w:rPr>
          <w:rFonts w:ascii="Times New Roman" w:hAnsi="Times New Roman"/>
          <w:b/>
          <w:noProof/>
        </w:rPr>
      </w:pPr>
    </w:p>
    <w:p w14:paraId="74D662B2" w14:textId="77777777" w:rsidR="005F6BD0" w:rsidRDefault="005F6BD0">
      <w:pPr>
        <w:spacing w:after="0"/>
        <w:jc w:val="both"/>
        <w:rPr>
          <w:rFonts w:ascii="Times New Roman" w:hAnsi="Times New Roman"/>
          <w:b/>
          <w:noProof/>
        </w:rPr>
      </w:pPr>
    </w:p>
    <w:p w14:paraId="5F9531CF" w14:textId="77777777" w:rsidR="007F5B1E" w:rsidRDefault="007F5B1E">
      <w:pPr>
        <w:jc w:val="both"/>
        <w:rPr>
          <w:rFonts w:ascii="Times New Roman" w:hAnsi="Times New Roman"/>
          <w:b/>
          <w:noProof/>
        </w:rPr>
      </w:pPr>
    </w:p>
    <w:p w14:paraId="79A4C8CF" w14:textId="77777777" w:rsidR="005F6BD0" w:rsidRDefault="003A348D">
      <w:pPr>
        <w:jc w:val="both"/>
        <w:rPr>
          <w:rFonts w:ascii="Times New Roman" w:hAnsi="Times New Roman"/>
          <w:b/>
          <w:bCs/>
          <w:noProof/>
          <w:sz w:val="20"/>
          <w:szCs w:val="20"/>
        </w:rPr>
      </w:pPr>
      <w:r>
        <w:rPr>
          <w:rFonts w:ascii="Times New Roman" w:hAnsi="Times New Roman"/>
          <w:b/>
          <w:noProof/>
        </w:rPr>
        <w:t>Table 1: EU ETS cap 2013-2020</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rsidR="005F6BD0" w:rsidRPr="003F30A8" w14:paraId="5E43DF45" w14:textId="77777777">
        <w:trPr>
          <w:trHeight w:val="615"/>
          <w:jc w:val="center"/>
        </w:trPr>
        <w:tc>
          <w:tcPr>
            <w:tcW w:w="1994" w:type="dxa"/>
          </w:tcPr>
          <w:p w14:paraId="41B89BA5" w14:textId="77777777" w:rsidR="005F6BD0" w:rsidRPr="00171CDC" w:rsidRDefault="003A348D">
            <w:pPr>
              <w:jc w:val="center"/>
              <w:rPr>
                <w:rFonts w:ascii="Times New Roman" w:hAnsi="Times New Roman"/>
                <w:b/>
                <w:noProof/>
              </w:rPr>
            </w:pPr>
            <w:r>
              <w:rPr>
                <w:rFonts w:ascii="Times New Roman" w:hAnsi="Times New Roman"/>
                <w:b/>
                <w:noProof/>
              </w:rPr>
              <w:br/>
            </w:r>
            <w:r w:rsidRPr="00171CDC">
              <w:rPr>
                <w:rFonts w:ascii="Times New Roman" w:hAnsi="Times New Roman"/>
                <w:b/>
                <w:noProof/>
              </w:rPr>
              <w:t>Year</w:t>
            </w:r>
          </w:p>
          <w:p w14:paraId="6237D8E3" w14:textId="77777777" w:rsidR="005F6BD0" w:rsidRPr="003F30A8" w:rsidRDefault="005F6BD0">
            <w:pPr>
              <w:jc w:val="center"/>
              <w:rPr>
                <w:b/>
                <w:noProof/>
              </w:rPr>
            </w:pPr>
          </w:p>
        </w:tc>
        <w:tc>
          <w:tcPr>
            <w:tcW w:w="3207" w:type="dxa"/>
          </w:tcPr>
          <w:p w14:paraId="13887567" w14:textId="77777777" w:rsidR="005F6BD0" w:rsidRPr="003F30A8" w:rsidRDefault="003A348D">
            <w:pPr>
              <w:jc w:val="center"/>
              <w:rPr>
                <w:b/>
                <w:noProof/>
              </w:rPr>
            </w:pPr>
            <w:r w:rsidRPr="003F30A8">
              <w:rPr>
                <w:rFonts w:ascii="Times New Roman" w:hAnsi="Times New Roman"/>
                <w:b/>
                <w:noProof/>
              </w:rPr>
              <w:br/>
              <w:t>Annual cap (installations)</w:t>
            </w:r>
          </w:p>
        </w:tc>
        <w:tc>
          <w:tcPr>
            <w:tcW w:w="3810" w:type="dxa"/>
          </w:tcPr>
          <w:p w14:paraId="750CAA56" w14:textId="77777777" w:rsidR="005F6BD0" w:rsidRPr="003F30A8" w:rsidRDefault="005F6BD0">
            <w:pPr>
              <w:jc w:val="center"/>
              <w:rPr>
                <w:rFonts w:ascii="Times New Roman" w:hAnsi="Times New Roman"/>
                <w:b/>
                <w:noProof/>
              </w:rPr>
            </w:pPr>
          </w:p>
          <w:p w14:paraId="01EF8EBF" w14:textId="77777777" w:rsidR="005F6BD0" w:rsidRPr="00171CDC" w:rsidRDefault="003A348D">
            <w:pPr>
              <w:jc w:val="center"/>
              <w:rPr>
                <w:rFonts w:ascii="Times New Roman" w:hAnsi="Times New Roman"/>
                <w:b/>
                <w:noProof/>
              </w:rPr>
            </w:pPr>
            <w:r w:rsidRPr="003F30A8">
              <w:rPr>
                <w:rFonts w:ascii="Times New Roman" w:hAnsi="Times New Roman"/>
                <w:b/>
                <w:noProof/>
              </w:rPr>
              <w:t>Annual aviation allowances put into circulation</w:t>
            </w:r>
            <w:r w:rsidRPr="00171CDC">
              <w:rPr>
                <w:rStyle w:val="FootnoteReference"/>
                <w:rFonts w:ascii="Times New Roman" w:hAnsi="Times New Roman"/>
                <w:b/>
                <w:noProof/>
              </w:rPr>
              <w:footnoteReference w:id="16"/>
            </w:r>
          </w:p>
        </w:tc>
      </w:tr>
      <w:tr w:rsidR="005F6BD0" w:rsidRPr="003F30A8" w14:paraId="0CFB8858" w14:textId="77777777">
        <w:trPr>
          <w:trHeight w:val="546"/>
          <w:jc w:val="center"/>
        </w:trPr>
        <w:tc>
          <w:tcPr>
            <w:tcW w:w="1994" w:type="dxa"/>
          </w:tcPr>
          <w:p w14:paraId="6CD94883" w14:textId="77777777" w:rsidR="005F6BD0" w:rsidRPr="003F30A8" w:rsidRDefault="003A348D">
            <w:pPr>
              <w:jc w:val="center"/>
              <w:rPr>
                <w:rFonts w:ascii="Times New Roman" w:hAnsi="Times New Roman"/>
                <w:noProof/>
              </w:rPr>
            </w:pPr>
            <w:r w:rsidRPr="003F30A8">
              <w:rPr>
                <w:rFonts w:ascii="Times New Roman" w:hAnsi="Times New Roman"/>
                <w:noProof/>
              </w:rPr>
              <w:br/>
              <w:t>2013</w:t>
            </w:r>
          </w:p>
          <w:p w14:paraId="66BFB064" w14:textId="77777777" w:rsidR="005F6BD0" w:rsidRPr="003F30A8" w:rsidRDefault="005F6BD0">
            <w:pPr>
              <w:jc w:val="center"/>
              <w:rPr>
                <w:noProof/>
              </w:rPr>
            </w:pPr>
          </w:p>
        </w:tc>
        <w:tc>
          <w:tcPr>
            <w:tcW w:w="3207" w:type="dxa"/>
          </w:tcPr>
          <w:p w14:paraId="62DECE42" w14:textId="77777777" w:rsidR="005F6BD0" w:rsidRPr="003F30A8" w:rsidRDefault="003A348D">
            <w:pPr>
              <w:jc w:val="center"/>
              <w:rPr>
                <w:noProof/>
              </w:rPr>
            </w:pPr>
            <w:r w:rsidRPr="003F30A8">
              <w:rPr>
                <w:rFonts w:ascii="Times New Roman" w:hAnsi="Times New Roman"/>
                <w:noProof/>
              </w:rPr>
              <w:br/>
              <w:t>2 084 301 856</w:t>
            </w:r>
          </w:p>
        </w:tc>
        <w:tc>
          <w:tcPr>
            <w:tcW w:w="3810" w:type="dxa"/>
          </w:tcPr>
          <w:p w14:paraId="189BA354" w14:textId="77777777" w:rsidR="005F6BD0" w:rsidRPr="003F30A8" w:rsidRDefault="005F6BD0">
            <w:pPr>
              <w:jc w:val="center"/>
              <w:rPr>
                <w:rFonts w:ascii="Times New Roman" w:hAnsi="Times New Roman"/>
                <w:noProof/>
              </w:rPr>
            </w:pPr>
          </w:p>
          <w:p w14:paraId="25D58FD4" w14:textId="77777777" w:rsidR="005F6BD0" w:rsidRPr="003F30A8" w:rsidRDefault="003A348D">
            <w:pPr>
              <w:jc w:val="center"/>
              <w:rPr>
                <w:rFonts w:ascii="Times New Roman" w:hAnsi="Times New Roman"/>
                <w:noProof/>
              </w:rPr>
            </w:pPr>
            <w:r w:rsidRPr="003F30A8">
              <w:rPr>
                <w:rFonts w:ascii="Times New Roman" w:hAnsi="Times New Roman"/>
                <w:noProof/>
              </w:rPr>
              <w:t>32 455 296</w:t>
            </w:r>
          </w:p>
        </w:tc>
      </w:tr>
      <w:tr w:rsidR="005F6BD0" w:rsidRPr="003F30A8" w14:paraId="1261E305" w14:textId="77777777">
        <w:trPr>
          <w:trHeight w:val="534"/>
          <w:jc w:val="center"/>
        </w:trPr>
        <w:tc>
          <w:tcPr>
            <w:tcW w:w="1994" w:type="dxa"/>
          </w:tcPr>
          <w:p w14:paraId="28AA40A8" w14:textId="77777777" w:rsidR="005F6BD0" w:rsidRPr="003F30A8" w:rsidRDefault="003A348D">
            <w:pPr>
              <w:jc w:val="center"/>
              <w:rPr>
                <w:rFonts w:ascii="Times New Roman" w:hAnsi="Times New Roman"/>
                <w:noProof/>
              </w:rPr>
            </w:pPr>
            <w:r w:rsidRPr="003F30A8">
              <w:rPr>
                <w:rFonts w:ascii="Times New Roman" w:hAnsi="Times New Roman"/>
                <w:noProof/>
              </w:rPr>
              <w:br/>
              <w:t>2014</w:t>
            </w:r>
          </w:p>
          <w:p w14:paraId="267F38B6" w14:textId="77777777" w:rsidR="005F6BD0" w:rsidRPr="003F30A8" w:rsidRDefault="005F6BD0">
            <w:pPr>
              <w:jc w:val="center"/>
              <w:rPr>
                <w:noProof/>
              </w:rPr>
            </w:pPr>
          </w:p>
        </w:tc>
        <w:tc>
          <w:tcPr>
            <w:tcW w:w="3207" w:type="dxa"/>
          </w:tcPr>
          <w:p w14:paraId="79AF631F" w14:textId="77777777" w:rsidR="005F6BD0" w:rsidRPr="003F30A8" w:rsidRDefault="003A348D">
            <w:pPr>
              <w:jc w:val="center"/>
              <w:rPr>
                <w:noProof/>
              </w:rPr>
            </w:pPr>
            <w:r w:rsidRPr="003F30A8">
              <w:rPr>
                <w:rFonts w:ascii="Times New Roman" w:hAnsi="Times New Roman"/>
                <w:noProof/>
              </w:rPr>
              <w:br/>
              <w:t>2 046 037 610</w:t>
            </w:r>
          </w:p>
        </w:tc>
        <w:tc>
          <w:tcPr>
            <w:tcW w:w="3810" w:type="dxa"/>
          </w:tcPr>
          <w:p w14:paraId="587AA7A1" w14:textId="77777777" w:rsidR="005F6BD0" w:rsidRPr="003F30A8" w:rsidRDefault="005F6BD0">
            <w:pPr>
              <w:jc w:val="center"/>
              <w:rPr>
                <w:rFonts w:ascii="Times New Roman" w:hAnsi="Times New Roman"/>
                <w:noProof/>
              </w:rPr>
            </w:pPr>
          </w:p>
          <w:p w14:paraId="747D9FA1" w14:textId="77777777" w:rsidR="005F6BD0" w:rsidRPr="003F30A8" w:rsidRDefault="003A348D">
            <w:pPr>
              <w:jc w:val="center"/>
              <w:rPr>
                <w:rFonts w:ascii="Times New Roman" w:hAnsi="Times New Roman"/>
                <w:noProof/>
              </w:rPr>
            </w:pPr>
            <w:r w:rsidRPr="003F30A8">
              <w:rPr>
                <w:rFonts w:ascii="Times New Roman" w:hAnsi="Times New Roman"/>
                <w:noProof/>
              </w:rPr>
              <w:t>41 866 834</w:t>
            </w:r>
          </w:p>
        </w:tc>
      </w:tr>
      <w:tr w:rsidR="005F6BD0" w:rsidRPr="003F30A8" w14:paraId="02AF42D9" w14:textId="77777777">
        <w:trPr>
          <w:trHeight w:val="522"/>
          <w:jc w:val="center"/>
        </w:trPr>
        <w:tc>
          <w:tcPr>
            <w:tcW w:w="1994" w:type="dxa"/>
          </w:tcPr>
          <w:p w14:paraId="504EF049" w14:textId="77777777" w:rsidR="005F6BD0" w:rsidRPr="003F30A8" w:rsidRDefault="003A348D">
            <w:pPr>
              <w:jc w:val="center"/>
              <w:rPr>
                <w:rFonts w:ascii="Times New Roman" w:hAnsi="Times New Roman"/>
                <w:noProof/>
              </w:rPr>
            </w:pPr>
            <w:r w:rsidRPr="003F30A8">
              <w:rPr>
                <w:rFonts w:ascii="Times New Roman" w:hAnsi="Times New Roman"/>
                <w:noProof/>
              </w:rPr>
              <w:br/>
              <w:t>2015</w:t>
            </w:r>
          </w:p>
          <w:p w14:paraId="7F650691" w14:textId="77777777" w:rsidR="005F6BD0" w:rsidRPr="003F30A8" w:rsidRDefault="005F6BD0">
            <w:pPr>
              <w:jc w:val="center"/>
              <w:rPr>
                <w:noProof/>
              </w:rPr>
            </w:pPr>
          </w:p>
        </w:tc>
        <w:tc>
          <w:tcPr>
            <w:tcW w:w="3207" w:type="dxa"/>
          </w:tcPr>
          <w:p w14:paraId="61B9F803" w14:textId="77777777" w:rsidR="005F6BD0" w:rsidRPr="003F30A8" w:rsidRDefault="003A348D">
            <w:pPr>
              <w:jc w:val="center"/>
              <w:rPr>
                <w:noProof/>
              </w:rPr>
            </w:pPr>
            <w:r w:rsidRPr="003F30A8">
              <w:rPr>
                <w:rFonts w:ascii="Times New Roman" w:hAnsi="Times New Roman"/>
                <w:noProof/>
              </w:rPr>
              <w:br/>
              <w:t>2 007 773 364</w:t>
            </w:r>
          </w:p>
        </w:tc>
        <w:tc>
          <w:tcPr>
            <w:tcW w:w="3810" w:type="dxa"/>
          </w:tcPr>
          <w:p w14:paraId="366C775D" w14:textId="77777777" w:rsidR="005F6BD0" w:rsidRPr="003F30A8" w:rsidRDefault="005F6BD0">
            <w:pPr>
              <w:jc w:val="center"/>
              <w:rPr>
                <w:rFonts w:ascii="Times New Roman" w:hAnsi="Times New Roman"/>
                <w:noProof/>
              </w:rPr>
            </w:pPr>
          </w:p>
          <w:p w14:paraId="7A2BF051" w14:textId="77777777" w:rsidR="005F6BD0" w:rsidRPr="003F30A8" w:rsidRDefault="003A348D">
            <w:pPr>
              <w:jc w:val="center"/>
              <w:rPr>
                <w:rFonts w:ascii="Times New Roman" w:hAnsi="Times New Roman"/>
                <w:noProof/>
              </w:rPr>
            </w:pPr>
            <w:r w:rsidRPr="003F30A8">
              <w:rPr>
                <w:rFonts w:ascii="Times New Roman" w:hAnsi="Times New Roman"/>
                <w:noProof/>
              </w:rPr>
              <w:t>50 669 024</w:t>
            </w:r>
          </w:p>
        </w:tc>
      </w:tr>
      <w:tr w:rsidR="005F6BD0" w:rsidRPr="003F30A8" w14:paraId="2C4C51AD" w14:textId="77777777">
        <w:trPr>
          <w:trHeight w:val="510"/>
          <w:jc w:val="center"/>
        </w:trPr>
        <w:tc>
          <w:tcPr>
            <w:tcW w:w="1994" w:type="dxa"/>
          </w:tcPr>
          <w:p w14:paraId="18A43635" w14:textId="77777777" w:rsidR="005F6BD0" w:rsidRPr="003F30A8" w:rsidRDefault="003A348D">
            <w:pPr>
              <w:jc w:val="center"/>
              <w:rPr>
                <w:rFonts w:ascii="Times New Roman" w:hAnsi="Times New Roman"/>
                <w:noProof/>
              </w:rPr>
            </w:pPr>
            <w:r w:rsidRPr="003F30A8">
              <w:rPr>
                <w:rFonts w:ascii="Times New Roman" w:hAnsi="Times New Roman"/>
                <w:noProof/>
              </w:rPr>
              <w:br/>
              <w:t>2016</w:t>
            </w:r>
          </w:p>
          <w:p w14:paraId="6EC04BA5" w14:textId="77777777" w:rsidR="005F6BD0" w:rsidRPr="003F30A8" w:rsidRDefault="005F6BD0">
            <w:pPr>
              <w:jc w:val="center"/>
              <w:rPr>
                <w:rFonts w:ascii="Times New Roman" w:hAnsi="Times New Roman"/>
                <w:noProof/>
              </w:rPr>
            </w:pPr>
          </w:p>
        </w:tc>
        <w:tc>
          <w:tcPr>
            <w:tcW w:w="3207" w:type="dxa"/>
          </w:tcPr>
          <w:p w14:paraId="6222F938" w14:textId="77777777" w:rsidR="005F6BD0" w:rsidRPr="003F30A8" w:rsidRDefault="003A348D">
            <w:pPr>
              <w:jc w:val="center"/>
              <w:rPr>
                <w:rFonts w:ascii="Times New Roman" w:hAnsi="Times New Roman"/>
                <w:noProof/>
              </w:rPr>
            </w:pPr>
            <w:r w:rsidRPr="003F30A8">
              <w:rPr>
                <w:rFonts w:ascii="Times New Roman" w:hAnsi="Times New Roman"/>
                <w:noProof/>
              </w:rPr>
              <w:br/>
              <w:t>1 969 509 118</w:t>
            </w:r>
          </w:p>
        </w:tc>
        <w:tc>
          <w:tcPr>
            <w:tcW w:w="3810" w:type="dxa"/>
          </w:tcPr>
          <w:p w14:paraId="72BFB1FB" w14:textId="77777777" w:rsidR="005F6BD0" w:rsidRPr="003F30A8" w:rsidRDefault="005F6BD0">
            <w:pPr>
              <w:jc w:val="center"/>
              <w:rPr>
                <w:rFonts w:ascii="Times New Roman" w:hAnsi="Times New Roman"/>
                <w:noProof/>
              </w:rPr>
            </w:pPr>
          </w:p>
          <w:p w14:paraId="3F1BE5D1" w14:textId="77777777" w:rsidR="005F6BD0" w:rsidRPr="003F30A8" w:rsidRDefault="003A348D">
            <w:pPr>
              <w:jc w:val="center"/>
              <w:rPr>
                <w:rFonts w:ascii="Times New Roman" w:hAnsi="Times New Roman"/>
                <w:noProof/>
              </w:rPr>
            </w:pPr>
            <w:r w:rsidRPr="003F30A8">
              <w:rPr>
                <w:rFonts w:ascii="Times New Roman" w:hAnsi="Times New Roman"/>
                <w:noProof/>
              </w:rPr>
              <w:t>38 879 316</w:t>
            </w:r>
          </w:p>
        </w:tc>
      </w:tr>
      <w:tr w:rsidR="005F6BD0" w:rsidRPr="003F30A8" w14:paraId="447C4087" w14:textId="77777777">
        <w:trPr>
          <w:trHeight w:val="603"/>
          <w:jc w:val="center"/>
        </w:trPr>
        <w:tc>
          <w:tcPr>
            <w:tcW w:w="1994" w:type="dxa"/>
          </w:tcPr>
          <w:p w14:paraId="06E63005" w14:textId="77777777" w:rsidR="005F6BD0" w:rsidRPr="003F30A8" w:rsidRDefault="003A348D">
            <w:pPr>
              <w:jc w:val="center"/>
              <w:rPr>
                <w:rFonts w:ascii="Times New Roman" w:hAnsi="Times New Roman"/>
                <w:noProof/>
              </w:rPr>
            </w:pPr>
            <w:r w:rsidRPr="003F30A8">
              <w:rPr>
                <w:rFonts w:ascii="Times New Roman" w:hAnsi="Times New Roman"/>
                <w:noProof/>
              </w:rPr>
              <w:br/>
              <w:t>2017</w:t>
            </w:r>
          </w:p>
          <w:p w14:paraId="47CCDEF2" w14:textId="77777777" w:rsidR="005F6BD0" w:rsidRPr="003F30A8" w:rsidRDefault="005F6BD0">
            <w:pPr>
              <w:jc w:val="center"/>
              <w:rPr>
                <w:rFonts w:ascii="Times New Roman" w:hAnsi="Times New Roman"/>
                <w:noProof/>
              </w:rPr>
            </w:pPr>
          </w:p>
        </w:tc>
        <w:tc>
          <w:tcPr>
            <w:tcW w:w="3207" w:type="dxa"/>
          </w:tcPr>
          <w:p w14:paraId="1991CD6C" w14:textId="77777777" w:rsidR="005F6BD0" w:rsidRPr="003F30A8" w:rsidRDefault="003A348D">
            <w:pPr>
              <w:jc w:val="center"/>
              <w:rPr>
                <w:rFonts w:ascii="Times New Roman" w:hAnsi="Times New Roman"/>
                <w:noProof/>
              </w:rPr>
            </w:pPr>
            <w:r w:rsidRPr="003F30A8">
              <w:rPr>
                <w:rFonts w:ascii="Times New Roman" w:hAnsi="Times New Roman"/>
                <w:noProof/>
              </w:rPr>
              <w:br/>
              <w:t>1 931 244 873</w:t>
            </w:r>
          </w:p>
        </w:tc>
        <w:tc>
          <w:tcPr>
            <w:tcW w:w="3810" w:type="dxa"/>
          </w:tcPr>
          <w:p w14:paraId="0982641B" w14:textId="77777777" w:rsidR="005F6BD0" w:rsidRPr="003F30A8" w:rsidRDefault="005F6BD0">
            <w:pPr>
              <w:jc w:val="center"/>
              <w:rPr>
                <w:rFonts w:ascii="Times New Roman" w:hAnsi="Times New Roman"/>
                <w:noProof/>
              </w:rPr>
            </w:pPr>
          </w:p>
          <w:p w14:paraId="6A47184D" w14:textId="77777777" w:rsidR="005F6BD0" w:rsidRPr="003F30A8" w:rsidRDefault="003A348D">
            <w:pPr>
              <w:jc w:val="center"/>
              <w:rPr>
                <w:rFonts w:ascii="Times New Roman" w:hAnsi="Times New Roman"/>
                <w:noProof/>
              </w:rPr>
            </w:pPr>
            <w:r w:rsidRPr="003F30A8">
              <w:rPr>
                <w:rFonts w:ascii="Times New Roman" w:hAnsi="Times New Roman"/>
                <w:noProof/>
              </w:rPr>
              <w:t>38 711 651</w:t>
            </w:r>
          </w:p>
        </w:tc>
      </w:tr>
      <w:tr w:rsidR="005F6BD0" w:rsidRPr="003F30A8" w14:paraId="7E9EDB71" w14:textId="77777777">
        <w:trPr>
          <w:trHeight w:val="603"/>
          <w:jc w:val="center"/>
        </w:trPr>
        <w:tc>
          <w:tcPr>
            <w:tcW w:w="1994" w:type="dxa"/>
          </w:tcPr>
          <w:p w14:paraId="6DC44CDD" w14:textId="77777777" w:rsidR="005F6BD0" w:rsidRPr="003F30A8" w:rsidRDefault="003A348D">
            <w:pPr>
              <w:jc w:val="center"/>
              <w:rPr>
                <w:rFonts w:ascii="Times New Roman" w:hAnsi="Times New Roman"/>
                <w:noProof/>
              </w:rPr>
            </w:pPr>
            <w:r w:rsidRPr="003F30A8">
              <w:rPr>
                <w:rFonts w:ascii="Times New Roman" w:hAnsi="Times New Roman"/>
                <w:noProof/>
              </w:rPr>
              <w:br/>
              <w:t>2018</w:t>
            </w:r>
          </w:p>
          <w:p w14:paraId="1EC5A19D" w14:textId="77777777" w:rsidR="005F6BD0" w:rsidRPr="003F30A8" w:rsidRDefault="005F6BD0">
            <w:pPr>
              <w:jc w:val="center"/>
              <w:rPr>
                <w:rFonts w:ascii="Times New Roman" w:hAnsi="Times New Roman"/>
                <w:noProof/>
              </w:rPr>
            </w:pPr>
          </w:p>
        </w:tc>
        <w:tc>
          <w:tcPr>
            <w:tcW w:w="3207" w:type="dxa"/>
          </w:tcPr>
          <w:p w14:paraId="1ED5CA18" w14:textId="77777777" w:rsidR="005F6BD0" w:rsidRPr="003F30A8" w:rsidRDefault="003A348D">
            <w:pPr>
              <w:jc w:val="center"/>
              <w:rPr>
                <w:rFonts w:ascii="Times New Roman" w:hAnsi="Times New Roman"/>
                <w:noProof/>
              </w:rPr>
            </w:pPr>
            <w:r w:rsidRPr="003F30A8">
              <w:rPr>
                <w:rFonts w:ascii="Times New Roman" w:hAnsi="Times New Roman"/>
                <w:noProof/>
              </w:rPr>
              <w:br/>
              <w:t>1 892 980 627</w:t>
            </w:r>
          </w:p>
        </w:tc>
        <w:tc>
          <w:tcPr>
            <w:tcW w:w="3810" w:type="dxa"/>
          </w:tcPr>
          <w:p w14:paraId="0AB6CE31" w14:textId="77777777" w:rsidR="005F6BD0" w:rsidRPr="003F30A8" w:rsidRDefault="005F6BD0">
            <w:pPr>
              <w:jc w:val="center"/>
              <w:rPr>
                <w:rFonts w:ascii="Times New Roman" w:hAnsi="Times New Roman"/>
                <w:noProof/>
              </w:rPr>
            </w:pPr>
          </w:p>
          <w:p w14:paraId="2210EE9E" w14:textId="77777777" w:rsidR="005F6BD0" w:rsidRPr="003F30A8" w:rsidRDefault="0071246D" w:rsidP="00161F92">
            <w:pPr>
              <w:jc w:val="center"/>
              <w:rPr>
                <w:rFonts w:ascii="Times New Roman" w:hAnsi="Times New Roman"/>
                <w:noProof/>
              </w:rPr>
            </w:pPr>
            <w:r w:rsidRPr="003F30A8">
              <w:rPr>
                <w:rFonts w:ascii="Times New Roman" w:hAnsi="Times New Roman"/>
                <w:noProof/>
              </w:rPr>
              <w:t>38.909.625</w:t>
            </w:r>
          </w:p>
        </w:tc>
      </w:tr>
      <w:tr w:rsidR="005F6BD0" w:rsidRPr="003F30A8" w14:paraId="716B78B1" w14:textId="77777777">
        <w:trPr>
          <w:trHeight w:val="603"/>
          <w:jc w:val="center"/>
        </w:trPr>
        <w:tc>
          <w:tcPr>
            <w:tcW w:w="1994" w:type="dxa"/>
          </w:tcPr>
          <w:p w14:paraId="2F557929" w14:textId="77777777" w:rsidR="005F6BD0" w:rsidRPr="003F30A8" w:rsidRDefault="003A348D">
            <w:pPr>
              <w:jc w:val="center"/>
              <w:rPr>
                <w:rFonts w:ascii="Times New Roman" w:hAnsi="Times New Roman"/>
                <w:noProof/>
              </w:rPr>
            </w:pPr>
            <w:r w:rsidRPr="003F30A8">
              <w:rPr>
                <w:rFonts w:ascii="Times New Roman" w:hAnsi="Times New Roman"/>
                <w:noProof/>
              </w:rPr>
              <w:br/>
              <w:t>2019</w:t>
            </w:r>
          </w:p>
          <w:p w14:paraId="7D15DE27" w14:textId="77777777" w:rsidR="005F6BD0" w:rsidRPr="003F30A8" w:rsidRDefault="005F6BD0">
            <w:pPr>
              <w:jc w:val="center"/>
              <w:rPr>
                <w:rFonts w:ascii="Times New Roman" w:hAnsi="Times New Roman"/>
                <w:noProof/>
              </w:rPr>
            </w:pPr>
          </w:p>
        </w:tc>
        <w:tc>
          <w:tcPr>
            <w:tcW w:w="3207" w:type="dxa"/>
          </w:tcPr>
          <w:p w14:paraId="4AF86A37" w14:textId="77777777" w:rsidR="005F6BD0" w:rsidRPr="003F30A8" w:rsidRDefault="003A348D">
            <w:pPr>
              <w:jc w:val="center"/>
              <w:rPr>
                <w:rFonts w:ascii="Times New Roman" w:hAnsi="Times New Roman"/>
                <w:noProof/>
              </w:rPr>
            </w:pPr>
            <w:r w:rsidRPr="003F30A8">
              <w:rPr>
                <w:rFonts w:ascii="Times New Roman" w:hAnsi="Times New Roman"/>
                <w:noProof/>
              </w:rPr>
              <w:br/>
              <w:t>1 854 716 381</w:t>
            </w:r>
          </w:p>
        </w:tc>
        <w:tc>
          <w:tcPr>
            <w:tcW w:w="3810" w:type="dxa"/>
          </w:tcPr>
          <w:p w14:paraId="370F971F" w14:textId="77777777" w:rsidR="005F6BD0" w:rsidRPr="003F30A8" w:rsidRDefault="005F6BD0">
            <w:pPr>
              <w:jc w:val="center"/>
              <w:rPr>
                <w:rFonts w:ascii="Times New Roman" w:hAnsi="Times New Roman"/>
                <w:noProof/>
              </w:rPr>
            </w:pPr>
          </w:p>
          <w:p w14:paraId="6C25639D" w14:textId="77777777" w:rsidR="005F6BD0" w:rsidRPr="003F30A8" w:rsidRDefault="0071246D">
            <w:pPr>
              <w:jc w:val="center"/>
              <w:rPr>
                <w:rFonts w:ascii="Times New Roman" w:hAnsi="Times New Roman"/>
                <w:noProof/>
              </w:rPr>
            </w:pPr>
            <w:r w:rsidRPr="003F30A8">
              <w:rPr>
                <w:rFonts w:ascii="Times New Roman" w:hAnsi="Times New Roman"/>
                <w:noProof/>
              </w:rPr>
              <w:t>35.172.897</w:t>
            </w:r>
            <w:r w:rsidR="00161F92" w:rsidRPr="003F30A8">
              <w:rPr>
                <w:rStyle w:val="FootnoteReference"/>
                <w:rFonts w:ascii="Times New Roman" w:hAnsi="Times New Roman"/>
                <w:noProof/>
              </w:rPr>
              <w:footnoteReference w:id="17"/>
            </w:r>
          </w:p>
        </w:tc>
      </w:tr>
      <w:tr w:rsidR="005F6BD0" w14:paraId="029C7B0D" w14:textId="77777777">
        <w:trPr>
          <w:trHeight w:val="510"/>
          <w:jc w:val="center"/>
        </w:trPr>
        <w:tc>
          <w:tcPr>
            <w:tcW w:w="1994" w:type="dxa"/>
          </w:tcPr>
          <w:p w14:paraId="4302057A" w14:textId="77777777" w:rsidR="005F6BD0" w:rsidRPr="003F30A8" w:rsidRDefault="003A348D">
            <w:pPr>
              <w:jc w:val="center"/>
              <w:rPr>
                <w:rFonts w:ascii="Times New Roman" w:hAnsi="Times New Roman"/>
                <w:noProof/>
              </w:rPr>
            </w:pPr>
            <w:r w:rsidRPr="003F30A8">
              <w:rPr>
                <w:rFonts w:ascii="Times New Roman" w:hAnsi="Times New Roman"/>
                <w:noProof/>
              </w:rPr>
              <w:br/>
              <w:t>2020</w:t>
            </w:r>
          </w:p>
          <w:p w14:paraId="3F98F7CE" w14:textId="77777777" w:rsidR="005F6BD0" w:rsidRPr="003F30A8" w:rsidRDefault="005F6BD0">
            <w:pPr>
              <w:jc w:val="center"/>
              <w:rPr>
                <w:rFonts w:ascii="Times New Roman" w:hAnsi="Times New Roman"/>
                <w:noProof/>
              </w:rPr>
            </w:pPr>
          </w:p>
        </w:tc>
        <w:tc>
          <w:tcPr>
            <w:tcW w:w="3207" w:type="dxa"/>
          </w:tcPr>
          <w:p w14:paraId="6A67758C" w14:textId="77777777" w:rsidR="005F6BD0" w:rsidRDefault="003A348D">
            <w:pPr>
              <w:jc w:val="center"/>
              <w:rPr>
                <w:noProof/>
              </w:rPr>
            </w:pPr>
            <w:r w:rsidRPr="003F30A8">
              <w:rPr>
                <w:rFonts w:ascii="Times New Roman" w:hAnsi="Times New Roman"/>
                <w:noProof/>
              </w:rPr>
              <w:br/>
              <w:t>1 816 452 135</w:t>
            </w:r>
          </w:p>
        </w:tc>
        <w:tc>
          <w:tcPr>
            <w:tcW w:w="3810" w:type="dxa"/>
          </w:tcPr>
          <w:p w14:paraId="1E15624A" w14:textId="77777777" w:rsidR="005F6BD0" w:rsidRDefault="005F6BD0">
            <w:pPr>
              <w:jc w:val="center"/>
              <w:rPr>
                <w:rFonts w:ascii="Times New Roman" w:hAnsi="Times New Roman"/>
                <w:noProof/>
              </w:rPr>
            </w:pPr>
          </w:p>
          <w:p w14:paraId="35686FF9" w14:textId="77777777" w:rsidR="005F6BD0" w:rsidRDefault="005F6BD0">
            <w:pPr>
              <w:jc w:val="center"/>
              <w:rPr>
                <w:rFonts w:ascii="Times New Roman" w:hAnsi="Times New Roman"/>
                <w:noProof/>
              </w:rPr>
            </w:pPr>
          </w:p>
        </w:tc>
      </w:tr>
    </w:tbl>
    <w:p w14:paraId="48296229" w14:textId="77777777" w:rsidR="005F6BD0" w:rsidRDefault="00A52F4C">
      <w:pPr>
        <w:pStyle w:val="Heading3"/>
        <w:spacing w:before="0" w:after="200"/>
        <w:ind w:left="720"/>
        <w:rPr>
          <w:noProof/>
        </w:rPr>
      </w:pPr>
      <w:bookmarkStart w:id="25" w:name="_Toc490850425"/>
      <w:bookmarkStart w:id="26" w:name="_Toc519009681"/>
      <w:bookmarkStart w:id="27" w:name="_Toc20217729"/>
      <w:r>
        <w:rPr>
          <w:noProof/>
        </w:rPr>
        <w:t>3</w:t>
      </w:r>
      <w:r w:rsidR="003A348D">
        <w:rPr>
          <w:noProof/>
        </w:rPr>
        <w:t>.1.2. Issued allowances</w:t>
      </w:r>
      <w:bookmarkEnd w:id="25"/>
      <w:bookmarkEnd w:id="26"/>
      <w:bookmarkEnd w:id="27"/>
    </w:p>
    <w:p w14:paraId="76A7A0D3" w14:textId="77777777" w:rsidR="005F6BD0" w:rsidRDefault="00A52F4C">
      <w:pPr>
        <w:pStyle w:val="Heading4"/>
        <w:spacing w:before="0" w:after="200"/>
        <w:ind w:left="1080"/>
        <w:rPr>
          <w:noProof/>
        </w:rPr>
      </w:pPr>
      <w:bookmarkStart w:id="28" w:name="_Toc490850426"/>
      <w:bookmarkStart w:id="29" w:name="_Toc20217730"/>
      <w:r>
        <w:rPr>
          <w:noProof/>
        </w:rPr>
        <w:t>3</w:t>
      </w:r>
      <w:r w:rsidR="003A348D">
        <w:rPr>
          <w:noProof/>
        </w:rPr>
        <w:t>.1.2.1.Free allocation</w:t>
      </w:r>
      <w:bookmarkEnd w:id="28"/>
      <w:bookmarkEnd w:id="29"/>
      <w:r w:rsidR="003A348D">
        <w:rPr>
          <w:noProof/>
        </w:rPr>
        <w:t xml:space="preserve"> </w:t>
      </w:r>
    </w:p>
    <w:p w14:paraId="17D1BF02" w14:textId="77777777" w:rsidR="005F6BD0" w:rsidRDefault="003A348D">
      <w:pPr>
        <w:jc w:val="both"/>
        <w:rPr>
          <w:rFonts w:ascii="Times New Roman" w:hAnsi="Times New Roman"/>
          <w:noProof/>
          <w:sz w:val="24"/>
          <w:szCs w:val="24"/>
        </w:rPr>
      </w:pPr>
      <w:r>
        <w:rPr>
          <w:rFonts w:ascii="Times New Roman" w:hAnsi="Times New Roman"/>
          <w:noProof/>
          <w:sz w:val="24"/>
          <w:szCs w:val="24"/>
          <w:lang w:eastAsia="en-GB"/>
        </w:rPr>
        <mc:AlternateContent>
          <mc:Choice Requires="wps">
            <w:drawing>
              <wp:inline distT="0" distB="0" distL="0" distR="0" wp14:anchorId="580257BA" wp14:editId="6CEC638B">
                <wp:extent cx="5749747" cy="4062046"/>
                <wp:effectExtent l="0" t="0" r="22860" b="152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4062046"/>
                        </a:xfrm>
                        <a:prstGeom prst="rect">
                          <a:avLst/>
                        </a:prstGeom>
                        <a:solidFill>
                          <a:schemeClr val="bg1">
                            <a:lumMod val="85000"/>
                          </a:schemeClr>
                        </a:solidFill>
                        <a:ln w="12700">
                          <a:solidFill>
                            <a:srgbClr val="000000"/>
                          </a:solidFill>
                          <a:miter lim="800000"/>
                          <a:headEnd/>
                          <a:tailEnd/>
                        </a:ln>
                      </wps:spPr>
                      <wps:txbx>
                        <w:txbxContent>
                          <w:p w14:paraId="09080025" w14:textId="77777777" w:rsidR="00516F65" w:rsidRDefault="00516F65">
                            <w:pPr>
                              <w:jc w:val="both"/>
                              <w:rPr>
                                <w:rFonts w:ascii="Times New Roman" w:hAnsi="Times New Roman"/>
                                <w:sz w:val="24"/>
                                <w:szCs w:val="24"/>
                              </w:rPr>
                            </w:pPr>
                            <w:r>
                              <w:rPr>
                                <w:rFonts w:ascii="Times New Roman" w:hAnsi="Times New Roman"/>
                                <w:sz w:val="24"/>
                                <w:szCs w:val="24"/>
                                <w:lang w:val="en"/>
                              </w:rPr>
                              <w:t>Although in phase 3 of the EU ETS auctioning is the default allocation method, a significant amount of allowances is allocated for free. The following principles apply:</w:t>
                            </w:r>
                          </w:p>
                          <w:p w14:paraId="12FA4896"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Electricity production does not receive free allowances;</w:t>
                            </w:r>
                          </w:p>
                          <w:p w14:paraId="26BF5E5D"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allowances to manufacturing industry are distributed according to EU-wide harmonised rules;</w:t>
                            </w:r>
                          </w:p>
                          <w:p w14:paraId="1693CE4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allocation is based on performance benchmarks to strengthen the incentives for GHG emission reductions and innovation and reward the most efficient installations;</w:t>
                            </w:r>
                          </w:p>
                          <w:p w14:paraId="3F5D785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An EU-wide New Entrants' Reserve (NER) for new industrial installations and installations significantly increasing capacity has been established, equivalent to 5% of the total amount of allowances for phase 3.</w:t>
                            </w:r>
                          </w:p>
                          <w:p w14:paraId="7FDEC026" w14:textId="77777777" w:rsidR="00516F65" w:rsidRDefault="00516F65">
                            <w:pPr>
                              <w:jc w:val="both"/>
                              <w:rPr>
                                <w:rFonts w:ascii="Times New Roman" w:hAnsi="Times New Roman"/>
                                <w:sz w:val="24"/>
                                <w:szCs w:val="24"/>
                              </w:rPr>
                            </w:pPr>
                            <w:r>
                              <w:rPr>
                                <w:rFonts w:ascii="Times New Roman" w:hAnsi="Times New Roman"/>
                                <w:sz w:val="24"/>
                                <w:szCs w:val="24"/>
                              </w:rPr>
                              <w:t>Free allocation is provided to industrial installations to address the risk of carbon leakage (a situation where companies transfer production to third countries with laxer constraints on GHG emissions, which may lead to an increase in their total emissions). The sectors and sub-sectors deemed to be exposed to a significant risk of carbon leakage are placed on a carbon leakage list*. While originally the list covered the period 2015-2019, the revised EU ETS Directive prolonged its validity until 31 December 2020.</w:t>
                            </w:r>
                          </w:p>
                          <w:p w14:paraId="1F7E7F7F" w14:textId="77777777" w:rsidR="00516F65" w:rsidRDefault="00516F65">
                            <w:pPr>
                              <w:spacing w:line="240" w:lineRule="auto"/>
                              <w:rPr>
                                <w:rFonts w:ascii="Times New Roman" w:hAnsi="Times New Roman"/>
                                <w:sz w:val="18"/>
                                <w:szCs w:val="18"/>
                              </w:rPr>
                            </w:pPr>
                            <w:r>
                              <w:rPr>
                                <w:rFonts w:ascii="Times New Roman" w:hAnsi="Times New Roman"/>
                                <w:sz w:val="18"/>
                                <w:szCs w:val="18"/>
                              </w:rPr>
                              <w:t>* The current carbon leakage list can be found here: http://eur-lex.europa.eu/legal-content/EN/ALL/?uri=CELEX:32014D0746</w:t>
                            </w:r>
                          </w:p>
                        </w:txbxContent>
                      </wps:txbx>
                      <wps:bodyPr rot="0" vert="horz" wrap="square" lIns="91440" tIns="45720" rIns="91440" bIns="45720" anchor="t" anchorCtr="0">
                        <a:noAutofit/>
                      </wps:bodyPr>
                    </wps:wsp>
                  </a:graphicData>
                </a:graphic>
              </wp:inline>
            </w:drawing>
          </mc:Choice>
          <mc:Fallback>
            <w:pict>
              <v:shape w14:anchorId="580257BA" id="_x0000_s1030" type="#_x0000_t202" style="width:452.75pt;height:3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" fillcolor="#d8d8d8 [2732]" strokeweight="1pt">
                <v:textbox>
                  <w:txbxContent>
                    <w:p w14:paraId="09080025" w14:textId="77777777" w:rsidR="00516F65" w:rsidRDefault="00516F65">
                      <w:pPr>
                        <w:jc w:val="both"/>
                        <w:rPr>
                          <w:rFonts w:ascii="Times New Roman" w:hAnsi="Times New Roman"/>
                          <w:sz w:val="24"/>
                          <w:szCs w:val="24"/>
                        </w:rPr>
                      </w:pPr>
                      <w:r>
                        <w:rPr>
                          <w:rFonts w:ascii="Times New Roman" w:hAnsi="Times New Roman"/>
                          <w:sz w:val="24"/>
                          <w:szCs w:val="24"/>
                          <w:lang w:val="en"/>
                        </w:rPr>
                        <w:t>Although in phase 3 of the EU ETS auctioning is the default allocation method, a significant amount of allowances is allocated for free. The following principles apply:</w:t>
                      </w:r>
                    </w:p>
                    <w:p w14:paraId="12FA4896"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Electricity production does not receive free allowances;</w:t>
                      </w:r>
                    </w:p>
                    <w:p w14:paraId="26BF5E5D"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allowances to manufacturing industry are distributed according to EU-wide harmonised rules;</w:t>
                      </w:r>
                    </w:p>
                    <w:p w14:paraId="1693CE4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Free allocation is based on performance benchmarks to strengthen the incentives for GHG emission reductions and innovation and reward the most efficient installations;</w:t>
                      </w:r>
                    </w:p>
                    <w:p w14:paraId="3F5D7859" w14:textId="77777777" w:rsidR="00516F65" w:rsidRDefault="00516F65">
                      <w:pPr>
                        <w:pStyle w:val="ListParagraph"/>
                        <w:numPr>
                          <w:ilvl w:val="0"/>
                          <w:numId w:val="10"/>
                        </w:numPr>
                        <w:spacing w:after="200" w:line="276" w:lineRule="auto"/>
                        <w:jc w:val="both"/>
                        <w:rPr>
                          <w:rFonts w:ascii="Times New Roman" w:hAnsi="Times New Roman"/>
                          <w:sz w:val="24"/>
                          <w:szCs w:val="24"/>
                          <w:lang w:val="en-GB"/>
                        </w:rPr>
                      </w:pPr>
                      <w:r>
                        <w:rPr>
                          <w:rFonts w:ascii="Times New Roman" w:hAnsi="Times New Roman"/>
                          <w:sz w:val="24"/>
                          <w:szCs w:val="24"/>
                          <w:lang w:val="en-GB"/>
                        </w:rPr>
                        <w:t>An EU-wide New Entrants' Reserve (NER) for new industrial installations and installations significantly increasing capacity has been established, equivalent to 5% of the total amount of allowances for phase 3.</w:t>
                      </w:r>
                    </w:p>
                    <w:p w14:paraId="7FDEC026" w14:textId="77777777" w:rsidR="00516F65" w:rsidRDefault="00516F65">
                      <w:pPr>
                        <w:jc w:val="both"/>
                        <w:rPr>
                          <w:rFonts w:ascii="Times New Roman" w:hAnsi="Times New Roman"/>
                          <w:sz w:val="24"/>
                          <w:szCs w:val="24"/>
                        </w:rPr>
                      </w:pPr>
                      <w:r>
                        <w:rPr>
                          <w:rFonts w:ascii="Times New Roman" w:hAnsi="Times New Roman"/>
                          <w:sz w:val="24"/>
                          <w:szCs w:val="24"/>
                        </w:rPr>
                        <w:t>Free allocation is provided to industrial installations to address the risk of carbon leakage (a situation where companies transfer production to third countries with laxer constraints on GHG emissions, which may lead to an increase in their total emissions). The sectors and sub-sectors deemed to be exposed to a significant risk of carbon leakage are placed on a carbon leakage list*. While originally the list covered the period 2015-2019, the revised EU ETS Directive prolonged its validity until 31 December 2020.</w:t>
                      </w:r>
                    </w:p>
                    <w:p w14:paraId="1F7E7F7F" w14:textId="77777777" w:rsidR="00516F65" w:rsidRDefault="00516F65">
                      <w:pPr>
                        <w:spacing w:line="240" w:lineRule="auto"/>
                        <w:rPr>
                          <w:rFonts w:ascii="Times New Roman" w:hAnsi="Times New Roman"/>
                          <w:sz w:val="18"/>
                          <w:szCs w:val="18"/>
                        </w:rPr>
                      </w:pPr>
                      <w:r>
                        <w:rPr>
                          <w:rFonts w:ascii="Times New Roman" w:hAnsi="Times New Roman"/>
                          <w:sz w:val="18"/>
                          <w:szCs w:val="18"/>
                        </w:rPr>
                        <w:t>* The current carbon leakage list can be found here: http://eur-lex.europa.eu/legal-content/EN/ALL/?uri=CELEX:32014D0746</w:t>
                      </w:r>
                    </w:p>
                  </w:txbxContent>
                </v:textbox>
                <w10:anchorlock/>
              </v:shape>
            </w:pict>
          </mc:Fallback>
        </mc:AlternateContent>
      </w:r>
    </w:p>
    <w:p w14:paraId="6499690B" w14:textId="77777777" w:rsidR="005F6BD0" w:rsidRDefault="003A348D">
      <w:pPr>
        <w:pStyle w:val="NormalWeb"/>
        <w:spacing w:line="276" w:lineRule="auto"/>
        <w:jc w:val="both"/>
        <w:rPr>
          <w:noProof/>
        </w:rPr>
      </w:pPr>
      <w:r w:rsidRPr="00516F65">
        <w:rPr>
          <w:noProof/>
        </w:rPr>
        <w:t>In the course of phase 3, about 43% of the total quantity of available allowances will be allocated for free</w:t>
      </w:r>
      <w:r w:rsidR="00D843E7" w:rsidRPr="00516F65">
        <w:rPr>
          <w:noProof/>
        </w:rPr>
        <w:t>,</w:t>
      </w:r>
      <w:r w:rsidRPr="00516F65">
        <w:rPr>
          <w:noProof/>
        </w:rPr>
        <w:t xml:space="preserve"> while the share of allowances to be auctioned by Member States amounts to </w:t>
      </w:r>
      <w:r w:rsidR="003A0CD7" w:rsidRPr="00516F65">
        <w:rPr>
          <w:noProof/>
        </w:rPr>
        <w:t xml:space="preserve">some </w:t>
      </w:r>
      <w:r w:rsidRPr="00516F65">
        <w:rPr>
          <w:noProof/>
        </w:rPr>
        <w:t>57%.</w:t>
      </w:r>
    </w:p>
    <w:p w14:paraId="6C5FC979" w14:textId="77777777" w:rsidR="007748C6" w:rsidRDefault="003A348D" w:rsidP="001A0E42">
      <w:pPr>
        <w:pStyle w:val="NormalWeb"/>
        <w:spacing w:before="0" w:beforeAutospacing="0" w:after="300" w:afterAutospacing="0" w:line="276" w:lineRule="auto"/>
        <w:jc w:val="both"/>
        <w:rPr>
          <w:noProof/>
          <w:lang w:val="en"/>
        </w:rPr>
      </w:pPr>
      <w:r>
        <w:rPr>
          <w:noProof/>
          <w:lang w:val="en"/>
        </w:rPr>
        <w:t>The in</w:t>
      </w:r>
      <w:r w:rsidR="00D52704">
        <w:rPr>
          <w:noProof/>
          <w:lang w:val="en"/>
        </w:rPr>
        <w:t>itial New Entrants Reserve</w:t>
      </w:r>
      <w:r>
        <w:rPr>
          <w:noProof/>
          <w:lang w:val="en"/>
        </w:rPr>
        <w:t>, after deducting 300 million allowances for the NER300 programme, held 480.2 million allowances. Until June 201</w:t>
      </w:r>
      <w:r w:rsidR="00C24BD9">
        <w:rPr>
          <w:noProof/>
          <w:lang w:val="en"/>
        </w:rPr>
        <w:t>9</w:t>
      </w:r>
      <w:r w:rsidR="005D3412">
        <w:rPr>
          <w:noProof/>
          <w:lang w:val="en"/>
        </w:rPr>
        <w:t xml:space="preserve">, </w:t>
      </w:r>
      <w:r w:rsidR="00C24BD9" w:rsidRPr="00C24BD9">
        <w:rPr>
          <w:noProof/>
          <w:lang w:val="en"/>
        </w:rPr>
        <w:t xml:space="preserve">167.9 </w:t>
      </w:r>
      <w:r>
        <w:rPr>
          <w:noProof/>
          <w:lang w:val="en"/>
        </w:rPr>
        <w:t>million all</w:t>
      </w:r>
      <w:r w:rsidR="005D3412">
        <w:rPr>
          <w:noProof/>
          <w:lang w:val="en"/>
        </w:rPr>
        <w:t xml:space="preserve">owances have been reserved for </w:t>
      </w:r>
      <w:r w:rsidR="00C24BD9" w:rsidRPr="00C24BD9">
        <w:rPr>
          <w:noProof/>
          <w:lang w:val="en"/>
        </w:rPr>
        <w:t xml:space="preserve">937 </w:t>
      </w:r>
      <w:r>
        <w:rPr>
          <w:noProof/>
          <w:lang w:val="en"/>
        </w:rPr>
        <w:t xml:space="preserve">installations for the entirety of phase 3. The remaining NER amounts to </w:t>
      </w:r>
      <w:r w:rsidR="00C24BD9">
        <w:rPr>
          <w:noProof/>
          <w:lang w:val="en"/>
        </w:rPr>
        <w:t>312.3</w:t>
      </w:r>
      <w:r w:rsidR="00C24BD9" w:rsidRPr="00C24BD9">
        <w:rPr>
          <w:noProof/>
          <w:lang w:val="en"/>
        </w:rPr>
        <w:t xml:space="preserve"> </w:t>
      </w:r>
      <w:r>
        <w:rPr>
          <w:noProof/>
          <w:lang w:val="en"/>
        </w:rPr>
        <w:t>million allowances</w:t>
      </w:r>
      <w:r w:rsidR="00C24BD9">
        <w:rPr>
          <w:noProof/>
          <w:lang w:val="en"/>
        </w:rPr>
        <w:t>.</w:t>
      </w:r>
      <w:r w:rsidR="00FB44F4">
        <w:rPr>
          <w:noProof/>
          <w:lang w:val="en"/>
        </w:rPr>
        <w:t xml:space="preserve"> </w:t>
      </w:r>
      <w:r w:rsidR="00C24BD9">
        <w:rPr>
          <w:noProof/>
          <w:lang w:val="en"/>
        </w:rPr>
        <w:t>I</w:t>
      </w:r>
      <w:r>
        <w:rPr>
          <w:noProof/>
          <w:lang w:val="en"/>
        </w:rPr>
        <w:t xml:space="preserve">t is expected that a significant number of these allowances will remain unallocated. </w:t>
      </w:r>
      <w:r w:rsidR="00C24BD9">
        <w:rPr>
          <w:noProof/>
          <w:lang w:val="en"/>
        </w:rPr>
        <w:t xml:space="preserve">These </w:t>
      </w:r>
      <w:r w:rsidR="003A0CD7">
        <w:rPr>
          <w:noProof/>
          <w:lang w:val="en"/>
        </w:rPr>
        <w:t>will</w:t>
      </w:r>
      <w:r w:rsidR="00C24BD9">
        <w:rPr>
          <w:noProof/>
          <w:lang w:val="en"/>
        </w:rPr>
        <w:t xml:space="preserve"> be placed </w:t>
      </w:r>
      <w:r w:rsidR="003A0CD7">
        <w:rPr>
          <w:noProof/>
          <w:lang w:val="en"/>
        </w:rPr>
        <w:t xml:space="preserve">at the end of phase 3 </w:t>
      </w:r>
      <w:r w:rsidR="00C24BD9">
        <w:rPr>
          <w:noProof/>
          <w:lang w:val="en"/>
        </w:rPr>
        <w:t>in the Market Stability Reserve (MSR)</w:t>
      </w:r>
      <w:r w:rsidR="00C24BD9" w:rsidRPr="00C24BD9">
        <w:rPr>
          <w:noProof/>
          <w:lang w:val="en"/>
        </w:rPr>
        <w:t>, out of which 200 million will be use</w:t>
      </w:r>
      <w:r w:rsidR="00C24BD9">
        <w:rPr>
          <w:noProof/>
          <w:lang w:val="en"/>
        </w:rPr>
        <w:t>d to establish a NER for phase 4</w:t>
      </w:r>
      <w:r w:rsidR="00C24BD9" w:rsidRPr="00C24BD9">
        <w:rPr>
          <w:noProof/>
          <w:lang w:val="en"/>
        </w:rPr>
        <w:t>.</w:t>
      </w:r>
    </w:p>
    <w:p w14:paraId="31C1182D" w14:textId="77777777" w:rsidR="005F6BD0" w:rsidRDefault="003A348D" w:rsidP="001A0E42">
      <w:pPr>
        <w:pStyle w:val="NormalWeb"/>
        <w:spacing w:before="0" w:beforeAutospacing="0" w:after="300" w:afterAutospacing="0" w:line="276" w:lineRule="auto"/>
        <w:jc w:val="both"/>
        <w:rPr>
          <w:noProof/>
          <w:lang w:val="en"/>
        </w:rPr>
      </w:pPr>
      <w:r>
        <w:rPr>
          <w:noProof/>
          <w:lang w:val="en"/>
        </w:rPr>
        <w:t>Until</w:t>
      </w:r>
      <w:r w:rsidR="005D3412">
        <w:rPr>
          <w:noProof/>
          <w:lang w:val="en"/>
        </w:rPr>
        <w:t xml:space="preserve"> end</w:t>
      </w:r>
      <w:r>
        <w:rPr>
          <w:noProof/>
          <w:lang w:val="en"/>
        </w:rPr>
        <w:t xml:space="preserve"> June 201</w:t>
      </w:r>
      <w:r w:rsidR="00872FA3">
        <w:rPr>
          <w:noProof/>
          <w:lang w:val="en"/>
        </w:rPr>
        <w:t>9</w:t>
      </w:r>
      <w:r>
        <w:rPr>
          <w:noProof/>
          <w:lang w:val="en"/>
        </w:rPr>
        <w:t>, free allocat</w:t>
      </w:r>
      <w:r w:rsidR="005D3412">
        <w:rPr>
          <w:noProof/>
          <w:lang w:val="en"/>
        </w:rPr>
        <w:t xml:space="preserve">ion has been reduced by around </w:t>
      </w:r>
      <w:r w:rsidR="00872FA3" w:rsidRPr="00872FA3">
        <w:rPr>
          <w:noProof/>
          <w:lang w:val="en"/>
        </w:rPr>
        <w:t>457</w:t>
      </w:r>
      <w:r w:rsidR="00872FA3">
        <w:rPr>
          <w:noProof/>
          <w:lang w:val="en"/>
        </w:rPr>
        <w:t xml:space="preserve"> </w:t>
      </w:r>
      <w:r>
        <w:rPr>
          <w:noProof/>
          <w:lang w:val="en"/>
        </w:rPr>
        <w:t>million allowances due to installations that have closed or reduced their production or production capacity compared to the one initially used to calculate phase 3 allocation.</w:t>
      </w:r>
    </w:p>
    <w:p w14:paraId="57C93B81" w14:textId="77777777" w:rsidR="005F6BD0" w:rsidRDefault="003A348D" w:rsidP="005D3412">
      <w:pPr>
        <w:pStyle w:val="Caption"/>
        <w:keepNext/>
        <w:rPr>
          <w:rFonts w:ascii="Times New Roman" w:hAnsi="Times New Roman"/>
          <w:noProof/>
          <w:sz w:val="22"/>
          <w:szCs w:val="22"/>
        </w:rPr>
      </w:pPr>
      <w:r>
        <w:rPr>
          <w:rFonts w:ascii="Times New Roman" w:hAnsi="Times New Roman"/>
          <w:noProof/>
          <w:sz w:val="22"/>
          <w:szCs w:val="22"/>
        </w:rPr>
        <w:t>Table 2: The number of allowances (in millions) allocated to industry for free from 2013 to 201</w:t>
      </w:r>
      <w:r w:rsidR="00A838C0">
        <w:rPr>
          <w:rFonts w:ascii="Times New Roman" w:hAnsi="Times New Roman"/>
          <w:noProof/>
          <w:sz w:val="22"/>
          <w:szCs w:val="22"/>
        </w:rPr>
        <w:t>9</w:t>
      </w:r>
      <w:r>
        <w:rPr>
          <w:rStyle w:val="FootnoteReference"/>
          <w:rFonts w:ascii="Times New Roman" w:hAnsi="Times New Roman"/>
          <w:b w:val="0"/>
          <w:noProof/>
          <w:sz w:val="22"/>
          <w:szCs w:val="22"/>
          <w:lang w:eastAsia="en-GB"/>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rsidR="00A838C0" w14:paraId="301E88E7" w14:textId="77777777" w:rsidTr="005D3412">
        <w:trPr>
          <w:trHeight w:val="517"/>
        </w:trPr>
        <w:tc>
          <w:tcPr>
            <w:tcW w:w="2376" w:type="dxa"/>
            <w:shd w:val="clear" w:color="auto" w:fill="auto"/>
            <w:vAlign w:val="center"/>
          </w:tcPr>
          <w:p w14:paraId="5DFCB6CD" w14:textId="77777777" w:rsidR="00A838C0" w:rsidRDefault="00A838C0" w:rsidP="00A838C0">
            <w:pPr>
              <w:jc w:val="center"/>
              <w:rPr>
                <w:rFonts w:ascii="Times New Roman" w:hAnsi="Times New Roman"/>
                <w:b/>
                <w:noProof/>
                <w:sz w:val="20"/>
                <w:szCs w:val="20"/>
                <w:lang w:eastAsia="en-GB"/>
              </w:rPr>
            </w:pPr>
          </w:p>
        </w:tc>
        <w:tc>
          <w:tcPr>
            <w:tcW w:w="940" w:type="dxa"/>
            <w:shd w:val="clear" w:color="auto" w:fill="auto"/>
            <w:vAlign w:val="center"/>
          </w:tcPr>
          <w:p w14:paraId="42FDC8BD"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2013</w:t>
            </w:r>
          </w:p>
        </w:tc>
        <w:tc>
          <w:tcPr>
            <w:tcW w:w="948" w:type="dxa"/>
            <w:shd w:val="clear" w:color="auto" w:fill="auto"/>
            <w:vAlign w:val="center"/>
          </w:tcPr>
          <w:p w14:paraId="1D0AD494"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2014</w:t>
            </w:r>
          </w:p>
        </w:tc>
        <w:tc>
          <w:tcPr>
            <w:tcW w:w="948" w:type="dxa"/>
            <w:vAlign w:val="center"/>
          </w:tcPr>
          <w:p w14:paraId="4389E40B"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2015</w:t>
            </w:r>
          </w:p>
        </w:tc>
        <w:tc>
          <w:tcPr>
            <w:tcW w:w="948" w:type="dxa"/>
            <w:vAlign w:val="center"/>
          </w:tcPr>
          <w:p w14:paraId="1BFE4F44"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2016</w:t>
            </w:r>
          </w:p>
        </w:tc>
        <w:tc>
          <w:tcPr>
            <w:tcW w:w="949" w:type="dxa"/>
            <w:vAlign w:val="center"/>
          </w:tcPr>
          <w:p w14:paraId="0633B24F"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2017</w:t>
            </w:r>
          </w:p>
        </w:tc>
        <w:tc>
          <w:tcPr>
            <w:tcW w:w="927" w:type="dxa"/>
            <w:vAlign w:val="center"/>
          </w:tcPr>
          <w:p w14:paraId="084C2292" w14:textId="77777777" w:rsidR="00A838C0" w:rsidRDefault="00A838C0" w:rsidP="00A838C0">
            <w:pPr>
              <w:jc w:val="center"/>
              <w:rPr>
                <w:rFonts w:ascii="Times New Roman" w:hAnsi="Times New Roman"/>
                <w:b/>
                <w:noProof/>
                <w:sz w:val="20"/>
                <w:szCs w:val="20"/>
                <w:highlight w:val="yellow"/>
                <w:lang w:eastAsia="en-GB"/>
              </w:rPr>
            </w:pPr>
            <w:r>
              <w:rPr>
                <w:rFonts w:ascii="Times New Roman" w:hAnsi="Times New Roman"/>
                <w:b/>
                <w:noProof/>
                <w:sz w:val="20"/>
                <w:szCs w:val="20"/>
                <w:lang w:eastAsia="en-GB"/>
              </w:rPr>
              <w:t>2018</w:t>
            </w:r>
          </w:p>
        </w:tc>
        <w:tc>
          <w:tcPr>
            <w:tcW w:w="927" w:type="dxa"/>
            <w:vAlign w:val="center"/>
          </w:tcPr>
          <w:p w14:paraId="6BD6F269" w14:textId="77777777" w:rsidR="00A838C0" w:rsidRDefault="00A838C0" w:rsidP="002C2541">
            <w:pPr>
              <w:jc w:val="center"/>
              <w:rPr>
                <w:rFonts w:ascii="Times New Roman" w:hAnsi="Times New Roman"/>
                <w:b/>
                <w:noProof/>
                <w:sz w:val="20"/>
                <w:szCs w:val="20"/>
                <w:lang w:eastAsia="en-GB"/>
              </w:rPr>
            </w:pPr>
            <w:r>
              <w:rPr>
                <w:rFonts w:ascii="Times New Roman" w:hAnsi="Times New Roman"/>
                <w:b/>
                <w:noProof/>
                <w:sz w:val="20"/>
                <w:szCs w:val="20"/>
                <w:lang w:eastAsia="en-GB"/>
              </w:rPr>
              <w:t>2019</w:t>
            </w:r>
          </w:p>
        </w:tc>
      </w:tr>
      <w:tr w:rsidR="00A838C0" w14:paraId="1A471EAD" w14:textId="77777777" w:rsidTr="005D3412">
        <w:trPr>
          <w:trHeight w:val="611"/>
        </w:trPr>
        <w:tc>
          <w:tcPr>
            <w:tcW w:w="2376" w:type="dxa"/>
            <w:shd w:val="clear" w:color="auto" w:fill="auto"/>
            <w:vAlign w:val="center"/>
          </w:tcPr>
          <w:p w14:paraId="1E76C8FB"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Free allocation</w:t>
            </w:r>
            <w:r>
              <w:rPr>
                <w:rFonts w:ascii="Times New Roman" w:hAnsi="Times New Roman"/>
                <w:b/>
                <w:noProof/>
                <w:sz w:val="20"/>
                <w:szCs w:val="20"/>
                <w:vertAlign w:val="superscript"/>
                <w:lang w:eastAsia="en-GB"/>
              </w:rPr>
              <w:footnoteReference w:id="19"/>
            </w:r>
            <w:r>
              <w:rPr>
                <w:rFonts w:ascii="Times New Roman" w:hAnsi="Times New Roman"/>
                <w:b/>
                <w:noProof/>
                <w:sz w:val="20"/>
                <w:szCs w:val="20"/>
                <w:lang w:eastAsia="en-GB"/>
              </w:rPr>
              <w:t xml:space="preserve"> </w:t>
            </w:r>
            <w:r>
              <w:rPr>
                <w:rFonts w:ascii="Times New Roman" w:hAnsi="Times New Roman"/>
                <w:b/>
                <w:noProof/>
                <w:sz w:val="20"/>
                <w:szCs w:val="20"/>
                <w:lang w:eastAsia="en-GB"/>
              </w:rPr>
              <w:br/>
              <w:t>(EU28+EEA EFTA states)</w:t>
            </w:r>
          </w:p>
        </w:tc>
        <w:tc>
          <w:tcPr>
            <w:tcW w:w="940" w:type="dxa"/>
            <w:shd w:val="clear" w:color="auto" w:fill="auto"/>
            <w:vAlign w:val="center"/>
          </w:tcPr>
          <w:p w14:paraId="4E090E77"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903.0</w:t>
            </w:r>
          </w:p>
        </w:tc>
        <w:tc>
          <w:tcPr>
            <w:tcW w:w="948" w:type="dxa"/>
            <w:shd w:val="clear" w:color="auto" w:fill="auto"/>
            <w:vAlign w:val="center"/>
          </w:tcPr>
          <w:p w14:paraId="4C7CB76F"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874.8</w:t>
            </w:r>
          </w:p>
        </w:tc>
        <w:tc>
          <w:tcPr>
            <w:tcW w:w="948" w:type="dxa"/>
            <w:vAlign w:val="center"/>
          </w:tcPr>
          <w:p w14:paraId="6795ECBF"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847.6</w:t>
            </w:r>
          </w:p>
        </w:tc>
        <w:tc>
          <w:tcPr>
            <w:tcW w:w="948" w:type="dxa"/>
            <w:vAlign w:val="center"/>
          </w:tcPr>
          <w:p w14:paraId="7DA849E7"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821.3</w:t>
            </w:r>
          </w:p>
        </w:tc>
        <w:tc>
          <w:tcPr>
            <w:tcW w:w="949" w:type="dxa"/>
            <w:vAlign w:val="center"/>
          </w:tcPr>
          <w:p w14:paraId="3C28200C"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796.2</w:t>
            </w:r>
          </w:p>
        </w:tc>
        <w:tc>
          <w:tcPr>
            <w:tcW w:w="927" w:type="dxa"/>
            <w:vAlign w:val="center"/>
          </w:tcPr>
          <w:p w14:paraId="6A625362"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771.9</w:t>
            </w:r>
          </w:p>
        </w:tc>
        <w:tc>
          <w:tcPr>
            <w:tcW w:w="927" w:type="dxa"/>
            <w:vAlign w:val="center"/>
          </w:tcPr>
          <w:p w14:paraId="5925CD70" w14:textId="77777777" w:rsidR="00A838C0" w:rsidRDefault="00A838C0" w:rsidP="00A838C0">
            <w:pPr>
              <w:jc w:val="center"/>
              <w:rPr>
                <w:rFonts w:ascii="Times New Roman" w:hAnsi="Times New Roman"/>
                <w:noProof/>
                <w:sz w:val="20"/>
                <w:szCs w:val="20"/>
                <w:lang w:eastAsia="en-GB"/>
              </w:rPr>
            </w:pPr>
            <w:r w:rsidRPr="00264CAF">
              <w:rPr>
                <w:rFonts w:ascii="Times New Roman" w:hAnsi="Times New Roman"/>
                <w:noProof/>
                <w:sz w:val="20"/>
                <w:szCs w:val="20"/>
                <w:lang w:eastAsia="en-GB"/>
              </w:rPr>
              <w:t>748.1</w:t>
            </w:r>
            <w:r w:rsidR="009B58A9" w:rsidRPr="00264CAF">
              <w:rPr>
                <w:rStyle w:val="FootnoteReference"/>
                <w:rFonts w:ascii="Times New Roman" w:hAnsi="Times New Roman"/>
                <w:noProof/>
                <w:sz w:val="20"/>
                <w:szCs w:val="20"/>
                <w:lang w:eastAsia="en-GB"/>
              </w:rPr>
              <w:footnoteReference w:id="20"/>
            </w:r>
          </w:p>
        </w:tc>
      </w:tr>
      <w:tr w:rsidR="00A838C0" w14:paraId="06EC50EF" w14:textId="77777777" w:rsidTr="005D3412">
        <w:trPr>
          <w:trHeight w:val="1191"/>
        </w:trPr>
        <w:tc>
          <w:tcPr>
            <w:tcW w:w="2376" w:type="dxa"/>
            <w:shd w:val="clear" w:color="auto" w:fill="auto"/>
            <w:vAlign w:val="center"/>
          </w:tcPr>
          <w:p w14:paraId="35709649"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Allocation from the new entrants reserve (greenfield investments and capacity increases)</w:t>
            </w:r>
          </w:p>
        </w:tc>
        <w:tc>
          <w:tcPr>
            <w:tcW w:w="940" w:type="dxa"/>
            <w:shd w:val="clear" w:color="auto" w:fill="auto"/>
            <w:vAlign w:val="center"/>
          </w:tcPr>
          <w:p w14:paraId="3B423447"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1</w:t>
            </w:r>
            <w:r w:rsidR="009B58A9">
              <w:rPr>
                <w:rFonts w:ascii="Times New Roman" w:hAnsi="Times New Roman"/>
                <w:noProof/>
                <w:sz w:val="20"/>
                <w:szCs w:val="20"/>
                <w:lang w:eastAsia="en-GB"/>
              </w:rPr>
              <w:t>1</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7</w:t>
            </w:r>
          </w:p>
        </w:tc>
        <w:tc>
          <w:tcPr>
            <w:tcW w:w="948" w:type="dxa"/>
            <w:shd w:val="clear" w:color="auto" w:fill="auto"/>
            <w:vAlign w:val="center"/>
          </w:tcPr>
          <w:p w14:paraId="75DC65C0"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15.</w:t>
            </w:r>
            <w:r w:rsidR="009B58A9">
              <w:rPr>
                <w:rFonts w:ascii="Times New Roman" w:hAnsi="Times New Roman"/>
                <w:noProof/>
                <w:sz w:val="20"/>
                <w:szCs w:val="20"/>
                <w:lang w:eastAsia="en-GB"/>
              </w:rPr>
              <w:t>3</w:t>
            </w:r>
          </w:p>
        </w:tc>
        <w:tc>
          <w:tcPr>
            <w:tcW w:w="948" w:type="dxa"/>
            <w:vAlign w:val="center"/>
          </w:tcPr>
          <w:p w14:paraId="23386E6A"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1</w:t>
            </w:r>
            <w:r w:rsidR="009B58A9">
              <w:rPr>
                <w:rFonts w:ascii="Times New Roman" w:hAnsi="Times New Roman"/>
                <w:noProof/>
                <w:sz w:val="20"/>
                <w:szCs w:val="20"/>
                <w:lang w:eastAsia="en-GB"/>
              </w:rPr>
              <w:t>8</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6</w:t>
            </w:r>
          </w:p>
        </w:tc>
        <w:tc>
          <w:tcPr>
            <w:tcW w:w="948" w:type="dxa"/>
            <w:vAlign w:val="center"/>
          </w:tcPr>
          <w:p w14:paraId="46F08F21"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2</w:t>
            </w:r>
            <w:r w:rsidR="009B58A9">
              <w:rPr>
                <w:rFonts w:ascii="Times New Roman" w:hAnsi="Times New Roman"/>
                <w:noProof/>
                <w:sz w:val="20"/>
                <w:szCs w:val="20"/>
                <w:lang w:eastAsia="en-GB"/>
              </w:rPr>
              <w:t>1</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8</w:t>
            </w:r>
          </w:p>
        </w:tc>
        <w:tc>
          <w:tcPr>
            <w:tcW w:w="949" w:type="dxa"/>
            <w:vAlign w:val="center"/>
          </w:tcPr>
          <w:p w14:paraId="15AFCECA"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2</w:t>
            </w:r>
            <w:r w:rsidR="009B58A9">
              <w:rPr>
                <w:rFonts w:ascii="Times New Roman" w:hAnsi="Times New Roman"/>
                <w:noProof/>
                <w:sz w:val="20"/>
                <w:szCs w:val="20"/>
                <w:lang w:eastAsia="en-GB"/>
              </w:rPr>
              <w:t>3</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4</w:t>
            </w:r>
          </w:p>
        </w:tc>
        <w:tc>
          <w:tcPr>
            <w:tcW w:w="927" w:type="dxa"/>
            <w:vAlign w:val="center"/>
          </w:tcPr>
          <w:p w14:paraId="149CE125" w14:textId="77777777" w:rsidR="00A838C0" w:rsidRDefault="00A838C0" w:rsidP="00A838C0">
            <w:pPr>
              <w:jc w:val="center"/>
              <w:rPr>
                <w:rFonts w:ascii="Times New Roman" w:hAnsi="Times New Roman"/>
                <w:noProof/>
                <w:sz w:val="20"/>
                <w:szCs w:val="20"/>
                <w:lang w:eastAsia="en-GB"/>
              </w:rPr>
            </w:pPr>
            <w:r w:rsidRPr="00A838C0">
              <w:rPr>
                <w:rFonts w:ascii="Times New Roman" w:hAnsi="Times New Roman"/>
                <w:noProof/>
                <w:sz w:val="20"/>
                <w:szCs w:val="20"/>
                <w:lang w:eastAsia="en-GB"/>
              </w:rPr>
              <w:t>2</w:t>
            </w:r>
            <w:r w:rsidR="009B58A9">
              <w:rPr>
                <w:rFonts w:ascii="Times New Roman" w:hAnsi="Times New Roman"/>
                <w:noProof/>
                <w:sz w:val="20"/>
                <w:szCs w:val="20"/>
                <w:lang w:eastAsia="en-GB"/>
              </w:rPr>
              <w:t>3</w:t>
            </w:r>
            <w:r w:rsidRPr="00A838C0">
              <w:rPr>
                <w:rFonts w:ascii="Times New Roman" w:hAnsi="Times New Roman"/>
                <w:noProof/>
                <w:sz w:val="20"/>
                <w:szCs w:val="20"/>
                <w:lang w:eastAsia="en-GB"/>
              </w:rPr>
              <w:t>.</w:t>
            </w:r>
            <w:r w:rsidR="009B58A9">
              <w:rPr>
                <w:rFonts w:ascii="Times New Roman" w:hAnsi="Times New Roman"/>
                <w:noProof/>
                <w:sz w:val="20"/>
                <w:szCs w:val="20"/>
                <w:lang w:eastAsia="en-GB"/>
              </w:rPr>
              <w:t>6</w:t>
            </w:r>
          </w:p>
        </w:tc>
        <w:tc>
          <w:tcPr>
            <w:tcW w:w="927" w:type="dxa"/>
            <w:vAlign w:val="center"/>
          </w:tcPr>
          <w:p w14:paraId="61760009"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2</w:t>
            </w:r>
            <w:r w:rsidR="009B58A9">
              <w:rPr>
                <w:rFonts w:ascii="Times New Roman" w:hAnsi="Times New Roman"/>
                <w:noProof/>
                <w:sz w:val="20"/>
                <w:szCs w:val="20"/>
                <w:lang w:eastAsia="en-GB"/>
              </w:rPr>
              <w:t>2</w:t>
            </w:r>
            <w:r>
              <w:rPr>
                <w:rFonts w:ascii="Times New Roman" w:hAnsi="Times New Roman"/>
                <w:noProof/>
                <w:sz w:val="20"/>
                <w:szCs w:val="20"/>
                <w:lang w:eastAsia="en-GB"/>
              </w:rPr>
              <w:t>.</w:t>
            </w:r>
            <w:r w:rsidR="009B58A9">
              <w:rPr>
                <w:rFonts w:ascii="Times New Roman" w:hAnsi="Times New Roman"/>
                <w:noProof/>
                <w:sz w:val="20"/>
                <w:szCs w:val="20"/>
                <w:lang w:eastAsia="en-GB"/>
              </w:rPr>
              <w:t>9</w:t>
            </w:r>
          </w:p>
        </w:tc>
      </w:tr>
      <w:tr w:rsidR="00A838C0" w14:paraId="50BD8E4D" w14:textId="77777777" w:rsidTr="005D3412">
        <w:trPr>
          <w:trHeight w:val="947"/>
        </w:trPr>
        <w:tc>
          <w:tcPr>
            <w:tcW w:w="2376" w:type="dxa"/>
            <w:shd w:val="clear" w:color="auto" w:fill="auto"/>
            <w:vAlign w:val="center"/>
          </w:tcPr>
          <w:p w14:paraId="32E99760" w14:textId="77777777" w:rsidR="00A838C0" w:rsidRDefault="00A838C0" w:rsidP="00A838C0">
            <w:pPr>
              <w:jc w:val="center"/>
              <w:rPr>
                <w:rFonts w:ascii="Times New Roman" w:hAnsi="Times New Roman"/>
                <w:b/>
                <w:noProof/>
                <w:sz w:val="20"/>
                <w:szCs w:val="20"/>
                <w:lang w:eastAsia="en-GB"/>
              </w:rPr>
            </w:pPr>
            <w:r>
              <w:rPr>
                <w:rFonts w:ascii="Times New Roman" w:hAnsi="Times New Roman"/>
                <w:b/>
                <w:noProof/>
                <w:sz w:val="20"/>
                <w:szCs w:val="20"/>
                <w:lang w:eastAsia="en-GB"/>
              </w:rPr>
              <w:t>Free allowances remaining unallocated due to closures or changes in production or production capacity</w:t>
            </w:r>
          </w:p>
        </w:tc>
        <w:tc>
          <w:tcPr>
            <w:tcW w:w="940" w:type="dxa"/>
            <w:shd w:val="clear" w:color="auto" w:fill="auto"/>
            <w:vAlign w:val="center"/>
          </w:tcPr>
          <w:p w14:paraId="4660FA58" w14:textId="77777777" w:rsidR="00A838C0" w:rsidRDefault="00A838C0" w:rsidP="00A838C0">
            <w:pPr>
              <w:jc w:val="center"/>
              <w:rPr>
                <w:rFonts w:ascii="Times New Roman" w:hAnsi="Times New Roman"/>
                <w:noProof/>
                <w:sz w:val="20"/>
                <w:szCs w:val="20"/>
                <w:highlight w:val="yellow"/>
                <w:lang w:eastAsia="en-GB"/>
              </w:rPr>
            </w:pPr>
            <w:r>
              <w:rPr>
                <w:rFonts w:ascii="Times New Roman" w:hAnsi="Times New Roman"/>
                <w:noProof/>
                <w:sz w:val="20"/>
                <w:szCs w:val="20"/>
                <w:lang w:eastAsia="en-GB"/>
              </w:rPr>
              <w:t>40.</w:t>
            </w:r>
            <w:r w:rsidR="00711C2B">
              <w:rPr>
                <w:rFonts w:ascii="Times New Roman" w:hAnsi="Times New Roman"/>
                <w:noProof/>
                <w:sz w:val="20"/>
                <w:szCs w:val="20"/>
                <w:lang w:eastAsia="en-GB"/>
              </w:rPr>
              <w:t>1</w:t>
            </w:r>
          </w:p>
        </w:tc>
        <w:tc>
          <w:tcPr>
            <w:tcW w:w="948" w:type="dxa"/>
            <w:shd w:val="clear" w:color="auto" w:fill="auto"/>
            <w:vAlign w:val="center"/>
          </w:tcPr>
          <w:p w14:paraId="1170CBDA"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58.</w:t>
            </w:r>
            <w:r w:rsidR="00711C2B">
              <w:rPr>
                <w:rFonts w:ascii="Times New Roman" w:hAnsi="Times New Roman"/>
                <w:noProof/>
                <w:sz w:val="20"/>
                <w:szCs w:val="20"/>
                <w:lang w:eastAsia="en-GB"/>
              </w:rPr>
              <w:t>9</w:t>
            </w:r>
          </w:p>
        </w:tc>
        <w:tc>
          <w:tcPr>
            <w:tcW w:w="948" w:type="dxa"/>
            <w:vAlign w:val="center"/>
          </w:tcPr>
          <w:p w14:paraId="2F49216B"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70.</w:t>
            </w:r>
            <w:r w:rsidR="00711C2B">
              <w:rPr>
                <w:rFonts w:ascii="Times New Roman" w:hAnsi="Times New Roman"/>
                <w:noProof/>
                <w:sz w:val="20"/>
                <w:szCs w:val="20"/>
                <w:lang w:eastAsia="en-GB"/>
              </w:rPr>
              <w:t>8</w:t>
            </w:r>
          </w:p>
        </w:tc>
        <w:tc>
          <w:tcPr>
            <w:tcW w:w="948" w:type="dxa"/>
            <w:vAlign w:val="center"/>
          </w:tcPr>
          <w:p w14:paraId="2393DAB1" w14:textId="77777777" w:rsidR="00A838C0" w:rsidRDefault="00711C2B" w:rsidP="00A838C0">
            <w:pPr>
              <w:jc w:val="center"/>
              <w:rPr>
                <w:rFonts w:ascii="Times New Roman" w:hAnsi="Times New Roman"/>
                <w:noProof/>
                <w:sz w:val="20"/>
                <w:szCs w:val="20"/>
                <w:lang w:eastAsia="en-GB"/>
              </w:rPr>
            </w:pPr>
            <w:r w:rsidRPr="00711C2B">
              <w:rPr>
                <w:rFonts w:ascii="Times New Roman" w:hAnsi="Times New Roman"/>
                <w:noProof/>
                <w:sz w:val="20"/>
                <w:szCs w:val="20"/>
                <w:lang w:eastAsia="en-GB"/>
              </w:rPr>
              <w:t>67.5</w:t>
            </w:r>
          </w:p>
        </w:tc>
        <w:tc>
          <w:tcPr>
            <w:tcW w:w="949" w:type="dxa"/>
            <w:vAlign w:val="center"/>
          </w:tcPr>
          <w:p w14:paraId="7A398373" w14:textId="77777777" w:rsidR="00A838C0" w:rsidRDefault="00711C2B" w:rsidP="00A838C0">
            <w:pPr>
              <w:jc w:val="center"/>
              <w:rPr>
                <w:rFonts w:ascii="Times New Roman" w:hAnsi="Times New Roman"/>
                <w:noProof/>
                <w:sz w:val="20"/>
                <w:szCs w:val="20"/>
                <w:lang w:eastAsia="en-GB"/>
              </w:rPr>
            </w:pPr>
            <w:r w:rsidRPr="00711C2B">
              <w:rPr>
                <w:rFonts w:ascii="Times New Roman" w:hAnsi="Times New Roman"/>
                <w:noProof/>
                <w:sz w:val="20"/>
                <w:szCs w:val="20"/>
                <w:lang w:eastAsia="en-GB"/>
              </w:rPr>
              <w:t>71.6</w:t>
            </w:r>
          </w:p>
        </w:tc>
        <w:tc>
          <w:tcPr>
            <w:tcW w:w="927" w:type="dxa"/>
            <w:vAlign w:val="center"/>
          </w:tcPr>
          <w:p w14:paraId="0B74DA1A" w14:textId="77777777" w:rsidR="00A838C0" w:rsidRDefault="00711C2B" w:rsidP="00A838C0">
            <w:pPr>
              <w:jc w:val="center"/>
              <w:rPr>
                <w:rFonts w:ascii="Times New Roman" w:hAnsi="Times New Roman"/>
                <w:noProof/>
                <w:sz w:val="20"/>
                <w:szCs w:val="20"/>
                <w:lang w:eastAsia="en-GB"/>
              </w:rPr>
            </w:pPr>
            <w:r w:rsidRPr="00711C2B">
              <w:rPr>
                <w:rFonts w:ascii="Times New Roman" w:hAnsi="Times New Roman"/>
                <w:noProof/>
                <w:sz w:val="20"/>
                <w:szCs w:val="20"/>
                <w:lang w:eastAsia="en-GB"/>
              </w:rPr>
              <w:t>75.9</w:t>
            </w:r>
          </w:p>
        </w:tc>
        <w:tc>
          <w:tcPr>
            <w:tcW w:w="927" w:type="dxa"/>
            <w:vAlign w:val="center"/>
          </w:tcPr>
          <w:p w14:paraId="1CDFCCB9" w14:textId="77777777" w:rsidR="00A838C0" w:rsidRDefault="00A838C0" w:rsidP="00A838C0">
            <w:pPr>
              <w:jc w:val="center"/>
              <w:rPr>
                <w:rFonts w:ascii="Times New Roman" w:hAnsi="Times New Roman"/>
                <w:noProof/>
                <w:sz w:val="20"/>
                <w:szCs w:val="20"/>
                <w:lang w:eastAsia="en-GB"/>
              </w:rPr>
            </w:pPr>
            <w:r>
              <w:rPr>
                <w:rFonts w:ascii="Times New Roman" w:hAnsi="Times New Roman"/>
                <w:noProof/>
                <w:sz w:val="20"/>
                <w:szCs w:val="20"/>
                <w:lang w:eastAsia="en-GB"/>
              </w:rPr>
              <w:t>71.9</w:t>
            </w:r>
          </w:p>
        </w:tc>
      </w:tr>
    </w:tbl>
    <w:p w14:paraId="1309098D" w14:textId="77777777" w:rsidR="001A0E42" w:rsidRDefault="003A348D" w:rsidP="00183216">
      <w:pPr>
        <w:pStyle w:val="NormalWeb"/>
        <w:spacing w:line="276" w:lineRule="auto"/>
        <w:jc w:val="both"/>
        <w:rPr>
          <w:noProof/>
          <w:lang w:val="en"/>
        </w:rPr>
      </w:pPr>
      <w:r>
        <w:rPr>
          <w:noProof/>
          <w:lang w:val="en"/>
        </w:rPr>
        <w:t>As the demand for free allocation exceeded the amount available, the allocation for all installations under the EU ETS was reduced by the same percentage through the application of a "cross-sectoral correction factor (CSCF)"</w:t>
      </w:r>
      <w:r>
        <w:rPr>
          <w:rStyle w:val="FootnoteReference"/>
          <w:noProof/>
          <w:lang w:val="en"/>
        </w:rPr>
        <w:footnoteReference w:id="21"/>
      </w:r>
      <w:r>
        <w:rPr>
          <w:noProof/>
          <w:lang w:val="en"/>
        </w:rPr>
        <w:t xml:space="preserve">. In 2017, the </w:t>
      </w:r>
      <w:r w:rsidR="00C8227C">
        <w:rPr>
          <w:noProof/>
          <w:lang w:val="en"/>
        </w:rPr>
        <w:t>original CSFC values were</w:t>
      </w:r>
      <w:r w:rsidR="007B7BDD">
        <w:rPr>
          <w:noProof/>
          <w:lang w:val="en"/>
        </w:rPr>
        <w:t xml:space="preserve"> </w:t>
      </w:r>
      <w:r>
        <w:rPr>
          <w:noProof/>
          <w:lang w:val="en"/>
        </w:rPr>
        <w:t>revised</w:t>
      </w:r>
      <w:r>
        <w:rPr>
          <w:rStyle w:val="FootnoteReference"/>
          <w:noProof/>
          <w:lang w:val="en"/>
        </w:rPr>
        <w:footnoteReference w:id="22"/>
      </w:r>
      <w:r w:rsidR="00C8227C">
        <w:rPr>
          <w:noProof/>
          <w:lang w:val="en"/>
        </w:rPr>
        <w:t>.</w:t>
      </w:r>
    </w:p>
    <w:p w14:paraId="5CC01713" w14:textId="77777777" w:rsidR="00183216" w:rsidRDefault="00341982" w:rsidP="00183216">
      <w:pPr>
        <w:pStyle w:val="NormalWeb"/>
        <w:spacing w:line="276" w:lineRule="auto"/>
        <w:jc w:val="both"/>
        <w:rPr>
          <w:noProof/>
          <w:lang w:val="en"/>
        </w:rPr>
      </w:pPr>
      <w:r>
        <w:rPr>
          <w:noProof/>
          <w:lang w:val="en"/>
        </w:rPr>
        <w:t>To prevent the risk of carbon leakage, f</w:t>
      </w:r>
      <w:r w:rsidRPr="00341982">
        <w:rPr>
          <w:noProof/>
          <w:lang w:val="en"/>
        </w:rPr>
        <w:t>ree allocation will continue</w:t>
      </w:r>
      <w:r>
        <w:rPr>
          <w:noProof/>
          <w:lang w:val="en"/>
        </w:rPr>
        <w:t xml:space="preserve"> after 2020, based on </w:t>
      </w:r>
      <w:r w:rsidR="003A0CD7">
        <w:rPr>
          <w:noProof/>
          <w:lang w:val="en"/>
        </w:rPr>
        <w:t xml:space="preserve">updated </w:t>
      </w:r>
      <w:r>
        <w:rPr>
          <w:noProof/>
          <w:lang w:val="en"/>
        </w:rPr>
        <w:t xml:space="preserve">benchmark values </w:t>
      </w:r>
      <w:r w:rsidRPr="00341982">
        <w:rPr>
          <w:noProof/>
          <w:lang w:val="en"/>
        </w:rPr>
        <w:t>derived with reference to the performance of the 10% most efficient installations in the EU</w:t>
      </w:r>
      <w:r>
        <w:rPr>
          <w:noProof/>
          <w:lang w:val="en"/>
        </w:rPr>
        <w:t xml:space="preserve">. </w:t>
      </w:r>
      <w:r w:rsidR="00183216">
        <w:rPr>
          <w:noProof/>
        </w:rPr>
        <w:t>The level of carbon leakage exposure of sectors has been assessed on the basis of a combined indicator multiplying the sector’s intensity of trade with third coun</w:t>
      </w:r>
      <w:r w:rsidR="007B7BDD">
        <w:rPr>
          <w:noProof/>
        </w:rPr>
        <w:t xml:space="preserve">tries by the sector’s </w:t>
      </w:r>
      <w:r w:rsidR="00183216">
        <w:rPr>
          <w:noProof/>
        </w:rPr>
        <w:t xml:space="preserve">emission intensity. </w:t>
      </w:r>
      <w:r w:rsidR="00511F9D">
        <w:rPr>
          <w:noProof/>
        </w:rPr>
        <w:t>Based on this asessment, in February 2019 t</w:t>
      </w:r>
      <w:r w:rsidR="007B7BDD">
        <w:rPr>
          <w:noProof/>
        </w:rPr>
        <w:t xml:space="preserve">he Commission </w:t>
      </w:r>
      <w:r w:rsidR="00511F9D">
        <w:rPr>
          <w:noProof/>
        </w:rPr>
        <w:t>adopted</w:t>
      </w:r>
      <w:r w:rsidR="00183216">
        <w:rPr>
          <w:noProof/>
        </w:rPr>
        <w:t xml:space="preserve"> the carbon leakage list for the next trading period</w:t>
      </w:r>
      <w:r w:rsidR="00183216">
        <w:rPr>
          <w:rStyle w:val="FootnoteReference"/>
          <w:noProof/>
        </w:rPr>
        <w:footnoteReference w:id="23"/>
      </w:r>
      <w:r w:rsidR="00183216">
        <w:rPr>
          <w:noProof/>
        </w:rPr>
        <w:t>, which will be valid for the entirety of phase 4.</w:t>
      </w:r>
    </w:p>
    <w:p w14:paraId="50421E3A" w14:textId="77777777" w:rsidR="00511F9D" w:rsidRPr="00511F9D" w:rsidRDefault="00511F9D" w:rsidP="00511F9D">
      <w:pPr>
        <w:jc w:val="both"/>
        <w:rPr>
          <w:rFonts w:ascii="Times New Roman" w:eastAsia="Times New Roman" w:hAnsi="Times New Roman"/>
          <w:noProof/>
          <w:sz w:val="24"/>
          <w:szCs w:val="24"/>
          <w:lang w:eastAsia="en-GB"/>
        </w:rPr>
      </w:pPr>
      <w:r w:rsidRPr="00511F9D">
        <w:rPr>
          <w:rFonts w:ascii="Times New Roman" w:hAnsi="Times New Roman"/>
          <w:noProof/>
          <w:sz w:val="24"/>
          <w:szCs w:val="24"/>
          <w:lang w:val="en"/>
        </w:rPr>
        <w:t xml:space="preserve">To reflect progress </w:t>
      </w:r>
      <w:r>
        <w:rPr>
          <w:rFonts w:ascii="Times New Roman" w:hAnsi="Times New Roman"/>
          <w:noProof/>
          <w:sz w:val="24"/>
          <w:szCs w:val="24"/>
          <w:lang w:val="en"/>
        </w:rPr>
        <w:t>in</w:t>
      </w:r>
      <w:r w:rsidRPr="004B4F5B">
        <w:rPr>
          <w:rFonts w:ascii="Times New Roman" w:hAnsi="Times New Roman"/>
          <w:noProof/>
          <w:sz w:val="24"/>
          <w:szCs w:val="24"/>
          <w:lang w:val="en"/>
        </w:rPr>
        <w:t xml:space="preserve"> technology an</w:t>
      </w:r>
      <w:r w:rsidRPr="00CD2FAE">
        <w:rPr>
          <w:rFonts w:ascii="Times New Roman" w:hAnsi="Times New Roman"/>
          <w:noProof/>
          <w:sz w:val="24"/>
          <w:szCs w:val="24"/>
          <w:lang w:val="en"/>
        </w:rPr>
        <w:t>d innovation</w:t>
      </w:r>
      <w:r w:rsidRPr="004B4F5B">
        <w:rPr>
          <w:rFonts w:ascii="Times New Roman" w:hAnsi="Times New Roman"/>
          <w:noProof/>
          <w:sz w:val="24"/>
          <w:szCs w:val="24"/>
          <w:lang w:val="en"/>
        </w:rPr>
        <w:t xml:space="preserve">, the benchmark values will be updated twice in phase 4, on the basis of real data. </w:t>
      </w:r>
      <w:r w:rsidR="00A871C2" w:rsidRPr="004B4F5B">
        <w:rPr>
          <w:rFonts w:ascii="Times New Roman" w:hAnsi="Times New Roman"/>
          <w:noProof/>
          <w:sz w:val="24"/>
          <w:szCs w:val="24"/>
          <w:lang w:val="en"/>
        </w:rPr>
        <w:t>The installations applying for free allocation for the first allocatio</w:t>
      </w:r>
      <w:r w:rsidR="00CD2FAE" w:rsidRPr="00CD2FAE">
        <w:rPr>
          <w:rFonts w:ascii="Times New Roman" w:hAnsi="Times New Roman"/>
          <w:noProof/>
          <w:sz w:val="24"/>
          <w:szCs w:val="24"/>
          <w:lang w:val="en"/>
        </w:rPr>
        <w:t xml:space="preserve">n period (2021-2025) </w:t>
      </w:r>
      <w:r w:rsidR="00A871C2" w:rsidRPr="004B4F5B">
        <w:rPr>
          <w:rFonts w:ascii="Times New Roman" w:hAnsi="Times New Roman"/>
          <w:noProof/>
          <w:sz w:val="24"/>
          <w:szCs w:val="24"/>
          <w:lang w:val="en"/>
        </w:rPr>
        <w:t>had to submi</w:t>
      </w:r>
      <w:r w:rsidR="007B7BDD">
        <w:rPr>
          <w:rFonts w:ascii="Times New Roman" w:hAnsi="Times New Roman"/>
          <w:noProof/>
          <w:sz w:val="24"/>
          <w:szCs w:val="24"/>
          <w:lang w:val="en"/>
        </w:rPr>
        <w:t xml:space="preserve">t the required </w:t>
      </w:r>
      <w:r w:rsidR="00A871C2" w:rsidRPr="004B4F5B">
        <w:rPr>
          <w:rFonts w:ascii="Times New Roman" w:hAnsi="Times New Roman"/>
          <w:noProof/>
          <w:sz w:val="24"/>
          <w:szCs w:val="24"/>
          <w:lang w:val="en"/>
        </w:rPr>
        <w:t>data by 30 May 2019 to the competent authorities. This data will be used by</w:t>
      </w:r>
      <w:r w:rsidR="007B7BDD">
        <w:rPr>
          <w:rFonts w:ascii="Times New Roman" w:hAnsi="Times New Roman"/>
          <w:noProof/>
          <w:sz w:val="24"/>
          <w:szCs w:val="24"/>
          <w:lang w:val="en"/>
        </w:rPr>
        <w:t xml:space="preserve"> the Commission to calculate </w:t>
      </w:r>
      <w:r w:rsidR="00A871C2" w:rsidRPr="004B4F5B">
        <w:rPr>
          <w:rFonts w:ascii="Times New Roman" w:hAnsi="Times New Roman"/>
          <w:noProof/>
          <w:sz w:val="24"/>
          <w:szCs w:val="24"/>
          <w:lang w:val="en"/>
        </w:rPr>
        <w:t>each installation’s allocation and for updating the benchmark values</w:t>
      </w:r>
      <w:r w:rsidR="003A0CD7">
        <w:rPr>
          <w:rFonts w:ascii="Times New Roman" w:hAnsi="Times New Roman"/>
          <w:noProof/>
          <w:sz w:val="24"/>
          <w:szCs w:val="24"/>
          <w:lang w:val="en"/>
        </w:rPr>
        <w:t xml:space="preserve"> for 2021-2025</w:t>
      </w:r>
      <w:r w:rsidR="00A871C2" w:rsidRPr="004B4F5B">
        <w:rPr>
          <w:rFonts w:ascii="Times New Roman" w:hAnsi="Times New Roman"/>
          <w:noProof/>
          <w:sz w:val="24"/>
          <w:szCs w:val="24"/>
          <w:lang w:val="en"/>
        </w:rPr>
        <w:t xml:space="preserve">. </w:t>
      </w:r>
      <w:r w:rsidRPr="00CD2FAE">
        <w:rPr>
          <w:rFonts w:ascii="Times New Roman" w:eastAsia="Times New Roman" w:hAnsi="Times New Roman"/>
          <w:noProof/>
          <w:sz w:val="24"/>
          <w:szCs w:val="24"/>
          <w:lang w:eastAsia="en-GB"/>
        </w:rPr>
        <w:t>T</w:t>
      </w:r>
      <w:r w:rsidRPr="00511F9D">
        <w:rPr>
          <w:rFonts w:ascii="Times New Roman" w:eastAsia="Times New Roman" w:hAnsi="Times New Roman"/>
          <w:noProof/>
          <w:sz w:val="24"/>
          <w:szCs w:val="24"/>
          <w:lang w:eastAsia="en-GB"/>
        </w:rPr>
        <w:t xml:space="preserve">he delegated act on revising the free allocation rules for 2021-2030 </w:t>
      </w:r>
      <w:r w:rsidR="00CD2FAE">
        <w:rPr>
          <w:rFonts w:ascii="Times New Roman" w:eastAsia="Times New Roman" w:hAnsi="Times New Roman"/>
          <w:noProof/>
          <w:sz w:val="24"/>
          <w:szCs w:val="24"/>
          <w:lang w:eastAsia="en-GB"/>
        </w:rPr>
        <w:t>was adopted in December 2018</w:t>
      </w:r>
      <w:r w:rsidRPr="00511F9D">
        <w:rPr>
          <w:rFonts w:ascii="Times New Roman" w:eastAsia="Times New Roman" w:hAnsi="Times New Roman"/>
          <w:noProof/>
          <w:sz w:val="24"/>
          <w:szCs w:val="24"/>
          <w:vertAlign w:val="superscript"/>
          <w:lang w:eastAsia="en-GB"/>
        </w:rPr>
        <w:footnoteReference w:id="24"/>
      </w:r>
      <w:r w:rsidRPr="00511F9D">
        <w:rPr>
          <w:rFonts w:ascii="Times New Roman" w:eastAsia="Times New Roman" w:hAnsi="Times New Roman"/>
          <w:noProof/>
          <w:sz w:val="24"/>
          <w:szCs w:val="24"/>
          <w:lang w:eastAsia="en-GB"/>
        </w:rPr>
        <w:t>, while work on updating the benchmark val</w:t>
      </w:r>
      <w:r w:rsidR="00D52704">
        <w:rPr>
          <w:rFonts w:ascii="Times New Roman" w:eastAsia="Times New Roman" w:hAnsi="Times New Roman"/>
          <w:noProof/>
          <w:sz w:val="24"/>
          <w:szCs w:val="24"/>
          <w:lang w:eastAsia="en-GB"/>
        </w:rPr>
        <w:t xml:space="preserve">ues  for 2021-2025 has started </w:t>
      </w:r>
      <w:r w:rsidRPr="00511F9D">
        <w:rPr>
          <w:rFonts w:ascii="Times New Roman" w:eastAsia="Times New Roman" w:hAnsi="Times New Roman"/>
          <w:noProof/>
          <w:sz w:val="24"/>
          <w:szCs w:val="24"/>
          <w:lang w:eastAsia="en-GB"/>
        </w:rPr>
        <w:t>(see Appendi</w:t>
      </w:r>
      <w:r w:rsidR="0023458A">
        <w:rPr>
          <w:rFonts w:ascii="Times New Roman" w:eastAsia="Times New Roman" w:hAnsi="Times New Roman"/>
          <w:noProof/>
          <w:sz w:val="24"/>
          <w:szCs w:val="24"/>
          <w:lang w:eastAsia="en-GB"/>
        </w:rPr>
        <w:t xml:space="preserve">x </w:t>
      </w:r>
      <w:r w:rsidR="00626D3C">
        <w:rPr>
          <w:rFonts w:ascii="Times New Roman" w:eastAsia="Times New Roman" w:hAnsi="Times New Roman"/>
          <w:noProof/>
          <w:sz w:val="24"/>
          <w:szCs w:val="24"/>
          <w:lang w:eastAsia="en-GB"/>
        </w:rPr>
        <w:t>7</w:t>
      </w:r>
      <w:r w:rsidR="0023458A">
        <w:rPr>
          <w:rFonts w:ascii="Times New Roman" w:eastAsia="Times New Roman" w:hAnsi="Times New Roman"/>
          <w:noProof/>
          <w:sz w:val="24"/>
          <w:szCs w:val="24"/>
          <w:lang w:eastAsia="en-GB"/>
        </w:rPr>
        <w:t xml:space="preserve"> </w:t>
      </w:r>
      <w:r w:rsidRPr="00511F9D">
        <w:rPr>
          <w:rFonts w:ascii="Times New Roman" w:eastAsia="Times New Roman" w:hAnsi="Times New Roman"/>
          <w:noProof/>
          <w:sz w:val="24"/>
          <w:szCs w:val="24"/>
          <w:lang w:eastAsia="en-GB"/>
        </w:rPr>
        <w:t xml:space="preserve">to the Annex). </w:t>
      </w:r>
    </w:p>
    <w:p w14:paraId="138E673F" w14:textId="77777777" w:rsidR="00DC0206" w:rsidRDefault="00427EEB" w:rsidP="00DC0206">
      <w:pPr>
        <w:jc w:val="both"/>
        <w:rPr>
          <w:noProof/>
        </w:rPr>
      </w:pPr>
      <w:r>
        <w:rPr>
          <w:rFonts w:ascii="Times New Roman" w:eastAsia="Times New Roman" w:hAnsi="Times New Roman"/>
          <w:noProof/>
          <w:sz w:val="24"/>
          <w:szCs w:val="24"/>
          <w:lang w:eastAsia="en-GB"/>
        </w:rPr>
        <w:t>In phase 4, a</w:t>
      </w:r>
      <w:r w:rsidR="00DC0206">
        <w:rPr>
          <w:rFonts w:ascii="Times New Roman" w:eastAsia="Times New Roman" w:hAnsi="Times New Roman"/>
          <w:noProof/>
          <w:sz w:val="24"/>
          <w:szCs w:val="24"/>
          <w:lang w:eastAsia="en-GB"/>
        </w:rPr>
        <w:t>llocations to individual installations will be adjusted</w:t>
      </w:r>
      <w:r w:rsidR="00CF459D">
        <w:rPr>
          <w:rFonts w:ascii="Times New Roman" w:eastAsia="Times New Roman" w:hAnsi="Times New Roman"/>
          <w:noProof/>
          <w:sz w:val="24"/>
          <w:szCs w:val="24"/>
          <w:lang w:eastAsia="en-GB"/>
        </w:rPr>
        <w:t xml:space="preserve"> in a timely manner</w:t>
      </w:r>
      <w:r w:rsidR="00DC0206">
        <w:rPr>
          <w:rFonts w:ascii="Times New Roman" w:eastAsia="Times New Roman" w:hAnsi="Times New Roman"/>
          <w:noProof/>
          <w:sz w:val="24"/>
          <w:szCs w:val="24"/>
          <w:lang w:eastAsia="en-GB"/>
        </w:rPr>
        <w:t xml:space="preserve"> to reflect significant increases and decreases in operation. To prevent manipulation and abuse of the allocation adjustment system and to avoid any undue administrative burden, the Commission will adopt an implementing act to define further arrangements for the adjustments</w:t>
      </w:r>
      <w:r w:rsidR="000A23BB">
        <w:rPr>
          <w:rFonts w:ascii="Times New Roman" w:eastAsia="Times New Roman" w:hAnsi="Times New Roman"/>
          <w:noProof/>
          <w:sz w:val="24"/>
          <w:szCs w:val="24"/>
          <w:lang w:eastAsia="en-GB"/>
        </w:rPr>
        <w:t xml:space="preserve"> (</w:t>
      </w:r>
      <w:r w:rsidR="00DC0206">
        <w:rPr>
          <w:rFonts w:ascii="Times New Roman" w:hAnsi="Times New Roman"/>
          <w:noProof/>
          <w:sz w:val="24"/>
          <w:szCs w:val="24"/>
        </w:rPr>
        <w:t xml:space="preserve">see Appendix </w:t>
      </w:r>
      <w:r w:rsidR="00626D3C">
        <w:rPr>
          <w:rFonts w:ascii="Times New Roman" w:hAnsi="Times New Roman"/>
          <w:noProof/>
          <w:sz w:val="24"/>
          <w:szCs w:val="24"/>
        </w:rPr>
        <w:t>7</w:t>
      </w:r>
      <w:r w:rsidR="0023458A">
        <w:rPr>
          <w:rFonts w:ascii="Times New Roman" w:hAnsi="Times New Roman"/>
          <w:noProof/>
          <w:sz w:val="24"/>
          <w:szCs w:val="24"/>
        </w:rPr>
        <w:t xml:space="preserve"> </w:t>
      </w:r>
      <w:r w:rsidR="00DC0206">
        <w:rPr>
          <w:rFonts w:ascii="Times New Roman" w:hAnsi="Times New Roman"/>
          <w:noProof/>
          <w:sz w:val="24"/>
          <w:szCs w:val="24"/>
        </w:rPr>
        <w:t>to the Annex).</w:t>
      </w:r>
    </w:p>
    <w:p w14:paraId="591B9D00" w14:textId="77777777" w:rsidR="00183216" w:rsidRPr="004B4F5B" w:rsidRDefault="00183216">
      <w:pPr>
        <w:pStyle w:val="NormalWeb"/>
        <w:spacing w:line="276" w:lineRule="auto"/>
        <w:jc w:val="both"/>
        <w:rPr>
          <w:noProof/>
        </w:rPr>
      </w:pPr>
    </w:p>
    <w:p w14:paraId="1362DCEC" w14:textId="77777777" w:rsidR="005F6BD0" w:rsidRDefault="003A348D">
      <w:pPr>
        <w:pStyle w:val="NormalWeb"/>
        <w:spacing w:line="276" w:lineRule="auto"/>
        <w:jc w:val="both"/>
        <w:rPr>
          <w:noProof/>
          <w:lang w:val="en"/>
        </w:rPr>
      </w:pPr>
      <w:r>
        <w:rPr>
          <w:noProof/>
          <w:lang w:val="en"/>
        </w:rPr>
        <w:br w:type="page"/>
      </w:r>
    </w:p>
    <w:p w14:paraId="52C20DFE" w14:textId="77777777" w:rsidR="005F6BD0" w:rsidRDefault="00A52F4C">
      <w:pPr>
        <w:pStyle w:val="Heading4"/>
        <w:spacing w:before="0" w:after="200"/>
        <w:ind w:left="1080"/>
        <w:rPr>
          <w:noProof/>
        </w:rPr>
      </w:pPr>
      <w:bookmarkStart w:id="30" w:name="_Toc490850427"/>
      <w:bookmarkStart w:id="31" w:name="_Toc20217731"/>
      <w:r>
        <w:rPr>
          <w:noProof/>
        </w:rPr>
        <w:t>3</w:t>
      </w:r>
      <w:r w:rsidR="003A348D">
        <w:rPr>
          <w:noProof/>
        </w:rPr>
        <w:t>.1.2.</w:t>
      </w:r>
      <w:r w:rsidR="00235970">
        <w:rPr>
          <w:noProof/>
        </w:rPr>
        <w:t>2.</w:t>
      </w:r>
      <w:r w:rsidR="003A348D">
        <w:rPr>
          <w:noProof/>
        </w:rPr>
        <w:t xml:space="preserve"> NER 300 programme</w:t>
      </w:r>
      <w:bookmarkEnd w:id="30"/>
      <w:r w:rsidR="00414F0F">
        <w:rPr>
          <w:noProof/>
        </w:rPr>
        <w:t xml:space="preserve"> and the Innovation Fund</w:t>
      </w:r>
      <w:bookmarkEnd w:id="31"/>
      <w:r w:rsidR="00414F0F">
        <w:rPr>
          <w:noProof/>
        </w:rPr>
        <w:t xml:space="preserve"> </w:t>
      </w:r>
    </w:p>
    <w:p w14:paraId="799FB551" w14:textId="77777777" w:rsidR="005F6BD0" w:rsidRDefault="003A348D">
      <w:pPr>
        <w:pStyle w:val="a3520normalp11"/>
        <w:spacing w:line="276" w:lineRule="auto"/>
        <w:rPr>
          <w:noProof/>
        </w:rPr>
      </w:pPr>
      <w:r>
        <w:rPr>
          <w:noProof/>
        </w:rPr>
        <mc:AlternateContent>
          <mc:Choice Requires="wps">
            <w:drawing>
              <wp:inline distT="0" distB="0" distL="0" distR="0" wp14:anchorId="43B3B7B1" wp14:editId="12FA704D">
                <wp:extent cx="5720486" cy="3073400"/>
                <wp:effectExtent l="0" t="0" r="13970" b="127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073400"/>
                        </a:xfrm>
                        <a:prstGeom prst="rect">
                          <a:avLst/>
                        </a:prstGeom>
                        <a:solidFill>
                          <a:schemeClr val="bg1">
                            <a:lumMod val="85000"/>
                          </a:schemeClr>
                        </a:solidFill>
                        <a:ln w="12700">
                          <a:solidFill>
                            <a:srgbClr val="000000"/>
                          </a:solidFill>
                          <a:miter lim="800000"/>
                          <a:headEnd/>
                          <a:tailEnd/>
                        </a:ln>
                      </wps:spPr>
                      <wps:txbx>
                        <w:txbxContent>
                          <w:p w14:paraId="0D4ADEA3" w14:textId="77777777" w:rsidR="00516F65" w:rsidRDefault="00516F65">
                            <w:pPr>
                              <w:jc w:val="both"/>
                              <w:rPr>
                                <w:rFonts w:ascii="Times New Roman" w:hAnsi="Times New Roman"/>
                                <w:sz w:val="24"/>
                                <w:szCs w:val="24"/>
                              </w:rPr>
                            </w:pPr>
                            <w:r>
                              <w:rPr>
                                <w:rFonts w:ascii="Times New Roman" w:hAnsi="Times New Roman"/>
                                <w:sz w:val="24"/>
                                <w:szCs w:val="24"/>
                              </w:rPr>
                              <w:t xml:space="preserve">The NER300 is a large-scale funding programme for innovative low-carbon energy demonstration projects. It is aimed at demonstrating environmentally safe carbon capture and storage (CCS) and innovative renewable energy (RES) technologies on a commercial scale within the EU. The NER 300 was funded from the monetisation of 300 million emission allowances from the NER. The funds were awarded to projects selected through two rounds of calls for proposals in December 2012 and July 2014. </w:t>
                            </w:r>
                          </w:p>
                          <w:p w14:paraId="0C4BD408" w14:textId="15685AD9" w:rsidR="00516F65" w:rsidRPr="00093351" w:rsidRDefault="00516F65" w:rsidP="00093351">
                            <w:pPr>
                              <w:jc w:val="both"/>
                              <w:rPr>
                                <w:rFonts w:ascii="Times New Roman" w:hAnsi="Times New Roman"/>
                                <w:sz w:val="24"/>
                                <w:szCs w:val="24"/>
                              </w:rPr>
                            </w:pPr>
                            <w:r w:rsidRPr="00093351">
                              <w:rPr>
                                <w:rFonts w:ascii="Times New Roman" w:hAnsi="Times New Roman"/>
                                <w:sz w:val="24"/>
                                <w:szCs w:val="24"/>
                              </w:rPr>
                              <w:t>The Innovation Fund</w:t>
                            </w:r>
                            <w:r>
                              <w:rPr>
                                <w:rFonts w:ascii="Times New Roman" w:hAnsi="Times New Roman"/>
                                <w:sz w:val="24"/>
                                <w:szCs w:val="24"/>
                              </w:rPr>
                              <w:t xml:space="preserve"> is one of the two low-carbon mechanisms created by the revised EU ETS Directive for phase 4. It </w:t>
                            </w:r>
                            <w:r w:rsidRPr="00093351">
                              <w:rPr>
                                <w:rFonts w:ascii="Times New Roman" w:hAnsi="Times New Roman"/>
                                <w:sz w:val="24"/>
                                <w:szCs w:val="24"/>
                              </w:rPr>
                              <w:t xml:space="preserve">will support, on a competitive basis, </w:t>
                            </w:r>
                            <w:r w:rsidR="00143C3B">
                              <w:rPr>
                                <w:rFonts w:ascii="Times New Roman" w:hAnsi="Times New Roman"/>
                                <w:sz w:val="24"/>
                                <w:szCs w:val="24"/>
                              </w:rPr>
                              <w:t xml:space="preserve">first-time market development and commercial scale </w:t>
                            </w:r>
                            <w:r w:rsidRPr="00093351">
                              <w:rPr>
                                <w:rFonts w:ascii="Times New Roman" w:hAnsi="Times New Roman"/>
                                <w:sz w:val="24"/>
                                <w:szCs w:val="24"/>
                              </w:rPr>
                              <w:t>demonstration of innovative technologies and breakthrough innovation in sectors covered by the EU ETS, including innovative renewables, energy intensive industries, carbo</w:t>
                            </w:r>
                            <w:r>
                              <w:rPr>
                                <w:rFonts w:ascii="Times New Roman" w:hAnsi="Times New Roman"/>
                                <w:sz w:val="24"/>
                                <w:szCs w:val="24"/>
                              </w:rPr>
                              <w:t xml:space="preserve">n capture and utilisation (CCU), </w:t>
                            </w:r>
                            <w:r w:rsidRPr="00093351">
                              <w:rPr>
                                <w:rFonts w:ascii="Times New Roman" w:hAnsi="Times New Roman"/>
                                <w:sz w:val="24"/>
                                <w:szCs w:val="24"/>
                              </w:rPr>
                              <w:t>and energy storage.</w:t>
                            </w:r>
                            <w:r w:rsidRPr="00093351">
                              <w:t xml:space="preserve"> </w:t>
                            </w:r>
                            <w:r>
                              <w:rPr>
                                <w:rFonts w:ascii="Times New Roman" w:hAnsi="Times New Roman"/>
                                <w:sz w:val="24"/>
                                <w:szCs w:val="24"/>
                              </w:rPr>
                              <w:t>It will be funded by the auctioning of</w:t>
                            </w:r>
                            <w:r w:rsidRPr="00093351">
                              <w:rPr>
                                <w:rFonts w:ascii="Times New Roman" w:hAnsi="Times New Roman"/>
                                <w:sz w:val="24"/>
                                <w:szCs w:val="24"/>
                              </w:rPr>
                              <w:t xml:space="preserve"> at least 450 million all</w:t>
                            </w:r>
                            <w:r>
                              <w:rPr>
                                <w:rFonts w:ascii="Times New Roman" w:hAnsi="Times New Roman"/>
                                <w:sz w:val="24"/>
                                <w:szCs w:val="24"/>
                              </w:rPr>
                              <w:t xml:space="preserve">owances and any </w:t>
                            </w:r>
                            <w:r w:rsidRPr="00093351">
                              <w:rPr>
                                <w:rFonts w:ascii="Times New Roman" w:hAnsi="Times New Roman"/>
                                <w:sz w:val="24"/>
                                <w:szCs w:val="24"/>
                              </w:rPr>
                              <w:t>undisbursed budget fro</w:t>
                            </w:r>
                            <w:r>
                              <w:rPr>
                                <w:rFonts w:ascii="Times New Roman" w:hAnsi="Times New Roman"/>
                                <w:sz w:val="24"/>
                                <w:szCs w:val="24"/>
                              </w:rPr>
                              <w:t>m the NER 300 Programme. A first call for proposals is in preparation for 2020.</w:t>
                            </w:r>
                          </w:p>
                          <w:p w14:paraId="5411EEF4" w14:textId="77777777" w:rsidR="00516F65" w:rsidRDefault="00516F65">
                            <w:pPr>
                              <w:rPr>
                                <w:rFonts w:ascii="Times New Roman" w:hAnsi="Times New Roman"/>
                                <w:sz w:val="24"/>
                                <w:szCs w:val="24"/>
                              </w:rPr>
                            </w:pPr>
                          </w:p>
                          <w:p w14:paraId="4F08DB62" w14:textId="77777777" w:rsidR="00516F65" w:rsidRDefault="00516F65">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43B3B7B1" id="_x0000_s1031" type="#_x0000_t202" style="width:450.45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" fillcolor="#d8d8d8 [2732]" strokeweight="1pt">
                <v:textbox>
                  <w:txbxContent>
                    <w:p w14:paraId="0D4ADEA3" w14:textId="77777777" w:rsidR="00516F65" w:rsidRDefault="00516F65">
                      <w:pPr>
                        <w:jc w:val="both"/>
                        <w:rPr>
                          <w:rFonts w:ascii="Times New Roman" w:hAnsi="Times New Roman"/>
                          <w:sz w:val="24"/>
                          <w:szCs w:val="24"/>
                        </w:rPr>
                      </w:pPr>
                      <w:r>
                        <w:rPr>
                          <w:rFonts w:ascii="Times New Roman" w:hAnsi="Times New Roman"/>
                          <w:sz w:val="24"/>
                          <w:szCs w:val="24"/>
                        </w:rPr>
                        <w:t xml:space="preserve">The NER300 is a large-scale funding programme for innovative low-carbon energy demonstration projects. It is aimed at demonstrating environmentally safe carbon capture and storage (CCS) and innovative renewable energy (RES) technologies on a commercial scale within the EU. The NER 300 was funded from the monetisation of 300 million emission allowances from the NER. The funds were awarded to projects selected through two rounds of calls for proposals in December 2012 and July 2014. </w:t>
                      </w:r>
                    </w:p>
                    <w:p w14:paraId="0C4BD408" w14:textId="15685AD9" w:rsidR="00516F65" w:rsidRPr="00093351" w:rsidRDefault="00516F65" w:rsidP="00093351">
                      <w:pPr>
                        <w:jc w:val="both"/>
                        <w:rPr>
                          <w:rFonts w:ascii="Times New Roman" w:hAnsi="Times New Roman"/>
                          <w:sz w:val="24"/>
                          <w:szCs w:val="24"/>
                        </w:rPr>
                      </w:pPr>
                      <w:r w:rsidRPr="00093351">
                        <w:rPr>
                          <w:rFonts w:ascii="Times New Roman" w:hAnsi="Times New Roman"/>
                          <w:sz w:val="24"/>
                          <w:szCs w:val="24"/>
                        </w:rPr>
                        <w:t>The Innovation Fund</w:t>
                      </w:r>
                      <w:r>
                        <w:rPr>
                          <w:rFonts w:ascii="Times New Roman" w:hAnsi="Times New Roman"/>
                          <w:sz w:val="24"/>
                          <w:szCs w:val="24"/>
                        </w:rPr>
                        <w:t xml:space="preserve"> is one of the two low-carbon mechanisms created by the revised EU ETS Directive for phase 4. It </w:t>
                      </w:r>
                      <w:r w:rsidRPr="00093351">
                        <w:rPr>
                          <w:rFonts w:ascii="Times New Roman" w:hAnsi="Times New Roman"/>
                          <w:sz w:val="24"/>
                          <w:szCs w:val="24"/>
                        </w:rPr>
                        <w:t xml:space="preserve">will support, on a competitive basis, </w:t>
                      </w:r>
                      <w:r w:rsidR="00143C3B">
                        <w:rPr>
                          <w:rFonts w:ascii="Times New Roman" w:hAnsi="Times New Roman"/>
                          <w:sz w:val="24"/>
                          <w:szCs w:val="24"/>
                        </w:rPr>
                        <w:t xml:space="preserve">first-time market development and commercial scale </w:t>
                      </w:r>
                      <w:r w:rsidRPr="00093351">
                        <w:rPr>
                          <w:rFonts w:ascii="Times New Roman" w:hAnsi="Times New Roman"/>
                          <w:sz w:val="24"/>
                          <w:szCs w:val="24"/>
                        </w:rPr>
                        <w:t>demonstration of innovative technologies and breakthrough innovation in sectors covered by the EU ETS, including innovative renewables, energy intensive industries, carbo</w:t>
                      </w:r>
                      <w:r>
                        <w:rPr>
                          <w:rFonts w:ascii="Times New Roman" w:hAnsi="Times New Roman"/>
                          <w:sz w:val="24"/>
                          <w:szCs w:val="24"/>
                        </w:rPr>
                        <w:t xml:space="preserve">n capture and utilisation (CCU), </w:t>
                      </w:r>
                      <w:r w:rsidRPr="00093351">
                        <w:rPr>
                          <w:rFonts w:ascii="Times New Roman" w:hAnsi="Times New Roman"/>
                          <w:sz w:val="24"/>
                          <w:szCs w:val="24"/>
                        </w:rPr>
                        <w:t>and energy storage.</w:t>
                      </w:r>
                      <w:r w:rsidRPr="00093351">
                        <w:t xml:space="preserve"> </w:t>
                      </w:r>
                      <w:r>
                        <w:rPr>
                          <w:rFonts w:ascii="Times New Roman" w:hAnsi="Times New Roman"/>
                          <w:sz w:val="24"/>
                          <w:szCs w:val="24"/>
                        </w:rPr>
                        <w:t>It will be funded by the auctioning of</w:t>
                      </w:r>
                      <w:r w:rsidRPr="00093351">
                        <w:rPr>
                          <w:rFonts w:ascii="Times New Roman" w:hAnsi="Times New Roman"/>
                          <w:sz w:val="24"/>
                          <w:szCs w:val="24"/>
                        </w:rPr>
                        <w:t xml:space="preserve"> at least 450 million all</w:t>
                      </w:r>
                      <w:r>
                        <w:rPr>
                          <w:rFonts w:ascii="Times New Roman" w:hAnsi="Times New Roman"/>
                          <w:sz w:val="24"/>
                          <w:szCs w:val="24"/>
                        </w:rPr>
                        <w:t xml:space="preserve">owances and any </w:t>
                      </w:r>
                      <w:r w:rsidRPr="00093351">
                        <w:rPr>
                          <w:rFonts w:ascii="Times New Roman" w:hAnsi="Times New Roman"/>
                          <w:sz w:val="24"/>
                          <w:szCs w:val="24"/>
                        </w:rPr>
                        <w:t>undisbursed budget fro</w:t>
                      </w:r>
                      <w:r>
                        <w:rPr>
                          <w:rFonts w:ascii="Times New Roman" w:hAnsi="Times New Roman"/>
                          <w:sz w:val="24"/>
                          <w:szCs w:val="24"/>
                        </w:rPr>
                        <w:t>m the NER 300 Programme. A first call for proposals is in preparation for 2020.</w:t>
                      </w:r>
                    </w:p>
                    <w:p w14:paraId="5411EEF4" w14:textId="77777777" w:rsidR="00516F65" w:rsidRDefault="00516F65">
                      <w:pPr>
                        <w:rPr>
                          <w:rFonts w:ascii="Times New Roman" w:hAnsi="Times New Roman"/>
                          <w:sz w:val="24"/>
                          <w:szCs w:val="24"/>
                        </w:rPr>
                      </w:pPr>
                    </w:p>
                    <w:p w14:paraId="4F08DB62" w14:textId="77777777" w:rsidR="00516F65" w:rsidRDefault="00516F65">
                      <w:pPr>
                        <w:rPr>
                          <w:rFonts w:ascii="Times New Roman" w:hAnsi="Times New Roman"/>
                          <w:sz w:val="24"/>
                          <w:szCs w:val="24"/>
                        </w:rPr>
                      </w:pPr>
                    </w:p>
                  </w:txbxContent>
                </v:textbox>
                <w10:anchorlock/>
              </v:shape>
            </w:pict>
          </mc:Fallback>
        </mc:AlternateContent>
      </w:r>
    </w:p>
    <w:p w14:paraId="7EFBE1C7" w14:textId="348E395B" w:rsidR="005F6BD0" w:rsidRDefault="003A348D">
      <w:pPr>
        <w:spacing w:after="120"/>
        <w:ind w:right="5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As a result of the two calls for proposals</w:t>
      </w:r>
      <w:r w:rsidR="00487626">
        <w:rPr>
          <w:rFonts w:ascii="Times New Roman" w:eastAsia="Times New Roman" w:hAnsi="Times New Roman"/>
          <w:noProof/>
          <w:sz w:val="24"/>
          <w:szCs w:val="24"/>
          <w:lang w:eastAsia="en-GB"/>
        </w:rPr>
        <w:t xml:space="preserve"> of the NER 300</w:t>
      </w:r>
      <w:r>
        <w:rPr>
          <w:rFonts w:ascii="Times New Roman" w:eastAsia="Times New Roman" w:hAnsi="Times New Roman"/>
          <w:noProof/>
          <w:sz w:val="24"/>
          <w:szCs w:val="24"/>
          <w:lang w:eastAsia="en-GB"/>
        </w:rPr>
        <w:t>, 38 RES projects and 1 CCS project were awarded in total in 20 EU Member States</w:t>
      </w:r>
      <w:r w:rsidR="00143C3B">
        <w:rPr>
          <w:rFonts w:ascii="Times New Roman" w:eastAsia="Times New Roman" w:hAnsi="Times New Roman"/>
          <w:noProof/>
          <w:sz w:val="24"/>
          <w:szCs w:val="24"/>
          <w:lang w:eastAsia="en-GB"/>
        </w:rPr>
        <w:t>,</w:t>
      </w:r>
      <w:r>
        <w:rPr>
          <w:rFonts w:ascii="Times New Roman" w:eastAsia="Times New Roman" w:hAnsi="Times New Roman"/>
          <w:noProof/>
          <w:sz w:val="24"/>
          <w:szCs w:val="24"/>
          <w:lang w:eastAsia="en-GB"/>
        </w:rPr>
        <w:t xml:space="preserve"> amounting to EUR 2.1 billion. Of the</w:t>
      </w:r>
      <w:r w:rsidR="00143C3B">
        <w:rPr>
          <w:rFonts w:ascii="Times New Roman" w:eastAsia="Times New Roman" w:hAnsi="Times New Roman"/>
          <w:noProof/>
          <w:sz w:val="24"/>
          <w:szCs w:val="24"/>
          <w:lang w:eastAsia="en-GB"/>
        </w:rPr>
        <w:t>se</w:t>
      </w:r>
      <w:r>
        <w:rPr>
          <w:rFonts w:ascii="Times New Roman" w:eastAsia="Times New Roman" w:hAnsi="Times New Roman"/>
          <w:noProof/>
          <w:sz w:val="24"/>
          <w:szCs w:val="24"/>
          <w:lang w:eastAsia="en-GB"/>
        </w:rPr>
        <w:t xml:space="preserve">, </w:t>
      </w:r>
      <w:r w:rsidR="009C2F61">
        <w:rPr>
          <w:rFonts w:ascii="Times New Roman" w:eastAsia="Times New Roman" w:hAnsi="Times New Roman"/>
          <w:noProof/>
          <w:sz w:val="24"/>
          <w:szCs w:val="24"/>
          <w:lang w:eastAsia="en-GB"/>
        </w:rPr>
        <w:t>7</w:t>
      </w:r>
      <w:r>
        <w:rPr>
          <w:rFonts w:ascii="Times New Roman" w:eastAsia="Times New Roman" w:hAnsi="Times New Roman"/>
          <w:noProof/>
          <w:sz w:val="24"/>
          <w:szCs w:val="24"/>
          <w:lang w:eastAsia="en-GB"/>
        </w:rPr>
        <w:t xml:space="preserve"> are operational: bionergy projects BEST in Italy and Verbiostraw in Germany, on-shore wind projects Windpark Blaiken in Sweden and Windpark Handalm in Austria, offshore wind projects Veja Mate and Nordsee One in Germany</w:t>
      </w:r>
      <w:r w:rsidR="009C2F61">
        <w:rPr>
          <w:rFonts w:ascii="Times New Roman" w:eastAsia="Times New Roman" w:hAnsi="Times New Roman"/>
          <w:noProof/>
          <w:sz w:val="24"/>
          <w:szCs w:val="24"/>
          <w:lang w:eastAsia="en-GB"/>
        </w:rPr>
        <w:t xml:space="preserve">, and </w:t>
      </w:r>
      <w:r w:rsidR="009C2F61" w:rsidRPr="009C2F61">
        <w:rPr>
          <w:rFonts w:ascii="Times New Roman" w:eastAsia="Times New Roman" w:hAnsi="Times New Roman"/>
          <w:noProof/>
          <w:sz w:val="24"/>
          <w:szCs w:val="24"/>
          <w:lang w:eastAsia="en-GB"/>
        </w:rPr>
        <w:t>smart grid project</w:t>
      </w:r>
      <w:r w:rsidR="009C2F61">
        <w:rPr>
          <w:rFonts w:ascii="Times New Roman" w:eastAsia="Times New Roman" w:hAnsi="Times New Roman"/>
          <w:noProof/>
          <w:sz w:val="24"/>
          <w:szCs w:val="24"/>
          <w:lang w:eastAsia="en-GB"/>
        </w:rPr>
        <w:t xml:space="preserve"> Puglia Active Network in Italy</w:t>
      </w:r>
      <w:r w:rsidR="007B7BDD">
        <w:rPr>
          <w:rFonts w:ascii="Times New Roman" w:eastAsia="Times New Roman" w:hAnsi="Times New Roman"/>
          <w:noProof/>
          <w:sz w:val="24"/>
          <w:szCs w:val="24"/>
          <w:lang w:eastAsia="en-GB"/>
        </w:rPr>
        <w:t>.</w:t>
      </w:r>
    </w:p>
    <w:p w14:paraId="20118B27" w14:textId="77777777" w:rsidR="007B7BDD" w:rsidRPr="004724FA" w:rsidRDefault="00FB28EB" w:rsidP="00024429">
      <w:pPr>
        <w:spacing w:after="120"/>
        <w:ind w:right="5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Five</w:t>
      </w:r>
      <w:r w:rsidRPr="00FB28EB">
        <w:rPr>
          <w:rFonts w:ascii="Times New Roman" w:eastAsia="Times New Roman" w:hAnsi="Times New Roman"/>
          <w:noProof/>
          <w:sz w:val="24"/>
          <w:szCs w:val="24"/>
          <w:lang w:eastAsia="en-GB"/>
        </w:rPr>
        <w:t xml:space="preserve"> projects from the first call are expected to enter </w:t>
      </w:r>
      <w:r>
        <w:rPr>
          <w:rFonts w:ascii="Times New Roman" w:eastAsia="Times New Roman" w:hAnsi="Times New Roman"/>
          <w:noProof/>
          <w:sz w:val="24"/>
          <w:szCs w:val="24"/>
          <w:lang w:eastAsia="en-GB"/>
        </w:rPr>
        <w:t>in operation by the end of 2019</w:t>
      </w:r>
      <w:r w:rsidR="007B4315">
        <w:rPr>
          <w:rFonts w:ascii="Times New Roman" w:eastAsia="Times New Roman" w:hAnsi="Times New Roman"/>
          <w:noProof/>
          <w:sz w:val="24"/>
          <w:szCs w:val="24"/>
          <w:lang w:eastAsia="en-GB"/>
        </w:rPr>
        <w:t>, while</w:t>
      </w:r>
      <w:r w:rsidRPr="00FB28EB">
        <w:rPr>
          <w:rFonts w:ascii="Times New Roman" w:eastAsia="Times New Roman" w:hAnsi="Times New Roman"/>
          <w:noProof/>
          <w:sz w:val="24"/>
          <w:szCs w:val="24"/>
          <w:lang w:eastAsia="en-GB"/>
        </w:rPr>
        <w:t xml:space="preserve"> 4 projects from the second call are advancing in their prepara</w:t>
      </w:r>
      <w:r w:rsidR="00535EF1">
        <w:rPr>
          <w:rFonts w:ascii="Times New Roman" w:eastAsia="Times New Roman" w:hAnsi="Times New Roman"/>
          <w:noProof/>
          <w:sz w:val="24"/>
          <w:szCs w:val="24"/>
          <w:lang w:eastAsia="en-GB"/>
        </w:rPr>
        <w:t>tion</w:t>
      </w:r>
      <w:r w:rsidRPr="00FB28EB">
        <w:rPr>
          <w:rFonts w:ascii="Times New Roman" w:eastAsia="Times New Roman" w:hAnsi="Times New Roman"/>
          <w:noProof/>
          <w:sz w:val="24"/>
          <w:szCs w:val="24"/>
          <w:lang w:eastAsia="en-GB"/>
        </w:rPr>
        <w:t xml:space="preserve"> to enter in</w:t>
      </w:r>
      <w:r w:rsidR="00535EF1">
        <w:rPr>
          <w:rFonts w:ascii="Times New Roman" w:eastAsia="Times New Roman" w:hAnsi="Times New Roman"/>
          <w:noProof/>
          <w:sz w:val="24"/>
          <w:szCs w:val="24"/>
          <w:lang w:eastAsia="en-GB"/>
        </w:rPr>
        <w:t>to</w:t>
      </w:r>
      <w:r w:rsidRPr="00FB28EB">
        <w:rPr>
          <w:rFonts w:ascii="Times New Roman" w:eastAsia="Times New Roman" w:hAnsi="Times New Roman"/>
          <w:noProof/>
          <w:sz w:val="24"/>
          <w:szCs w:val="24"/>
          <w:lang w:eastAsia="en-GB"/>
        </w:rPr>
        <w:t xml:space="preserve"> operation by 30 June 2021</w:t>
      </w:r>
      <w:r w:rsidR="000B0169">
        <w:rPr>
          <w:rFonts w:ascii="Times New Roman" w:eastAsia="Times New Roman" w:hAnsi="Times New Roman"/>
          <w:noProof/>
          <w:sz w:val="24"/>
          <w:szCs w:val="24"/>
          <w:lang w:eastAsia="en-GB"/>
        </w:rPr>
        <w:t>.</w:t>
      </w:r>
      <w:r w:rsidR="007748C6">
        <w:rPr>
          <w:rFonts w:ascii="Times New Roman" w:eastAsia="Times New Roman" w:hAnsi="Times New Roman"/>
          <w:noProof/>
          <w:sz w:val="24"/>
          <w:szCs w:val="24"/>
          <w:lang w:eastAsia="en-GB"/>
        </w:rPr>
        <w:t xml:space="preserve"> </w:t>
      </w:r>
      <w:r w:rsidRPr="00FB28EB">
        <w:rPr>
          <w:rFonts w:ascii="Times New Roman" w:eastAsia="Times New Roman" w:hAnsi="Times New Roman"/>
          <w:noProof/>
          <w:sz w:val="24"/>
          <w:szCs w:val="24"/>
          <w:lang w:eastAsia="en-GB"/>
        </w:rPr>
        <w:t xml:space="preserve">Given the challenging economic and policy context since </w:t>
      </w:r>
      <w:r w:rsidR="00535EF1">
        <w:rPr>
          <w:rFonts w:ascii="Times New Roman" w:eastAsia="Times New Roman" w:hAnsi="Times New Roman"/>
          <w:noProof/>
          <w:sz w:val="24"/>
          <w:szCs w:val="24"/>
          <w:lang w:eastAsia="en-GB"/>
        </w:rPr>
        <w:t>the N</w:t>
      </w:r>
      <w:r w:rsidR="0067520F">
        <w:rPr>
          <w:rFonts w:ascii="Times New Roman" w:eastAsia="Times New Roman" w:hAnsi="Times New Roman"/>
          <w:noProof/>
          <w:sz w:val="24"/>
          <w:szCs w:val="24"/>
          <w:lang w:eastAsia="en-GB"/>
        </w:rPr>
        <w:t>ER 300 programme was established</w:t>
      </w:r>
      <w:r w:rsidRPr="00FB28EB">
        <w:rPr>
          <w:rFonts w:ascii="Times New Roman" w:eastAsia="Times New Roman" w:hAnsi="Times New Roman"/>
          <w:noProof/>
          <w:sz w:val="24"/>
          <w:szCs w:val="24"/>
          <w:lang w:eastAsia="en-GB"/>
        </w:rPr>
        <w:t xml:space="preserve">, 19 projects have not been able to raise sufficient additional financial support and have </w:t>
      </w:r>
      <w:r w:rsidR="00535EF1">
        <w:rPr>
          <w:rFonts w:ascii="Times New Roman" w:eastAsia="Times New Roman" w:hAnsi="Times New Roman"/>
          <w:noProof/>
          <w:sz w:val="24"/>
          <w:szCs w:val="24"/>
          <w:lang w:eastAsia="en-GB"/>
        </w:rPr>
        <w:t xml:space="preserve">been </w:t>
      </w:r>
      <w:r w:rsidRPr="00FB28EB">
        <w:rPr>
          <w:rFonts w:ascii="Times New Roman" w:eastAsia="Times New Roman" w:hAnsi="Times New Roman"/>
          <w:noProof/>
          <w:sz w:val="24"/>
          <w:szCs w:val="24"/>
          <w:lang w:eastAsia="en-GB"/>
        </w:rPr>
        <w:t>withdrawn</w:t>
      </w:r>
      <w:r w:rsidR="007B7BDD">
        <w:rPr>
          <w:rFonts w:ascii="Times New Roman" w:eastAsia="Times New Roman" w:hAnsi="Times New Roman"/>
          <w:noProof/>
          <w:sz w:val="24"/>
          <w:szCs w:val="24"/>
          <w:lang w:eastAsia="en-GB"/>
        </w:rPr>
        <w:t>, releasing</w:t>
      </w:r>
      <w:r w:rsidR="00535EF1">
        <w:rPr>
          <w:rFonts w:ascii="Times New Roman" w:eastAsia="Times New Roman" w:hAnsi="Times New Roman"/>
          <w:noProof/>
          <w:sz w:val="24"/>
          <w:szCs w:val="24"/>
          <w:lang w:eastAsia="en-GB"/>
        </w:rPr>
        <w:t xml:space="preserve"> a total of </w:t>
      </w:r>
      <w:r w:rsidR="00535EF1" w:rsidRPr="00516F65">
        <w:rPr>
          <w:rFonts w:ascii="Times New Roman" w:eastAsia="Times New Roman" w:hAnsi="Times New Roman"/>
          <w:noProof/>
          <w:sz w:val="24"/>
          <w:szCs w:val="24"/>
          <w:lang w:eastAsia="en-GB"/>
        </w:rPr>
        <w:t xml:space="preserve">EUR </w:t>
      </w:r>
      <w:r w:rsidRPr="00516F65">
        <w:rPr>
          <w:rFonts w:ascii="Times New Roman" w:eastAsia="Times New Roman" w:hAnsi="Times New Roman"/>
          <w:noProof/>
          <w:sz w:val="24"/>
          <w:szCs w:val="24"/>
          <w:lang w:eastAsia="en-GB"/>
        </w:rPr>
        <w:t>1</w:t>
      </w:r>
      <w:r w:rsidR="00CF459D" w:rsidRPr="00516F65">
        <w:rPr>
          <w:rFonts w:ascii="Times New Roman" w:eastAsia="Times New Roman" w:hAnsi="Times New Roman"/>
          <w:noProof/>
          <w:sz w:val="24"/>
          <w:szCs w:val="24"/>
          <w:lang w:eastAsia="en-GB"/>
        </w:rPr>
        <w:t>.</w:t>
      </w:r>
      <w:r w:rsidRPr="00516F65">
        <w:rPr>
          <w:rFonts w:ascii="Times New Roman" w:eastAsia="Times New Roman" w:hAnsi="Times New Roman"/>
          <w:noProof/>
          <w:sz w:val="24"/>
          <w:szCs w:val="24"/>
          <w:lang w:eastAsia="en-GB"/>
        </w:rPr>
        <w:t xml:space="preserve">358 </w:t>
      </w:r>
      <w:r w:rsidR="000B0169" w:rsidRPr="00516F65">
        <w:rPr>
          <w:rFonts w:ascii="Times New Roman" w:eastAsia="Times New Roman" w:hAnsi="Times New Roman"/>
          <w:noProof/>
          <w:sz w:val="24"/>
          <w:szCs w:val="24"/>
          <w:lang w:eastAsia="en-GB"/>
        </w:rPr>
        <w:t>b</w:t>
      </w:r>
      <w:r w:rsidRPr="00516F65">
        <w:rPr>
          <w:rFonts w:ascii="Times New Roman" w:eastAsia="Times New Roman" w:hAnsi="Times New Roman"/>
          <w:noProof/>
          <w:sz w:val="24"/>
          <w:szCs w:val="24"/>
          <w:lang w:eastAsia="en-GB"/>
        </w:rPr>
        <w:t>illion.</w:t>
      </w:r>
      <w:r w:rsidR="007B7BDD" w:rsidRPr="004724FA">
        <w:rPr>
          <w:rFonts w:ascii="Times New Roman" w:eastAsia="Times New Roman" w:hAnsi="Times New Roman"/>
          <w:noProof/>
          <w:sz w:val="24"/>
          <w:szCs w:val="24"/>
          <w:lang w:eastAsia="en-GB"/>
        </w:rPr>
        <w:t xml:space="preserve"> </w:t>
      </w:r>
      <w:r w:rsidR="0067520F" w:rsidRPr="004724FA">
        <w:rPr>
          <w:rFonts w:ascii="Times New Roman" w:eastAsia="Times New Roman" w:hAnsi="Times New Roman"/>
          <w:noProof/>
          <w:sz w:val="24"/>
          <w:szCs w:val="24"/>
          <w:lang w:eastAsia="en-GB"/>
        </w:rPr>
        <w:t>Four more projects are under various stages of development.</w:t>
      </w:r>
    </w:p>
    <w:p w14:paraId="5C141462" w14:textId="77777777" w:rsidR="005F6BD0" w:rsidRPr="004724FA" w:rsidRDefault="003A348D" w:rsidP="00024429">
      <w:pPr>
        <w:spacing w:after="120"/>
        <w:ind w:right="57"/>
        <w:jc w:val="both"/>
        <w:rPr>
          <w:rFonts w:ascii="Times New Roman" w:eastAsia="Times New Roman" w:hAnsi="Times New Roman"/>
          <w:noProof/>
          <w:sz w:val="24"/>
          <w:szCs w:val="24"/>
          <w:lang w:eastAsia="en-GB"/>
        </w:rPr>
      </w:pPr>
      <w:r w:rsidRPr="004724FA">
        <w:rPr>
          <w:rFonts w:ascii="Times New Roman" w:eastAsia="Times New Roman" w:hAnsi="Times New Roman"/>
          <w:noProof/>
          <w:sz w:val="24"/>
          <w:szCs w:val="24"/>
          <w:lang w:eastAsia="en-GB"/>
        </w:rPr>
        <w:t xml:space="preserve">The </w:t>
      </w:r>
      <w:r w:rsidR="00024429" w:rsidRPr="004724FA">
        <w:rPr>
          <w:rFonts w:ascii="Times New Roman" w:eastAsia="Times New Roman" w:hAnsi="Times New Roman"/>
          <w:noProof/>
          <w:sz w:val="24"/>
          <w:szCs w:val="24"/>
          <w:lang w:eastAsia="en-GB"/>
        </w:rPr>
        <w:t xml:space="preserve">amended </w:t>
      </w:r>
      <w:r w:rsidR="007B7BDD" w:rsidRPr="004724FA">
        <w:rPr>
          <w:rFonts w:ascii="Times New Roman" w:eastAsia="Times New Roman" w:hAnsi="Times New Roman"/>
          <w:noProof/>
          <w:sz w:val="24"/>
          <w:szCs w:val="24"/>
          <w:lang w:eastAsia="en-GB"/>
        </w:rPr>
        <w:t>NER 300 Decision</w:t>
      </w:r>
      <w:r w:rsidRPr="004724FA">
        <w:rPr>
          <w:rFonts w:ascii="Times New Roman" w:eastAsia="Times New Roman" w:hAnsi="Times New Roman"/>
          <w:noProof/>
          <w:sz w:val="24"/>
          <w:szCs w:val="24"/>
          <w:vertAlign w:val="superscript"/>
          <w:lang w:eastAsia="en-GB"/>
        </w:rPr>
        <w:footnoteReference w:id="25"/>
      </w:r>
      <w:r w:rsidRPr="004724FA">
        <w:rPr>
          <w:rFonts w:ascii="Times New Roman" w:eastAsia="Times New Roman" w:hAnsi="Times New Roman"/>
          <w:noProof/>
          <w:sz w:val="24"/>
          <w:szCs w:val="24"/>
          <w:lang w:eastAsia="en-GB"/>
        </w:rPr>
        <w:t xml:space="preserve"> </w:t>
      </w:r>
      <w:r w:rsidR="00024429" w:rsidRPr="004724FA">
        <w:rPr>
          <w:rFonts w:ascii="Times New Roman" w:eastAsia="Times New Roman" w:hAnsi="Times New Roman"/>
          <w:noProof/>
          <w:sz w:val="24"/>
          <w:szCs w:val="24"/>
          <w:lang w:eastAsia="en-GB"/>
        </w:rPr>
        <w:t>allowed</w:t>
      </w:r>
      <w:r w:rsidRPr="004724FA">
        <w:rPr>
          <w:rFonts w:ascii="Times New Roman" w:eastAsia="Times New Roman" w:hAnsi="Times New Roman"/>
          <w:noProof/>
          <w:sz w:val="24"/>
          <w:szCs w:val="24"/>
          <w:lang w:eastAsia="en-GB"/>
        </w:rPr>
        <w:t xml:space="preserve"> for </w:t>
      </w:r>
      <w:r w:rsidR="00024429" w:rsidRPr="004724FA">
        <w:rPr>
          <w:rFonts w:ascii="Times New Roman" w:eastAsia="Times New Roman" w:hAnsi="Times New Roman"/>
          <w:noProof/>
          <w:sz w:val="24"/>
          <w:szCs w:val="24"/>
          <w:lang w:eastAsia="en-GB"/>
        </w:rPr>
        <w:t xml:space="preserve">the </w:t>
      </w:r>
      <w:r w:rsidRPr="004724FA">
        <w:rPr>
          <w:rFonts w:ascii="Times New Roman" w:eastAsia="Times New Roman" w:hAnsi="Times New Roman"/>
          <w:noProof/>
          <w:sz w:val="24"/>
          <w:szCs w:val="24"/>
          <w:lang w:eastAsia="en-GB"/>
        </w:rPr>
        <w:t xml:space="preserve">re-investment of the released funds from the cancelled projects of the first call (EUR </w:t>
      </w:r>
      <w:r w:rsidR="00024429" w:rsidRPr="004724FA">
        <w:rPr>
          <w:rFonts w:ascii="Times New Roman" w:eastAsia="Times New Roman" w:hAnsi="Times New Roman"/>
          <w:noProof/>
          <w:sz w:val="24"/>
          <w:szCs w:val="24"/>
          <w:lang w:eastAsia="en-GB"/>
        </w:rPr>
        <w:t>623</w:t>
      </w:r>
      <w:r w:rsidRPr="004724FA">
        <w:rPr>
          <w:rFonts w:ascii="Times New Roman" w:eastAsia="Times New Roman" w:hAnsi="Times New Roman"/>
          <w:noProof/>
          <w:sz w:val="24"/>
          <w:szCs w:val="24"/>
          <w:lang w:eastAsia="en-GB"/>
        </w:rPr>
        <w:t xml:space="preserve"> million so far) in existing financial instruments - the InnovFin Energy Demo</w:t>
      </w:r>
      <w:r w:rsidR="00024429" w:rsidRPr="004724FA">
        <w:rPr>
          <w:rFonts w:ascii="Times New Roman" w:eastAsia="Times New Roman" w:hAnsi="Times New Roman"/>
          <w:noProof/>
          <w:sz w:val="24"/>
          <w:szCs w:val="24"/>
          <w:lang w:eastAsia="en-GB"/>
        </w:rPr>
        <w:t>nstration</w:t>
      </w:r>
      <w:r w:rsidRPr="004724FA">
        <w:rPr>
          <w:rFonts w:ascii="Times New Roman" w:eastAsia="Times New Roman" w:hAnsi="Times New Roman"/>
          <w:noProof/>
          <w:sz w:val="24"/>
          <w:szCs w:val="24"/>
          <w:lang w:eastAsia="en-GB"/>
        </w:rPr>
        <w:t xml:space="preserve"> Projects</w:t>
      </w:r>
      <w:r w:rsidR="00CF459D" w:rsidRPr="004724FA">
        <w:rPr>
          <w:rFonts w:ascii="Times New Roman" w:eastAsia="Times New Roman" w:hAnsi="Times New Roman"/>
          <w:noProof/>
          <w:sz w:val="24"/>
          <w:szCs w:val="24"/>
          <w:lang w:eastAsia="en-GB"/>
        </w:rPr>
        <w:t xml:space="preserve"> (EDP)</w:t>
      </w:r>
      <w:r w:rsidRPr="004724FA">
        <w:rPr>
          <w:rFonts w:ascii="Times New Roman" w:eastAsia="Times New Roman" w:hAnsi="Times New Roman"/>
          <w:noProof/>
          <w:sz w:val="24"/>
          <w:szCs w:val="24"/>
          <w:lang w:eastAsia="en-GB"/>
        </w:rPr>
        <w:t xml:space="preserve"> and the Connecting Europe Facility Debt Instrument, both managed by the European Investment Bank.</w:t>
      </w:r>
      <w:r w:rsidR="00024429" w:rsidRPr="004724FA">
        <w:t xml:space="preserve"> </w:t>
      </w:r>
      <w:r w:rsidR="00024429" w:rsidRPr="004724FA">
        <w:rPr>
          <w:rFonts w:ascii="Times New Roman" w:hAnsi="Times New Roman"/>
          <w:sz w:val="24"/>
          <w:szCs w:val="24"/>
        </w:rPr>
        <w:t>T</w:t>
      </w:r>
      <w:r w:rsidR="00024429" w:rsidRPr="004724FA">
        <w:rPr>
          <w:rFonts w:ascii="Times New Roman" w:eastAsia="Times New Roman" w:hAnsi="Times New Roman"/>
          <w:noProof/>
          <w:sz w:val="24"/>
          <w:szCs w:val="24"/>
          <w:lang w:eastAsia="en-GB"/>
        </w:rPr>
        <w:t>his will allow maximising the ben</w:t>
      </w:r>
      <w:r w:rsidR="00BB416E" w:rsidRPr="004724FA">
        <w:rPr>
          <w:rFonts w:ascii="Times New Roman" w:eastAsia="Times New Roman" w:hAnsi="Times New Roman"/>
          <w:noProof/>
          <w:sz w:val="24"/>
          <w:szCs w:val="24"/>
          <w:lang w:eastAsia="en-GB"/>
        </w:rPr>
        <w:t xml:space="preserve">efits of the NER 300 programme </w:t>
      </w:r>
      <w:r w:rsidR="00024429" w:rsidRPr="004724FA">
        <w:rPr>
          <w:rFonts w:ascii="Times New Roman" w:eastAsia="Times New Roman" w:hAnsi="Times New Roman"/>
          <w:noProof/>
          <w:sz w:val="24"/>
          <w:szCs w:val="24"/>
          <w:lang w:eastAsia="en-GB"/>
        </w:rPr>
        <w:t>and leveraging additional private investments in low-carbon innovation.</w:t>
      </w:r>
    </w:p>
    <w:p w14:paraId="095EDCCE" w14:textId="77777777" w:rsidR="00BB416E" w:rsidRDefault="00BB416E" w:rsidP="00BB416E">
      <w:pPr>
        <w:spacing w:after="120"/>
        <w:ind w:right="57"/>
        <w:jc w:val="both"/>
        <w:rPr>
          <w:rFonts w:ascii="Times New Roman" w:eastAsia="Times New Roman" w:hAnsi="Times New Roman"/>
          <w:noProof/>
          <w:sz w:val="24"/>
          <w:szCs w:val="24"/>
          <w:lang w:eastAsia="en-GB"/>
        </w:rPr>
      </w:pPr>
      <w:r w:rsidRPr="00516F65">
        <w:rPr>
          <w:rFonts w:ascii="Times New Roman" w:eastAsia="Times New Roman" w:hAnsi="Times New Roman"/>
          <w:noProof/>
          <w:sz w:val="24"/>
          <w:szCs w:val="24"/>
          <w:lang w:eastAsia="en-GB"/>
        </w:rPr>
        <w:t xml:space="preserve">So far, </w:t>
      </w:r>
      <w:r w:rsidR="00886FE8">
        <w:rPr>
          <w:rFonts w:ascii="Times New Roman" w:eastAsia="Times New Roman" w:hAnsi="Times New Roman"/>
          <w:noProof/>
          <w:sz w:val="24"/>
          <w:szCs w:val="24"/>
          <w:lang w:eastAsia="en-GB"/>
        </w:rPr>
        <w:t>3</w:t>
      </w:r>
      <w:r w:rsidRPr="00516F65">
        <w:rPr>
          <w:rFonts w:ascii="Times New Roman" w:eastAsia="Times New Roman" w:hAnsi="Times New Roman"/>
          <w:noProof/>
          <w:sz w:val="24"/>
          <w:szCs w:val="24"/>
          <w:lang w:eastAsia="en-GB"/>
        </w:rPr>
        <w:t xml:space="preserve"> projects have been selected to benefit from</w:t>
      </w:r>
      <w:r w:rsidR="00CE7544">
        <w:rPr>
          <w:rFonts w:ascii="Times New Roman" w:eastAsia="Times New Roman" w:hAnsi="Times New Roman"/>
          <w:noProof/>
          <w:sz w:val="24"/>
          <w:szCs w:val="24"/>
          <w:lang w:eastAsia="en-GB"/>
        </w:rPr>
        <w:t xml:space="preserve"> </w:t>
      </w:r>
      <w:r w:rsidRPr="00516F65">
        <w:rPr>
          <w:rFonts w:ascii="Times New Roman" w:eastAsia="Times New Roman" w:hAnsi="Times New Roman"/>
          <w:noProof/>
          <w:sz w:val="24"/>
          <w:szCs w:val="24"/>
          <w:lang w:eastAsia="en-GB"/>
        </w:rPr>
        <w:t>the unspent funds of the NER 300 under the InnovFin EDP</w:t>
      </w:r>
      <w:r w:rsidR="00CE7544" w:rsidRPr="007F5B1E">
        <w:rPr>
          <w:rFonts w:ascii="Times New Roman" w:eastAsia="Times New Roman" w:hAnsi="Times New Roman"/>
          <w:noProof/>
          <w:sz w:val="24"/>
          <w:szCs w:val="24"/>
          <w:lang w:eastAsia="en-GB"/>
        </w:rPr>
        <w:t>, with the support amounting to some EUR 73 million</w:t>
      </w:r>
      <w:r w:rsidR="00587058" w:rsidRPr="007F5B1E">
        <w:rPr>
          <w:rFonts w:ascii="Times New Roman" w:eastAsia="Times New Roman" w:hAnsi="Times New Roman"/>
          <w:noProof/>
          <w:sz w:val="24"/>
          <w:szCs w:val="24"/>
          <w:lang w:eastAsia="en-GB"/>
        </w:rPr>
        <w:t xml:space="preserve"> (</w:t>
      </w:r>
      <w:r w:rsidR="00587058" w:rsidRPr="00516F65">
        <w:rPr>
          <w:rFonts w:ascii="Times New Roman" w:eastAsia="Times New Roman" w:hAnsi="Times New Roman"/>
          <w:noProof/>
          <w:sz w:val="24"/>
          <w:szCs w:val="24"/>
          <w:lang w:eastAsia="en-GB"/>
        </w:rPr>
        <w:t>see Appendix</w:t>
      </w:r>
      <w:r w:rsidR="007313F8" w:rsidRPr="00516F65">
        <w:rPr>
          <w:rFonts w:ascii="Times New Roman" w:eastAsia="Times New Roman" w:hAnsi="Times New Roman"/>
          <w:noProof/>
          <w:sz w:val="24"/>
          <w:szCs w:val="24"/>
          <w:lang w:eastAsia="en-GB"/>
        </w:rPr>
        <w:t xml:space="preserve"> </w:t>
      </w:r>
      <w:r w:rsidR="00626D3C">
        <w:rPr>
          <w:rFonts w:ascii="Times New Roman" w:eastAsia="Times New Roman" w:hAnsi="Times New Roman"/>
          <w:noProof/>
          <w:sz w:val="24"/>
          <w:szCs w:val="24"/>
          <w:lang w:eastAsia="en-GB"/>
        </w:rPr>
        <w:t>9</w:t>
      </w:r>
      <w:r w:rsidR="00587058" w:rsidRPr="00516F65">
        <w:rPr>
          <w:rFonts w:ascii="Times New Roman" w:eastAsia="Times New Roman" w:hAnsi="Times New Roman"/>
          <w:noProof/>
          <w:sz w:val="24"/>
          <w:szCs w:val="24"/>
          <w:lang w:eastAsia="en-GB"/>
        </w:rPr>
        <w:t xml:space="preserve"> to the Annex</w:t>
      </w:r>
      <w:r w:rsidRPr="00516F65">
        <w:rPr>
          <w:rFonts w:ascii="Times New Roman" w:eastAsia="Times New Roman" w:hAnsi="Times New Roman"/>
          <w:noProof/>
          <w:sz w:val="24"/>
          <w:szCs w:val="24"/>
          <w:lang w:eastAsia="en-GB"/>
        </w:rPr>
        <w:t>)</w:t>
      </w:r>
      <w:r w:rsidR="00564618" w:rsidRPr="00516F65">
        <w:rPr>
          <w:rFonts w:ascii="Times New Roman" w:eastAsia="Times New Roman" w:hAnsi="Times New Roman"/>
          <w:noProof/>
          <w:sz w:val="24"/>
          <w:szCs w:val="24"/>
          <w:lang w:eastAsia="en-GB"/>
        </w:rPr>
        <w:t>.</w:t>
      </w:r>
    </w:p>
    <w:p w14:paraId="17497F37" w14:textId="77777777" w:rsidR="005F6BD0" w:rsidRDefault="003A348D">
      <w:pPr>
        <w:jc w:val="both"/>
        <w:rPr>
          <w:b/>
          <w:noProof/>
        </w:rPr>
      </w:pPr>
      <w:r>
        <w:rPr>
          <w:rFonts w:ascii="Times New Roman" w:eastAsia="Times New Roman" w:hAnsi="Times New Roman"/>
          <w:noProof/>
          <w:sz w:val="24"/>
          <w:szCs w:val="24"/>
          <w:lang w:eastAsia="en-GB"/>
        </w:rPr>
        <w:t xml:space="preserve">The released funds from the cancelled projects of the second call (EUR </w:t>
      </w:r>
      <w:r w:rsidR="007B4315">
        <w:rPr>
          <w:rFonts w:ascii="Times New Roman" w:eastAsia="Times New Roman" w:hAnsi="Times New Roman"/>
          <w:noProof/>
          <w:sz w:val="24"/>
          <w:szCs w:val="24"/>
          <w:lang w:eastAsia="en-GB"/>
        </w:rPr>
        <w:t>735,5</w:t>
      </w:r>
      <w:r>
        <w:rPr>
          <w:rFonts w:ascii="Times New Roman" w:eastAsia="Times New Roman" w:hAnsi="Times New Roman"/>
          <w:noProof/>
          <w:sz w:val="24"/>
          <w:szCs w:val="24"/>
          <w:lang w:eastAsia="en-GB"/>
        </w:rPr>
        <w:t xml:space="preserve"> million so far) will be added to the resources avaible for the Innovation Fund</w:t>
      </w:r>
      <w:r w:rsidR="007B4315">
        <w:rPr>
          <w:rFonts w:ascii="Times New Roman" w:eastAsia="Times New Roman" w:hAnsi="Times New Roman"/>
          <w:noProof/>
          <w:sz w:val="24"/>
          <w:szCs w:val="24"/>
          <w:lang w:eastAsia="en-GB"/>
        </w:rPr>
        <w:t>.</w:t>
      </w:r>
      <w:r>
        <w:rPr>
          <w:rFonts w:ascii="Times New Roman" w:eastAsia="Times New Roman" w:hAnsi="Times New Roman"/>
          <w:noProof/>
          <w:sz w:val="24"/>
          <w:szCs w:val="24"/>
          <w:lang w:eastAsia="en-GB"/>
        </w:rPr>
        <w:t xml:space="preserve"> </w:t>
      </w:r>
    </w:p>
    <w:p w14:paraId="79A2132E" w14:textId="77777777" w:rsidR="005F6BD0" w:rsidRDefault="003A348D">
      <w:pPr>
        <w:spacing w:after="120"/>
        <w:ind w:right="57"/>
        <w:jc w:val="both"/>
        <w:rPr>
          <w:rFonts w:ascii="Times New Roman" w:eastAsia="Times New Roman" w:hAnsi="Times New Roman"/>
          <w:noProof/>
          <w:lang w:eastAsia="en-GB"/>
        </w:rPr>
      </w:pPr>
      <w:r w:rsidRPr="002802C4">
        <w:rPr>
          <w:rFonts w:ascii="Times New Roman" w:eastAsia="Times New Roman" w:hAnsi="Times New Roman"/>
          <w:b/>
          <w:noProof/>
          <w:lang w:eastAsia="en-GB"/>
        </w:rPr>
        <w:t>Table</w:t>
      </w:r>
      <w:r w:rsidR="009D4740" w:rsidRPr="002802C4">
        <w:rPr>
          <w:rFonts w:ascii="Times New Roman" w:eastAsia="Times New Roman" w:hAnsi="Times New Roman"/>
          <w:b/>
          <w:noProof/>
          <w:lang w:eastAsia="en-GB"/>
        </w:rPr>
        <w:t xml:space="preserve"> 3</w:t>
      </w:r>
      <w:r w:rsidRPr="002802C4">
        <w:rPr>
          <w:rFonts w:ascii="Times New Roman" w:eastAsia="Times New Roman" w:hAnsi="Times New Roman"/>
          <w:b/>
          <w:noProof/>
          <w:lang w:eastAsia="en-GB"/>
        </w:rPr>
        <w:t>:</w:t>
      </w:r>
      <w:r>
        <w:rPr>
          <w:rFonts w:ascii="Times New Roman" w:eastAsia="Times New Roman" w:hAnsi="Times New Roman"/>
          <w:b/>
          <w:noProof/>
          <w:lang w:eastAsia="en-GB"/>
        </w:rPr>
        <w:t xml:space="preserve"> NER 300 projects awarded under the first and second calls for proposals</w:t>
      </w:r>
      <w:r>
        <w:rPr>
          <w:rFonts w:ascii="Times New Roman" w:eastAsia="Times New Roman" w:hAnsi="Times New Roman"/>
          <w:b/>
          <w:noProof/>
          <w:vertAlign w:val="superscript"/>
          <w:lang w:eastAsia="en-GB"/>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rsidR="005F6BD0" w14:paraId="629A31D5" w14:textId="77777777">
        <w:trPr>
          <w:trHeight w:val="481"/>
          <w:jc w:val="center"/>
        </w:trPr>
        <w:tc>
          <w:tcPr>
            <w:tcW w:w="2918" w:type="dxa"/>
            <w:shd w:val="clear" w:color="auto" w:fill="auto"/>
            <w:vAlign w:val="center"/>
          </w:tcPr>
          <w:p w14:paraId="59C6C05F" w14:textId="77777777" w:rsidR="005F6BD0" w:rsidRDefault="005F6BD0">
            <w:pPr>
              <w:spacing w:after="0"/>
              <w:jc w:val="center"/>
              <w:rPr>
                <w:rFonts w:ascii="Times New Roman" w:hAnsi="Times New Roman"/>
                <w:noProof/>
                <w:sz w:val="20"/>
                <w:szCs w:val="20"/>
              </w:rPr>
            </w:pPr>
          </w:p>
        </w:tc>
        <w:tc>
          <w:tcPr>
            <w:tcW w:w="3081" w:type="dxa"/>
            <w:shd w:val="clear" w:color="auto" w:fill="auto"/>
            <w:vAlign w:val="center"/>
          </w:tcPr>
          <w:p w14:paraId="38CEF5AC"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1</w:t>
            </w:r>
            <w:r>
              <w:rPr>
                <w:rFonts w:ascii="Times New Roman" w:hAnsi="Times New Roman"/>
                <w:b/>
                <w:noProof/>
                <w:sz w:val="20"/>
                <w:szCs w:val="20"/>
                <w:vertAlign w:val="superscript"/>
              </w:rPr>
              <w:t>st</w:t>
            </w:r>
            <w:r>
              <w:rPr>
                <w:rFonts w:ascii="Times New Roman" w:hAnsi="Times New Roman"/>
                <w:b/>
                <w:noProof/>
                <w:sz w:val="20"/>
                <w:szCs w:val="20"/>
              </w:rPr>
              <w:t xml:space="preserve"> Call for proposals</w:t>
            </w:r>
          </w:p>
        </w:tc>
        <w:tc>
          <w:tcPr>
            <w:tcW w:w="3081" w:type="dxa"/>
            <w:vAlign w:val="center"/>
          </w:tcPr>
          <w:p w14:paraId="76B3964E"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2</w:t>
            </w:r>
            <w:r>
              <w:rPr>
                <w:rFonts w:ascii="Times New Roman" w:hAnsi="Times New Roman"/>
                <w:b/>
                <w:noProof/>
                <w:sz w:val="20"/>
                <w:szCs w:val="20"/>
                <w:vertAlign w:val="superscript"/>
              </w:rPr>
              <w:t>nd</w:t>
            </w:r>
            <w:r>
              <w:rPr>
                <w:rFonts w:ascii="Times New Roman" w:hAnsi="Times New Roman"/>
                <w:b/>
                <w:noProof/>
                <w:sz w:val="20"/>
                <w:szCs w:val="20"/>
              </w:rPr>
              <w:t xml:space="preserve"> Call for proposals</w:t>
            </w:r>
          </w:p>
        </w:tc>
      </w:tr>
      <w:tr w:rsidR="005F6BD0" w14:paraId="561F27E0" w14:textId="77777777">
        <w:trPr>
          <w:trHeight w:val="481"/>
          <w:jc w:val="center"/>
        </w:trPr>
        <w:tc>
          <w:tcPr>
            <w:tcW w:w="2918" w:type="dxa"/>
            <w:shd w:val="clear" w:color="auto" w:fill="auto"/>
            <w:vAlign w:val="center"/>
          </w:tcPr>
          <w:p w14:paraId="5076B030"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noProof/>
                <w:sz w:val="20"/>
                <w:szCs w:val="20"/>
              </w:rPr>
              <w:t>Projects in preparation</w:t>
            </w:r>
          </w:p>
        </w:tc>
        <w:tc>
          <w:tcPr>
            <w:tcW w:w="3081" w:type="dxa"/>
            <w:shd w:val="clear" w:color="auto" w:fill="auto"/>
            <w:vAlign w:val="center"/>
          </w:tcPr>
          <w:p w14:paraId="74520C48" w14:textId="77777777" w:rsidR="005F6BD0" w:rsidRDefault="00A729A2">
            <w:pPr>
              <w:spacing w:after="0"/>
              <w:jc w:val="center"/>
              <w:rPr>
                <w:rFonts w:ascii="Times New Roman" w:eastAsia="Times New Roman" w:hAnsi="Times New Roman"/>
                <w:noProof/>
                <w:sz w:val="20"/>
                <w:szCs w:val="20"/>
                <w:lang w:eastAsia="en-GB"/>
              </w:rPr>
            </w:pPr>
            <w:r>
              <w:rPr>
                <w:rFonts w:ascii="Times New Roman" w:hAnsi="Times New Roman"/>
                <w:noProof/>
                <w:sz w:val="20"/>
                <w:szCs w:val="20"/>
              </w:rPr>
              <w:t>6</w:t>
            </w:r>
          </w:p>
        </w:tc>
        <w:tc>
          <w:tcPr>
            <w:tcW w:w="3081" w:type="dxa"/>
            <w:vAlign w:val="center"/>
          </w:tcPr>
          <w:p w14:paraId="0AAE271D" w14:textId="77777777" w:rsidR="005F6BD0" w:rsidRDefault="00A729A2">
            <w:pPr>
              <w:spacing w:after="0"/>
              <w:jc w:val="center"/>
              <w:rPr>
                <w:rFonts w:ascii="Times New Roman" w:hAnsi="Times New Roman"/>
                <w:noProof/>
                <w:sz w:val="20"/>
                <w:szCs w:val="20"/>
              </w:rPr>
            </w:pPr>
            <w:r>
              <w:rPr>
                <w:rFonts w:ascii="Times New Roman" w:hAnsi="Times New Roman"/>
                <w:noProof/>
                <w:sz w:val="20"/>
                <w:szCs w:val="20"/>
              </w:rPr>
              <w:t>7</w:t>
            </w:r>
          </w:p>
        </w:tc>
      </w:tr>
      <w:tr w:rsidR="005F6BD0" w14:paraId="6DE87C9C" w14:textId="77777777">
        <w:trPr>
          <w:trHeight w:val="403"/>
          <w:jc w:val="center"/>
        </w:trPr>
        <w:tc>
          <w:tcPr>
            <w:tcW w:w="2918" w:type="dxa"/>
            <w:shd w:val="clear" w:color="auto" w:fill="auto"/>
            <w:vAlign w:val="center"/>
          </w:tcPr>
          <w:p w14:paraId="044999E4"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noProof/>
                <w:sz w:val="20"/>
                <w:szCs w:val="20"/>
              </w:rPr>
              <w:t>Projects in operation</w:t>
            </w:r>
          </w:p>
        </w:tc>
        <w:tc>
          <w:tcPr>
            <w:tcW w:w="3081" w:type="dxa"/>
            <w:shd w:val="clear" w:color="auto" w:fill="auto"/>
            <w:vAlign w:val="center"/>
          </w:tcPr>
          <w:p w14:paraId="16A16751" w14:textId="77777777" w:rsidR="005F6BD0" w:rsidRDefault="003A348D">
            <w:pPr>
              <w:spacing w:after="0"/>
              <w:jc w:val="center"/>
              <w:rPr>
                <w:rFonts w:ascii="Times New Roman" w:eastAsia="Times New Roman" w:hAnsi="Times New Roman"/>
                <w:noProof/>
                <w:sz w:val="20"/>
                <w:szCs w:val="20"/>
                <w:lang w:eastAsia="en-GB"/>
              </w:rPr>
            </w:pPr>
            <w:r>
              <w:rPr>
                <w:rFonts w:ascii="Times New Roman" w:hAnsi="Times New Roman"/>
                <w:noProof/>
                <w:sz w:val="20"/>
                <w:szCs w:val="20"/>
              </w:rPr>
              <w:t>6</w:t>
            </w:r>
          </w:p>
        </w:tc>
        <w:tc>
          <w:tcPr>
            <w:tcW w:w="3081" w:type="dxa"/>
            <w:vAlign w:val="center"/>
          </w:tcPr>
          <w:p w14:paraId="49055DB3" w14:textId="77777777" w:rsidR="005F6BD0" w:rsidRDefault="00A729A2">
            <w:pPr>
              <w:spacing w:after="0"/>
              <w:jc w:val="center"/>
              <w:rPr>
                <w:rFonts w:ascii="Times New Roman" w:hAnsi="Times New Roman"/>
                <w:noProof/>
                <w:sz w:val="20"/>
                <w:szCs w:val="20"/>
              </w:rPr>
            </w:pPr>
            <w:r>
              <w:rPr>
                <w:rFonts w:ascii="Times New Roman" w:hAnsi="Times New Roman"/>
                <w:noProof/>
                <w:sz w:val="20"/>
                <w:szCs w:val="20"/>
              </w:rPr>
              <w:t>1</w:t>
            </w:r>
          </w:p>
        </w:tc>
      </w:tr>
      <w:tr w:rsidR="005F6BD0" w14:paraId="31D49227" w14:textId="77777777">
        <w:trPr>
          <w:trHeight w:val="422"/>
          <w:jc w:val="center"/>
        </w:trPr>
        <w:tc>
          <w:tcPr>
            <w:tcW w:w="2918" w:type="dxa"/>
            <w:shd w:val="clear" w:color="auto" w:fill="auto"/>
            <w:vAlign w:val="center"/>
          </w:tcPr>
          <w:p w14:paraId="0B014BAF"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noProof/>
                <w:sz w:val="20"/>
                <w:szCs w:val="20"/>
              </w:rPr>
              <w:t>Projects withdrawn</w:t>
            </w:r>
          </w:p>
        </w:tc>
        <w:tc>
          <w:tcPr>
            <w:tcW w:w="3081" w:type="dxa"/>
            <w:shd w:val="clear" w:color="auto" w:fill="auto"/>
            <w:vAlign w:val="center"/>
          </w:tcPr>
          <w:p w14:paraId="4BC13856" w14:textId="77777777" w:rsidR="005F6BD0" w:rsidRDefault="00A729A2">
            <w:pPr>
              <w:spacing w:after="0"/>
              <w:jc w:val="center"/>
              <w:rPr>
                <w:rFonts w:ascii="Times New Roman" w:eastAsia="Times New Roman" w:hAnsi="Times New Roman"/>
                <w:noProof/>
                <w:sz w:val="20"/>
                <w:szCs w:val="20"/>
                <w:lang w:eastAsia="en-GB"/>
              </w:rPr>
            </w:pPr>
            <w:r>
              <w:rPr>
                <w:rFonts w:ascii="Times New Roman" w:hAnsi="Times New Roman"/>
                <w:noProof/>
                <w:sz w:val="20"/>
                <w:szCs w:val="20"/>
              </w:rPr>
              <w:t>8</w:t>
            </w:r>
          </w:p>
        </w:tc>
        <w:tc>
          <w:tcPr>
            <w:tcW w:w="3081" w:type="dxa"/>
            <w:vAlign w:val="center"/>
          </w:tcPr>
          <w:p w14:paraId="4E9B2B2F" w14:textId="77777777" w:rsidR="005F6BD0" w:rsidRDefault="00A729A2">
            <w:pPr>
              <w:spacing w:after="0"/>
              <w:jc w:val="center"/>
              <w:rPr>
                <w:rFonts w:ascii="Times New Roman" w:hAnsi="Times New Roman"/>
                <w:noProof/>
                <w:sz w:val="20"/>
                <w:szCs w:val="20"/>
              </w:rPr>
            </w:pPr>
            <w:r>
              <w:rPr>
                <w:rFonts w:ascii="Times New Roman" w:hAnsi="Times New Roman"/>
                <w:noProof/>
                <w:sz w:val="20"/>
                <w:szCs w:val="20"/>
              </w:rPr>
              <w:t>11</w:t>
            </w:r>
          </w:p>
        </w:tc>
      </w:tr>
      <w:tr w:rsidR="005F6BD0" w14:paraId="1D86FED9" w14:textId="77777777">
        <w:trPr>
          <w:trHeight w:val="415"/>
          <w:jc w:val="center"/>
        </w:trPr>
        <w:tc>
          <w:tcPr>
            <w:tcW w:w="2918" w:type="dxa"/>
            <w:shd w:val="clear" w:color="auto" w:fill="auto"/>
            <w:vAlign w:val="center"/>
          </w:tcPr>
          <w:p w14:paraId="42F7A11C" w14:textId="77777777" w:rsidR="005F6BD0" w:rsidRDefault="003A348D">
            <w:pPr>
              <w:spacing w:after="0"/>
              <w:jc w:val="center"/>
              <w:rPr>
                <w:rFonts w:ascii="Times New Roman" w:eastAsia="Times New Roman" w:hAnsi="Times New Roman"/>
                <w:b/>
                <w:noProof/>
                <w:sz w:val="20"/>
                <w:szCs w:val="20"/>
                <w:lang w:eastAsia="en-GB"/>
              </w:rPr>
            </w:pPr>
            <w:r>
              <w:rPr>
                <w:rFonts w:ascii="Times New Roman" w:hAnsi="Times New Roman"/>
                <w:b/>
                <w:i/>
                <w:iCs/>
                <w:noProof/>
                <w:sz w:val="20"/>
                <w:szCs w:val="20"/>
              </w:rPr>
              <w:t>Total</w:t>
            </w:r>
          </w:p>
        </w:tc>
        <w:tc>
          <w:tcPr>
            <w:tcW w:w="3081" w:type="dxa"/>
            <w:shd w:val="clear" w:color="auto" w:fill="auto"/>
            <w:vAlign w:val="center"/>
          </w:tcPr>
          <w:p w14:paraId="30EC78D4" w14:textId="77777777" w:rsidR="005F6BD0" w:rsidRDefault="003A348D">
            <w:pPr>
              <w:spacing w:after="0"/>
              <w:jc w:val="center"/>
              <w:rPr>
                <w:rFonts w:ascii="Times New Roman" w:eastAsia="Times New Roman" w:hAnsi="Times New Roman"/>
                <w:noProof/>
                <w:sz w:val="20"/>
                <w:szCs w:val="20"/>
                <w:lang w:eastAsia="en-GB"/>
              </w:rPr>
            </w:pPr>
            <w:r>
              <w:rPr>
                <w:rFonts w:ascii="Times New Roman" w:hAnsi="Times New Roman"/>
                <w:i/>
                <w:iCs/>
                <w:noProof/>
                <w:sz w:val="20"/>
                <w:szCs w:val="20"/>
              </w:rPr>
              <w:t>20</w:t>
            </w:r>
          </w:p>
        </w:tc>
        <w:tc>
          <w:tcPr>
            <w:tcW w:w="3081" w:type="dxa"/>
            <w:vAlign w:val="center"/>
          </w:tcPr>
          <w:p w14:paraId="7AE425B1" w14:textId="77777777" w:rsidR="005F6BD0" w:rsidRDefault="003A348D">
            <w:pPr>
              <w:spacing w:after="0"/>
              <w:jc w:val="center"/>
              <w:rPr>
                <w:rFonts w:ascii="Times New Roman" w:hAnsi="Times New Roman"/>
                <w:i/>
                <w:iCs/>
                <w:noProof/>
                <w:sz w:val="20"/>
                <w:szCs w:val="20"/>
              </w:rPr>
            </w:pPr>
            <w:r>
              <w:rPr>
                <w:rFonts w:ascii="Times New Roman" w:hAnsi="Times New Roman"/>
                <w:i/>
                <w:iCs/>
                <w:noProof/>
                <w:sz w:val="20"/>
                <w:szCs w:val="20"/>
              </w:rPr>
              <w:t>19</w:t>
            </w:r>
          </w:p>
        </w:tc>
      </w:tr>
    </w:tbl>
    <w:p w14:paraId="5EEB94EF" w14:textId="77777777" w:rsidR="005F6BD0" w:rsidRDefault="007748C6">
      <w:pPr>
        <w:pStyle w:val="a3520normalp11"/>
        <w:spacing w:line="276" w:lineRule="auto"/>
        <w:rPr>
          <w:noProof/>
          <w:sz w:val="22"/>
          <w:szCs w:val="22"/>
        </w:rPr>
      </w:pPr>
      <w:r>
        <w:rPr>
          <w:noProof/>
          <w:sz w:val="22"/>
          <w:szCs w:val="22"/>
        </w:rPr>
        <w:t xml:space="preserve"> </w:t>
      </w:r>
    </w:p>
    <w:p w14:paraId="0EBD8751" w14:textId="77777777" w:rsidR="000847E3" w:rsidRDefault="00B0756E" w:rsidP="00450852">
      <w:pPr>
        <w:jc w:val="both"/>
        <w:rPr>
          <w:rFonts w:ascii="Times New Roman" w:hAnsi="Times New Roman"/>
          <w:noProof/>
          <w:sz w:val="24"/>
          <w:szCs w:val="24"/>
        </w:rPr>
      </w:pPr>
      <w:r w:rsidRPr="00516F65">
        <w:rPr>
          <w:rFonts w:ascii="Times New Roman" w:hAnsi="Times New Roman"/>
          <w:noProof/>
          <w:sz w:val="24"/>
          <w:szCs w:val="24"/>
        </w:rPr>
        <w:t>In phase 4, the total value of resources available for</w:t>
      </w:r>
      <w:r w:rsidR="00487626" w:rsidRPr="00516F65">
        <w:rPr>
          <w:rFonts w:ascii="Times New Roman" w:hAnsi="Times New Roman"/>
          <w:noProof/>
          <w:sz w:val="24"/>
          <w:szCs w:val="24"/>
        </w:rPr>
        <w:t xml:space="preserve"> </w:t>
      </w:r>
      <w:r w:rsidRPr="00516F65">
        <w:rPr>
          <w:rFonts w:ascii="Times New Roman" w:hAnsi="Times New Roman"/>
          <w:noProof/>
          <w:sz w:val="24"/>
          <w:szCs w:val="24"/>
        </w:rPr>
        <w:t xml:space="preserve">the demonstration of innovative technologies and breakthrough innovation </w:t>
      </w:r>
      <w:r w:rsidR="000847E3" w:rsidRPr="00516F65">
        <w:rPr>
          <w:rFonts w:ascii="Times New Roman" w:hAnsi="Times New Roman"/>
          <w:noProof/>
          <w:sz w:val="24"/>
          <w:szCs w:val="24"/>
        </w:rPr>
        <w:t>under the Innovation F</w:t>
      </w:r>
      <w:r w:rsidRPr="00516F65">
        <w:rPr>
          <w:rFonts w:ascii="Times New Roman" w:hAnsi="Times New Roman"/>
          <w:noProof/>
          <w:sz w:val="24"/>
          <w:szCs w:val="24"/>
        </w:rPr>
        <w:t xml:space="preserve">und </w:t>
      </w:r>
      <w:r w:rsidR="00A85CA7" w:rsidRPr="00516F65">
        <w:rPr>
          <w:rFonts w:ascii="Times New Roman" w:hAnsi="Times New Roman"/>
          <w:noProof/>
          <w:sz w:val="24"/>
          <w:szCs w:val="24"/>
        </w:rPr>
        <w:t>are likely to significantly exceed the EUR 2.1 billion for the NER300</w:t>
      </w:r>
      <w:r w:rsidR="00A85CA7" w:rsidRPr="004724FA">
        <w:rPr>
          <w:rStyle w:val="FootnoteReference"/>
          <w:rFonts w:ascii="Times New Roman" w:hAnsi="Times New Roman"/>
          <w:noProof/>
          <w:sz w:val="24"/>
          <w:szCs w:val="24"/>
        </w:rPr>
        <w:footnoteReference w:id="27"/>
      </w:r>
      <w:r w:rsidR="00A85CA7" w:rsidRPr="004724FA">
        <w:rPr>
          <w:rFonts w:ascii="Times New Roman" w:hAnsi="Times New Roman"/>
          <w:noProof/>
          <w:sz w:val="24"/>
          <w:szCs w:val="24"/>
        </w:rPr>
        <w:t xml:space="preserve">. </w:t>
      </w:r>
      <w:r w:rsidR="000847E3" w:rsidRPr="004724FA">
        <w:rPr>
          <w:rFonts w:ascii="Times New Roman" w:hAnsi="Times New Roman"/>
          <w:noProof/>
          <w:sz w:val="24"/>
          <w:szCs w:val="24"/>
        </w:rPr>
        <w:t xml:space="preserve">In February 2019, the </w:t>
      </w:r>
      <w:r w:rsidR="00450852" w:rsidRPr="004724FA">
        <w:rPr>
          <w:rFonts w:ascii="Times New Roman" w:hAnsi="Times New Roman"/>
          <w:noProof/>
          <w:sz w:val="24"/>
          <w:szCs w:val="24"/>
        </w:rPr>
        <w:t>Delegated Re</w:t>
      </w:r>
      <w:r w:rsidR="00487626" w:rsidRPr="004724FA">
        <w:rPr>
          <w:rFonts w:ascii="Times New Roman" w:hAnsi="Times New Roman"/>
          <w:noProof/>
          <w:sz w:val="24"/>
          <w:szCs w:val="24"/>
        </w:rPr>
        <w:t>gulation</w:t>
      </w:r>
      <w:r w:rsidR="000847E3" w:rsidRPr="004724FA">
        <w:rPr>
          <w:rStyle w:val="FootnoteReference"/>
          <w:rFonts w:ascii="Times New Roman" w:hAnsi="Times New Roman"/>
          <w:noProof/>
          <w:sz w:val="24"/>
          <w:szCs w:val="24"/>
        </w:rPr>
        <w:footnoteReference w:id="28"/>
      </w:r>
      <w:r w:rsidR="00487626" w:rsidRPr="004724FA">
        <w:rPr>
          <w:rFonts w:ascii="Times New Roman" w:hAnsi="Times New Roman"/>
          <w:noProof/>
          <w:sz w:val="24"/>
          <w:szCs w:val="24"/>
        </w:rPr>
        <w:t xml:space="preserve"> on the</w:t>
      </w:r>
      <w:r w:rsidR="00487626" w:rsidRPr="0081096C">
        <w:rPr>
          <w:rFonts w:ascii="Times New Roman" w:hAnsi="Times New Roman"/>
          <w:noProof/>
          <w:sz w:val="24"/>
          <w:szCs w:val="24"/>
        </w:rPr>
        <w:t xml:space="preserve"> operation of the Innovation Fund</w:t>
      </w:r>
      <w:r w:rsidR="000847E3">
        <w:rPr>
          <w:rFonts w:ascii="Times New Roman" w:hAnsi="Times New Roman"/>
          <w:noProof/>
          <w:sz w:val="24"/>
          <w:szCs w:val="24"/>
        </w:rPr>
        <w:t xml:space="preserve"> was adopted</w:t>
      </w:r>
      <w:r w:rsidR="00487626" w:rsidRPr="0081096C">
        <w:rPr>
          <w:rFonts w:ascii="Times New Roman" w:hAnsi="Times New Roman"/>
          <w:noProof/>
          <w:sz w:val="24"/>
          <w:szCs w:val="24"/>
        </w:rPr>
        <w:t xml:space="preserve">. </w:t>
      </w:r>
      <w:r w:rsidR="000847E3" w:rsidRPr="000847E3">
        <w:rPr>
          <w:rFonts w:ascii="Times New Roman" w:hAnsi="Times New Roman"/>
          <w:noProof/>
          <w:sz w:val="24"/>
          <w:szCs w:val="24"/>
        </w:rPr>
        <w:t xml:space="preserve">Projects in all Member States, including small scale projects, will be eligible for support from the fund. </w:t>
      </w:r>
    </w:p>
    <w:p w14:paraId="17FCF6E2" w14:textId="77777777" w:rsidR="00450852" w:rsidRDefault="00487626" w:rsidP="00450852">
      <w:pPr>
        <w:jc w:val="both"/>
        <w:rPr>
          <w:noProof/>
        </w:rPr>
      </w:pPr>
      <w:r w:rsidRPr="0081096C">
        <w:rPr>
          <w:rFonts w:ascii="Times New Roman" w:hAnsi="Times New Roman"/>
          <w:noProof/>
          <w:sz w:val="24"/>
          <w:szCs w:val="24"/>
        </w:rPr>
        <w:t>To raise awareness</w:t>
      </w:r>
      <w:r>
        <w:rPr>
          <w:rFonts w:ascii="Times New Roman" w:hAnsi="Times New Roman"/>
          <w:noProof/>
          <w:sz w:val="24"/>
          <w:szCs w:val="24"/>
        </w:rPr>
        <w:t xml:space="preserve"> about the Innovation Fund</w:t>
      </w:r>
      <w:r w:rsidRPr="0081096C">
        <w:rPr>
          <w:rFonts w:ascii="Times New Roman" w:hAnsi="Times New Roman"/>
          <w:noProof/>
          <w:sz w:val="24"/>
          <w:szCs w:val="24"/>
        </w:rPr>
        <w:t xml:space="preserve">, </w:t>
      </w:r>
      <w:r w:rsidR="00A01F53">
        <w:rPr>
          <w:rFonts w:ascii="Times New Roman" w:hAnsi="Times New Roman"/>
          <w:noProof/>
          <w:sz w:val="24"/>
          <w:szCs w:val="24"/>
        </w:rPr>
        <w:t xml:space="preserve">in </w:t>
      </w:r>
      <w:r w:rsidR="000847E3" w:rsidRPr="000847E3">
        <w:rPr>
          <w:rFonts w:ascii="Times New Roman" w:hAnsi="Times New Roman"/>
          <w:noProof/>
          <w:sz w:val="24"/>
          <w:szCs w:val="24"/>
        </w:rPr>
        <w:t xml:space="preserve">2019 and the first half of 2020 </w:t>
      </w:r>
      <w:r w:rsidRPr="0081096C">
        <w:rPr>
          <w:rFonts w:ascii="Times New Roman" w:hAnsi="Times New Roman"/>
          <w:noProof/>
          <w:sz w:val="24"/>
          <w:szCs w:val="24"/>
        </w:rPr>
        <w:t xml:space="preserve">the Commission is </w:t>
      </w:r>
      <w:r>
        <w:rPr>
          <w:rFonts w:ascii="Times New Roman" w:hAnsi="Times New Roman"/>
          <w:noProof/>
          <w:sz w:val="24"/>
          <w:szCs w:val="24"/>
        </w:rPr>
        <w:t xml:space="preserve">actively </w:t>
      </w:r>
      <w:r w:rsidR="00474859">
        <w:rPr>
          <w:rFonts w:ascii="Times New Roman" w:hAnsi="Times New Roman"/>
          <w:noProof/>
          <w:sz w:val="24"/>
          <w:szCs w:val="24"/>
        </w:rPr>
        <w:t>engaging</w:t>
      </w:r>
      <w:r w:rsidRPr="0081096C">
        <w:rPr>
          <w:rFonts w:ascii="Times New Roman" w:hAnsi="Times New Roman"/>
          <w:noProof/>
          <w:sz w:val="24"/>
          <w:szCs w:val="24"/>
        </w:rPr>
        <w:t xml:space="preserve"> in outreach a</w:t>
      </w:r>
      <w:r w:rsidR="00474859">
        <w:rPr>
          <w:rFonts w:ascii="Times New Roman" w:hAnsi="Times New Roman"/>
          <w:noProof/>
          <w:sz w:val="24"/>
          <w:szCs w:val="24"/>
        </w:rPr>
        <w:t>ctivities with industry and</w:t>
      </w:r>
      <w:r w:rsidRPr="0081096C">
        <w:rPr>
          <w:rFonts w:ascii="Times New Roman" w:hAnsi="Times New Roman"/>
          <w:noProof/>
          <w:sz w:val="24"/>
          <w:szCs w:val="24"/>
        </w:rPr>
        <w:t xml:space="preserve"> Member States</w:t>
      </w:r>
      <w:r>
        <w:rPr>
          <w:rFonts w:ascii="Times New Roman" w:hAnsi="Times New Roman"/>
          <w:noProof/>
          <w:sz w:val="24"/>
          <w:szCs w:val="24"/>
        </w:rPr>
        <w:t xml:space="preserve"> to discuss the key issues for each sector related to the selection implementation of  projects</w:t>
      </w:r>
      <w:r w:rsidRPr="0081096C">
        <w:rPr>
          <w:rFonts w:ascii="Times New Roman" w:hAnsi="Times New Roman"/>
          <w:noProof/>
          <w:sz w:val="24"/>
          <w:szCs w:val="24"/>
        </w:rPr>
        <w:t>.</w:t>
      </w:r>
      <w:r w:rsidRPr="007B2F9E">
        <w:rPr>
          <w:rFonts w:ascii="Times New Roman" w:hAnsi="Times New Roman"/>
          <w:noProof/>
          <w:sz w:val="24"/>
          <w:szCs w:val="24"/>
        </w:rPr>
        <w:t xml:space="preserve"> The first call for proposals</w:t>
      </w:r>
      <w:r w:rsidR="00474859">
        <w:rPr>
          <w:rFonts w:ascii="Times New Roman" w:hAnsi="Times New Roman"/>
          <w:noProof/>
          <w:sz w:val="24"/>
          <w:szCs w:val="24"/>
        </w:rPr>
        <w:t xml:space="preserve"> under the Innovation Fund is planned for</w:t>
      </w:r>
      <w:r w:rsidRPr="007B2F9E">
        <w:rPr>
          <w:rFonts w:ascii="Times New Roman" w:hAnsi="Times New Roman"/>
          <w:noProof/>
          <w:sz w:val="24"/>
          <w:szCs w:val="24"/>
        </w:rPr>
        <w:t xml:space="preserve"> 2020, followed by regular calls until 2030</w:t>
      </w:r>
      <w:r w:rsidRPr="007B2F9E">
        <w:rPr>
          <w:noProof/>
        </w:rPr>
        <w:t>.</w:t>
      </w:r>
    </w:p>
    <w:p w14:paraId="5E980861" w14:textId="77777777" w:rsidR="007748C6" w:rsidRDefault="007748C6" w:rsidP="00450852">
      <w:pPr>
        <w:jc w:val="both"/>
        <w:rPr>
          <w:noProof/>
        </w:rPr>
      </w:pPr>
    </w:p>
    <w:p w14:paraId="098647A2" w14:textId="77777777" w:rsidR="007748C6" w:rsidRDefault="007748C6" w:rsidP="00450852">
      <w:pPr>
        <w:jc w:val="both"/>
        <w:rPr>
          <w:noProof/>
        </w:rPr>
      </w:pPr>
    </w:p>
    <w:p w14:paraId="7F76D5E2" w14:textId="77777777" w:rsidR="007748C6" w:rsidRDefault="007748C6" w:rsidP="00450852">
      <w:pPr>
        <w:jc w:val="both"/>
        <w:rPr>
          <w:noProof/>
        </w:rPr>
      </w:pPr>
    </w:p>
    <w:p w14:paraId="0CF83C9C" w14:textId="77777777" w:rsidR="007748C6" w:rsidRDefault="007748C6" w:rsidP="00450852">
      <w:pPr>
        <w:jc w:val="both"/>
        <w:rPr>
          <w:noProof/>
        </w:rPr>
      </w:pPr>
    </w:p>
    <w:p w14:paraId="2A39E9BD" w14:textId="77777777" w:rsidR="007748C6" w:rsidRDefault="007748C6" w:rsidP="00450852">
      <w:pPr>
        <w:jc w:val="both"/>
        <w:rPr>
          <w:noProof/>
        </w:rPr>
      </w:pPr>
    </w:p>
    <w:p w14:paraId="0AC8D2ED" w14:textId="77777777" w:rsidR="007748C6" w:rsidRDefault="007748C6" w:rsidP="00450852">
      <w:pPr>
        <w:jc w:val="both"/>
        <w:rPr>
          <w:noProof/>
        </w:rPr>
      </w:pPr>
    </w:p>
    <w:p w14:paraId="55508AB7" w14:textId="77777777" w:rsidR="007748C6" w:rsidRDefault="007748C6" w:rsidP="00450852">
      <w:pPr>
        <w:jc w:val="both"/>
        <w:rPr>
          <w:noProof/>
        </w:rPr>
      </w:pPr>
    </w:p>
    <w:p w14:paraId="0DE6664D" w14:textId="77777777" w:rsidR="007748C6" w:rsidRDefault="007748C6" w:rsidP="00450852">
      <w:pPr>
        <w:jc w:val="both"/>
        <w:rPr>
          <w:noProof/>
        </w:rPr>
      </w:pPr>
    </w:p>
    <w:p w14:paraId="5AEF46F4" w14:textId="77777777" w:rsidR="007748C6" w:rsidRDefault="007748C6" w:rsidP="00450852">
      <w:pPr>
        <w:jc w:val="both"/>
        <w:rPr>
          <w:rFonts w:ascii="Times New Roman" w:hAnsi="Times New Roman"/>
          <w:noProof/>
          <w:sz w:val="24"/>
          <w:szCs w:val="24"/>
        </w:rPr>
      </w:pPr>
    </w:p>
    <w:p w14:paraId="2881D436" w14:textId="77777777" w:rsidR="005F6BD0" w:rsidRDefault="00A52F4C">
      <w:pPr>
        <w:pStyle w:val="Heading4"/>
        <w:spacing w:before="0" w:after="200"/>
        <w:ind w:left="1080"/>
        <w:rPr>
          <w:noProof/>
          <w:highlight w:val="yellow"/>
        </w:rPr>
      </w:pPr>
      <w:bookmarkStart w:id="32" w:name="_Toc490850428"/>
      <w:bookmarkStart w:id="33" w:name="_Toc20217732"/>
      <w:r>
        <w:rPr>
          <w:noProof/>
        </w:rPr>
        <w:t>3</w:t>
      </w:r>
      <w:r w:rsidR="003A348D">
        <w:rPr>
          <w:noProof/>
        </w:rPr>
        <w:t>.1.2.</w:t>
      </w:r>
      <w:r w:rsidR="00235970">
        <w:rPr>
          <w:noProof/>
        </w:rPr>
        <w:t xml:space="preserve">3. </w:t>
      </w:r>
      <w:r w:rsidR="003A348D">
        <w:rPr>
          <w:noProof/>
        </w:rPr>
        <w:t>Compensation of indirect carbon costs</w:t>
      </w:r>
      <w:bookmarkEnd w:id="32"/>
      <w:bookmarkEnd w:id="33"/>
    </w:p>
    <w:p w14:paraId="17B6DFBB" w14:textId="77777777" w:rsidR="00E07823" w:rsidRDefault="00E07823" w:rsidP="00E07823">
      <w:pPr>
        <w:spacing w:after="0"/>
        <w:rPr>
          <w:rFonts w:asciiTheme="minorHAnsi" w:hAnsiTheme="minorHAnsi"/>
          <w:b/>
          <w:bCs/>
          <w:sz w:val="24"/>
          <w:szCs w:val="24"/>
        </w:rPr>
      </w:pPr>
      <w:bookmarkStart w:id="34" w:name="_Toc463015542"/>
      <w:bookmarkStart w:id="35" w:name="_Toc490850429"/>
    </w:p>
    <w:p w14:paraId="5DB1C0AE" w14:textId="77777777" w:rsidR="00E07823" w:rsidRDefault="00E07823" w:rsidP="00E07823">
      <w:pPr>
        <w:spacing w:after="0"/>
        <w:rPr>
          <w:rFonts w:asciiTheme="minorHAnsi" w:hAnsiTheme="minorHAnsi"/>
          <w:b/>
          <w:bCs/>
          <w:sz w:val="24"/>
          <w:szCs w:val="24"/>
        </w:rPr>
      </w:pPr>
      <w:r>
        <w:rPr>
          <w:rFonts w:ascii="Times New Roman" w:hAnsi="Times New Roman"/>
          <w:noProof/>
          <w:sz w:val="24"/>
          <w:szCs w:val="24"/>
          <w:lang w:eastAsia="en-GB"/>
        </w:rPr>
        <mc:AlternateContent>
          <mc:Choice Requires="wps">
            <w:drawing>
              <wp:inline distT="0" distB="0" distL="0" distR="0" wp14:anchorId="317F329C" wp14:editId="77C567F4">
                <wp:extent cx="5720486" cy="4114800"/>
                <wp:effectExtent l="0" t="0" r="1397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4114800"/>
                        </a:xfrm>
                        <a:prstGeom prst="rect">
                          <a:avLst/>
                        </a:prstGeom>
                        <a:solidFill>
                          <a:sysClr val="window" lastClr="FFFFFF">
                            <a:lumMod val="85000"/>
                          </a:sysClr>
                        </a:solidFill>
                        <a:ln w="12700">
                          <a:solidFill>
                            <a:srgbClr val="000000"/>
                          </a:solidFill>
                          <a:miter lim="800000"/>
                          <a:headEnd/>
                          <a:tailEnd/>
                        </a:ln>
                      </wps:spPr>
                      <wps:txbx>
                        <w:txbxContent>
                          <w:p w14:paraId="09987BE3" w14:textId="77777777" w:rsidR="00516F65" w:rsidRPr="00F85215" w:rsidRDefault="00516F65" w:rsidP="00E07823">
                            <w:pPr>
                              <w:jc w:val="both"/>
                              <w:rPr>
                                <w:rFonts w:ascii="Times New Roman" w:hAnsi="Times New Roman"/>
                                <w:sz w:val="24"/>
                                <w:szCs w:val="24"/>
                              </w:rPr>
                            </w:pPr>
                            <w:r w:rsidRPr="00F85215">
                              <w:rPr>
                                <w:rFonts w:ascii="Times New Roman" w:hAnsi="Times New Roman"/>
                                <w:sz w:val="24"/>
                                <w:szCs w:val="24"/>
                              </w:rPr>
                              <w:t xml:space="preserve">In addition to free allocation to cover direct carbon costs, EU Member States may grant </w:t>
                            </w:r>
                            <w:r>
                              <w:rPr>
                                <w:rFonts w:ascii="Times New Roman" w:hAnsi="Times New Roman"/>
                                <w:sz w:val="24"/>
                                <w:szCs w:val="24"/>
                              </w:rPr>
                              <w:t>S</w:t>
                            </w:r>
                            <w:r w:rsidRPr="00F85215">
                              <w:rPr>
                                <w:rFonts w:ascii="Times New Roman" w:hAnsi="Times New Roman"/>
                                <w:sz w:val="24"/>
                                <w:szCs w:val="24"/>
                              </w:rPr>
                              <w:t xml:space="preserve">tate aid to compensate some electro-intensive industries for indirect carbon costs, i.e. costs resulting from increased electricity prices due to </w:t>
                            </w:r>
                            <w:r w:rsidR="008E46B6">
                              <w:rPr>
                                <w:rFonts w:ascii="Times New Roman" w:hAnsi="Times New Roman"/>
                                <w:sz w:val="24"/>
                                <w:szCs w:val="24"/>
                              </w:rPr>
                              <w:t>electricity</w:t>
                            </w:r>
                            <w:r w:rsidRPr="00F85215">
                              <w:rPr>
                                <w:rFonts w:ascii="Times New Roman" w:hAnsi="Times New Roman"/>
                                <w:sz w:val="24"/>
                                <w:szCs w:val="24"/>
                              </w:rPr>
                              <w:t xml:space="preserve"> generators passing on the costs of </w:t>
                            </w:r>
                            <w:r>
                              <w:rPr>
                                <w:rFonts w:ascii="Times New Roman" w:hAnsi="Times New Roman"/>
                                <w:sz w:val="24"/>
                                <w:szCs w:val="24"/>
                              </w:rPr>
                              <w:t xml:space="preserve">purchasing </w:t>
                            </w:r>
                            <w:r w:rsidRPr="00F85215">
                              <w:rPr>
                                <w:rFonts w:ascii="Times New Roman" w:hAnsi="Times New Roman"/>
                                <w:sz w:val="24"/>
                                <w:szCs w:val="24"/>
                              </w:rPr>
                              <w:t xml:space="preserve">allowances to consumers. </w:t>
                            </w:r>
                          </w:p>
                          <w:p w14:paraId="39D56837" w14:textId="77777777" w:rsidR="00516F65" w:rsidRDefault="00516F65" w:rsidP="00E07823">
                            <w:pPr>
                              <w:jc w:val="both"/>
                              <w:rPr>
                                <w:rFonts w:ascii="Times New Roman" w:hAnsi="Times New Roman"/>
                                <w:sz w:val="24"/>
                                <w:szCs w:val="24"/>
                              </w:rPr>
                            </w:pPr>
                            <w:r w:rsidRPr="00F85215">
                              <w:rPr>
                                <w:rFonts w:ascii="Times New Roman" w:hAnsi="Times New Roman"/>
                                <w:sz w:val="24"/>
                                <w:szCs w:val="24"/>
                              </w:rPr>
                              <w:t xml:space="preserve">To ensure harmonized application of indirect carbon cost compensation across Member States and minimize competition distortions in the internal market, the Commission has adopted the EU ETS State Aid Guidelines*, which are valid until end of 2020. </w:t>
                            </w:r>
                            <w:r w:rsidRPr="000D3687">
                              <w:rPr>
                                <w:rFonts w:ascii="Times New Roman" w:hAnsi="Times New Roman"/>
                                <w:sz w:val="24"/>
                                <w:szCs w:val="24"/>
                              </w:rPr>
                              <w:t>The Guidelines determine, inter alia, eligible sectors and maximum amounts for compensation of indirect carbon costs.</w:t>
                            </w:r>
                            <w:r>
                              <w:rPr>
                                <w:rFonts w:ascii="Times New Roman" w:hAnsi="Times New Roman"/>
                                <w:sz w:val="24"/>
                                <w:szCs w:val="24"/>
                              </w:rPr>
                              <w:t xml:space="preserve"> </w:t>
                            </w:r>
                          </w:p>
                          <w:p w14:paraId="4B0BDB06" w14:textId="77777777" w:rsidR="00516F65" w:rsidRPr="00717647" w:rsidRDefault="00516F65" w:rsidP="00E07823">
                            <w:pPr>
                              <w:jc w:val="both"/>
                              <w:rPr>
                                <w:rFonts w:ascii="Times New Roman" w:hAnsi="Times New Roman"/>
                                <w:sz w:val="24"/>
                                <w:szCs w:val="24"/>
                              </w:rPr>
                            </w:pPr>
                            <w:r w:rsidRPr="00F85215">
                              <w:rPr>
                                <w:rFonts w:ascii="Times New Roman" w:hAnsi="Times New Roman"/>
                                <w:sz w:val="24"/>
                                <w:szCs w:val="24"/>
                              </w:rPr>
                              <w:t>The revised ETS Directive allows Member States to continue providing indirect carbon cost compensation in phase 4, and complements it with enhanced transparency and reporting provision</w:t>
                            </w:r>
                            <w:r>
                              <w:rPr>
                                <w:rFonts w:ascii="Times New Roman" w:hAnsi="Times New Roman"/>
                                <w:sz w:val="24"/>
                                <w:szCs w:val="24"/>
                              </w:rPr>
                              <w:t>s.</w:t>
                            </w:r>
                            <w:r w:rsidRPr="00F85215">
                              <w:rPr>
                                <w:rFonts w:ascii="Times New Roman" w:hAnsi="Times New Roman"/>
                                <w:sz w:val="24"/>
                                <w:szCs w:val="24"/>
                              </w:rPr>
                              <w:t xml:space="preserve"> </w:t>
                            </w:r>
                            <w:r w:rsidRPr="00640C7A">
                              <w:rPr>
                                <w:rFonts w:ascii="Times New Roman" w:hAnsi="Times New Roman"/>
                                <w:sz w:val="24"/>
                                <w:szCs w:val="24"/>
                              </w:rPr>
                              <w:t>In view of th</w:t>
                            </w:r>
                            <w:r>
                              <w:rPr>
                                <w:rFonts w:ascii="Times New Roman" w:hAnsi="Times New Roman"/>
                                <w:sz w:val="24"/>
                                <w:szCs w:val="24"/>
                              </w:rPr>
                              <w:t>is, the Commission has initiated a revision of</w:t>
                            </w:r>
                            <w:r w:rsidRPr="00640C7A">
                              <w:rPr>
                                <w:rFonts w:ascii="Times New Roman" w:hAnsi="Times New Roman"/>
                                <w:sz w:val="24"/>
                                <w:szCs w:val="24"/>
                              </w:rPr>
                              <w:t xml:space="preserve"> the EU ETS State Aid Guidelines for the next trading period</w:t>
                            </w:r>
                            <w:r>
                              <w:rPr>
                                <w:rFonts w:ascii="Times New Roman" w:hAnsi="Times New Roman"/>
                                <w:sz w:val="24"/>
                                <w:szCs w:val="24"/>
                              </w:rPr>
                              <w:t xml:space="preserve"> (see Appendix </w:t>
                            </w:r>
                            <w:r w:rsidR="00626D3C">
                              <w:rPr>
                                <w:rFonts w:ascii="Times New Roman" w:hAnsi="Times New Roman"/>
                                <w:sz w:val="24"/>
                                <w:szCs w:val="24"/>
                              </w:rPr>
                              <w:t>7</w:t>
                            </w:r>
                            <w:r>
                              <w:rPr>
                                <w:rFonts w:ascii="Times New Roman" w:hAnsi="Times New Roman"/>
                                <w:sz w:val="24"/>
                                <w:szCs w:val="24"/>
                              </w:rPr>
                              <w:t xml:space="preserve"> to the Annex). As part of this process, the Commission, based on consultations with stakeholders and Member States held in early 2019, will review both the list of eligible sectors and the factors determining the maximum aid amounts.</w:t>
                            </w:r>
                          </w:p>
                          <w:p w14:paraId="20DE553D" w14:textId="6927CD3D" w:rsidR="00516F65" w:rsidRPr="00717647" w:rsidRDefault="00516F65" w:rsidP="00E07823">
                            <w:pPr>
                              <w:jc w:val="both"/>
                              <w:rPr>
                                <w:rFonts w:ascii="Times New Roman" w:hAnsi="Times New Roman"/>
                                <w:sz w:val="18"/>
                                <w:szCs w:val="18"/>
                              </w:rPr>
                            </w:pPr>
                            <w:r w:rsidRPr="00717647">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717647">
                              <w:rPr>
                                <w:rFonts w:ascii="Times New Roman" w:hAnsi="Times New Roman"/>
                                <w:sz w:val="18"/>
                                <w:szCs w:val="18"/>
                              </w:rPr>
                              <w:t>OJ C158, 05.06.2012, p.4</w:t>
                            </w:r>
                          </w:p>
                        </w:txbxContent>
                      </wps:txbx>
                      <wps:bodyPr rot="0" vert="horz" wrap="square" lIns="91440" tIns="45720" rIns="91440" bIns="45720" anchor="t" anchorCtr="0">
                        <a:noAutofit/>
                      </wps:bodyPr>
                    </wps:wsp>
                  </a:graphicData>
                </a:graphic>
              </wp:inline>
            </w:drawing>
          </mc:Choice>
          <mc:Fallback>
            <w:pict>
              <v:shape w14:anchorId="317F329C" id="Text Box 7" o:spid="_x0000_s1032" type="#_x0000_t202" style="width:450.4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" fillcolor="#d9d9d9" strokeweight="1pt">
                <v:textbox>
                  <w:txbxContent>
                    <w:p w14:paraId="09987BE3" w14:textId="77777777" w:rsidR="00516F65" w:rsidRPr="00F85215" w:rsidRDefault="00516F65" w:rsidP="00E07823">
                      <w:pPr>
                        <w:jc w:val="both"/>
                        <w:rPr>
                          <w:rFonts w:ascii="Times New Roman" w:hAnsi="Times New Roman"/>
                          <w:sz w:val="24"/>
                          <w:szCs w:val="24"/>
                        </w:rPr>
                      </w:pPr>
                      <w:r w:rsidRPr="00F85215">
                        <w:rPr>
                          <w:rFonts w:ascii="Times New Roman" w:hAnsi="Times New Roman"/>
                          <w:sz w:val="24"/>
                          <w:szCs w:val="24"/>
                        </w:rPr>
                        <w:t xml:space="preserve">In addition to free allocation to cover direct carbon costs, EU Member States may grant </w:t>
                      </w:r>
                      <w:r>
                        <w:rPr>
                          <w:rFonts w:ascii="Times New Roman" w:hAnsi="Times New Roman"/>
                          <w:sz w:val="24"/>
                          <w:szCs w:val="24"/>
                        </w:rPr>
                        <w:t>S</w:t>
                      </w:r>
                      <w:r w:rsidRPr="00F85215">
                        <w:rPr>
                          <w:rFonts w:ascii="Times New Roman" w:hAnsi="Times New Roman"/>
                          <w:sz w:val="24"/>
                          <w:szCs w:val="24"/>
                        </w:rPr>
                        <w:t xml:space="preserve">tate aid to compensate some electro-intensive industries for indirect carbon costs, i.e. costs resulting from increased electricity prices due to </w:t>
                      </w:r>
                      <w:r w:rsidR="008E46B6">
                        <w:rPr>
                          <w:rFonts w:ascii="Times New Roman" w:hAnsi="Times New Roman"/>
                          <w:sz w:val="24"/>
                          <w:szCs w:val="24"/>
                        </w:rPr>
                        <w:t>electricity</w:t>
                      </w:r>
                      <w:r w:rsidRPr="00F85215">
                        <w:rPr>
                          <w:rFonts w:ascii="Times New Roman" w:hAnsi="Times New Roman"/>
                          <w:sz w:val="24"/>
                          <w:szCs w:val="24"/>
                        </w:rPr>
                        <w:t xml:space="preserve"> generators passing on the costs of </w:t>
                      </w:r>
                      <w:r>
                        <w:rPr>
                          <w:rFonts w:ascii="Times New Roman" w:hAnsi="Times New Roman"/>
                          <w:sz w:val="24"/>
                          <w:szCs w:val="24"/>
                        </w:rPr>
                        <w:t xml:space="preserve">purchasing </w:t>
                      </w:r>
                      <w:r w:rsidRPr="00F85215">
                        <w:rPr>
                          <w:rFonts w:ascii="Times New Roman" w:hAnsi="Times New Roman"/>
                          <w:sz w:val="24"/>
                          <w:szCs w:val="24"/>
                        </w:rPr>
                        <w:t xml:space="preserve">allowances to consumers. </w:t>
                      </w:r>
                    </w:p>
                    <w:p w14:paraId="39D56837" w14:textId="77777777" w:rsidR="00516F65" w:rsidRDefault="00516F65" w:rsidP="00E07823">
                      <w:pPr>
                        <w:jc w:val="both"/>
                        <w:rPr>
                          <w:rFonts w:ascii="Times New Roman" w:hAnsi="Times New Roman"/>
                          <w:sz w:val="24"/>
                          <w:szCs w:val="24"/>
                        </w:rPr>
                      </w:pPr>
                      <w:r w:rsidRPr="00F85215">
                        <w:rPr>
                          <w:rFonts w:ascii="Times New Roman" w:hAnsi="Times New Roman"/>
                          <w:sz w:val="24"/>
                          <w:szCs w:val="24"/>
                        </w:rPr>
                        <w:t xml:space="preserve">To ensure harmonized application of indirect carbon cost compensation across Member States and minimize competition distortions in the internal market, the Commission has adopted the EU ETS State Aid Guidelines*, which are valid until end of 2020. </w:t>
                      </w:r>
                      <w:r w:rsidRPr="000D3687">
                        <w:rPr>
                          <w:rFonts w:ascii="Times New Roman" w:hAnsi="Times New Roman"/>
                          <w:sz w:val="24"/>
                          <w:szCs w:val="24"/>
                        </w:rPr>
                        <w:t>The Guidelines determine, inter alia, eligible sectors and maximum amounts for compensation of indirect carbon costs.</w:t>
                      </w:r>
                      <w:r>
                        <w:rPr>
                          <w:rFonts w:ascii="Times New Roman" w:hAnsi="Times New Roman"/>
                          <w:sz w:val="24"/>
                          <w:szCs w:val="24"/>
                        </w:rPr>
                        <w:t xml:space="preserve"> </w:t>
                      </w:r>
                    </w:p>
                    <w:p w14:paraId="4B0BDB06" w14:textId="77777777" w:rsidR="00516F65" w:rsidRPr="00717647" w:rsidRDefault="00516F65" w:rsidP="00E07823">
                      <w:pPr>
                        <w:jc w:val="both"/>
                        <w:rPr>
                          <w:rFonts w:ascii="Times New Roman" w:hAnsi="Times New Roman"/>
                          <w:sz w:val="24"/>
                          <w:szCs w:val="24"/>
                        </w:rPr>
                      </w:pPr>
                      <w:r w:rsidRPr="00F85215">
                        <w:rPr>
                          <w:rFonts w:ascii="Times New Roman" w:hAnsi="Times New Roman"/>
                          <w:sz w:val="24"/>
                          <w:szCs w:val="24"/>
                        </w:rPr>
                        <w:t>The revised ETS Directive allows Member States to continue providing indirect carbon cost compensation in phase 4, and complements it with enhanced transparency and reporting provision</w:t>
                      </w:r>
                      <w:r>
                        <w:rPr>
                          <w:rFonts w:ascii="Times New Roman" w:hAnsi="Times New Roman"/>
                          <w:sz w:val="24"/>
                          <w:szCs w:val="24"/>
                        </w:rPr>
                        <w:t>s.</w:t>
                      </w:r>
                      <w:r w:rsidRPr="00F85215">
                        <w:rPr>
                          <w:rFonts w:ascii="Times New Roman" w:hAnsi="Times New Roman"/>
                          <w:sz w:val="24"/>
                          <w:szCs w:val="24"/>
                        </w:rPr>
                        <w:t xml:space="preserve"> </w:t>
                      </w:r>
                      <w:r w:rsidRPr="00640C7A">
                        <w:rPr>
                          <w:rFonts w:ascii="Times New Roman" w:hAnsi="Times New Roman"/>
                          <w:sz w:val="24"/>
                          <w:szCs w:val="24"/>
                        </w:rPr>
                        <w:t>In view of th</w:t>
                      </w:r>
                      <w:r>
                        <w:rPr>
                          <w:rFonts w:ascii="Times New Roman" w:hAnsi="Times New Roman"/>
                          <w:sz w:val="24"/>
                          <w:szCs w:val="24"/>
                        </w:rPr>
                        <w:t>is, the Commission has initiated a revision of</w:t>
                      </w:r>
                      <w:r w:rsidRPr="00640C7A">
                        <w:rPr>
                          <w:rFonts w:ascii="Times New Roman" w:hAnsi="Times New Roman"/>
                          <w:sz w:val="24"/>
                          <w:szCs w:val="24"/>
                        </w:rPr>
                        <w:t xml:space="preserve"> the EU ETS State Aid Guidelines for the next trading period</w:t>
                      </w:r>
                      <w:r>
                        <w:rPr>
                          <w:rFonts w:ascii="Times New Roman" w:hAnsi="Times New Roman"/>
                          <w:sz w:val="24"/>
                          <w:szCs w:val="24"/>
                        </w:rPr>
                        <w:t xml:space="preserve"> (see Appendix </w:t>
                      </w:r>
                      <w:r w:rsidR="00626D3C">
                        <w:rPr>
                          <w:rFonts w:ascii="Times New Roman" w:hAnsi="Times New Roman"/>
                          <w:sz w:val="24"/>
                          <w:szCs w:val="24"/>
                        </w:rPr>
                        <w:t>7</w:t>
                      </w:r>
                      <w:r>
                        <w:rPr>
                          <w:rFonts w:ascii="Times New Roman" w:hAnsi="Times New Roman"/>
                          <w:sz w:val="24"/>
                          <w:szCs w:val="24"/>
                        </w:rPr>
                        <w:t xml:space="preserve"> to the Annex). As part of this process, the Commission, based on consultations with stakeholders and Member States held in early 2019, will review both the list of eligible sectors and the factors determining the maximum aid amounts.</w:t>
                      </w:r>
                    </w:p>
                    <w:p w14:paraId="20DE553D" w14:textId="6927CD3D" w:rsidR="00516F65" w:rsidRPr="00717647" w:rsidRDefault="00516F65" w:rsidP="00E07823">
                      <w:pPr>
                        <w:jc w:val="both"/>
                        <w:rPr>
                          <w:rFonts w:ascii="Times New Roman" w:hAnsi="Times New Roman"/>
                          <w:sz w:val="18"/>
                          <w:szCs w:val="18"/>
                        </w:rPr>
                      </w:pPr>
                      <w:r w:rsidRPr="00717647">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717647">
                        <w:rPr>
                          <w:rFonts w:ascii="Times New Roman" w:hAnsi="Times New Roman"/>
                          <w:sz w:val="18"/>
                          <w:szCs w:val="18"/>
                        </w:rPr>
                        <w:t>OJ C158, 05.06.2012, p.4</w:t>
                      </w:r>
                    </w:p>
                  </w:txbxContent>
                </v:textbox>
                <w10:anchorlock/>
              </v:shape>
            </w:pict>
          </mc:Fallback>
        </mc:AlternateContent>
      </w:r>
    </w:p>
    <w:p w14:paraId="0739B273" w14:textId="77777777" w:rsidR="007748C6" w:rsidRDefault="007748C6" w:rsidP="00E07823">
      <w:pPr>
        <w:jc w:val="both"/>
        <w:rPr>
          <w:rFonts w:ascii="Times New Roman" w:eastAsia="Times New Roman" w:hAnsi="Times New Roman"/>
          <w:noProof/>
          <w:sz w:val="24"/>
          <w:szCs w:val="24"/>
          <w:lang w:eastAsia="de-DE"/>
        </w:rPr>
      </w:pPr>
    </w:p>
    <w:p w14:paraId="4B7F9415" w14:textId="77777777" w:rsidR="00E07823" w:rsidRPr="00516F65" w:rsidRDefault="00E07823" w:rsidP="00E07823">
      <w:pPr>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To date, the Commission has </w:t>
      </w:r>
      <w:r w:rsidRPr="001B4818">
        <w:rPr>
          <w:rFonts w:ascii="Times New Roman" w:eastAsia="Times New Roman" w:hAnsi="Times New Roman"/>
          <w:noProof/>
          <w:sz w:val="24"/>
          <w:szCs w:val="24"/>
          <w:lang w:eastAsia="de-DE"/>
        </w:rPr>
        <w:t>approved 1</w:t>
      </w:r>
      <w:r w:rsidR="00995D11" w:rsidRPr="001B4818">
        <w:rPr>
          <w:rFonts w:ascii="Times New Roman" w:eastAsia="Times New Roman" w:hAnsi="Times New Roman"/>
          <w:noProof/>
          <w:sz w:val="24"/>
          <w:szCs w:val="24"/>
          <w:lang w:eastAsia="de-DE"/>
        </w:rPr>
        <w:t>3</w:t>
      </w:r>
      <w:r w:rsidRPr="001B4818">
        <w:rPr>
          <w:rStyle w:val="FootnoteReference"/>
          <w:rFonts w:ascii="Times New Roman" w:eastAsia="Times New Roman" w:hAnsi="Times New Roman"/>
          <w:noProof/>
          <w:sz w:val="24"/>
          <w:szCs w:val="24"/>
          <w:lang w:eastAsia="de-DE"/>
        </w:rPr>
        <w:footnoteReference w:id="29"/>
      </w:r>
      <w:r w:rsidRPr="001B4818">
        <w:rPr>
          <w:rFonts w:ascii="Times New Roman" w:eastAsia="Times New Roman" w:hAnsi="Times New Roman"/>
          <w:noProof/>
          <w:sz w:val="24"/>
          <w:szCs w:val="24"/>
          <w:lang w:eastAsia="de-DE"/>
        </w:rPr>
        <w:t xml:space="preserve"> indirect carbon cost compensation schemes in 1</w:t>
      </w:r>
      <w:r w:rsidR="00995D11" w:rsidRPr="001B4818">
        <w:rPr>
          <w:rFonts w:ascii="Times New Roman" w:eastAsia="Times New Roman" w:hAnsi="Times New Roman"/>
          <w:noProof/>
          <w:sz w:val="24"/>
          <w:szCs w:val="24"/>
          <w:lang w:eastAsia="de-DE"/>
        </w:rPr>
        <w:t>2</w:t>
      </w:r>
      <w:r w:rsidRPr="00516F65">
        <w:rPr>
          <w:rFonts w:ascii="Times New Roman" w:eastAsia="Times New Roman" w:hAnsi="Times New Roman"/>
          <w:noProof/>
          <w:sz w:val="24"/>
          <w:szCs w:val="24"/>
          <w:lang w:eastAsia="de-DE"/>
        </w:rPr>
        <w:t xml:space="preserve"> Member States. In 2018, the Walloon scheme and the Luxembourg scheme paid out compensation for the first time. The Spanish government notified a revision of its scheme to the Commission with a view to increase its budget. In 2019, Poland notified a draft measure to the Commission and received State aid approval for a scheme that will start paying out support in 2020 for indirect costs incurred in 2019. </w:t>
      </w:r>
    </w:p>
    <w:p w14:paraId="7860CD35" w14:textId="77777777" w:rsidR="00E07823" w:rsidRPr="00516F65" w:rsidRDefault="00E07823" w:rsidP="00E07823">
      <w:pPr>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The EU ETS Directive determines that within three months </w:t>
      </w:r>
      <w:r w:rsidR="00AF696E" w:rsidRPr="00516F65">
        <w:rPr>
          <w:rFonts w:ascii="Times New Roman" w:eastAsia="Times New Roman" w:hAnsi="Times New Roman"/>
          <w:noProof/>
          <w:sz w:val="24"/>
          <w:szCs w:val="24"/>
          <w:lang w:eastAsia="de-DE"/>
        </w:rPr>
        <w:t>a</w:t>
      </w:r>
      <w:r w:rsidRPr="00516F65">
        <w:rPr>
          <w:rFonts w:ascii="Times New Roman" w:eastAsia="Times New Roman" w:hAnsi="Times New Roman"/>
          <w:noProof/>
          <w:sz w:val="24"/>
          <w:szCs w:val="24"/>
          <w:lang w:eastAsia="de-DE"/>
        </w:rPr>
        <w:t>f</w:t>
      </w:r>
      <w:r w:rsidR="00AF696E" w:rsidRPr="00516F65">
        <w:rPr>
          <w:rFonts w:ascii="Times New Roman" w:eastAsia="Times New Roman" w:hAnsi="Times New Roman"/>
          <w:noProof/>
          <w:sz w:val="24"/>
          <w:szCs w:val="24"/>
          <w:lang w:eastAsia="de-DE"/>
        </w:rPr>
        <w:t>ter</w:t>
      </w:r>
      <w:r w:rsidRPr="00516F65">
        <w:rPr>
          <w:rFonts w:ascii="Times New Roman" w:eastAsia="Times New Roman" w:hAnsi="Times New Roman"/>
          <w:noProof/>
          <w:sz w:val="24"/>
          <w:szCs w:val="24"/>
          <w:lang w:eastAsia="de-DE"/>
        </w:rPr>
        <w:t xml:space="preserve"> the end of each year, Member States that have an indirect cost compensation scheme in place should make available to the public, in an easily accessible form, the total amount of compensation provided and a breakdown per benefitting sector and subsector.</w:t>
      </w:r>
    </w:p>
    <w:p w14:paraId="34AD5374" w14:textId="77777777" w:rsidR="00E07823" w:rsidRPr="00516F65" w:rsidRDefault="00E07823" w:rsidP="00E07823">
      <w:pPr>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A summary of the data published by the Member States for compensation paid out in 2018 is set out in Table</w:t>
      </w:r>
      <w:r w:rsidR="009D4740" w:rsidRPr="00516F65">
        <w:rPr>
          <w:rFonts w:ascii="Times New Roman" w:eastAsia="Times New Roman" w:hAnsi="Times New Roman"/>
          <w:noProof/>
          <w:sz w:val="24"/>
          <w:szCs w:val="24"/>
          <w:lang w:eastAsia="de-DE"/>
        </w:rPr>
        <w:t xml:space="preserve"> 4.</w:t>
      </w:r>
      <w:r w:rsidRPr="00516F65">
        <w:rPr>
          <w:rFonts w:ascii="Times New Roman" w:eastAsia="Times New Roman" w:hAnsi="Times New Roman"/>
          <w:noProof/>
          <w:sz w:val="24"/>
          <w:szCs w:val="24"/>
          <w:lang w:eastAsia="de-DE"/>
        </w:rPr>
        <w:t xml:space="preserve"> </w:t>
      </w:r>
    </w:p>
    <w:p w14:paraId="786763E0" w14:textId="77777777" w:rsidR="007748C6" w:rsidRDefault="007748C6" w:rsidP="00E07823">
      <w:pPr>
        <w:jc w:val="both"/>
        <w:rPr>
          <w:rFonts w:ascii="Times New Roman" w:eastAsia="Times New Roman" w:hAnsi="Times New Roman"/>
          <w:noProof/>
          <w:sz w:val="24"/>
          <w:szCs w:val="24"/>
          <w:highlight w:val="yellow"/>
          <w:lang w:eastAsia="de-DE"/>
        </w:rPr>
      </w:pPr>
    </w:p>
    <w:p w14:paraId="316F874E" w14:textId="77777777" w:rsidR="007748C6" w:rsidRPr="00E72EF9" w:rsidRDefault="007748C6" w:rsidP="00E07823">
      <w:pPr>
        <w:jc w:val="both"/>
        <w:rPr>
          <w:rFonts w:ascii="Times New Roman" w:eastAsia="Times New Roman" w:hAnsi="Times New Roman"/>
          <w:noProof/>
          <w:sz w:val="24"/>
          <w:szCs w:val="24"/>
          <w:highlight w:val="yellow"/>
          <w:lang w:eastAsia="de-DE"/>
        </w:rPr>
      </w:pPr>
    </w:p>
    <w:p w14:paraId="1EA689CA" w14:textId="77777777" w:rsidR="00E07823" w:rsidRPr="00516F65" w:rsidRDefault="00E07823" w:rsidP="00E07823">
      <w:pPr>
        <w:jc w:val="both"/>
        <w:rPr>
          <w:rFonts w:ascii="Times New Roman" w:eastAsia="Times New Roman" w:hAnsi="Times New Roman"/>
          <w:b/>
          <w:noProof/>
          <w:sz w:val="24"/>
          <w:szCs w:val="24"/>
          <w:lang w:eastAsia="de-DE"/>
        </w:rPr>
      </w:pPr>
      <w:r w:rsidRPr="00516F65">
        <w:rPr>
          <w:rFonts w:ascii="Times New Roman" w:eastAsia="Times New Roman" w:hAnsi="Times New Roman"/>
          <w:b/>
          <w:noProof/>
          <w:lang w:eastAsia="de-DE"/>
        </w:rPr>
        <w:t>Table</w:t>
      </w:r>
      <w:r w:rsidR="009D4740" w:rsidRPr="00516F65">
        <w:rPr>
          <w:rFonts w:ascii="Times New Roman" w:eastAsia="Times New Roman" w:hAnsi="Times New Roman"/>
          <w:b/>
          <w:noProof/>
          <w:sz w:val="24"/>
          <w:szCs w:val="24"/>
          <w:lang w:eastAsia="de-DE"/>
        </w:rPr>
        <w:t xml:space="preserve"> </w:t>
      </w:r>
      <w:r w:rsidR="009D4740" w:rsidRPr="00516F65">
        <w:rPr>
          <w:rFonts w:ascii="Times New Roman" w:eastAsia="Times New Roman" w:hAnsi="Times New Roman"/>
          <w:b/>
          <w:noProof/>
          <w:lang w:eastAsia="de-DE"/>
        </w:rPr>
        <w:t>4</w:t>
      </w:r>
      <w:r w:rsidR="009D4740" w:rsidRPr="00516F65">
        <w:rPr>
          <w:rFonts w:ascii="Times New Roman" w:eastAsia="Times New Roman" w:hAnsi="Times New Roman"/>
          <w:b/>
          <w:noProof/>
          <w:sz w:val="24"/>
          <w:szCs w:val="24"/>
          <w:lang w:eastAsia="de-DE"/>
        </w:rPr>
        <w:t>:</w:t>
      </w:r>
      <w:r w:rsidRPr="00516F65">
        <w:rPr>
          <w:rFonts w:ascii="Times New Roman" w:eastAsia="Times New Roman" w:hAnsi="Times New Roman"/>
          <w:b/>
          <w:noProof/>
          <w:lang w:eastAsia="en-GB"/>
        </w:rPr>
        <w:t xml:space="preserve"> Indirect carbon cost compensation paid out by Member States in 2018</w:t>
      </w:r>
      <w:r w:rsidR="006B0912">
        <w:rPr>
          <w:rStyle w:val="FootnoteReference"/>
          <w:rFonts w:ascii="Times New Roman" w:eastAsia="Times New Roman" w:hAnsi="Times New Roman"/>
          <w:b/>
          <w:noProof/>
          <w:lang w:eastAsia="en-GB"/>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6"/>
        <w:gridCol w:w="1183"/>
        <w:gridCol w:w="1747"/>
        <w:gridCol w:w="1383"/>
        <w:gridCol w:w="1887"/>
        <w:gridCol w:w="1808"/>
      </w:tblGrid>
      <w:tr w:rsidR="009D4740" w:rsidRPr="003F30A8" w14:paraId="06757829" w14:textId="77777777" w:rsidTr="00516F65">
        <w:trPr>
          <w:trHeight w:val="1019"/>
          <w:jc w:val="center"/>
        </w:trPr>
        <w:tc>
          <w:tcPr>
            <w:tcW w:w="492" w:type="pct"/>
            <w:tcBorders>
              <w:bottom w:val="double" w:sz="4" w:space="0" w:color="auto"/>
            </w:tcBorders>
            <w:shd w:val="clear" w:color="000000" w:fill="D9D9D9"/>
            <w:vAlign w:val="center"/>
            <w:hideMark/>
          </w:tcPr>
          <w:p w14:paraId="7600C4AD" w14:textId="77777777" w:rsidR="00E07823" w:rsidRPr="00171CDC" w:rsidRDefault="00E07823" w:rsidP="00365008">
            <w:pPr>
              <w:spacing w:after="0" w:line="240" w:lineRule="auto"/>
              <w:jc w:val="center"/>
              <w:rPr>
                <w:rFonts w:ascii="Times New Roman" w:eastAsia="Times New Roman" w:hAnsi="Times New Roman"/>
                <w:b/>
                <w:bCs/>
                <w:color w:val="000000"/>
                <w:sz w:val="20"/>
                <w:szCs w:val="20"/>
                <w:lang w:eastAsia="en-GB"/>
              </w:rPr>
            </w:pPr>
            <w:r w:rsidRPr="00171CDC">
              <w:rPr>
                <w:rFonts w:ascii="Times New Roman" w:eastAsia="Times New Roman" w:hAnsi="Times New Roman"/>
                <w:b/>
                <w:bCs/>
                <w:color w:val="000000"/>
                <w:sz w:val="20"/>
                <w:szCs w:val="20"/>
                <w:lang w:eastAsia="en-GB"/>
              </w:rPr>
              <w:t>Member State</w:t>
            </w:r>
          </w:p>
        </w:tc>
        <w:tc>
          <w:tcPr>
            <w:tcW w:w="647" w:type="pct"/>
            <w:tcBorders>
              <w:bottom w:val="double" w:sz="4" w:space="0" w:color="auto"/>
            </w:tcBorders>
            <w:shd w:val="clear" w:color="000000" w:fill="D9D9D9"/>
            <w:vAlign w:val="center"/>
            <w:hideMark/>
          </w:tcPr>
          <w:p w14:paraId="168606D4"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Duration of the scheme</w:t>
            </w:r>
          </w:p>
        </w:tc>
        <w:tc>
          <w:tcPr>
            <w:tcW w:w="995" w:type="pct"/>
            <w:tcBorders>
              <w:bottom w:val="double" w:sz="4" w:space="0" w:color="auto"/>
            </w:tcBorders>
            <w:shd w:val="clear" w:color="000000" w:fill="D9D9D9"/>
            <w:vAlign w:val="center"/>
            <w:hideMark/>
          </w:tcPr>
          <w:p w14:paraId="2EC0AEBC"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Compensation disbursed in 2018 for indirect costs incurred in 2017 (in million euros)</w:t>
            </w:r>
          </w:p>
        </w:tc>
        <w:tc>
          <w:tcPr>
            <w:tcW w:w="764" w:type="pct"/>
            <w:tcBorders>
              <w:bottom w:val="double" w:sz="4" w:space="0" w:color="auto"/>
            </w:tcBorders>
            <w:shd w:val="clear" w:color="000000" w:fill="D9D9D9"/>
            <w:vAlign w:val="center"/>
            <w:hideMark/>
          </w:tcPr>
          <w:p w14:paraId="30FC3338"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Number of beneficiaries (installations)</w:t>
            </w:r>
          </w:p>
        </w:tc>
        <w:tc>
          <w:tcPr>
            <w:tcW w:w="1073" w:type="pct"/>
            <w:tcBorders>
              <w:bottom w:val="double" w:sz="4" w:space="0" w:color="auto"/>
            </w:tcBorders>
            <w:shd w:val="clear" w:color="000000" w:fill="D9D9D9"/>
            <w:vAlign w:val="center"/>
            <w:hideMark/>
          </w:tcPr>
          <w:p w14:paraId="5645CBC7" w14:textId="77777777" w:rsidR="00E07823" w:rsidRPr="00B75E76" w:rsidRDefault="00E07823" w:rsidP="00365008">
            <w:pPr>
              <w:spacing w:after="0" w:line="240" w:lineRule="auto"/>
              <w:jc w:val="center"/>
              <w:rPr>
                <w:rFonts w:ascii="Times New Roman" w:eastAsia="Times New Roman" w:hAnsi="Times New Roman"/>
                <w:b/>
                <w:bCs/>
                <w:color w:val="000000"/>
                <w:sz w:val="20"/>
                <w:szCs w:val="20"/>
                <w:lang w:eastAsia="en-GB"/>
              </w:rPr>
            </w:pPr>
            <w:r w:rsidRPr="00B75E76">
              <w:rPr>
                <w:rFonts w:ascii="Times New Roman" w:eastAsia="Times New Roman" w:hAnsi="Times New Roman"/>
                <w:b/>
                <w:bCs/>
                <w:color w:val="000000"/>
                <w:sz w:val="20"/>
                <w:szCs w:val="20"/>
                <w:lang w:eastAsia="en-GB"/>
              </w:rPr>
              <w:t>Auction revenue 2</w:t>
            </w:r>
            <w:r w:rsidR="00F92EFD" w:rsidRPr="00B75E76">
              <w:rPr>
                <w:rFonts w:ascii="Times New Roman" w:eastAsia="Times New Roman" w:hAnsi="Times New Roman"/>
                <w:b/>
                <w:bCs/>
                <w:color w:val="000000"/>
                <w:sz w:val="20"/>
                <w:szCs w:val="20"/>
                <w:lang w:eastAsia="en-GB"/>
              </w:rPr>
              <w:t>017 (excluding</w:t>
            </w:r>
            <w:r w:rsidRPr="00B75E76">
              <w:rPr>
                <w:rFonts w:ascii="Times New Roman" w:eastAsia="Times New Roman" w:hAnsi="Times New Roman"/>
                <w:b/>
                <w:bCs/>
                <w:color w:val="000000"/>
                <w:sz w:val="20"/>
                <w:szCs w:val="20"/>
                <w:lang w:eastAsia="en-GB"/>
              </w:rPr>
              <w:t xml:space="preserve"> aviation allowances, in million euros)</w:t>
            </w:r>
          </w:p>
        </w:tc>
        <w:tc>
          <w:tcPr>
            <w:tcW w:w="1029" w:type="pct"/>
            <w:tcBorders>
              <w:bottom w:val="double" w:sz="4" w:space="0" w:color="auto"/>
            </w:tcBorders>
            <w:shd w:val="clear" w:color="000000" w:fill="D9D9D9"/>
            <w:vAlign w:val="center"/>
            <w:hideMark/>
          </w:tcPr>
          <w:p w14:paraId="4EA7625D" w14:textId="77777777" w:rsidR="00E07823" w:rsidRPr="003F30A8" w:rsidRDefault="00E07823" w:rsidP="00365008">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Percentage of auction revenues spent on indirect cost compensation</w:t>
            </w:r>
          </w:p>
        </w:tc>
      </w:tr>
      <w:tr w:rsidR="009D4740" w:rsidRPr="003F30A8" w14:paraId="1FFB60A8" w14:textId="77777777" w:rsidTr="00516F65">
        <w:trPr>
          <w:trHeight w:val="764"/>
          <w:jc w:val="center"/>
        </w:trPr>
        <w:tc>
          <w:tcPr>
            <w:tcW w:w="492" w:type="pct"/>
            <w:shd w:val="clear" w:color="auto" w:fill="auto"/>
            <w:noWrap/>
            <w:vAlign w:val="center"/>
            <w:hideMark/>
          </w:tcPr>
          <w:p w14:paraId="638F5F5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UK</w:t>
            </w:r>
          </w:p>
        </w:tc>
        <w:tc>
          <w:tcPr>
            <w:tcW w:w="647" w:type="pct"/>
            <w:shd w:val="clear" w:color="auto" w:fill="auto"/>
            <w:noWrap/>
            <w:vAlign w:val="center"/>
            <w:hideMark/>
          </w:tcPr>
          <w:p w14:paraId="0E4A3B8B"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50DB0548" w14:textId="77777777" w:rsidR="00E07823" w:rsidRPr="00171CDC"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22</w:t>
            </w:r>
            <w:r w:rsidR="004724FA" w:rsidRPr="003F30A8">
              <w:rPr>
                <w:rFonts w:ascii="Times New Roman" w:eastAsia="Times New Roman" w:hAnsi="Times New Roman"/>
                <w:sz w:val="20"/>
                <w:szCs w:val="20"/>
                <w:lang w:eastAsia="en-GB"/>
              </w:rPr>
              <w:t>,</w:t>
            </w:r>
            <w:r w:rsidRPr="003F30A8">
              <w:rPr>
                <w:rFonts w:ascii="Times New Roman" w:eastAsia="Times New Roman" w:hAnsi="Times New Roman"/>
                <w:sz w:val="20"/>
                <w:szCs w:val="20"/>
                <w:lang w:eastAsia="en-GB"/>
              </w:rPr>
              <w:t>36</w:t>
            </w:r>
            <w:r w:rsidRPr="00171CDC">
              <w:rPr>
                <w:rStyle w:val="FootnoteReference"/>
                <w:rFonts w:ascii="Times New Roman" w:eastAsia="Times New Roman" w:hAnsi="Times New Roman"/>
                <w:sz w:val="20"/>
                <w:szCs w:val="20"/>
                <w:lang w:eastAsia="en-GB"/>
              </w:rPr>
              <w:footnoteReference w:id="31"/>
            </w:r>
          </w:p>
        </w:tc>
        <w:tc>
          <w:tcPr>
            <w:tcW w:w="764" w:type="pct"/>
            <w:shd w:val="clear" w:color="auto" w:fill="auto"/>
            <w:vAlign w:val="center"/>
            <w:hideMark/>
          </w:tcPr>
          <w:p w14:paraId="7D66876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60</w:t>
            </w:r>
            <w:r w:rsidR="006B0912">
              <w:rPr>
                <w:rStyle w:val="FootnoteReference"/>
                <w:rFonts w:ascii="Times New Roman" w:eastAsia="Times New Roman" w:hAnsi="Times New Roman"/>
                <w:sz w:val="20"/>
                <w:szCs w:val="20"/>
                <w:lang w:eastAsia="en-GB"/>
              </w:rPr>
              <w:footnoteReference w:id="32"/>
            </w:r>
          </w:p>
        </w:tc>
        <w:tc>
          <w:tcPr>
            <w:tcW w:w="1073" w:type="pct"/>
            <w:shd w:val="clear" w:color="auto" w:fill="auto"/>
            <w:vAlign w:val="center"/>
            <w:hideMark/>
          </w:tcPr>
          <w:p w14:paraId="61664C7E" w14:textId="77777777" w:rsidR="00E07823" w:rsidRPr="00171CDC" w:rsidRDefault="00513707"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1607</w:t>
            </w:r>
            <w:r w:rsidRPr="003F30A8">
              <w:rPr>
                <w:rStyle w:val="FootnoteReference"/>
                <w:rFonts w:ascii="Times New Roman" w:eastAsia="Times New Roman" w:hAnsi="Times New Roman"/>
                <w:sz w:val="20"/>
                <w:szCs w:val="20"/>
                <w:lang w:eastAsia="en-GB"/>
              </w:rPr>
              <w:footnoteReference w:id="33"/>
            </w:r>
          </w:p>
        </w:tc>
        <w:tc>
          <w:tcPr>
            <w:tcW w:w="1029" w:type="pct"/>
            <w:shd w:val="clear" w:color="auto" w:fill="auto"/>
            <w:vAlign w:val="center"/>
            <w:hideMark/>
          </w:tcPr>
          <w:p w14:paraId="2C916D3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3,7%</w:t>
            </w:r>
          </w:p>
          <w:p w14:paraId="6216CE76" w14:textId="77777777" w:rsidR="00E07823" w:rsidRPr="003F30A8" w:rsidRDefault="00E07823" w:rsidP="00365008">
            <w:pPr>
              <w:spacing w:after="0" w:line="240" w:lineRule="auto"/>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w:t>
            </w:r>
          </w:p>
        </w:tc>
      </w:tr>
      <w:tr w:rsidR="009D4740" w:rsidRPr="003F30A8" w14:paraId="0978FDAA" w14:textId="77777777" w:rsidTr="00516F65">
        <w:trPr>
          <w:trHeight w:val="299"/>
          <w:jc w:val="center"/>
        </w:trPr>
        <w:tc>
          <w:tcPr>
            <w:tcW w:w="492" w:type="pct"/>
            <w:shd w:val="clear" w:color="auto" w:fill="auto"/>
            <w:noWrap/>
            <w:vAlign w:val="center"/>
            <w:hideMark/>
          </w:tcPr>
          <w:p w14:paraId="09B7D41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DE</w:t>
            </w:r>
          </w:p>
        </w:tc>
        <w:tc>
          <w:tcPr>
            <w:tcW w:w="647" w:type="pct"/>
            <w:shd w:val="clear" w:color="auto" w:fill="auto"/>
            <w:noWrap/>
            <w:vAlign w:val="center"/>
            <w:hideMark/>
          </w:tcPr>
          <w:p w14:paraId="6C4F4B24"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3902A26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202</w:t>
            </w:r>
          </w:p>
        </w:tc>
        <w:tc>
          <w:tcPr>
            <w:tcW w:w="764" w:type="pct"/>
            <w:shd w:val="clear" w:color="auto" w:fill="auto"/>
            <w:vAlign w:val="center"/>
            <w:hideMark/>
          </w:tcPr>
          <w:p w14:paraId="351D533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891</w:t>
            </w:r>
          </w:p>
        </w:tc>
        <w:tc>
          <w:tcPr>
            <w:tcW w:w="1073" w:type="pct"/>
            <w:shd w:val="clear" w:color="auto" w:fill="auto"/>
            <w:vAlign w:val="center"/>
            <w:hideMark/>
          </w:tcPr>
          <w:p w14:paraId="410E19E1"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1141.</w:t>
            </w:r>
            <w:r w:rsidR="00E07823" w:rsidRPr="003F30A8">
              <w:rPr>
                <w:rFonts w:ascii="Times New Roman" w:eastAsia="Times New Roman" w:hAnsi="Times New Roman"/>
                <w:sz w:val="20"/>
                <w:szCs w:val="20"/>
                <w:lang w:eastAsia="en-GB"/>
              </w:rPr>
              <w:t>7</w:t>
            </w:r>
          </w:p>
        </w:tc>
        <w:tc>
          <w:tcPr>
            <w:tcW w:w="1029" w:type="pct"/>
            <w:shd w:val="clear" w:color="auto" w:fill="auto"/>
            <w:vAlign w:val="center"/>
            <w:hideMark/>
          </w:tcPr>
          <w:p w14:paraId="5503AFB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17,6%</w:t>
            </w:r>
          </w:p>
        </w:tc>
      </w:tr>
      <w:tr w:rsidR="009D4740" w:rsidRPr="003F30A8" w14:paraId="25DF01F7" w14:textId="77777777" w:rsidTr="00516F65">
        <w:trPr>
          <w:trHeight w:val="299"/>
          <w:jc w:val="center"/>
        </w:trPr>
        <w:tc>
          <w:tcPr>
            <w:tcW w:w="492" w:type="pct"/>
            <w:shd w:val="clear" w:color="auto" w:fill="auto"/>
            <w:noWrap/>
            <w:vAlign w:val="center"/>
            <w:hideMark/>
          </w:tcPr>
          <w:p w14:paraId="01A811B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BE (FL)</w:t>
            </w:r>
          </w:p>
        </w:tc>
        <w:tc>
          <w:tcPr>
            <w:tcW w:w="647" w:type="pct"/>
            <w:shd w:val="clear" w:color="auto" w:fill="auto"/>
            <w:noWrap/>
            <w:vAlign w:val="center"/>
            <w:hideMark/>
          </w:tcPr>
          <w:p w14:paraId="27BD553B"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257B7C8C"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31.</w:t>
            </w:r>
            <w:r w:rsidR="00E07823" w:rsidRPr="003F30A8">
              <w:rPr>
                <w:rFonts w:ascii="Times New Roman" w:eastAsia="Times New Roman" w:hAnsi="Times New Roman"/>
                <w:sz w:val="20"/>
                <w:szCs w:val="20"/>
                <w:lang w:eastAsia="en-GB"/>
              </w:rPr>
              <w:t>7</w:t>
            </w:r>
          </w:p>
        </w:tc>
        <w:tc>
          <w:tcPr>
            <w:tcW w:w="764" w:type="pct"/>
            <w:shd w:val="clear" w:color="auto" w:fill="auto"/>
            <w:vAlign w:val="center"/>
            <w:hideMark/>
          </w:tcPr>
          <w:p w14:paraId="0D65CA1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106 </w:t>
            </w:r>
          </w:p>
        </w:tc>
        <w:tc>
          <w:tcPr>
            <w:tcW w:w="1073" w:type="pct"/>
            <w:vMerge w:val="restart"/>
            <w:shd w:val="clear" w:color="auto" w:fill="auto"/>
            <w:vAlign w:val="center"/>
            <w:hideMark/>
          </w:tcPr>
          <w:p w14:paraId="15075BB2"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143.</w:t>
            </w:r>
            <w:r w:rsidR="00E07823" w:rsidRPr="003F30A8">
              <w:rPr>
                <w:rFonts w:ascii="Times New Roman" w:eastAsia="Times New Roman" w:hAnsi="Times New Roman"/>
                <w:sz w:val="20"/>
                <w:szCs w:val="20"/>
                <w:lang w:eastAsia="en-GB"/>
              </w:rPr>
              <w:t>5</w:t>
            </w:r>
          </w:p>
        </w:tc>
        <w:tc>
          <w:tcPr>
            <w:tcW w:w="1029" w:type="pct"/>
            <w:vMerge w:val="restart"/>
            <w:shd w:val="clear" w:color="auto" w:fill="auto"/>
            <w:vAlign w:val="center"/>
            <w:hideMark/>
          </w:tcPr>
          <w:p w14:paraId="56556A6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27,3%</w:t>
            </w:r>
          </w:p>
        </w:tc>
      </w:tr>
      <w:tr w:rsidR="009D4740" w:rsidRPr="003F30A8" w14:paraId="0B7CA88F" w14:textId="77777777" w:rsidTr="00516F65">
        <w:trPr>
          <w:trHeight w:val="299"/>
          <w:jc w:val="center"/>
        </w:trPr>
        <w:tc>
          <w:tcPr>
            <w:tcW w:w="492" w:type="pct"/>
            <w:shd w:val="clear" w:color="auto" w:fill="auto"/>
            <w:noWrap/>
            <w:vAlign w:val="center"/>
            <w:hideMark/>
          </w:tcPr>
          <w:p w14:paraId="775B201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BE (WL)</w:t>
            </w:r>
          </w:p>
        </w:tc>
        <w:tc>
          <w:tcPr>
            <w:tcW w:w="647" w:type="pct"/>
            <w:shd w:val="clear" w:color="auto" w:fill="auto"/>
            <w:noWrap/>
            <w:vAlign w:val="center"/>
            <w:hideMark/>
          </w:tcPr>
          <w:p w14:paraId="7DEC125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2017 - 2020</w:t>
            </w:r>
          </w:p>
        </w:tc>
        <w:tc>
          <w:tcPr>
            <w:tcW w:w="995" w:type="pct"/>
            <w:shd w:val="clear" w:color="auto" w:fill="auto"/>
            <w:vAlign w:val="center"/>
            <w:hideMark/>
          </w:tcPr>
          <w:p w14:paraId="6489502D"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7.</w:t>
            </w:r>
            <w:r w:rsidR="00E07823" w:rsidRPr="003F30A8">
              <w:rPr>
                <w:rFonts w:ascii="Times New Roman" w:eastAsia="Times New Roman" w:hAnsi="Times New Roman"/>
                <w:sz w:val="20"/>
                <w:szCs w:val="20"/>
                <w:lang w:eastAsia="en-GB"/>
              </w:rPr>
              <w:t>5</w:t>
            </w:r>
          </w:p>
        </w:tc>
        <w:tc>
          <w:tcPr>
            <w:tcW w:w="764" w:type="pct"/>
            <w:shd w:val="clear" w:color="auto" w:fill="auto"/>
            <w:vAlign w:val="center"/>
            <w:hideMark/>
          </w:tcPr>
          <w:p w14:paraId="02D5B8D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30</w:t>
            </w:r>
          </w:p>
        </w:tc>
        <w:tc>
          <w:tcPr>
            <w:tcW w:w="1073" w:type="pct"/>
            <w:vMerge/>
            <w:shd w:val="clear" w:color="auto" w:fill="auto"/>
            <w:vAlign w:val="center"/>
            <w:hideMark/>
          </w:tcPr>
          <w:p w14:paraId="5C202E66" w14:textId="77777777" w:rsidR="00E07823" w:rsidRPr="003F30A8" w:rsidRDefault="00E07823" w:rsidP="00365008">
            <w:pPr>
              <w:spacing w:after="0" w:line="240" w:lineRule="auto"/>
              <w:rPr>
                <w:rFonts w:ascii="Times New Roman" w:eastAsia="Times New Roman" w:hAnsi="Times New Roman"/>
                <w:sz w:val="20"/>
                <w:szCs w:val="20"/>
                <w:lang w:eastAsia="en-GB"/>
              </w:rPr>
            </w:pPr>
          </w:p>
        </w:tc>
        <w:tc>
          <w:tcPr>
            <w:tcW w:w="1029" w:type="pct"/>
            <w:vMerge/>
            <w:shd w:val="clear" w:color="auto" w:fill="auto"/>
            <w:vAlign w:val="center"/>
            <w:hideMark/>
          </w:tcPr>
          <w:p w14:paraId="59A0DE4A" w14:textId="77777777" w:rsidR="00E07823" w:rsidRPr="003F30A8" w:rsidRDefault="00E07823" w:rsidP="00365008">
            <w:pPr>
              <w:spacing w:after="0" w:line="240" w:lineRule="auto"/>
              <w:rPr>
                <w:rFonts w:ascii="Times New Roman" w:eastAsia="Times New Roman" w:hAnsi="Times New Roman"/>
                <w:sz w:val="20"/>
                <w:szCs w:val="20"/>
                <w:lang w:eastAsia="en-GB"/>
              </w:rPr>
            </w:pPr>
          </w:p>
        </w:tc>
      </w:tr>
      <w:tr w:rsidR="009D4740" w:rsidRPr="003F30A8" w14:paraId="0A5705B0" w14:textId="77777777" w:rsidTr="00516F65">
        <w:trPr>
          <w:trHeight w:val="299"/>
          <w:jc w:val="center"/>
        </w:trPr>
        <w:tc>
          <w:tcPr>
            <w:tcW w:w="492" w:type="pct"/>
            <w:shd w:val="clear" w:color="auto" w:fill="auto"/>
            <w:noWrap/>
            <w:vAlign w:val="center"/>
            <w:hideMark/>
          </w:tcPr>
          <w:p w14:paraId="485B2A19"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NL</w:t>
            </w:r>
          </w:p>
        </w:tc>
        <w:tc>
          <w:tcPr>
            <w:tcW w:w="647" w:type="pct"/>
            <w:shd w:val="clear" w:color="auto" w:fill="auto"/>
            <w:noWrap/>
            <w:vAlign w:val="center"/>
            <w:hideMark/>
          </w:tcPr>
          <w:p w14:paraId="6C6AEB1A"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5CCA4578"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36.</w:t>
            </w:r>
            <w:r w:rsidR="00E07823" w:rsidRPr="003F30A8">
              <w:rPr>
                <w:rFonts w:ascii="Times New Roman" w:eastAsia="Times New Roman" w:hAnsi="Times New Roman"/>
                <w:sz w:val="20"/>
                <w:szCs w:val="20"/>
                <w:lang w:eastAsia="en-GB"/>
              </w:rPr>
              <w:t>9</w:t>
            </w:r>
          </w:p>
        </w:tc>
        <w:tc>
          <w:tcPr>
            <w:tcW w:w="764" w:type="pct"/>
            <w:shd w:val="clear" w:color="auto" w:fill="auto"/>
            <w:vAlign w:val="center"/>
            <w:hideMark/>
          </w:tcPr>
          <w:p w14:paraId="56D804B4"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96</w:t>
            </w:r>
          </w:p>
        </w:tc>
        <w:tc>
          <w:tcPr>
            <w:tcW w:w="1073" w:type="pct"/>
            <w:shd w:val="clear" w:color="auto" w:fill="auto"/>
            <w:vAlign w:val="center"/>
            <w:hideMark/>
          </w:tcPr>
          <w:p w14:paraId="38394DC0"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189</w:t>
            </w:r>
          </w:p>
        </w:tc>
        <w:tc>
          <w:tcPr>
            <w:tcW w:w="1029" w:type="pct"/>
            <w:shd w:val="clear" w:color="auto" w:fill="auto"/>
            <w:vAlign w:val="center"/>
            <w:hideMark/>
          </w:tcPr>
          <w:p w14:paraId="096888D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19,5%</w:t>
            </w:r>
          </w:p>
        </w:tc>
      </w:tr>
      <w:tr w:rsidR="009D4740" w:rsidRPr="003F30A8" w14:paraId="72DCA1D8" w14:textId="77777777" w:rsidTr="00516F65">
        <w:trPr>
          <w:trHeight w:val="299"/>
          <w:jc w:val="center"/>
        </w:trPr>
        <w:tc>
          <w:tcPr>
            <w:tcW w:w="492" w:type="pct"/>
            <w:shd w:val="clear" w:color="auto" w:fill="auto"/>
            <w:noWrap/>
            <w:vAlign w:val="center"/>
            <w:hideMark/>
          </w:tcPr>
          <w:p w14:paraId="4781F96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EL</w:t>
            </w:r>
          </w:p>
        </w:tc>
        <w:tc>
          <w:tcPr>
            <w:tcW w:w="647" w:type="pct"/>
            <w:shd w:val="clear" w:color="auto" w:fill="auto"/>
            <w:noWrap/>
            <w:vAlign w:val="center"/>
            <w:hideMark/>
          </w:tcPr>
          <w:p w14:paraId="604963F7"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2013 - 2020</w:t>
            </w:r>
          </w:p>
        </w:tc>
        <w:tc>
          <w:tcPr>
            <w:tcW w:w="995" w:type="pct"/>
            <w:shd w:val="clear" w:color="auto" w:fill="auto"/>
            <w:vAlign w:val="center"/>
            <w:hideMark/>
          </w:tcPr>
          <w:p w14:paraId="7A8CF77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16,8</w:t>
            </w:r>
          </w:p>
        </w:tc>
        <w:tc>
          <w:tcPr>
            <w:tcW w:w="764" w:type="pct"/>
            <w:shd w:val="clear" w:color="auto" w:fill="auto"/>
            <w:vAlign w:val="center"/>
            <w:hideMark/>
          </w:tcPr>
          <w:p w14:paraId="0CFF3A7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50</w:t>
            </w:r>
          </w:p>
        </w:tc>
        <w:tc>
          <w:tcPr>
            <w:tcW w:w="1073" w:type="pct"/>
            <w:shd w:val="clear" w:color="auto" w:fill="auto"/>
            <w:vAlign w:val="center"/>
            <w:hideMark/>
          </w:tcPr>
          <w:p w14:paraId="3671FE8E"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196.</w:t>
            </w:r>
            <w:r w:rsidR="00E07823" w:rsidRPr="003F30A8">
              <w:rPr>
                <w:rFonts w:ascii="Times New Roman" w:eastAsia="Times New Roman" w:hAnsi="Times New Roman"/>
                <w:sz w:val="20"/>
                <w:szCs w:val="20"/>
                <w:lang w:eastAsia="en-GB"/>
              </w:rPr>
              <w:t>6</w:t>
            </w:r>
          </w:p>
        </w:tc>
        <w:tc>
          <w:tcPr>
            <w:tcW w:w="1029" w:type="pct"/>
            <w:shd w:val="clear" w:color="auto" w:fill="auto"/>
            <w:vAlign w:val="center"/>
            <w:hideMark/>
          </w:tcPr>
          <w:p w14:paraId="4E3F70F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8,5%</w:t>
            </w:r>
          </w:p>
        </w:tc>
      </w:tr>
      <w:tr w:rsidR="009D4740" w:rsidRPr="003F30A8" w14:paraId="6129C85F" w14:textId="77777777" w:rsidTr="00516F65">
        <w:trPr>
          <w:trHeight w:val="299"/>
          <w:jc w:val="center"/>
        </w:trPr>
        <w:tc>
          <w:tcPr>
            <w:tcW w:w="492" w:type="pct"/>
            <w:shd w:val="clear" w:color="auto" w:fill="auto"/>
            <w:noWrap/>
            <w:vAlign w:val="center"/>
            <w:hideMark/>
          </w:tcPr>
          <w:p w14:paraId="1539C29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LT</w:t>
            </w:r>
          </w:p>
        </w:tc>
        <w:tc>
          <w:tcPr>
            <w:tcW w:w="647" w:type="pct"/>
            <w:shd w:val="clear" w:color="auto" w:fill="auto"/>
            <w:noWrap/>
            <w:vAlign w:val="center"/>
            <w:hideMark/>
          </w:tcPr>
          <w:p w14:paraId="63EA327A"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2014 - 2020</w:t>
            </w:r>
          </w:p>
        </w:tc>
        <w:tc>
          <w:tcPr>
            <w:tcW w:w="995" w:type="pct"/>
            <w:shd w:val="clear" w:color="auto" w:fill="auto"/>
            <w:vAlign w:val="center"/>
            <w:hideMark/>
          </w:tcPr>
          <w:p w14:paraId="2A9F718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w:t>
            </w:r>
            <w:r w:rsidR="00F92EFD" w:rsidRPr="003F30A8">
              <w:rPr>
                <w:rFonts w:ascii="Times New Roman" w:eastAsia="Times New Roman" w:hAnsi="Times New Roman"/>
                <w:sz w:val="20"/>
                <w:szCs w:val="20"/>
                <w:lang w:eastAsia="en-GB"/>
              </w:rPr>
              <w:t>0</w:t>
            </w:r>
            <w:r w:rsidR="004724FA" w:rsidRPr="003F30A8">
              <w:rPr>
                <w:rFonts w:ascii="Times New Roman" w:eastAsia="Times New Roman" w:hAnsi="Times New Roman"/>
                <w:sz w:val="20"/>
                <w:szCs w:val="20"/>
                <w:lang w:eastAsia="en-GB"/>
              </w:rPr>
              <w:t>,</w:t>
            </w:r>
            <w:r w:rsidRPr="003F30A8">
              <w:rPr>
                <w:rFonts w:ascii="Times New Roman" w:eastAsia="Times New Roman" w:hAnsi="Times New Roman"/>
                <w:sz w:val="20"/>
                <w:szCs w:val="20"/>
                <w:lang w:eastAsia="en-GB"/>
              </w:rPr>
              <w:t>24</w:t>
            </w:r>
          </w:p>
        </w:tc>
        <w:tc>
          <w:tcPr>
            <w:tcW w:w="764" w:type="pct"/>
            <w:shd w:val="clear" w:color="auto" w:fill="auto"/>
            <w:vAlign w:val="center"/>
            <w:hideMark/>
          </w:tcPr>
          <w:p w14:paraId="41D3F20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1 </w:t>
            </w:r>
          </w:p>
        </w:tc>
        <w:tc>
          <w:tcPr>
            <w:tcW w:w="1073" w:type="pct"/>
            <w:shd w:val="clear" w:color="auto" w:fill="auto"/>
            <w:vAlign w:val="center"/>
            <w:hideMark/>
          </w:tcPr>
          <w:p w14:paraId="7AF90581"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31.</w:t>
            </w:r>
            <w:r w:rsidR="00E07823" w:rsidRPr="003F30A8">
              <w:rPr>
                <w:rFonts w:ascii="Times New Roman" w:eastAsia="Times New Roman" w:hAnsi="Times New Roman"/>
                <w:sz w:val="20"/>
                <w:szCs w:val="20"/>
                <w:lang w:eastAsia="en-GB"/>
              </w:rPr>
              <w:t>4</w:t>
            </w:r>
          </w:p>
        </w:tc>
        <w:tc>
          <w:tcPr>
            <w:tcW w:w="1029" w:type="pct"/>
            <w:shd w:val="clear" w:color="auto" w:fill="auto"/>
            <w:vAlign w:val="center"/>
            <w:hideMark/>
          </w:tcPr>
          <w:p w14:paraId="3E55159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0,8</w:t>
            </w:r>
            <w:r w:rsidR="00AF696E" w:rsidRPr="003F30A8">
              <w:rPr>
                <w:rFonts w:ascii="Times New Roman" w:eastAsia="Times New Roman" w:hAnsi="Times New Roman"/>
                <w:sz w:val="20"/>
                <w:szCs w:val="20"/>
                <w:lang w:eastAsia="en-GB"/>
              </w:rPr>
              <w:t>%</w:t>
            </w:r>
          </w:p>
        </w:tc>
      </w:tr>
      <w:tr w:rsidR="009D4740" w:rsidRPr="003F30A8" w14:paraId="0E1FA869" w14:textId="77777777" w:rsidTr="00516F65">
        <w:trPr>
          <w:trHeight w:val="299"/>
          <w:jc w:val="center"/>
        </w:trPr>
        <w:tc>
          <w:tcPr>
            <w:tcW w:w="492" w:type="pct"/>
            <w:shd w:val="clear" w:color="auto" w:fill="auto"/>
            <w:noWrap/>
            <w:vAlign w:val="center"/>
            <w:hideMark/>
          </w:tcPr>
          <w:p w14:paraId="1AF8DD2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SK</w:t>
            </w:r>
          </w:p>
        </w:tc>
        <w:tc>
          <w:tcPr>
            <w:tcW w:w="647" w:type="pct"/>
            <w:shd w:val="clear" w:color="auto" w:fill="auto"/>
            <w:noWrap/>
            <w:vAlign w:val="center"/>
            <w:hideMark/>
          </w:tcPr>
          <w:p w14:paraId="5848BF37"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2014 - 2020</w:t>
            </w:r>
          </w:p>
        </w:tc>
        <w:tc>
          <w:tcPr>
            <w:tcW w:w="995" w:type="pct"/>
            <w:shd w:val="clear" w:color="auto" w:fill="auto"/>
            <w:vAlign w:val="center"/>
            <w:hideMark/>
          </w:tcPr>
          <w:p w14:paraId="79DC7499"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10</w:t>
            </w:r>
          </w:p>
        </w:tc>
        <w:tc>
          <w:tcPr>
            <w:tcW w:w="764" w:type="pct"/>
            <w:shd w:val="clear" w:color="auto" w:fill="auto"/>
            <w:vAlign w:val="center"/>
            <w:hideMark/>
          </w:tcPr>
          <w:p w14:paraId="197206B3"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7</w:t>
            </w:r>
          </w:p>
        </w:tc>
        <w:tc>
          <w:tcPr>
            <w:tcW w:w="1073" w:type="pct"/>
            <w:shd w:val="clear" w:color="auto" w:fill="auto"/>
            <w:vAlign w:val="center"/>
            <w:hideMark/>
          </w:tcPr>
          <w:p w14:paraId="4677B0E8"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87</w:t>
            </w:r>
          </w:p>
        </w:tc>
        <w:tc>
          <w:tcPr>
            <w:tcW w:w="1029" w:type="pct"/>
            <w:shd w:val="clear" w:color="auto" w:fill="auto"/>
            <w:vAlign w:val="center"/>
            <w:hideMark/>
          </w:tcPr>
          <w:p w14:paraId="78CA90B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11,4%</w:t>
            </w:r>
          </w:p>
        </w:tc>
      </w:tr>
      <w:tr w:rsidR="009D4740" w:rsidRPr="003F30A8" w14:paraId="4A33C947" w14:textId="77777777" w:rsidTr="00516F65">
        <w:trPr>
          <w:trHeight w:val="299"/>
          <w:jc w:val="center"/>
        </w:trPr>
        <w:tc>
          <w:tcPr>
            <w:tcW w:w="492" w:type="pct"/>
            <w:shd w:val="clear" w:color="auto" w:fill="auto"/>
            <w:noWrap/>
            <w:vAlign w:val="center"/>
            <w:hideMark/>
          </w:tcPr>
          <w:p w14:paraId="6F8C807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FR</w:t>
            </w:r>
          </w:p>
        </w:tc>
        <w:tc>
          <w:tcPr>
            <w:tcW w:w="647" w:type="pct"/>
            <w:shd w:val="clear" w:color="auto" w:fill="auto"/>
            <w:noWrap/>
            <w:vAlign w:val="center"/>
            <w:hideMark/>
          </w:tcPr>
          <w:p w14:paraId="7C29112B"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2015 - 2020</w:t>
            </w:r>
          </w:p>
        </w:tc>
        <w:tc>
          <w:tcPr>
            <w:tcW w:w="995" w:type="pct"/>
            <w:shd w:val="clear" w:color="auto" w:fill="auto"/>
            <w:vAlign w:val="center"/>
            <w:hideMark/>
          </w:tcPr>
          <w:p w14:paraId="4E84AAD0"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98.</w:t>
            </w:r>
            <w:r w:rsidR="00E07823" w:rsidRPr="003F30A8">
              <w:rPr>
                <w:rFonts w:ascii="Times New Roman" w:eastAsia="Times New Roman" w:hAnsi="Times New Roman"/>
                <w:sz w:val="20"/>
                <w:szCs w:val="20"/>
                <w:lang w:eastAsia="en-GB"/>
              </w:rPr>
              <w:t>7</w:t>
            </w:r>
          </w:p>
        </w:tc>
        <w:tc>
          <w:tcPr>
            <w:tcW w:w="764" w:type="pct"/>
            <w:shd w:val="clear" w:color="auto" w:fill="auto"/>
            <w:vAlign w:val="center"/>
            <w:hideMark/>
          </w:tcPr>
          <w:p w14:paraId="5299C1B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296</w:t>
            </w:r>
          </w:p>
        </w:tc>
        <w:tc>
          <w:tcPr>
            <w:tcW w:w="1073" w:type="pct"/>
            <w:shd w:val="clear" w:color="auto" w:fill="auto"/>
            <w:vAlign w:val="center"/>
            <w:hideMark/>
          </w:tcPr>
          <w:p w14:paraId="6FA915EA"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309.</w:t>
            </w:r>
            <w:r w:rsidR="00E07823" w:rsidRPr="003F30A8">
              <w:rPr>
                <w:rFonts w:ascii="Times New Roman" w:eastAsia="Times New Roman" w:hAnsi="Times New Roman"/>
                <w:sz w:val="20"/>
                <w:szCs w:val="20"/>
                <w:lang w:eastAsia="en-GB"/>
              </w:rPr>
              <w:t>8</w:t>
            </w:r>
          </w:p>
        </w:tc>
        <w:tc>
          <w:tcPr>
            <w:tcW w:w="1029" w:type="pct"/>
            <w:shd w:val="clear" w:color="auto" w:fill="auto"/>
            <w:vAlign w:val="center"/>
            <w:hideMark/>
          </w:tcPr>
          <w:p w14:paraId="44BAB80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31,8%</w:t>
            </w:r>
          </w:p>
        </w:tc>
      </w:tr>
      <w:tr w:rsidR="009D4740" w:rsidRPr="003F30A8" w14:paraId="63F6199D" w14:textId="77777777" w:rsidTr="00516F65">
        <w:trPr>
          <w:trHeight w:val="299"/>
          <w:jc w:val="center"/>
        </w:trPr>
        <w:tc>
          <w:tcPr>
            <w:tcW w:w="492" w:type="pct"/>
            <w:shd w:val="clear" w:color="auto" w:fill="auto"/>
            <w:noWrap/>
            <w:vAlign w:val="center"/>
            <w:hideMark/>
          </w:tcPr>
          <w:p w14:paraId="3FBD7A9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FI</w:t>
            </w:r>
          </w:p>
        </w:tc>
        <w:tc>
          <w:tcPr>
            <w:tcW w:w="647" w:type="pct"/>
            <w:shd w:val="clear" w:color="auto" w:fill="auto"/>
            <w:noWrap/>
            <w:vAlign w:val="center"/>
            <w:hideMark/>
          </w:tcPr>
          <w:p w14:paraId="6315C05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2016 - 2020</w:t>
            </w:r>
          </w:p>
        </w:tc>
        <w:tc>
          <w:tcPr>
            <w:tcW w:w="995" w:type="pct"/>
            <w:shd w:val="clear" w:color="auto" w:fill="auto"/>
            <w:noWrap/>
            <w:vAlign w:val="center"/>
            <w:hideMark/>
          </w:tcPr>
          <w:p w14:paraId="548175C4"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26.</w:t>
            </w:r>
            <w:r w:rsidR="00E07823" w:rsidRPr="003F30A8">
              <w:rPr>
                <w:rFonts w:ascii="Times New Roman" w:eastAsia="Times New Roman" w:hAnsi="Times New Roman"/>
                <w:sz w:val="20"/>
                <w:szCs w:val="20"/>
                <w:lang w:eastAsia="en-GB"/>
              </w:rPr>
              <w:t>7</w:t>
            </w:r>
          </w:p>
        </w:tc>
        <w:tc>
          <w:tcPr>
            <w:tcW w:w="764" w:type="pct"/>
            <w:shd w:val="clear" w:color="auto" w:fill="auto"/>
            <w:noWrap/>
            <w:vAlign w:val="center"/>
            <w:hideMark/>
          </w:tcPr>
          <w:p w14:paraId="058FD312"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58</w:t>
            </w:r>
          </w:p>
        </w:tc>
        <w:tc>
          <w:tcPr>
            <w:tcW w:w="1073" w:type="pct"/>
            <w:shd w:val="clear" w:color="auto" w:fill="auto"/>
            <w:vAlign w:val="center"/>
            <w:hideMark/>
          </w:tcPr>
          <w:p w14:paraId="79A11E78"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94.</w:t>
            </w:r>
            <w:r w:rsidR="00E07823" w:rsidRPr="003F30A8">
              <w:rPr>
                <w:rFonts w:ascii="Times New Roman" w:eastAsia="Times New Roman" w:hAnsi="Times New Roman"/>
                <w:sz w:val="20"/>
                <w:szCs w:val="20"/>
                <w:lang w:eastAsia="en-GB"/>
              </w:rPr>
              <w:t>6</w:t>
            </w:r>
          </w:p>
        </w:tc>
        <w:tc>
          <w:tcPr>
            <w:tcW w:w="1029" w:type="pct"/>
            <w:shd w:val="clear" w:color="auto" w:fill="auto"/>
            <w:vAlign w:val="center"/>
            <w:hideMark/>
          </w:tcPr>
          <w:p w14:paraId="351AE5FE"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28,2%</w:t>
            </w:r>
          </w:p>
        </w:tc>
      </w:tr>
      <w:tr w:rsidR="009D4740" w:rsidRPr="003F30A8" w14:paraId="5FD826FD" w14:textId="77777777" w:rsidTr="00516F65">
        <w:trPr>
          <w:trHeight w:val="299"/>
          <w:jc w:val="center"/>
        </w:trPr>
        <w:tc>
          <w:tcPr>
            <w:tcW w:w="492" w:type="pct"/>
            <w:shd w:val="clear" w:color="auto" w:fill="auto"/>
            <w:noWrap/>
            <w:vAlign w:val="center"/>
            <w:hideMark/>
          </w:tcPr>
          <w:p w14:paraId="73417BCA"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ES</w:t>
            </w:r>
          </w:p>
        </w:tc>
        <w:tc>
          <w:tcPr>
            <w:tcW w:w="647" w:type="pct"/>
            <w:shd w:val="clear" w:color="auto" w:fill="auto"/>
            <w:noWrap/>
            <w:vAlign w:val="center"/>
            <w:hideMark/>
          </w:tcPr>
          <w:p w14:paraId="3236F9D5"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2013 - 2015</w:t>
            </w:r>
          </w:p>
        </w:tc>
        <w:tc>
          <w:tcPr>
            <w:tcW w:w="995" w:type="pct"/>
            <w:shd w:val="clear" w:color="auto" w:fill="auto"/>
            <w:noWrap/>
            <w:vAlign w:val="center"/>
            <w:hideMark/>
          </w:tcPr>
          <w:p w14:paraId="021B273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6</w:t>
            </w:r>
          </w:p>
        </w:tc>
        <w:tc>
          <w:tcPr>
            <w:tcW w:w="764" w:type="pct"/>
            <w:shd w:val="clear" w:color="auto" w:fill="auto"/>
            <w:noWrap/>
            <w:vAlign w:val="center"/>
            <w:hideMark/>
          </w:tcPr>
          <w:p w14:paraId="66BB28D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151</w:t>
            </w:r>
          </w:p>
        </w:tc>
        <w:tc>
          <w:tcPr>
            <w:tcW w:w="1073" w:type="pct"/>
            <w:shd w:val="clear" w:color="auto" w:fill="auto"/>
            <w:vAlign w:val="center"/>
            <w:hideMark/>
          </w:tcPr>
          <w:p w14:paraId="351B8A9E"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488.</w:t>
            </w:r>
            <w:r w:rsidR="00E07823" w:rsidRPr="003F30A8">
              <w:rPr>
                <w:rFonts w:ascii="Times New Roman" w:eastAsia="Times New Roman" w:hAnsi="Times New Roman"/>
                <w:sz w:val="20"/>
                <w:szCs w:val="20"/>
                <w:lang w:eastAsia="en-GB"/>
              </w:rPr>
              <w:t>8</w:t>
            </w:r>
          </w:p>
        </w:tc>
        <w:tc>
          <w:tcPr>
            <w:tcW w:w="1029" w:type="pct"/>
            <w:shd w:val="clear" w:color="auto" w:fill="auto"/>
            <w:vAlign w:val="center"/>
            <w:hideMark/>
          </w:tcPr>
          <w:p w14:paraId="7CA1A231"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12,2%</w:t>
            </w:r>
          </w:p>
        </w:tc>
      </w:tr>
      <w:tr w:rsidR="009D4740" w:rsidRPr="004724FA" w14:paraId="6064E2EE" w14:textId="77777777" w:rsidTr="00516F65">
        <w:trPr>
          <w:trHeight w:val="299"/>
          <w:jc w:val="center"/>
        </w:trPr>
        <w:tc>
          <w:tcPr>
            <w:tcW w:w="492" w:type="pct"/>
            <w:shd w:val="clear" w:color="auto" w:fill="auto"/>
            <w:noWrap/>
            <w:vAlign w:val="center"/>
            <w:hideMark/>
          </w:tcPr>
          <w:p w14:paraId="025C950D"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LU</w:t>
            </w:r>
          </w:p>
        </w:tc>
        <w:tc>
          <w:tcPr>
            <w:tcW w:w="647" w:type="pct"/>
            <w:shd w:val="clear" w:color="auto" w:fill="auto"/>
            <w:noWrap/>
            <w:vAlign w:val="center"/>
            <w:hideMark/>
          </w:tcPr>
          <w:p w14:paraId="34CEBEBC"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2018-2020</w:t>
            </w:r>
          </w:p>
        </w:tc>
        <w:tc>
          <w:tcPr>
            <w:tcW w:w="995" w:type="pct"/>
            <w:shd w:val="clear" w:color="auto" w:fill="auto"/>
            <w:noWrap/>
            <w:vAlign w:val="bottom"/>
            <w:hideMark/>
          </w:tcPr>
          <w:p w14:paraId="7A77EFD0"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3.</w:t>
            </w:r>
            <w:r w:rsidR="00E07823" w:rsidRPr="003F30A8">
              <w:rPr>
                <w:rFonts w:ascii="Times New Roman" w:eastAsia="Times New Roman" w:hAnsi="Times New Roman"/>
                <w:sz w:val="20"/>
                <w:szCs w:val="20"/>
                <w:lang w:eastAsia="en-GB"/>
              </w:rPr>
              <w:t>4</w:t>
            </w:r>
          </w:p>
        </w:tc>
        <w:tc>
          <w:tcPr>
            <w:tcW w:w="764" w:type="pct"/>
            <w:shd w:val="clear" w:color="auto" w:fill="auto"/>
            <w:noWrap/>
            <w:vAlign w:val="bottom"/>
            <w:hideMark/>
          </w:tcPr>
          <w:p w14:paraId="6637F446" w14:textId="77777777" w:rsidR="00E07823" w:rsidRPr="003F30A8"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2</w:t>
            </w:r>
          </w:p>
        </w:tc>
        <w:tc>
          <w:tcPr>
            <w:tcW w:w="1073" w:type="pct"/>
            <w:shd w:val="clear" w:color="auto" w:fill="auto"/>
            <w:vAlign w:val="center"/>
            <w:hideMark/>
          </w:tcPr>
          <w:p w14:paraId="0BA3090F" w14:textId="77777777" w:rsidR="00E07823" w:rsidRPr="003F30A8" w:rsidRDefault="00F92EFD"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6.</w:t>
            </w:r>
            <w:r w:rsidR="00E07823" w:rsidRPr="003F30A8">
              <w:rPr>
                <w:rFonts w:ascii="Times New Roman" w:eastAsia="Times New Roman" w:hAnsi="Times New Roman"/>
                <w:sz w:val="20"/>
                <w:szCs w:val="20"/>
                <w:lang w:eastAsia="en-GB"/>
              </w:rPr>
              <w:t>8</w:t>
            </w:r>
          </w:p>
        </w:tc>
        <w:tc>
          <w:tcPr>
            <w:tcW w:w="1029" w:type="pct"/>
            <w:shd w:val="clear" w:color="auto" w:fill="auto"/>
            <w:noWrap/>
            <w:vAlign w:val="bottom"/>
            <w:hideMark/>
          </w:tcPr>
          <w:p w14:paraId="089F3FF2" w14:textId="77777777" w:rsidR="00E07823" w:rsidRPr="00516F65" w:rsidRDefault="00E07823" w:rsidP="00365008">
            <w:pPr>
              <w:spacing w:after="0" w:line="240" w:lineRule="auto"/>
              <w:jc w:val="center"/>
              <w:rPr>
                <w:rFonts w:ascii="Times New Roman" w:eastAsia="Times New Roman" w:hAnsi="Times New Roman"/>
                <w:sz w:val="20"/>
                <w:szCs w:val="20"/>
                <w:lang w:eastAsia="en-GB"/>
              </w:rPr>
            </w:pPr>
            <w:r w:rsidRPr="003F30A8">
              <w:rPr>
                <w:rFonts w:ascii="Times New Roman" w:eastAsia="Times New Roman" w:hAnsi="Times New Roman"/>
                <w:sz w:val="20"/>
                <w:szCs w:val="20"/>
                <w:lang w:eastAsia="en-GB"/>
              </w:rPr>
              <w:t> 50%</w:t>
            </w:r>
          </w:p>
        </w:tc>
      </w:tr>
    </w:tbl>
    <w:p w14:paraId="1962B142" w14:textId="77777777" w:rsidR="004724FA" w:rsidRPr="00516F65" w:rsidRDefault="004724FA" w:rsidP="00E07823">
      <w:pPr>
        <w:jc w:val="both"/>
        <w:rPr>
          <w:rFonts w:ascii="Times New Roman" w:eastAsia="Times New Roman" w:hAnsi="Times New Roman"/>
          <w:noProof/>
          <w:sz w:val="24"/>
          <w:szCs w:val="24"/>
          <w:lang w:val="es-ES" w:eastAsia="de-DE"/>
        </w:rPr>
      </w:pPr>
    </w:p>
    <w:p w14:paraId="7A3700EC" w14:textId="77777777" w:rsidR="00E07823" w:rsidRPr="003F30A8" w:rsidRDefault="00E07823" w:rsidP="00E07823">
      <w:pPr>
        <w:jc w:val="both"/>
        <w:rPr>
          <w:rFonts w:ascii="Times New Roman" w:eastAsia="Times New Roman" w:hAnsi="Times New Roman"/>
          <w:noProof/>
          <w:sz w:val="24"/>
          <w:szCs w:val="24"/>
          <w:lang w:eastAsia="de-DE"/>
        </w:rPr>
      </w:pPr>
      <w:r w:rsidRPr="00171CDC">
        <w:rPr>
          <w:rFonts w:ascii="Times New Roman" w:eastAsia="Times New Roman" w:hAnsi="Times New Roman"/>
          <w:noProof/>
          <w:sz w:val="24"/>
          <w:szCs w:val="24"/>
          <w:lang w:eastAsia="de-DE"/>
        </w:rPr>
        <w:t>The total indirect cost</w:t>
      </w:r>
      <w:r w:rsidR="001B4818">
        <w:rPr>
          <w:rFonts w:ascii="Times New Roman" w:eastAsia="Times New Roman" w:hAnsi="Times New Roman"/>
          <w:noProof/>
          <w:sz w:val="24"/>
          <w:szCs w:val="24"/>
          <w:lang w:eastAsia="de-DE"/>
        </w:rPr>
        <w:t xml:space="preserve"> compensation paid out by the 11</w:t>
      </w:r>
      <w:r w:rsidRPr="00171CDC">
        <w:rPr>
          <w:rFonts w:ascii="Times New Roman" w:eastAsia="Times New Roman" w:hAnsi="Times New Roman"/>
          <w:noProof/>
          <w:sz w:val="24"/>
          <w:szCs w:val="24"/>
          <w:lang w:eastAsia="de-DE"/>
        </w:rPr>
        <w:t xml:space="preserve"> Member States</w:t>
      </w:r>
      <w:r w:rsidR="001B4818">
        <w:rPr>
          <w:rStyle w:val="FootnoteReference"/>
          <w:rFonts w:ascii="Times New Roman" w:eastAsia="Times New Roman" w:hAnsi="Times New Roman"/>
          <w:noProof/>
          <w:sz w:val="24"/>
          <w:szCs w:val="24"/>
          <w:lang w:eastAsia="de-DE"/>
        </w:rPr>
        <w:footnoteReference w:id="34"/>
      </w:r>
      <w:r w:rsidRPr="00171CDC">
        <w:rPr>
          <w:rFonts w:ascii="Times New Roman" w:eastAsia="Times New Roman" w:hAnsi="Times New Roman"/>
          <w:noProof/>
          <w:sz w:val="24"/>
          <w:szCs w:val="24"/>
          <w:lang w:eastAsia="de-DE"/>
        </w:rPr>
        <w:t xml:space="preserve"> in 2018 amounted to about EUR 462 million</w:t>
      </w:r>
      <w:r w:rsidR="00AF696E" w:rsidRPr="00171CDC">
        <w:rPr>
          <w:rFonts w:ascii="Times New Roman" w:eastAsia="Times New Roman" w:hAnsi="Times New Roman"/>
          <w:noProof/>
          <w:sz w:val="24"/>
          <w:szCs w:val="24"/>
          <w:lang w:eastAsia="de-DE"/>
        </w:rPr>
        <w:t xml:space="preserve"> which represents</w:t>
      </w:r>
      <w:r w:rsidR="00513707" w:rsidRPr="003F30A8">
        <w:rPr>
          <w:rFonts w:ascii="Times New Roman" w:eastAsia="Times New Roman" w:hAnsi="Times New Roman"/>
          <w:noProof/>
          <w:sz w:val="24"/>
          <w:szCs w:val="24"/>
          <w:lang w:eastAsia="de-DE"/>
        </w:rPr>
        <w:t xml:space="preserve"> close to 11% </w:t>
      </w:r>
      <w:r w:rsidR="00AF696E" w:rsidRPr="00171CDC">
        <w:rPr>
          <w:rFonts w:ascii="Times New Roman" w:eastAsia="Times New Roman" w:hAnsi="Times New Roman"/>
          <w:noProof/>
          <w:sz w:val="24"/>
          <w:szCs w:val="24"/>
          <w:lang w:eastAsia="de-DE"/>
        </w:rPr>
        <w:t>of the auction revenue of</w:t>
      </w:r>
      <w:r w:rsidR="00273ED1" w:rsidRPr="00171CDC">
        <w:rPr>
          <w:rFonts w:ascii="Times New Roman" w:eastAsia="Times New Roman" w:hAnsi="Times New Roman"/>
          <w:noProof/>
          <w:sz w:val="24"/>
          <w:szCs w:val="24"/>
          <w:lang w:eastAsia="de-DE"/>
        </w:rPr>
        <w:t xml:space="preserve"> </w:t>
      </w:r>
      <w:r w:rsidR="00AF696E" w:rsidRPr="00171CDC">
        <w:rPr>
          <w:rFonts w:ascii="Times New Roman" w:eastAsia="Times New Roman" w:hAnsi="Times New Roman"/>
          <w:noProof/>
          <w:sz w:val="24"/>
          <w:szCs w:val="24"/>
          <w:lang w:eastAsia="de-DE"/>
        </w:rPr>
        <w:t>these Member States</w:t>
      </w:r>
      <w:r w:rsidRPr="003F30A8">
        <w:rPr>
          <w:rFonts w:ascii="Times New Roman" w:eastAsia="Times New Roman" w:hAnsi="Times New Roman"/>
          <w:noProof/>
          <w:sz w:val="24"/>
          <w:szCs w:val="24"/>
          <w:lang w:eastAsia="de-DE"/>
        </w:rPr>
        <w:t>. The Member States in which compensation schemes are in place together account for some 70% of EU GDP. The largest recipients of compensation were</w:t>
      </w:r>
      <w:r w:rsidR="004724FA" w:rsidRPr="003F30A8">
        <w:rPr>
          <w:rFonts w:ascii="Times New Roman" w:eastAsia="Times New Roman" w:hAnsi="Times New Roman"/>
          <w:noProof/>
          <w:sz w:val="24"/>
          <w:szCs w:val="24"/>
          <w:lang w:eastAsia="de-DE"/>
        </w:rPr>
        <w:t xml:space="preserve"> </w:t>
      </w:r>
      <w:r w:rsidRPr="003F30A8">
        <w:rPr>
          <w:rFonts w:ascii="Times New Roman" w:eastAsia="Times New Roman" w:hAnsi="Times New Roman"/>
          <w:noProof/>
          <w:sz w:val="24"/>
          <w:szCs w:val="24"/>
          <w:lang w:eastAsia="de-DE"/>
        </w:rPr>
        <w:t>the chemical sector, the non-ferrous metals sector, and the iron and steel sector.</w:t>
      </w:r>
    </w:p>
    <w:p w14:paraId="2B2B56AC" w14:textId="77777777" w:rsidR="00E07823" w:rsidRPr="003F30A8" w:rsidRDefault="00E07823" w:rsidP="00E07823">
      <w:pPr>
        <w:jc w:val="both"/>
        <w:rPr>
          <w:rFonts w:ascii="Times New Roman" w:eastAsia="Times New Roman" w:hAnsi="Times New Roman"/>
          <w:bCs/>
          <w:i/>
          <w:noProof/>
          <w:sz w:val="24"/>
          <w:szCs w:val="28"/>
        </w:rPr>
      </w:pPr>
      <w:r w:rsidRPr="003F30A8">
        <w:rPr>
          <w:rFonts w:ascii="Times New Roman" w:eastAsia="Times New Roman" w:hAnsi="Times New Roman"/>
          <w:noProof/>
          <w:sz w:val="24"/>
          <w:szCs w:val="24"/>
          <w:lang w:eastAsia="de-DE"/>
        </w:rPr>
        <w:t xml:space="preserve">One of the transparency provisions in the revised EU ETS Directive determines that Member States that have spent more than 25% of their auction revenues on indirect cost compensation in any year have to publish a report setting out the reasons why this amount </w:t>
      </w:r>
      <w:r w:rsidR="00231101">
        <w:rPr>
          <w:rFonts w:ascii="Times New Roman" w:eastAsia="Times New Roman" w:hAnsi="Times New Roman"/>
          <w:noProof/>
          <w:sz w:val="24"/>
          <w:szCs w:val="24"/>
          <w:lang w:eastAsia="de-DE"/>
        </w:rPr>
        <w:t xml:space="preserve">was exceeded. </w:t>
      </w:r>
      <w:r w:rsidR="00231101" w:rsidRPr="001B4818">
        <w:rPr>
          <w:rFonts w:ascii="Times New Roman" w:eastAsia="Times New Roman" w:hAnsi="Times New Roman"/>
          <w:noProof/>
          <w:sz w:val="24"/>
          <w:szCs w:val="24"/>
          <w:lang w:eastAsia="de-DE"/>
        </w:rPr>
        <w:t>Based on the auction revenues for calendar year</w:t>
      </w:r>
      <w:r w:rsidRPr="001B4818">
        <w:rPr>
          <w:rFonts w:ascii="Times New Roman" w:eastAsia="Times New Roman" w:hAnsi="Times New Roman"/>
          <w:noProof/>
          <w:sz w:val="24"/>
          <w:szCs w:val="24"/>
          <w:lang w:eastAsia="de-DE"/>
        </w:rPr>
        <w:t xml:space="preserve"> 2017</w:t>
      </w:r>
      <w:r w:rsidR="00231101" w:rsidRPr="001B4818">
        <w:rPr>
          <w:rFonts w:ascii="Times New Roman" w:eastAsia="Times New Roman" w:hAnsi="Times New Roman"/>
          <w:noProof/>
          <w:sz w:val="24"/>
          <w:szCs w:val="24"/>
          <w:lang w:eastAsia="de-DE"/>
        </w:rPr>
        <w:t>, four countries exceeded the 25% threshold in 2018</w:t>
      </w:r>
      <w:r w:rsidRPr="001B4818">
        <w:rPr>
          <w:rFonts w:ascii="Times New Roman" w:eastAsia="Times New Roman" w:hAnsi="Times New Roman"/>
          <w:noProof/>
          <w:sz w:val="24"/>
          <w:szCs w:val="24"/>
          <w:lang w:eastAsia="de-DE"/>
        </w:rPr>
        <w:t>.</w:t>
      </w:r>
      <w:r w:rsidRPr="001B4818">
        <w:rPr>
          <w:rFonts w:ascii="Times New Roman" w:eastAsia="Times New Roman" w:hAnsi="Times New Roman"/>
          <w:noProof/>
          <w:sz w:val="24"/>
          <w:szCs w:val="24"/>
          <w:vertAlign w:val="superscript"/>
          <w:lang w:eastAsia="de-DE"/>
        </w:rPr>
        <w:footnoteReference w:id="35"/>
      </w:r>
      <w:r w:rsidR="00231101">
        <w:rPr>
          <w:rFonts w:ascii="Times New Roman" w:eastAsia="Times New Roman" w:hAnsi="Times New Roman"/>
          <w:noProof/>
          <w:sz w:val="24"/>
          <w:szCs w:val="24"/>
          <w:lang w:eastAsia="de-DE"/>
        </w:rPr>
        <w:t xml:space="preserve"> </w:t>
      </w:r>
      <w:r w:rsidRPr="003F30A8">
        <w:rPr>
          <w:rFonts w:ascii="Times New Roman" w:eastAsia="Times New Roman" w:hAnsi="Times New Roman"/>
          <w:noProof/>
          <w:sz w:val="24"/>
          <w:szCs w:val="24"/>
          <w:lang w:eastAsia="de-DE"/>
        </w:rPr>
        <w:t xml:space="preserve"> </w:t>
      </w:r>
    </w:p>
    <w:p w14:paraId="38A8BE8E" w14:textId="77777777" w:rsidR="006867CA" w:rsidRPr="00E72EF9" w:rsidRDefault="006867CA" w:rsidP="00DA06E4">
      <w:pPr>
        <w:jc w:val="both"/>
        <w:rPr>
          <w:rFonts w:ascii="Times New Roman" w:eastAsia="Times New Roman" w:hAnsi="Times New Roman"/>
          <w:bCs/>
          <w:noProof/>
          <w:sz w:val="24"/>
          <w:szCs w:val="28"/>
        </w:rPr>
      </w:pPr>
    </w:p>
    <w:p w14:paraId="3CA31EA9" w14:textId="77777777" w:rsidR="005F6BD0" w:rsidRDefault="00A52F4C">
      <w:pPr>
        <w:keepNext/>
        <w:ind w:left="1080"/>
        <w:outlineLvl w:val="3"/>
        <w:rPr>
          <w:rFonts w:ascii="Times New Roman" w:eastAsia="Times New Roman" w:hAnsi="Times New Roman"/>
          <w:noProof/>
          <w:color w:val="000000" w:themeColor="text1"/>
          <w:sz w:val="24"/>
          <w:szCs w:val="24"/>
          <w:lang w:eastAsia="en-GB"/>
        </w:rPr>
      </w:pPr>
      <w:bookmarkStart w:id="36" w:name="_Toc20217733"/>
      <w:r>
        <w:rPr>
          <w:rFonts w:ascii="Times New Roman" w:eastAsia="Times New Roman" w:hAnsi="Times New Roman"/>
          <w:bCs/>
          <w:i/>
          <w:noProof/>
          <w:sz w:val="24"/>
          <w:szCs w:val="28"/>
        </w:rPr>
        <w:t>3</w:t>
      </w:r>
      <w:r w:rsidR="003A348D">
        <w:rPr>
          <w:rFonts w:ascii="Times New Roman" w:eastAsia="Times New Roman" w:hAnsi="Times New Roman"/>
          <w:bCs/>
          <w:i/>
          <w:noProof/>
          <w:sz w:val="24"/>
          <w:szCs w:val="28"/>
        </w:rPr>
        <w:t>.1.2.</w:t>
      </w:r>
      <w:r w:rsidR="00235970">
        <w:rPr>
          <w:rFonts w:ascii="Times New Roman" w:eastAsia="Times New Roman" w:hAnsi="Times New Roman"/>
          <w:bCs/>
          <w:i/>
          <w:noProof/>
          <w:sz w:val="24"/>
          <w:szCs w:val="28"/>
        </w:rPr>
        <w:t>4</w:t>
      </w:r>
      <w:r w:rsidR="003A348D">
        <w:rPr>
          <w:rFonts w:ascii="Times New Roman" w:eastAsia="Times New Roman" w:hAnsi="Times New Roman"/>
          <w:bCs/>
          <w:i/>
          <w:noProof/>
          <w:sz w:val="24"/>
          <w:szCs w:val="28"/>
        </w:rPr>
        <w:t>. Auctioning of allowances</w:t>
      </w:r>
      <w:bookmarkEnd w:id="34"/>
      <w:bookmarkEnd w:id="35"/>
      <w:bookmarkEnd w:id="36"/>
    </w:p>
    <w:p w14:paraId="58DC0166" w14:textId="77777777" w:rsidR="005F6BD0" w:rsidRDefault="003A348D">
      <w:pPr>
        <w:pStyle w:val="a3520normalp11"/>
        <w:spacing w:line="276" w:lineRule="auto"/>
        <w:rPr>
          <w:noProof/>
        </w:rPr>
      </w:pPr>
      <w:r>
        <w:rPr>
          <w:noProof/>
        </w:rPr>
        <mc:AlternateContent>
          <mc:Choice Requires="wps">
            <w:drawing>
              <wp:inline distT="0" distB="0" distL="0" distR="0" wp14:anchorId="6B32014F" wp14:editId="786935B2">
                <wp:extent cx="5719648" cy="1565564"/>
                <wp:effectExtent l="0" t="0" r="14605" b="158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565564"/>
                        </a:xfrm>
                        <a:prstGeom prst="rect">
                          <a:avLst/>
                        </a:prstGeom>
                        <a:solidFill>
                          <a:schemeClr val="bg1">
                            <a:lumMod val="85000"/>
                          </a:schemeClr>
                        </a:solidFill>
                        <a:ln w="12700">
                          <a:solidFill>
                            <a:srgbClr val="000000"/>
                          </a:solidFill>
                          <a:miter lim="800000"/>
                          <a:headEnd/>
                          <a:tailEnd/>
                        </a:ln>
                      </wps:spPr>
                      <wps:txbx>
                        <w:txbxContent>
                          <w:p w14:paraId="13469DBA" w14:textId="77777777" w:rsidR="00516F65" w:rsidRDefault="00516F65">
                            <w:pPr>
                              <w:spacing w:after="120"/>
                              <w:ind w:right="57"/>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In phase 3, auctioning is the default mode for allocating allowances. Primary auctions are governed by the Auctioning Regulation* which specifies the timing, administration and other aspects of how auctions should take place to ensure an open, transparent, harmonised and non-discriminatory process.</w:t>
                            </w:r>
                          </w:p>
                          <w:p w14:paraId="171DAF88" w14:textId="77777777" w:rsidR="00516F65" w:rsidRDefault="00516F65">
                            <w:pPr>
                              <w:spacing w:after="120"/>
                              <w:ind w:right="57"/>
                              <w:jc w:val="both"/>
                              <w:rPr>
                                <w:rFonts w:ascii="Times New Roman" w:eastAsia="Times New Roman" w:hAnsi="Times New Roman"/>
                                <w:sz w:val="18"/>
                                <w:szCs w:val="18"/>
                                <w:lang w:eastAsia="en-GB"/>
                              </w:rPr>
                            </w:pPr>
                            <w:r>
                              <w:rPr>
                                <w:rFonts w:ascii="Times New Roman" w:eastAsia="Times New Roman" w:hAnsi="Times New Roman"/>
                                <w:sz w:val="18"/>
                                <w:szCs w:val="18"/>
                                <w:lang w:eastAsia="en-GB"/>
                              </w:rPr>
                              <w:t>* Commission Regulation (EU) No 1031/2010 of 12 November 2010 on the timing, administration and other aspects of auctioning of greenhouse gas emission allowances pursuant to Directive 2003/87/EC of the European Parliament and of the Council establishing a scheme for greenhouse gas emission allowances trading within the Community, OJ L 302, 18.11.2010, p.1.</w:t>
                            </w:r>
                          </w:p>
                          <w:p w14:paraId="68E3A868" w14:textId="77777777" w:rsidR="00516F65" w:rsidRDefault="00516F65">
                            <w:pPr>
                              <w:pStyle w:val="a3520normalp11"/>
                              <w:spacing w:line="276" w:lineRule="auto"/>
                            </w:pPr>
                          </w:p>
                          <w:p w14:paraId="00C079DF" w14:textId="77777777" w:rsidR="00516F65" w:rsidRDefault="00516F65">
                            <w:pPr>
                              <w:ind w:left="-142" w:firstLine="142"/>
                            </w:pPr>
                          </w:p>
                        </w:txbxContent>
                      </wps:txbx>
                      <wps:bodyPr rot="0" vert="horz" wrap="square" lIns="91440" tIns="45720" rIns="91440" bIns="45720" anchor="t" anchorCtr="0">
                        <a:noAutofit/>
                      </wps:bodyPr>
                    </wps:wsp>
                  </a:graphicData>
                </a:graphic>
              </wp:inline>
            </w:drawing>
          </mc:Choice>
          <mc:Fallback>
            <w:pict>
              <v:shape w14:anchorId="6B32014F" id="_x0000_s1033" type="#_x0000_t202" style="width:450.35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" fillcolor="#d8d8d8 [2732]" strokeweight="1pt">
                <v:textbox>
                  <w:txbxContent>
                    <w:p w14:paraId="13469DBA" w14:textId="77777777" w:rsidR="00516F65" w:rsidRDefault="00516F65">
                      <w:pPr>
                        <w:spacing w:after="120"/>
                        <w:ind w:right="57"/>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In phase 3, auctioning is the default mode for allocating allowances. Primary auctions are governed by the Auctioning Regulation* which specifies the timing, administration and other aspects of how auctions should take place to ensure an open, transparent, harmonised and non-discriminatory process.</w:t>
                      </w:r>
                    </w:p>
                    <w:p w14:paraId="171DAF88" w14:textId="77777777" w:rsidR="00516F65" w:rsidRDefault="00516F65">
                      <w:pPr>
                        <w:spacing w:after="120"/>
                        <w:ind w:right="57"/>
                        <w:jc w:val="both"/>
                        <w:rPr>
                          <w:rFonts w:ascii="Times New Roman" w:eastAsia="Times New Roman" w:hAnsi="Times New Roman"/>
                          <w:sz w:val="18"/>
                          <w:szCs w:val="18"/>
                          <w:lang w:eastAsia="en-GB"/>
                        </w:rPr>
                      </w:pPr>
                      <w:r>
                        <w:rPr>
                          <w:rFonts w:ascii="Times New Roman" w:eastAsia="Times New Roman" w:hAnsi="Times New Roman"/>
                          <w:sz w:val="18"/>
                          <w:szCs w:val="18"/>
                          <w:lang w:eastAsia="en-GB"/>
                        </w:rPr>
                        <w:t>* Commission Regulation (EU) No 1031/2010 of 12 November 2010 on the timing, administration and other aspects of auctioning of greenhouse gas emission allowances pursuant to Directive 2003/87/EC of the European Parliament and of the Council establishing a scheme for greenhouse gas emission allowances trading within the Community, OJ L 302, 18.11.2010, p.1.</w:t>
                      </w:r>
                    </w:p>
                    <w:p w14:paraId="68E3A868" w14:textId="77777777" w:rsidR="00516F65" w:rsidRDefault="00516F65">
                      <w:pPr>
                        <w:pStyle w:val="a3520normalp11"/>
                        <w:spacing w:line="276" w:lineRule="auto"/>
                      </w:pPr>
                    </w:p>
                    <w:p w14:paraId="00C079DF" w14:textId="77777777" w:rsidR="00516F65" w:rsidRDefault="00516F65">
                      <w:pPr>
                        <w:ind w:left="-142" w:firstLine="142"/>
                      </w:pPr>
                    </w:p>
                  </w:txbxContent>
                </v:textbox>
                <w10:anchorlock/>
              </v:shape>
            </w:pict>
          </mc:Fallback>
        </mc:AlternateContent>
      </w:r>
    </w:p>
    <w:p w14:paraId="0B2E9540" w14:textId="77777777" w:rsidR="007B6B06" w:rsidRDefault="007B6B06" w:rsidP="007B6B0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In 2018, the Auctioning Regulation was amended</w:t>
      </w:r>
      <w:r w:rsidR="007E1F8B">
        <w:rPr>
          <w:rStyle w:val="FootnoteReference"/>
          <w:rFonts w:ascii="Times New Roman" w:eastAsia="Times New Roman" w:hAnsi="Times New Roman"/>
          <w:noProof/>
          <w:sz w:val="24"/>
          <w:szCs w:val="24"/>
          <w:lang w:eastAsia="en-GB"/>
        </w:rPr>
        <w:footnoteReference w:id="36"/>
      </w:r>
      <w:r w:rsidRPr="004B4F5B">
        <w:rPr>
          <w:rFonts w:ascii="Times New Roman" w:eastAsia="Times New Roman" w:hAnsi="Times New Roman"/>
          <w:noProof/>
          <w:sz w:val="24"/>
          <w:szCs w:val="24"/>
          <w:lang w:eastAsia="en-GB"/>
        </w:rPr>
        <w:t xml:space="preserve"> to reappoint the European Energy Exchange (‘EEX’) as Germany’s opt-out auction platfo</w:t>
      </w:r>
      <w:r w:rsidR="001A0E42">
        <w:rPr>
          <w:rFonts w:ascii="Times New Roman" w:eastAsia="Times New Roman" w:hAnsi="Times New Roman"/>
          <w:noProof/>
          <w:sz w:val="24"/>
          <w:szCs w:val="24"/>
          <w:lang w:eastAsia="en-GB"/>
        </w:rPr>
        <w:t>rm and to enable the</w:t>
      </w:r>
      <w:r w:rsidRPr="004B4F5B">
        <w:rPr>
          <w:rFonts w:ascii="Times New Roman" w:eastAsia="Times New Roman" w:hAnsi="Times New Roman"/>
          <w:noProof/>
          <w:sz w:val="24"/>
          <w:szCs w:val="24"/>
          <w:lang w:eastAsia="en-GB"/>
        </w:rPr>
        <w:t xml:space="preserve"> monetisation</w:t>
      </w:r>
      <w:r w:rsidR="00143C3B">
        <w:rPr>
          <w:rFonts w:ascii="Times New Roman" w:eastAsia="Times New Roman" w:hAnsi="Times New Roman"/>
          <w:noProof/>
          <w:sz w:val="24"/>
          <w:szCs w:val="24"/>
          <w:lang w:eastAsia="en-GB"/>
        </w:rPr>
        <w:t xml:space="preserve"> </w:t>
      </w:r>
      <w:r w:rsidRPr="004B4F5B">
        <w:rPr>
          <w:rFonts w:ascii="Times New Roman" w:eastAsia="Times New Roman" w:hAnsi="Times New Roman"/>
          <w:noProof/>
          <w:sz w:val="24"/>
          <w:szCs w:val="24"/>
          <w:lang w:eastAsia="en-GB"/>
        </w:rPr>
        <w:t>of a first batch of 50 million allowances fr</w:t>
      </w:r>
      <w:r w:rsidR="001A0E42">
        <w:rPr>
          <w:rFonts w:ascii="Times New Roman" w:eastAsia="Times New Roman" w:hAnsi="Times New Roman"/>
          <w:noProof/>
          <w:sz w:val="24"/>
          <w:szCs w:val="24"/>
          <w:lang w:eastAsia="en-GB"/>
        </w:rPr>
        <w:t>om the Market Stability Reserve</w:t>
      </w:r>
      <w:r w:rsidRPr="004B4F5B">
        <w:rPr>
          <w:rFonts w:ascii="Times New Roman" w:eastAsia="Times New Roman" w:hAnsi="Times New Roman"/>
          <w:noProof/>
          <w:sz w:val="24"/>
          <w:szCs w:val="24"/>
          <w:lang w:eastAsia="en-GB"/>
        </w:rPr>
        <w:t xml:space="preserve"> for the financing of the Innovation Fund</w:t>
      </w:r>
      <w:r w:rsidR="00AA763C">
        <w:rPr>
          <w:rFonts w:ascii="Times New Roman" w:eastAsia="Times New Roman" w:hAnsi="Times New Roman"/>
          <w:noProof/>
          <w:sz w:val="24"/>
          <w:szCs w:val="24"/>
          <w:lang w:eastAsia="en-GB"/>
        </w:rPr>
        <w:t xml:space="preserve"> in 2020</w:t>
      </w:r>
      <w:r w:rsidRPr="004B4F5B">
        <w:rPr>
          <w:rFonts w:ascii="Times New Roman" w:eastAsia="Times New Roman" w:hAnsi="Times New Roman"/>
          <w:noProof/>
          <w:sz w:val="24"/>
          <w:szCs w:val="24"/>
          <w:lang w:eastAsia="en-GB"/>
        </w:rPr>
        <w:t>.</w:t>
      </w:r>
    </w:p>
    <w:p w14:paraId="15208102" w14:textId="77777777" w:rsidR="007E1F8B" w:rsidRPr="004B4F5B" w:rsidRDefault="004724FA" w:rsidP="007B6B06">
      <w:pPr>
        <w:spacing w:after="120"/>
        <w:ind w:right="57"/>
        <w:jc w:val="both"/>
        <w:rPr>
          <w:rFonts w:ascii="Times New Roman" w:eastAsia="Times New Roman" w:hAnsi="Times New Roman"/>
          <w:noProof/>
          <w:sz w:val="24"/>
          <w:szCs w:val="24"/>
          <w:lang w:eastAsia="en-GB"/>
        </w:rPr>
      </w:pPr>
      <w:r w:rsidRPr="003F30A8">
        <w:rPr>
          <w:rFonts w:ascii="Times New Roman" w:eastAsia="Times New Roman" w:hAnsi="Times New Roman"/>
          <w:noProof/>
          <w:sz w:val="24"/>
          <w:szCs w:val="24"/>
          <w:lang w:eastAsia="en-GB"/>
        </w:rPr>
        <w:t>A f</w:t>
      </w:r>
      <w:r w:rsidR="007E1F8B" w:rsidRPr="003F30A8">
        <w:rPr>
          <w:rFonts w:ascii="Times New Roman" w:eastAsia="Times New Roman" w:hAnsi="Times New Roman"/>
          <w:noProof/>
          <w:sz w:val="24"/>
          <w:szCs w:val="24"/>
          <w:lang w:eastAsia="en-GB"/>
        </w:rPr>
        <w:t>urther amendment of the Auctionin</w:t>
      </w:r>
      <w:r w:rsidR="001A0E42" w:rsidRPr="003F30A8">
        <w:rPr>
          <w:rFonts w:ascii="Times New Roman" w:eastAsia="Times New Roman" w:hAnsi="Times New Roman"/>
          <w:noProof/>
          <w:sz w:val="24"/>
          <w:szCs w:val="24"/>
          <w:lang w:eastAsia="en-GB"/>
        </w:rPr>
        <w:t>g Regulatio</w:t>
      </w:r>
      <w:r w:rsidR="00155185" w:rsidRPr="003F30A8">
        <w:rPr>
          <w:rFonts w:ascii="Times New Roman" w:eastAsia="Times New Roman" w:hAnsi="Times New Roman"/>
          <w:noProof/>
          <w:sz w:val="24"/>
          <w:szCs w:val="24"/>
          <w:lang w:eastAsia="en-GB"/>
        </w:rPr>
        <w:t>n</w:t>
      </w:r>
      <w:r w:rsidR="00D3027D">
        <w:rPr>
          <w:rFonts w:ascii="Times New Roman" w:eastAsia="Times New Roman" w:hAnsi="Times New Roman"/>
          <w:noProof/>
          <w:sz w:val="24"/>
          <w:szCs w:val="24"/>
          <w:lang w:eastAsia="en-GB"/>
        </w:rPr>
        <w:t xml:space="preserve"> </w:t>
      </w:r>
      <w:r w:rsidR="00155185" w:rsidRPr="003F30A8">
        <w:rPr>
          <w:rFonts w:ascii="Times New Roman" w:eastAsia="Times New Roman" w:hAnsi="Times New Roman"/>
          <w:noProof/>
          <w:sz w:val="24"/>
          <w:szCs w:val="24"/>
          <w:lang w:eastAsia="en-GB"/>
        </w:rPr>
        <w:t>was</w:t>
      </w:r>
      <w:r w:rsidR="00D3027D">
        <w:rPr>
          <w:rFonts w:ascii="Times New Roman" w:eastAsia="Times New Roman" w:hAnsi="Times New Roman"/>
          <w:noProof/>
          <w:sz w:val="24"/>
          <w:szCs w:val="24"/>
          <w:lang w:eastAsia="en-GB"/>
        </w:rPr>
        <w:t xml:space="preserve"> </w:t>
      </w:r>
      <w:r w:rsidRPr="003F30A8">
        <w:rPr>
          <w:rFonts w:ascii="Times New Roman" w:eastAsia="Times New Roman" w:hAnsi="Times New Roman"/>
          <w:noProof/>
          <w:sz w:val="24"/>
          <w:szCs w:val="24"/>
          <w:lang w:eastAsia="en-GB"/>
        </w:rPr>
        <w:t xml:space="preserve">adopted by the Commission </w:t>
      </w:r>
      <w:r w:rsidR="00155185" w:rsidRPr="003F30A8">
        <w:rPr>
          <w:rFonts w:ascii="Times New Roman" w:eastAsia="Times New Roman" w:hAnsi="Times New Roman"/>
          <w:noProof/>
          <w:sz w:val="24"/>
          <w:szCs w:val="24"/>
          <w:lang w:eastAsia="en-GB"/>
        </w:rPr>
        <w:t xml:space="preserve">in August 2019, </w:t>
      </w:r>
      <w:r w:rsidRPr="003F30A8">
        <w:rPr>
          <w:rFonts w:ascii="Times New Roman" w:eastAsia="Times New Roman" w:hAnsi="Times New Roman"/>
          <w:noProof/>
          <w:sz w:val="24"/>
          <w:szCs w:val="24"/>
          <w:lang w:eastAsia="en-GB"/>
        </w:rPr>
        <w:t xml:space="preserve">in </w:t>
      </w:r>
      <w:r w:rsidR="001A0E42" w:rsidRPr="003F30A8">
        <w:rPr>
          <w:rFonts w:ascii="Times New Roman" w:eastAsia="Times New Roman" w:hAnsi="Times New Roman"/>
          <w:noProof/>
          <w:sz w:val="24"/>
          <w:szCs w:val="24"/>
          <w:lang w:eastAsia="en-GB"/>
        </w:rPr>
        <w:t xml:space="preserve">order </w:t>
      </w:r>
      <w:r w:rsidR="007E1F8B" w:rsidRPr="003F30A8">
        <w:rPr>
          <w:rFonts w:ascii="Times New Roman" w:eastAsia="Times New Roman" w:hAnsi="Times New Roman"/>
          <w:noProof/>
          <w:sz w:val="24"/>
          <w:szCs w:val="24"/>
          <w:lang w:eastAsia="en-GB"/>
        </w:rPr>
        <w:t xml:space="preserve">to </w:t>
      </w:r>
      <w:r w:rsidR="00AA763C" w:rsidRPr="003F30A8">
        <w:rPr>
          <w:rFonts w:ascii="Times New Roman" w:eastAsia="Times New Roman" w:hAnsi="Times New Roman"/>
          <w:noProof/>
          <w:sz w:val="24"/>
          <w:szCs w:val="24"/>
          <w:lang w:eastAsia="en-GB"/>
        </w:rPr>
        <w:t xml:space="preserve">establish the framework for </w:t>
      </w:r>
      <w:r w:rsidR="007E1F8B" w:rsidRPr="003F30A8">
        <w:rPr>
          <w:rFonts w:ascii="Times New Roman" w:eastAsia="Times New Roman" w:hAnsi="Times New Roman"/>
          <w:noProof/>
          <w:sz w:val="24"/>
          <w:szCs w:val="24"/>
          <w:lang w:eastAsia="en-GB"/>
        </w:rPr>
        <w:t xml:space="preserve">the auctioning of allowances </w:t>
      </w:r>
      <w:r w:rsidR="00AA763C" w:rsidRPr="003F30A8">
        <w:rPr>
          <w:rFonts w:ascii="Times New Roman" w:eastAsia="Times New Roman" w:hAnsi="Times New Roman"/>
          <w:noProof/>
          <w:sz w:val="24"/>
          <w:szCs w:val="24"/>
          <w:lang w:eastAsia="en-GB"/>
        </w:rPr>
        <w:t xml:space="preserve">and the management of projects under </w:t>
      </w:r>
      <w:r w:rsidR="007E1F8B" w:rsidRPr="003F30A8">
        <w:rPr>
          <w:rFonts w:ascii="Times New Roman" w:eastAsia="Times New Roman" w:hAnsi="Times New Roman"/>
          <w:noProof/>
          <w:sz w:val="24"/>
          <w:szCs w:val="24"/>
          <w:lang w:eastAsia="en-GB"/>
        </w:rPr>
        <w:t>the Innovation Fund and the</w:t>
      </w:r>
      <w:r w:rsidR="00FC1AE0" w:rsidRPr="003F30A8">
        <w:rPr>
          <w:rFonts w:ascii="Times New Roman" w:eastAsia="Times New Roman" w:hAnsi="Times New Roman"/>
          <w:noProof/>
          <w:sz w:val="24"/>
          <w:szCs w:val="24"/>
          <w:lang w:eastAsia="en-GB"/>
        </w:rPr>
        <w:t xml:space="preserve"> Modernisation Fund</w:t>
      </w:r>
      <w:r w:rsidR="00AA763C" w:rsidRPr="003F30A8">
        <w:rPr>
          <w:rFonts w:ascii="Times New Roman" w:eastAsia="Times New Roman" w:hAnsi="Times New Roman"/>
          <w:noProof/>
          <w:sz w:val="24"/>
          <w:szCs w:val="24"/>
          <w:lang w:eastAsia="en-GB"/>
        </w:rPr>
        <w:t xml:space="preserve"> in phase 4</w:t>
      </w:r>
      <w:r w:rsidR="00155185" w:rsidRPr="003F30A8">
        <w:rPr>
          <w:rFonts w:ascii="Times New Roman" w:eastAsia="Times New Roman" w:hAnsi="Times New Roman"/>
          <w:noProof/>
          <w:sz w:val="24"/>
          <w:szCs w:val="24"/>
          <w:lang w:eastAsia="en-GB"/>
        </w:rPr>
        <w:t>. The amendment also reflects</w:t>
      </w:r>
      <w:r w:rsidR="00D3027D">
        <w:rPr>
          <w:rFonts w:ascii="Times New Roman" w:eastAsia="Times New Roman" w:hAnsi="Times New Roman"/>
          <w:noProof/>
          <w:sz w:val="24"/>
          <w:szCs w:val="24"/>
          <w:lang w:eastAsia="en-GB"/>
        </w:rPr>
        <w:t xml:space="preserve"> </w:t>
      </w:r>
      <w:r w:rsidR="007E1F8B" w:rsidRPr="003F30A8">
        <w:rPr>
          <w:rFonts w:ascii="Times New Roman" w:eastAsia="Times New Roman" w:hAnsi="Times New Roman"/>
          <w:noProof/>
          <w:sz w:val="24"/>
          <w:szCs w:val="24"/>
          <w:lang w:eastAsia="en-GB"/>
        </w:rPr>
        <w:t>the classification of EU ETS allo</w:t>
      </w:r>
      <w:r w:rsidR="00FC1AE0" w:rsidRPr="003F30A8">
        <w:rPr>
          <w:rFonts w:ascii="Times New Roman" w:eastAsia="Times New Roman" w:hAnsi="Times New Roman"/>
          <w:noProof/>
          <w:sz w:val="24"/>
          <w:szCs w:val="24"/>
          <w:lang w:eastAsia="en-GB"/>
        </w:rPr>
        <w:t>wances as financial instruments</w:t>
      </w:r>
      <w:r w:rsidR="007E1F8B" w:rsidRPr="003F30A8">
        <w:rPr>
          <w:rFonts w:ascii="Times New Roman" w:eastAsia="Times New Roman" w:hAnsi="Times New Roman"/>
          <w:noProof/>
          <w:sz w:val="24"/>
          <w:szCs w:val="24"/>
          <w:lang w:eastAsia="en-GB"/>
        </w:rPr>
        <w:t xml:space="preserve"> under Directive 2014/65/EU on markets in</w:t>
      </w:r>
      <w:r w:rsidR="00C805C9" w:rsidRPr="003F30A8">
        <w:rPr>
          <w:rFonts w:ascii="Times New Roman" w:eastAsia="Times New Roman" w:hAnsi="Times New Roman"/>
          <w:noProof/>
          <w:sz w:val="24"/>
          <w:szCs w:val="24"/>
          <w:lang w:eastAsia="en-GB"/>
        </w:rPr>
        <w:t xml:space="preserve"> financial instruments (MiFID2)</w:t>
      </w:r>
      <w:r w:rsidR="00AA763C" w:rsidRPr="003F30A8">
        <w:rPr>
          <w:rFonts w:ascii="Times New Roman" w:eastAsia="Times New Roman" w:hAnsi="Times New Roman"/>
          <w:noProof/>
          <w:sz w:val="24"/>
          <w:szCs w:val="24"/>
          <w:lang w:eastAsia="en-GB"/>
        </w:rPr>
        <w:t>.</w:t>
      </w:r>
    </w:p>
    <w:p w14:paraId="1B01EB84" w14:textId="77777777" w:rsidR="008D0DEA" w:rsidRDefault="005C40E5">
      <w:pPr>
        <w:spacing w:after="120"/>
        <w:ind w:right="57"/>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w:t>
      </w:r>
      <w:r w:rsidRPr="005C40E5">
        <w:rPr>
          <w:rFonts w:ascii="Times New Roman" w:eastAsia="Times New Roman" w:hAnsi="Times New Roman"/>
          <w:noProof/>
          <w:sz w:val="24"/>
          <w:szCs w:val="24"/>
          <w:lang w:eastAsia="en-GB"/>
        </w:rPr>
        <w:t>n accordance with the safeguard measures adopted to protect the environ</w:t>
      </w:r>
      <w:r w:rsidR="00B83449">
        <w:rPr>
          <w:rFonts w:ascii="Times New Roman" w:eastAsia="Times New Roman" w:hAnsi="Times New Roman"/>
          <w:noProof/>
          <w:sz w:val="24"/>
          <w:szCs w:val="24"/>
          <w:lang w:eastAsia="en-GB"/>
        </w:rPr>
        <w:t>mental integrity of the EU ETS</w:t>
      </w:r>
      <w:r w:rsidR="005E0796">
        <w:rPr>
          <w:rFonts w:ascii="Times New Roman" w:eastAsia="Times New Roman" w:hAnsi="Times New Roman"/>
          <w:noProof/>
          <w:sz w:val="24"/>
          <w:szCs w:val="24"/>
          <w:lang w:eastAsia="en-GB"/>
        </w:rPr>
        <w:t xml:space="preserve"> (see chapte</w:t>
      </w:r>
      <w:r w:rsidR="00CD0154">
        <w:rPr>
          <w:rFonts w:ascii="Times New Roman" w:eastAsia="Times New Roman" w:hAnsi="Times New Roman"/>
          <w:noProof/>
          <w:sz w:val="24"/>
          <w:szCs w:val="24"/>
          <w:lang w:eastAsia="en-GB"/>
        </w:rPr>
        <w:t>r 2.2</w:t>
      </w:r>
      <w:r w:rsidR="005E0796">
        <w:rPr>
          <w:rFonts w:ascii="Times New Roman" w:eastAsia="Times New Roman" w:hAnsi="Times New Roman"/>
          <w:noProof/>
          <w:sz w:val="24"/>
          <w:szCs w:val="24"/>
          <w:lang w:eastAsia="en-GB"/>
        </w:rPr>
        <w:t>)</w:t>
      </w:r>
      <w:r w:rsidR="008D0DEA">
        <w:rPr>
          <w:rFonts w:ascii="Times New Roman" w:eastAsia="Times New Roman" w:hAnsi="Times New Roman"/>
          <w:noProof/>
          <w:sz w:val="24"/>
          <w:szCs w:val="24"/>
          <w:lang w:eastAsia="en-GB"/>
        </w:rPr>
        <w:t>, a</w:t>
      </w:r>
      <w:r w:rsidR="008D0DEA" w:rsidRPr="008D0DEA">
        <w:rPr>
          <w:rFonts w:ascii="Times New Roman" w:eastAsia="Times New Roman" w:hAnsi="Times New Roman"/>
          <w:noProof/>
          <w:sz w:val="24"/>
          <w:szCs w:val="24"/>
          <w:lang w:eastAsia="en-GB"/>
        </w:rPr>
        <w:t>llowances issued by the U</w:t>
      </w:r>
      <w:r w:rsidR="008D0DEA">
        <w:rPr>
          <w:rFonts w:ascii="Times New Roman" w:eastAsia="Times New Roman" w:hAnsi="Times New Roman"/>
          <w:noProof/>
          <w:sz w:val="24"/>
          <w:szCs w:val="24"/>
          <w:lang w:eastAsia="en-GB"/>
        </w:rPr>
        <w:t xml:space="preserve">nited </w:t>
      </w:r>
      <w:r w:rsidR="008D0DEA" w:rsidRPr="008D0DEA">
        <w:rPr>
          <w:rFonts w:ascii="Times New Roman" w:eastAsia="Times New Roman" w:hAnsi="Times New Roman"/>
          <w:noProof/>
          <w:sz w:val="24"/>
          <w:szCs w:val="24"/>
          <w:lang w:eastAsia="en-GB"/>
        </w:rPr>
        <w:t>K</w:t>
      </w:r>
      <w:r w:rsidR="008D0DEA">
        <w:rPr>
          <w:rFonts w:ascii="Times New Roman" w:eastAsia="Times New Roman" w:hAnsi="Times New Roman"/>
          <w:noProof/>
          <w:sz w:val="24"/>
          <w:szCs w:val="24"/>
          <w:lang w:eastAsia="en-GB"/>
        </w:rPr>
        <w:t>ingdom</w:t>
      </w:r>
      <w:r w:rsidR="008D0DEA" w:rsidRPr="008D0DEA">
        <w:rPr>
          <w:rFonts w:ascii="Times New Roman" w:eastAsia="Times New Roman" w:hAnsi="Times New Roman"/>
          <w:noProof/>
          <w:sz w:val="24"/>
          <w:szCs w:val="24"/>
          <w:lang w:eastAsia="en-GB"/>
        </w:rPr>
        <w:t xml:space="preserve"> for 2018 were accepted for surrender, but no allowances have been aucti</w:t>
      </w:r>
      <w:r w:rsidR="008D0DEA">
        <w:rPr>
          <w:rFonts w:ascii="Times New Roman" w:eastAsia="Times New Roman" w:hAnsi="Times New Roman"/>
          <w:noProof/>
          <w:sz w:val="24"/>
          <w:szCs w:val="24"/>
          <w:lang w:eastAsia="en-GB"/>
        </w:rPr>
        <w:t>oned in 2019 on behalf of the United Kingdom</w:t>
      </w:r>
      <w:r w:rsidR="008D0DEA" w:rsidRPr="008D0DEA">
        <w:rPr>
          <w:rFonts w:ascii="Times New Roman" w:eastAsia="Times New Roman" w:hAnsi="Times New Roman"/>
          <w:noProof/>
          <w:sz w:val="24"/>
          <w:szCs w:val="24"/>
          <w:lang w:eastAsia="en-GB"/>
        </w:rPr>
        <w:t>.</w:t>
      </w:r>
    </w:p>
    <w:p w14:paraId="33B4ECDD" w14:textId="77777777" w:rsidR="00D20456" w:rsidRPr="004B4F5B" w:rsidRDefault="00D20456" w:rsidP="00D2045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 xml:space="preserve">The auctions </w:t>
      </w:r>
      <w:r w:rsidR="00AA763C">
        <w:rPr>
          <w:rFonts w:ascii="Times New Roman" w:eastAsia="Times New Roman" w:hAnsi="Times New Roman"/>
          <w:noProof/>
          <w:sz w:val="24"/>
          <w:szCs w:val="24"/>
          <w:lang w:eastAsia="en-GB"/>
        </w:rPr>
        <w:t xml:space="preserve">in 2018 </w:t>
      </w:r>
      <w:r w:rsidRPr="004B4F5B">
        <w:rPr>
          <w:rFonts w:ascii="Times New Roman" w:eastAsia="Times New Roman" w:hAnsi="Times New Roman"/>
          <w:noProof/>
          <w:sz w:val="24"/>
          <w:szCs w:val="24"/>
          <w:lang w:eastAsia="en-GB"/>
        </w:rPr>
        <w:t>took place through the following auction platforms:</w:t>
      </w:r>
    </w:p>
    <w:p w14:paraId="3EEF9FD2" w14:textId="77777777" w:rsidR="00D20456" w:rsidRPr="004B4F5B" w:rsidRDefault="00D20456" w:rsidP="00D20456">
      <w:pPr>
        <w:numPr>
          <w:ilvl w:val="0"/>
          <w:numId w:val="2"/>
        </w:num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 xml:space="preserve">EEX, auctioning as the common auction platform for 25 Member States participating in a joint procurement procedure, and for Poland, which opted-out from the joint procurement procedure but has not appointed a separate auction platform. As of 5 September 2016, EEX has been conducting auctions as the second common auction platform appointed on 13 July 2016; </w:t>
      </w:r>
    </w:p>
    <w:p w14:paraId="09D30459" w14:textId="77777777" w:rsidR="00D20456" w:rsidRPr="004B4F5B" w:rsidRDefault="00D20456" w:rsidP="00D20456">
      <w:pPr>
        <w:numPr>
          <w:ilvl w:val="0"/>
          <w:numId w:val="2"/>
        </w:num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EEX, auctioning for Germany as an 'opt-out' auction platform;</w:t>
      </w:r>
    </w:p>
    <w:p w14:paraId="7F5A81A0" w14:textId="77777777" w:rsidR="00D20456" w:rsidRPr="004B4F5B" w:rsidRDefault="00D20456" w:rsidP="00D20456">
      <w:pPr>
        <w:numPr>
          <w:ilvl w:val="0"/>
          <w:numId w:val="2"/>
        </w:num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ICE, auctioning for the UK as an 'opt-out' auction platform.</w:t>
      </w:r>
    </w:p>
    <w:p w14:paraId="4E2BD946" w14:textId="77777777" w:rsidR="00D20456" w:rsidRPr="004B4F5B" w:rsidRDefault="00D20456" w:rsidP="00D2045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Iceland, Liechtenstein and Norway have started to auction allowances in June 2019, after the  EEA Agreement was amended to allow them to participate in the Joint Procurement Agreement for the common auction platform.</w:t>
      </w:r>
      <w:r w:rsidR="00007933" w:rsidRPr="00007933">
        <w:t xml:space="preserve"> </w:t>
      </w:r>
      <w:r w:rsidR="00C80F63" w:rsidRPr="00516F65">
        <w:rPr>
          <w:rFonts w:ascii="Times New Roman" w:eastAsia="Times New Roman" w:hAnsi="Times New Roman"/>
          <w:noProof/>
          <w:sz w:val="24"/>
          <w:szCs w:val="24"/>
          <w:lang w:eastAsia="en-GB"/>
        </w:rPr>
        <w:t xml:space="preserve">In agreement with the three countries, the auction volumes for </w:t>
      </w:r>
      <w:r w:rsidR="00007933" w:rsidRPr="00516F65">
        <w:rPr>
          <w:rFonts w:ascii="Times New Roman" w:eastAsia="Times New Roman" w:hAnsi="Times New Roman"/>
          <w:noProof/>
          <w:sz w:val="24"/>
          <w:szCs w:val="24"/>
          <w:lang w:eastAsia="en-GB"/>
        </w:rPr>
        <w:t>2013-2018 have been spread over the years 2019 and 2020</w:t>
      </w:r>
      <w:r w:rsidR="004724FA">
        <w:rPr>
          <w:rFonts w:ascii="Times New Roman" w:eastAsia="Times New Roman" w:hAnsi="Times New Roman"/>
          <w:noProof/>
          <w:sz w:val="24"/>
          <w:szCs w:val="24"/>
          <w:lang w:eastAsia="en-GB"/>
        </w:rPr>
        <w:t xml:space="preserve"> </w:t>
      </w:r>
      <w:r w:rsidR="00007933" w:rsidRPr="00516F65">
        <w:rPr>
          <w:rFonts w:ascii="Times New Roman" w:eastAsia="Times New Roman" w:hAnsi="Times New Roman"/>
          <w:noProof/>
          <w:sz w:val="24"/>
          <w:szCs w:val="24"/>
          <w:lang w:eastAsia="en-GB"/>
        </w:rPr>
        <w:t xml:space="preserve">to ensure a stable and predictable supply of allowances to the market and to avoid any adverse effects on the carbon market due to this additional supply. The revised 2019 and 2020 auction calendars thus include part of the previous volumes </w:t>
      </w:r>
      <w:r w:rsidR="00C80F63" w:rsidRPr="00516F65">
        <w:rPr>
          <w:rFonts w:ascii="Times New Roman" w:eastAsia="Times New Roman" w:hAnsi="Times New Roman"/>
          <w:noProof/>
          <w:sz w:val="24"/>
          <w:szCs w:val="24"/>
          <w:lang w:eastAsia="en-GB"/>
        </w:rPr>
        <w:t xml:space="preserve">which were </w:t>
      </w:r>
      <w:r w:rsidR="00007933" w:rsidRPr="00516F65">
        <w:rPr>
          <w:rFonts w:ascii="Times New Roman" w:eastAsia="Times New Roman" w:hAnsi="Times New Roman"/>
          <w:noProof/>
          <w:sz w:val="24"/>
          <w:szCs w:val="24"/>
          <w:lang w:eastAsia="en-GB"/>
        </w:rPr>
        <w:t>withheld from the auctions.</w:t>
      </w:r>
    </w:p>
    <w:p w14:paraId="033B3FE7" w14:textId="77777777" w:rsidR="00D20456" w:rsidRDefault="00D20456" w:rsidP="00D20456">
      <w:pPr>
        <w:spacing w:after="120"/>
        <w:ind w:right="57"/>
        <w:jc w:val="both"/>
        <w:rPr>
          <w:rFonts w:ascii="Times New Roman" w:eastAsia="Times New Roman" w:hAnsi="Times New Roman"/>
          <w:noProof/>
          <w:sz w:val="24"/>
          <w:szCs w:val="24"/>
          <w:lang w:eastAsia="en-GB"/>
        </w:rPr>
      </w:pPr>
      <w:r w:rsidRPr="004B4F5B">
        <w:rPr>
          <w:rFonts w:ascii="Times New Roman" w:eastAsia="Times New Roman" w:hAnsi="Times New Roman"/>
          <w:noProof/>
          <w:sz w:val="24"/>
          <w:szCs w:val="24"/>
          <w:lang w:eastAsia="en-GB"/>
        </w:rPr>
        <w:t>In 2018, EEX, auctioning on behalf of its 27 Member States</w:t>
      </w:r>
      <w:r w:rsidR="005E0796">
        <w:rPr>
          <w:rFonts w:ascii="Times New Roman" w:eastAsia="Times New Roman" w:hAnsi="Times New Roman"/>
          <w:noProof/>
          <w:sz w:val="24"/>
          <w:szCs w:val="24"/>
          <w:lang w:eastAsia="en-GB"/>
        </w:rPr>
        <w:t>,</w:t>
      </w:r>
      <w:r w:rsidRPr="004B4F5B">
        <w:rPr>
          <w:rFonts w:ascii="Times New Roman" w:eastAsia="Times New Roman" w:hAnsi="Times New Roman"/>
          <w:noProof/>
          <w:sz w:val="24"/>
          <w:szCs w:val="24"/>
          <w:lang w:eastAsia="en-GB"/>
        </w:rPr>
        <w:t xml:space="preserve"> aucti</w:t>
      </w:r>
      <w:r w:rsidR="005E0796">
        <w:rPr>
          <w:rFonts w:ascii="Times New Roman" w:eastAsia="Times New Roman" w:hAnsi="Times New Roman"/>
          <w:noProof/>
          <w:sz w:val="24"/>
          <w:szCs w:val="24"/>
          <w:lang w:eastAsia="en-GB"/>
        </w:rPr>
        <w:t xml:space="preserve">oned 89% of the total auctioned </w:t>
      </w:r>
      <w:r w:rsidRPr="004B4F5B">
        <w:rPr>
          <w:rFonts w:ascii="Times New Roman" w:eastAsia="Times New Roman" w:hAnsi="Times New Roman"/>
          <w:noProof/>
          <w:sz w:val="24"/>
          <w:szCs w:val="24"/>
          <w:lang w:eastAsia="en-GB"/>
        </w:rPr>
        <w:t>amount, while ICE auctioned 11% of the total amount on behalf of the UK. More than 1480 auctions were held by 30 June 2019.</w:t>
      </w:r>
      <w:r>
        <w:rPr>
          <w:rFonts w:ascii="Times New Roman" w:eastAsia="Times New Roman" w:hAnsi="Times New Roman"/>
          <w:noProof/>
          <w:sz w:val="24"/>
          <w:szCs w:val="24"/>
          <w:lang w:eastAsia="en-GB"/>
        </w:rPr>
        <w:t xml:space="preserve"> </w:t>
      </w:r>
    </w:p>
    <w:p w14:paraId="130F42DC" w14:textId="77777777" w:rsidR="007F5B1E" w:rsidRDefault="003A348D" w:rsidP="007F5B1E">
      <w:pPr>
        <w:spacing w:after="0"/>
        <w:ind w:right="57"/>
        <w:jc w:val="both"/>
        <w:rPr>
          <w:rFonts w:ascii="Times New Roman" w:eastAsia="Times New Roman" w:hAnsi="Times New Roman"/>
          <w:noProof/>
          <w:sz w:val="24"/>
          <w:szCs w:val="24"/>
          <w:lang w:eastAsia="en-GB"/>
        </w:rPr>
      </w:pPr>
      <w:r w:rsidRPr="002802C4">
        <w:rPr>
          <w:rFonts w:ascii="Times New Roman" w:eastAsia="Times New Roman" w:hAnsi="Times New Roman"/>
          <w:noProof/>
          <w:sz w:val="24"/>
          <w:szCs w:val="24"/>
          <w:lang w:eastAsia="en-GB"/>
        </w:rPr>
        <w:t xml:space="preserve">Table </w:t>
      </w:r>
      <w:r w:rsidR="00DC3851" w:rsidRPr="002802C4">
        <w:rPr>
          <w:rFonts w:ascii="Times New Roman" w:eastAsia="Times New Roman" w:hAnsi="Times New Roman"/>
          <w:noProof/>
          <w:sz w:val="24"/>
          <w:szCs w:val="24"/>
          <w:lang w:eastAsia="en-GB"/>
        </w:rPr>
        <w:t>5</w:t>
      </w:r>
      <w:r w:rsidRPr="002802C4">
        <w:rPr>
          <w:rFonts w:ascii="Times New Roman" w:eastAsia="Times New Roman" w:hAnsi="Times New Roman"/>
          <w:noProof/>
          <w:sz w:val="24"/>
          <w:szCs w:val="24"/>
          <w:lang w:eastAsia="en-GB"/>
        </w:rPr>
        <w:t xml:space="preserve"> provides</w:t>
      </w:r>
      <w:r>
        <w:rPr>
          <w:rFonts w:ascii="Times New Roman" w:eastAsia="Times New Roman" w:hAnsi="Times New Roman"/>
          <w:noProof/>
          <w:sz w:val="24"/>
          <w:szCs w:val="24"/>
          <w:lang w:eastAsia="en-GB"/>
        </w:rPr>
        <w:t xml:space="preserve"> an overview of the volumes of allowances</w:t>
      </w:r>
      <w:r>
        <w:rPr>
          <w:rStyle w:val="FootnoteReference"/>
          <w:rFonts w:ascii="Times New Roman" w:eastAsia="Times New Roman" w:hAnsi="Times New Roman"/>
          <w:noProof/>
          <w:sz w:val="24"/>
          <w:szCs w:val="24"/>
          <w:lang w:eastAsia="en-GB"/>
        </w:rPr>
        <w:footnoteReference w:id="37"/>
      </w:r>
      <w:r>
        <w:rPr>
          <w:rFonts w:ascii="Times New Roman" w:eastAsia="Times New Roman" w:hAnsi="Times New Roman"/>
          <w:noProof/>
          <w:sz w:val="24"/>
          <w:szCs w:val="24"/>
          <w:lang w:eastAsia="en-GB"/>
        </w:rPr>
        <w:t xml:space="preserve"> auctioned by EEX and ICE up to 30 June 201</w:t>
      </w:r>
      <w:r w:rsidR="00D20456">
        <w:rPr>
          <w:rFonts w:ascii="Times New Roman" w:eastAsia="Times New Roman" w:hAnsi="Times New Roman"/>
          <w:noProof/>
          <w:sz w:val="24"/>
          <w:szCs w:val="24"/>
          <w:lang w:eastAsia="en-GB"/>
        </w:rPr>
        <w:t>9</w:t>
      </w:r>
      <w:r>
        <w:rPr>
          <w:rFonts w:ascii="Times New Roman" w:eastAsia="Times New Roman" w:hAnsi="Times New Roman"/>
          <w:noProof/>
          <w:sz w:val="24"/>
          <w:szCs w:val="24"/>
          <w:lang w:eastAsia="en-GB"/>
        </w:rPr>
        <w:t>, including early auctions</w:t>
      </w:r>
      <w:r>
        <w:rPr>
          <w:rFonts w:ascii="Times New Roman" w:eastAsia="Times New Roman" w:hAnsi="Times New Roman"/>
          <w:noProof/>
          <w:sz w:val="24"/>
          <w:szCs w:val="24"/>
          <w:vertAlign w:val="superscript"/>
          <w:lang w:eastAsia="en-GB"/>
        </w:rPr>
        <w:footnoteReference w:id="38"/>
      </w:r>
      <w:r>
        <w:rPr>
          <w:rFonts w:ascii="Times New Roman" w:eastAsia="Times New Roman" w:hAnsi="Times New Roman"/>
          <w:noProof/>
          <w:sz w:val="24"/>
          <w:szCs w:val="24"/>
          <w:lang w:eastAsia="en-GB"/>
        </w:rPr>
        <w:t xml:space="preserve"> of general allowances. </w:t>
      </w:r>
    </w:p>
    <w:p w14:paraId="4B849F68" w14:textId="77777777" w:rsidR="007F5B1E" w:rsidRDefault="007F5B1E" w:rsidP="007F5B1E">
      <w:pPr>
        <w:spacing w:after="0"/>
        <w:ind w:right="57"/>
        <w:jc w:val="both"/>
        <w:rPr>
          <w:rFonts w:ascii="Times New Roman" w:eastAsia="Times New Roman" w:hAnsi="Times New Roman"/>
          <w:noProof/>
          <w:sz w:val="24"/>
          <w:szCs w:val="24"/>
          <w:lang w:eastAsia="en-GB"/>
        </w:rPr>
      </w:pPr>
    </w:p>
    <w:p w14:paraId="39E42D14" w14:textId="77777777" w:rsidR="005F6BD0" w:rsidRDefault="003A348D">
      <w:pPr>
        <w:keepNext/>
        <w:rPr>
          <w:rFonts w:ascii="Times New Roman" w:hAnsi="Times New Roman"/>
          <w:b/>
          <w:bCs/>
          <w:noProof/>
        </w:rPr>
      </w:pPr>
      <w:r>
        <w:rPr>
          <w:rFonts w:ascii="Times New Roman" w:hAnsi="Times New Roman"/>
          <w:b/>
          <w:bCs/>
          <w:noProof/>
        </w:rPr>
        <w:t xml:space="preserve">Table </w:t>
      </w:r>
      <w:r w:rsidR="00DC3851">
        <w:rPr>
          <w:rFonts w:ascii="Times New Roman" w:hAnsi="Times New Roman"/>
          <w:b/>
          <w:bCs/>
          <w:noProof/>
        </w:rPr>
        <w:t>5</w:t>
      </w:r>
      <w:r>
        <w:rPr>
          <w:rFonts w:ascii="Times New Roman" w:hAnsi="Times New Roman"/>
          <w:b/>
          <w:bCs/>
          <w:noProof/>
        </w:rPr>
        <w:t>: Total volume of phase 3 allowances auctioned in 2012-201</w:t>
      </w:r>
      <w:r w:rsidR="00D20456">
        <w:rPr>
          <w:rFonts w:ascii="Times New Roman" w:hAnsi="Times New Roman"/>
          <w:b/>
          <w:bCs/>
          <w:noProof/>
        </w:rPr>
        <w:t>9</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rsidR="005F6BD0" w14:paraId="66060B7D"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01A21902"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Year</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2A612CE"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br/>
              <w:t xml:space="preserve">General allowances </w:t>
            </w:r>
          </w:p>
          <w:p w14:paraId="782C41B3" w14:textId="77777777" w:rsidR="005F6BD0" w:rsidRDefault="005F6BD0">
            <w:pPr>
              <w:spacing w:after="0"/>
              <w:jc w:val="center"/>
              <w:rPr>
                <w:rFonts w:ascii="Times New Roman" w:eastAsia="Times New Roman" w:hAnsi="Times New Roman"/>
                <w:noProof/>
                <w:sz w:val="20"/>
                <w:szCs w:val="20"/>
                <w:lang w:eastAsia="en-GB"/>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4E165AA"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 xml:space="preserve">Aviation allowances </w:t>
            </w:r>
          </w:p>
        </w:tc>
      </w:tr>
      <w:tr w:rsidR="005F6BD0" w14:paraId="7085048E"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0F3A75C"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E682BF1"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D6AAD3F"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2 500 000</w:t>
            </w:r>
          </w:p>
        </w:tc>
      </w:tr>
      <w:tr w:rsidR="005F6BD0" w14:paraId="69D529D4"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A0C9E0B"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117D98D"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B01A99F"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 xml:space="preserve">0 </w:t>
            </w:r>
          </w:p>
        </w:tc>
      </w:tr>
      <w:tr w:rsidR="005F6BD0" w14:paraId="58C940D0"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1B28787"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290613E5"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9360777"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9 278 000</w:t>
            </w:r>
          </w:p>
        </w:tc>
      </w:tr>
      <w:tr w:rsidR="005F6BD0" w14:paraId="62C5AC9A"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BC84A92"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DE1A92B"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523A034"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16 390 500</w:t>
            </w:r>
          </w:p>
        </w:tc>
      </w:tr>
      <w:tr w:rsidR="005F6BD0" w14:paraId="7C82438C"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47B753F"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F4DE1E8"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9E049F7"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5 997 500</w:t>
            </w:r>
          </w:p>
        </w:tc>
      </w:tr>
      <w:tr w:rsidR="005F6BD0" w14:paraId="4F933B2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C664241"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A087CC5"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2A78481" w14:textId="77777777" w:rsidR="005F6BD0" w:rsidRDefault="003A348D">
            <w:pPr>
              <w:spacing w:after="0"/>
              <w:jc w:val="center"/>
              <w:rPr>
                <w:rFonts w:ascii="Times New Roman" w:hAnsi="Times New Roman"/>
                <w:bCs/>
                <w:noProof/>
                <w:color w:val="000000"/>
                <w:sz w:val="20"/>
                <w:szCs w:val="20"/>
              </w:rPr>
            </w:pPr>
            <w:r>
              <w:rPr>
                <w:rFonts w:ascii="Times New Roman" w:hAnsi="Times New Roman"/>
                <w:bCs/>
                <w:noProof/>
                <w:color w:val="000000"/>
                <w:sz w:val="20"/>
                <w:szCs w:val="20"/>
              </w:rPr>
              <w:t>4 730 500</w:t>
            </w:r>
          </w:p>
        </w:tc>
      </w:tr>
      <w:tr w:rsidR="005F6BD0" w14:paraId="4BBC51F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E503AE7" w14:textId="77777777" w:rsidR="005F6BD0" w:rsidRDefault="003A348D">
            <w:pPr>
              <w:spacing w:after="0"/>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6F0888F" w14:textId="77777777" w:rsidR="005F6BD0" w:rsidRDefault="00D20456">
            <w:pPr>
              <w:spacing w:after="0"/>
              <w:jc w:val="center"/>
              <w:rPr>
                <w:rFonts w:ascii="Times New Roman" w:eastAsia="Times New Roman" w:hAnsi="Times New Roman"/>
                <w:noProof/>
                <w:sz w:val="20"/>
                <w:szCs w:val="20"/>
                <w:lang w:eastAsia="en-GB"/>
              </w:rPr>
            </w:pPr>
            <w:r w:rsidRPr="00D20456">
              <w:rPr>
                <w:rFonts w:ascii="Times New Roman" w:eastAsia="Times New Roman" w:hAnsi="Times New Roman"/>
                <w:noProof/>
                <w:sz w:val="20"/>
                <w:szCs w:val="20"/>
                <w:lang w:eastAsia="en-GB"/>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4B3AB38" w14:textId="77777777" w:rsidR="005F6BD0" w:rsidRDefault="00D20456">
            <w:pPr>
              <w:spacing w:after="0"/>
              <w:jc w:val="center"/>
              <w:rPr>
                <w:rFonts w:ascii="Times New Roman" w:hAnsi="Times New Roman"/>
                <w:bCs/>
                <w:noProof/>
                <w:color w:val="000000"/>
                <w:sz w:val="20"/>
                <w:szCs w:val="20"/>
              </w:rPr>
            </w:pPr>
            <w:r w:rsidRPr="00D20456">
              <w:rPr>
                <w:rFonts w:ascii="Times New Roman" w:eastAsia="Times New Roman" w:hAnsi="Times New Roman"/>
                <w:noProof/>
                <w:sz w:val="20"/>
                <w:szCs w:val="20"/>
                <w:lang w:eastAsia="en-GB"/>
              </w:rPr>
              <w:t>5 601 500</w:t>
            </w:r>
          </w:p>
        </w:tc>
      </w:tr>
      <w:tr w:rsidR="00DA23BD" w:rsidRPr="00950467" w14:paraId="01BC19B9"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2A07926" w14:textId="77777777" w:rsidR="00DA23BD" w:rsidRPr="004B4F5B" w:rsidRDefault="00DA23BD" w:rsidP="00A16C99">
            <w:pPr>
              <w:spacing w:after="0"/>
              <w:jc w:val="center"/>
              <w:rPr>
                <w:rFonts w:ascii="Times New Roman" w:eastAsia="Times New Roman" w:hAnsi="Times New Roman"/>
                <w:noProof/>
                <w:sz w:val="20"/>
                <w:szCs w:val="20"/>
                <w:lang w:eastAsia="en-GB"/>
              </w:rPr>
            </w:pPr>
            <w:r w:rsidRPr="004B4F5B">
              <w:rPr>
                <w:rFonts w:ascii="Times New Roman" w:eastAsia="Times New Roman" w:hAnsi="Times New Roman"/>
                <w:noProof/>
                <w:sz w:val="20"/>
                <w:szCs w:val="20"/>
                <w:lang w:eastAsia="en-GB"/>
              </w:rPr>
              <w:t>2019 (until 30 June 2019)</w:t>
            </w:r>
            <w:r w:rsidR="007C76F9">
              <w:rPr>
                <w:rStyle w:val="FootnoteReference"/>
                <w:rFonts w:ascii="Times New Roman" w:eastAsia="Times New Roman" w:hAnsi="Times New Roman"/>
                <w:noProof/>
                <w:sz w:val="20"/>
                <w:szCs w:val="20"/>
                <w:lang w:eastAsia="en-GB"/>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1545E2E" w14:textId="77777777" w:rsidR="00DA23BD" w:rsidRPr="004B4F5B" w:rsidRDefault="00DA23BD" w:rsidP="00A16C99">
            <w:pPr>
              <w:spacing w:after="0"/>
              <w:jc w:val="center"/>
              <w:rPr>
                <w:rFonts w:ascii="Times New Roman" w:eastAsia="Times New Roman" w:hAnsi="Times New Roman"/>
                <w:noProof/>
                <w:sz w:val="20"/>
                <w:szCs w:val="20"/>
                <w:lang w:eastAsia="en-GB"/>
              </w:rPr>
            </w:pPr>
            <w:r w:rsidRPr="004B4F5B">
              <w:rPr>
                <w:rFonts w:ascii="Times New Roman" w:eastAsia="Times New Roman" w:hAnsi="Times New Roman"/>
                <w:noProof/>
                <w:sz w:val="20"/>
                <w:szCs w:val="20"/>
                <w:lang w:eastAsia="en-GB"/>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CADC71B" w14:textId="77777777" w:rsidR="00DA23BD" w:rsidRPr="004B4F5B" w:rsidRDefault="00DA23BD" w:rsidP="00A16C99">
            <w:pPr>
              <w:spacing w:after="0"/>
              <w:jc w:val="center"/>
              <w:rPr>
                <w:rFonts w:ascii="Times New Roman" w:eastAsia="Times New Roman" w:hAnsi="Times New Roman"/>
                <w:noProof/>
                <w:sz w:val="20"/>
                <w:szCs w:val="20"/>
                <w:lang w:eastAsia="en-GB"/>
              </w:rPr>
            </w:pPr>
            <w:r w:rsidRPr="004B4F5B">
              <w:rPr>
                <w:rFonts w:ascii="Times New Roman" w:eastAsia="Times New Roman" w:hAnsi="Times New Roman"/>
                <w:noProof/>
                <w:sz w:val="20"/>
                <w:szCs w:val="20"/>
                <w:lang w:eastAsia="en-GB"/>
              </w:rPr>
              <w:t>2 032 500</w:t>
            </w:r>
          </w:p>
        </w:tc>
      </w:tr>
    </w:tbl>
    <w:p w14:paraId="2833898D" w14:textId="77777777" w:rsidR="005F6BD0" w:rsidRPr="00276918" w:rsidRDefault="00BE16E5">
      <w:pPr>
        <w:spacing w:after="120" w:line="240" w:lineRule="auto"/>
        <w:ind w:right="57"/>
        <w:jc w:val="both"/>
        <w:rPr>
          <w:rFonts w:ascii="Times New Roman" w:eastAsia="Times New Roman" w:hAnsi="Times New Roman"/>
          <w:noProof/>
          <w:sz w:val="18"/>
          <w:szCs w:val="18"/>
          <w:lang w:eastAsia="en-GB"/>
        </w:rPr>
      </w:pPr>
      <w:r w:rsidRPr="00276918">
        <w:rPr>
          <w:rFonts w:ascii="Times New Roman" w:eastAsia="Times New Roman" w:hAnsi="Times New Roman"/>
          <w:noProof/>
          <w:sz w:val="18"/>
          <w:szCs w:val="18"/>
          <w:lang w:eastAsia="en-GB"/>
        </w:rPr>
        <w:t>Source:</w:t>
      </w:r>
      <w:r w:rsidR="00A92C10">
        <w:rPr>
          <w:rFonts w:ascii="Times New Roman" w:eastAsia="Times New Roman" w:hAnsi="Times New Roman"/>
          <w:noProof/>
          <w:sz w:val="18"/>
          <w:szCs w:val="18"/>
          <w:lang w:eastAsia="en-GB"/>
        </w:rPr>
        <w:t xml:space="preserve"> </w:t>
      </w:r>
      <w:r w:rsidRPr="00276918">
        <w:rPr>
          <w:rFonts w:ascii="Times New Roman" w:eastAsia="Times New Roman" w:hAnsi="Times New Roman"/>
          <w:noProof/>
          <w:sz w:val="18"/>
          <w:szCs w:val="18"/>
          <w:lang w:eastAsia="en-GB"/>
        </w:rPr>
        <w:t>EEX</w:t>
      </w:r>
    </w:p>
    <w:p w14:paraId="5C30BAAB" w14:textId="77777777" w:rsidR="005F6BD0" w:rsidRDefault="00C505AB">
      <w:pPr>
        <w:jc w:val="both"/>
        <w:rPr>
          <w:rFonts w:ascii="Times New Roman" w:hAnsi="Times New Roman"/>
          <w:noProof/>
          <w:sz w:val="24"/>
          <w:szCs w:val="24"/>
        </w:rPr>
      </w:pPr>
      <w:r w:rsidRPr="00516F65">
        <w:rPr>
          <w:rFonts w:ascii="Times New Roman" w:hAnsi="Times New Roman"/>
          <w:noProof/>
          <w:sz w:val="24"/>
          <w:szCs w:val="24"/>
        </w:rPr>
        <w:t>The figures for 2019 reflect the effect of the entering into force of the Market Stability Reserve in January 2019, which substantially lowered the auction supply in 2019 (see chapter</w:t>
      </w:r>
      <w:r w:rsidR="006F1C1A" w:rsidRPr="00516F65">
        <w:rPr>
          <w:rFonts w:ascii="Times New Roman" w:hAnsi="Times New Roman"/>
          <w:noProof/>
          <w:sz w:val="24"/>
          <w:szCs w:val="24"/>
        </w:rPr>
        <w:t xml:space="preserve"> 3.3</w:t>
      </w:r>
      <w:r w:rsidRPr="00516F65">
        <w:rPr>
          <w:rFonts w:ascii="Times New Roman" w:hAnsi="Times New Roman"/>
          <w:noProof/>
          <w:sz w:val="24"/>
          <w:szCs w:val="24"/>
        </w:rPr>
        <w:t>)</w:t>
      </w:r>
      <w:r w:rsidR="006F1C1A" w:rsidRPr="00516F65">
        <w:rPr>
          <w:rFonts w:ascii="Times New Roman" w:hAnsi="Times New Roman"/>
          <w:noProof/>
          <w:sz w:val="24"/>
          <w:szCs w:val="24"/>
        </w:rPr>
        <w:t xml:space="preserve">. </w:t>
      </w:r>
      <w:r w:rsidR="003A348D" w:rsidRPr="00516F65">
        <w:rPr>
          <w:rFonts w:ascii="Times New Roman" w:hAnsi="Times New Roman"/>
          <w:noProof/>
          <w:sz w:val="24"/>
          <w:szCs w:val="24"/>
        </w:rPr>
        <w:t>The</w:t>
      </w:r>
      <w:r w:rsidR="003A348D">
        <w:rPr>
          <w:rFonts w:ascii="Times New Roman" w:hAnsi="Times New Roman"/>
          <w:noProof/>
          <w:sz w:val="24"/>
          <w:szCs w:val="24"/>
        </w:rPr>
        <w:t xml:space="preserve"> auctions were generally conducted smoothly and the auction clearing prices were generally closely aligned with secondary market prices. </w:t>
      </w:r>
    </w:p>
    <w:p w14:paraId="547617CC" w14:textId="77777777" w:rsidR="001D5A68" w:rsidRPr="00264CAF" w:rsidRDefault="003A348D">
      <w:pPr>
        <w:jc w:val="both"/>
        <w:rPr>
          <w:rFonts w:ascii="Times New Roman" w:hAnsi="Times New Roman"/>
          <w:noProof/>
          <w:sz w:val="24"/>
          <w:szCs w:val="24"/>
        </w:rPr>
      </w:pPr>
      <w:r>
        <w:rPr>
          <w:rFonts w:ascii="Times New Roman" w:hAnsi="Times New Roman"/>
          <w:noProof/>
          <w:sz w:val="24"/>
          <w:szCs w:val="24"/>
        </w:rPr>
        <w:t>Between January 201</w:t>
      </w:r>
      <w:r w:rsidR="00DA23BD">
        <w:rPr>
          <w:rFonts w:ascii="Times New Roman" w:hAnsi="Times New Roman"/>
          <w:noProof/>
          <w:sz w:val="24"/>
          <w:szCs w:val="24"/>
        </w:rPr>
        <w:t>8</w:t>
      </w:r>
      <w:r>
        <w:rPr>
          <w:rFonts w:ascii="Times New Roman" w:hAnsi="Times New Roman"/>
          <w:noProof/>
          <w:sz w:val="24"/>
          <w:szCs w:val="24"/>
        </w:rPr>
        <w:t xml:space="preserve"> and June 201</w:t>
      </w:r>
      <w:r w:rsidR="00DA23BD">
        <w:rPr>
          <w:rFonts w:ascii="Times New Roman" w:hAnsi="Times New Roman"/>
          <w:noProof/>
          <w:sz w:val="24"/>
          <w:szCs w:val="24"/>
        </w:rPr>
        <w:t>9</w:t>
      </w:r>
      <w:r w:rsidR="001179FA">
        <w:rPr>
          <w:rFonts w:ascii="Times New Roman" w:hAnsi="Times New Roman"/>
          <w:noProof/>
          <w:sz w:val="24"/>
          <w:szCs w:val="24"/>
        </w:rPr>
        <w:t>,</w:t>
      </w:r>
      <w:r>
        <w:rPr>
          <w:rFonts w:ascii="Times New Roman" w:hAnsi="Times New Roman"/>
          <w:noProof/>
          <w:sz w:val="24"/>
          <w:szCs w:val="24"/>
        </w:rPr>
        <w:t xml:space="preserve"> f</w:t>
      </w:r>
      <w:r w:rsidR="00DA23BD">
        <w:rPr>
          <w:rFonts w:ascii="Times New Roman" w:hAnsi="Times New Roman"/>
          <w:noProof/>
          <w:sz w:val="24"/>
          <w:szCs w:val="24"/>
        </w:rPr>
        <w:t>ive</w:t>
      </w:r>
      <w:r>
        <w:rPr>
          <w:rFonts w:ascii="Times New Roman" w:hAnsi="Times New Roman"/>
          <w:noProof/>
          <w:sz w:val="24"/>
          <w:szCs w:val="24"/>
        </w:rPr>
        <w:t xml:space="preserve"> auctions were cancelled due either to the reserve price not being met or due to the total bid volume falling short of the auctioned volume. </w:t>
      </w:r>
      <w:r w:rsidR="00DA23BD">
        <w:rPr>
          <w:rFonts w:ascii="Times New Roman" w:hAnsi="Times New Roman"/>
          <w:noProof/>
          <w:sz w:val="24"/>
          <w:szCs w:val="24"/>
        </w:rPr>
        <w:t xml:space="preserve">With these five, a total of </w:t>
      </w:r>
      <w:r w:rsidR="00DA23BD" w:rsidRPr="004B4F5B">
        <w:rPr>
          <w:rFonts w:ascii="Times New Roman" w:hAnsi="Times New Roman"/>
          <w:noProof/>
          <w:sz w:val="24"/>
          <w:szCs w:val="24"/>
        </w:rPr>
        <w:t>twelve</w:t>
      </w:r>
      <w:r w:rsidR="00DA23BD">
        <w:rPr>
          <w:rFonts w:ascii="Times New Roman" w:hAnsi="Times New Roman"/>
          <w:noProof/>
          <w:sz w:val="24"/>
          <w:szCs w:val="24"/>
        </w:rPr>
        <w:t xml:space="preserve"> auctions have been cancelled out of the more than </w:t>
      </w:r>
      <w:r w:rsidR="00DA23BD" w:rsidRPr="004B4F5B">
        <w:rPr>
          <w:rFonts w:ascii="Times New Roman" w:hAnsi="Times New Roman"/>
          <w:noProof/>
          <w:sz w:val="24"/>
          <w:szCs w:val="24"/>
        </w:rPr>
        <w:t>1480</w:t>
      </w:r>
      <w:r w:rsidR="00DA23BD">
        <w:rPr>
          <w:rFonts w:ascii="Times New Roman" w:hAnsi="Times New Roman"/>
          <w:noProof/>
          <w:sz w:val="24"/>
          <w:szCs w:val="24"/>
        </w:rPr>
        <w:t xml:space="preserve"> auctions held since late 2012. An overview of the auction clearing prices</w:t>
      </w:r>
      <w:r w:rsidR="001D5A68">
        <w:rPr>
          <w:rFonts w:ascii="Times New Roman" w:hAnsi="Times New Roman"/>
          <w:noProof/>
          <w:sz w:val="24"/>
          <w:szCs w:val="24"/>
        </w:rPr>
        <w:t xml:space="preserve"> </w:t>
      </w:r>
      <w:r w:rsidR="001D5A68" w:rsidRPr="00264CAF">
        <w:rPr>
          <w:rFonts w:ascii="Times New Roman" w:hAnsi="Times New Roman"/>
          <w:noProof/>
          <w:sz w:val="24"/>
          <w:szCs w:val="24"/>
        </w:rPr>
        <w:t xml:space="preserve">from 2013 to 30 June 2019 is provided in </w:t>
      </w:r>
      <w:r w:rsidR="00626D3C" w:rsidRPr="00264CAF">
        <w:rPr>
          <w:rFonts w:ascii="Times New Roman" w:hAnsi="Times New Roman"/>
          <w:noProof/>
          <w:sz w:val="24"/>
          <w:szCs w:val="24"/>
        </w:rPr>
        <w:t>F</w:t>
      </w:r>
      <w:r w:rsidR="001D5A68" w:rsidRPr="00264CAF">
        <w:rPr>
          <w:rFonts w:ascii="Times New Roman" w:hAnsi="Times New Roman"/>
          <w:noProof/>
          <w:sz w:val="24"/>
          <w:szCs w:val="24"/>
        </w:rPr>
        <w:t>igure</w:t>
      </w:r>
      <w:r w:rsidR="00693A53">
        <w:rPr>
          <w:rFonts w:ascii="Times New Roman" w:hAnsi="Times New Roman"/>
          <w:noProof/>
          <w:sz w:val="24"/>
          <w:szCs w:val="24"/>
        </w:rPr>
        <w:t xml:space="preserve"> 1</w:t>
      </w:r>
      <w:r w:rsidR="001D5A68" w:rsidRPr="00264CAF">
        <w:rPr>
          <w:rFonts w:ascii="Times New Roman" w:hAnsi="Times New Roman"/>
          <w:noProof/>
          <w:sz w:val="24"/>
          <w:szCs w:val="24"/>
        </w:rPr>
        <w:t>:</w:t>
      </w:r>
    </w:p>
    <w:p w14:paraId="517BD99B" w14:textId="77777777" w:rsidR="006867CA" w:rsidRDefault="006867CA" w:rsidP="00276918">
      <w:pPr>
        <w:rPr>
          <w:rFonts w:ascii="Times New Roman" w:hAnsi="Times New Roman"/>
          <w:b/>
          <w:noProof/>
          <w:sz w:val="20"/>
          <w:szCs w:val="20"/>
        </w:rPr>
      </w:pPr>
    </w:p>
    <w:p w14:paraId="1757E9C0" w14:textId="77777777" w:rsidR="001D5A68" w:rsidRPr="007C76F9" w:rsidRDefault="001D5A68" w:rsidP="00276918">
      <w:pPr>
        <w:rPr>
          <w:rFonts w:ascii="Times New Roman" w:hAnsi="Times New Roman"/>
          <w:b/>
          <w:noProof/>
          <w:sz w:val="20"/>
          <w:szCs w:val="20"/>
        </w:rPr>
      </w:pPr>
      <w:r w:rsidRPr="007C76F9">
        <w:rPr>
          <w:rFonts w:ascii="Times New Roman" w:hAnsi="Times New Roman"/>
          <w:b/>
          <w:noProof/>
          <w:sz w:val="20"/>
          <w:szCs w:val="20"/>
        </w:rPr>
        <w:t>Figure</w:t>
      </w:r>
      <w:r w:rsidR="00693A53">
        <w:rPr>
          <w:rFonts w:ascii="Times New Roman" w:hAnsi="Times New Roman"/>
          <w:b/>
          <w:noProof/>
          <w:sz w:val="20"/>
          <w:szCs w:val="20"/>
        </w:rPr>
        <w:t xml:space="preserve"> 1</w:t>
      </w:r>
      <w:r w:rsidR="00AD6E42" w:rsidRPr="007C76F9">
        <w:rPr>
          <w:rFonts w:ascii="Times New Roman" w:hAnsi="Times New Roman"/>
          <w:b/>
          <w:noProof/>
          <w:sz w:val="20"/>
          <w:szCs w:val="20"/>
        </w:rPr>
        <w:t xml:space="preserve">: Clearing price for </w:t>
      </w:r>
      <w:r w:rsidRPr="007C76F9">
        <w:rPr>
          <w:rFonts w:ascii="Times New Roman" w:hAnsi="Times New Roman"/>
          <w:b/>
          <w:noProof/>
          <w:sz w:val="20"/>
          <w:szCs w:val="20"/>
        </w:rPr>
        <w:t>general allowances auctions from 2013 to 30 June 2019</w:t>
      </w:r>
    </w:p>
    <w:p w14:paraId="22AF2772" w14:textId="77777777" w:rsidR="001D5A68" w:rsidRPr="007C76F9" w:rsidRDefault="001D5A68" w:rsidP="00276918">
      <w:pPr>
        <w:spacing w:after="0"/>
        <w:jc w:val="both"/>
        <w:rPr>
          <w:rFonts w:ascii="Times New Roman" w:hAnsi="Times New Roman"/>
          <w:noProof/>
          <w:sz w:val="24"/>
          <w:szCs w:val="24"/>
        </w:rPr>
      </w:pPr>
      <w:r w:rsidRPr="007C76F9">
        <w:rPr>
          <w:rFonts w:ascii="Times New Roman" w:hAnsi="Times New Roman"/>
          <w:noProof/>
          <w:sz w:val="24"/>
          <w:szCs w:val="24"/>
          <w:lang w:eastAsia="en-GB"/>
        </w:rPr>
        <w:drawing>
          <wp:inline distT="0" distB="0" distL="0" distR="0" wp14:anchorId="773DF38F" wp14:editId="1EB5A592">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14:paraId="3488F8D6" w14:textId="77777777" w:rsidR="00626D3C" w:rsidRPr="007C76F9" w:rsidRDefault="00626D3C" w:rsidP="00276918">
      <w:pPr>
        <w:spacing w:after="0"/>
        <w:jc w:val="both"/>
        <w:rPr>
          <w:rFonts w:ascii="Times New Roman" w:hAnsi="Times New Roman"/>
          <w:noProof/>
          <w:sz w:val="18"/>
          <w:szCs w:val="18"/>
        </w:rPr>
      </w:pPr>
      <w:r w:rsidRPr="007C76F9">
        <w:rPr>
          <w:rFonts w:ascii="Times New Roman" w:hAnsi="Times New Roman"/>
          <w:noProof/>
          <w:sz w:val="18"/>
          <w:szCs w:val="18"/>
        </w:rPr>
        <w:t>Source: EEX</w:t>
      </w:r>
    </w:p>
    <w:p w14:paraId="05BEFAF8" w14:textId="77777777" w:rsidR="001D5A68" w:rsidRPr="007C76F9" w:rsidRDefault="001D5A68" w:rsidP="00276918">
      <w:pPr>
        <w:rPr>
          <w:rFonts w:ascii="Times New Roman" w:hAnsi="Times New Roman"/>
          <w:noProof/>
          <w:sz w:val="20"/>
          <w:szCs w:val="20"/>
        </w:rPr>
      </w:pPr>
      <w:r w:rsidRPr="007C76F9">
        <w:rPr>
          <w:rFonts w:ascii="Times New Roman" w:hAnsi="Times New Roman"/>
          <w:b/>
          <w:noProof/>
          <w:color w:val="00B050"/>
          <w:sz w:val="20"/>
          <w:szCs w:val="20"/>
        </w:rPr>
        <w:t>___</w:t>
      </w:r>
      <w:r w:rsidRPr="007C76F9">
        <w:rPr>
          <w:rFonts w:ascii="Times New Roman" w:hAnsi="Times New Roman"/>
          <w:noProof/>
          <w:sz w:val="20"/>
          <w:szCs w:val="20"/>
        </w:rPr>
        <w:t xml:space="preserve"> Auction Clearing Price</w:t>
      </w:r>
    </w:p>
    <w:p w14:paraId="0AAEABAD" w14:textId="77777777" w:rsidR="002554A7" w:rsidRDefault="001D5A68" w:rsidP="001D5A68">
      <w:pPr>
        <w:jc w:val="both"/>
        <w:rPr>
          <w:rFonts w:ascii="Times New Roman" w:hAnsi="Times New Roman"/>
          <w:noProof/>
          <w:sz w:val="24"/>
          <w:szCs w:val="24"/>
        </w:rPr>
      </w:pPr>
      <w:r w:rsidRPr="007C76F9">
        <w:rPr>
          <w:rFonts w:ascii="Times New Roman" w:hAnsi="Times New Roman"/>
          <w:noProof/>
          <w:sz w:val="24"/>
          <w:szCs w:val="24"/>
        </w:rPr>
        <w:t>The</w:t>
      </w:r>
      <w:r w:rsidR="00630CB3">
        <w:rPr>
          <w:rFonts w:ascii="Times New Roman" w:hAnsi="Times New Roman"/>
          <w:noProof/>
          <w:sz w:val="24"/>
          <w:szCs w:val="24"/>
        </w:rPr>
        <w:t xml:space="preserve"> </w:t>
      </w:r>
      <w:r w:rsidR="00DA23BD" w:rsidRPr="007C76F9">
        <w:rPr>
          <w:rFonts w:ascii="Times New Roman" w:hAnsi="Times New Roman"/>
          <w:noProof/>
          <w:sz w:val="24"/>
          <w:szCs w:val="24"/>
        </w:rPr>
        <w:t>number of participants</w:t>
      </w:r>
      <w:r w:rsidR="00630CB3">
        <w:rPr>
          <w:rFonts w:ascii="Times New Roman" w:hAnsi="Times New Roman"/>
          <w:noProof/>
          <w:sz w:val="24"/>
          <w:szCs w:val="24"/>
        </w:rPr>
        <w:t xml:space="preserve"> </w:t>
      </w:r>
      <w:r w:rsidRPr="007C76F9">
        <w:rPr>
          <w:rFonts w:ascii="Times New Roman" w:hAnsi="Times New Roman"/>
          <w:noProof/>
          <w:sz w:val="24"/>
          <w:szCs w:val="24"/>
        </w:rPr>
        <w:t xml:space="preserve">in </w:t>
      </w:r>
      <w:r w:rsidR="00DA23BD" w:rsidRPr="007C76F9">
        <w:rPr>
          <w:rFonts w:ascii="Times New Roman" w:hAnsi="Times New Roman"/>
          <w:noProof/>
          <w:sz w:val="24"/>
          <w:szCs w:val="24"/>
        </w:rPr>
        <w:t xml:space="preserve"> the auctions of general allowances</w:t>
      </w:r>
      <w:r w:rsidR="00DA23BD" w:rsidRPr="007C76F9">
        <w:rPr>
          <w:rFonts w:ascii="Times New Roman" w:hAnsi="Times New Roman"/>
          <w:noProof/>
          <w:color w:val="FF0000"/>
          <w:sz w:val="24"/>
          <w:szCs w:val="24"/>
        </w:rPr>
        <w:t xml:space="preserve"> </w:t>
      </w:r>
      <w:r w:rsidR="00DA23BD" w:rsidRPr="007C76F9">
        <w:rPr>
          <w:rFonts w:ascii="Times New Roman" w:hAnsi="Times New Roman"/>
          <w:noProof/>
          <w:sz w:val="24"/>
          <w:szCs w:val="24"/>
        </w:rPr>
        <w:t>from 2013 to 30 June 2019 is provided in Appendix 2. The auction platforms publish detailed results of each auction</w:t>
      </w:r>
      <w:r w:rsidR="003D2CB4" w:rsidRPr="007C76F9">
        <w:rPr>
          <w:rFonts w:ascii="Times New Roman" w:hAnsi="Times New Roman"/>
          <w:noProof/>
          <w:sz w:val="24"/>
          <w:szCs w:val="24"/>
        </w:rPr>
        <w:t xml:space="preserve"> in a timely manner</w:t>
      </w:r>
      <w:r w:rsidR="00DA23BD" w:rsidRPr="007C76F9">
        <w:rPr>
          <w:rFonts w:ascii="Times New Roman" w:hAnsi="Times New Roman"/>
          <w:noProof/>
          <w:sz w:val="24"/>
          <w:szCs w:val="24"/>
        </w:rPr>
        <w:t xml:space="preserve"> on dedicated websites. Further information on the performance of the auctions, including on the participation, cover ratios and prices, can be found in the Member States' reports published on the Commission's website</w:t>
      </w:r>
      <w:r w:rsidR="00DA23BD" w:rsidRPr="007C76F9">
        <w:rPr>
          <w:rFonts w:ascii="Times New Roman" w:hAnsi="Times New Roman"/>
          <w:noProof/>
          <w:sz w:val="24"/>
          <w:szCs w:val="24"/>
          <w:vertAlign w:val="superscript"/>
        </w:rPr>
        <w:footnoteReference w:id="40"/>
      </w:r>
      <w:r w:rsidR="00DA23BD" w:rsidRPr="007C76F9">
        <w:rPr>
          <w:rFonts w:ascii="Times New Roman" w:hAnsi="Times New Roman"/>
          <w:noProof/>
          <w:sz w:val="24"/>
          <w:szCs w:val="24"/>
        </w:rPr>
        <w:t>.</w:t>
      </w:r>
    </w:p>
    <w:p w14:paraId="69FCCC6F" w14:textId="77777777" w:rsidR="005F6BD0" w:rsidRPr="001179FA" w:rsidRDefault="00952A42">
      <w:pPr>
        <w:jc w:val="both"/>
        <w:rPr>
          <w:rFonts w:ascii="Times New Roman" w:hAnsi="Times New Roman"/>
          <w:noProof/>
          <w:sz w:val="24"/>
          <w:szCs w:val="24"/>
        </w:rPr>
      </w:pPr>
      <w:r>
        <w:rPr>
          <w:rFonts w:ascii="Times New Roman" w:hAnsi="Times New Roman"/>
          <w:noProof/>
          <w:sz w:val="24"/>
          <w:szCs w:val="24"/>
        </w:rPr>
        <w:t xml:space="preserve">The total revenues generated by Member States from the auctions </w:t>
      </w:r>
      <w:r w:rsidRPr="001C09BD">
        <w:rPr>
          <w:rFonts w:ascii="Times New Roman" w:hAnsi="Times New Roman"/>
          <w:noProof/>
          <w:sz w:val="24"/>
          <w:szCs w:val="24"/>
        </w:rPr>
        <w:t xml:space="preserve">between </w:t>
      </w:r>
      <w:r w:rsidRPr="004B4F5B">
        <w:rPr>
          <w:rFonts w:ascii="Times New Roman" w:hAnsi="Times New Roman"/>
          <w:noProof/>
          <w:sz w:val="24"/>
          <w:szCs w:val="24"/>
        </w:rPr>
        <w:t>2012 and 30 June 2019 exceeded EUR 42</w:t>
      </w:r>
      <w:r w:rsidR="00920F62" w:rsidRPr="004B4F5B">
        <w:rPr>
          <w:rFonts w:ascii="Times New Roman" w:hAnsi="Times New Roman"/>
          <w:noProof/>
          <w:sz w:val="24"/>
          <w:szCs w:val="24"/>
        </w:rPr>
        <w:t xml:space="preserve"> billion (see Table </w:t>
      </w:r>
      <w:r w:rsidR="0081348D">
        <w:rPr>
          <w:rFonts w:ascii="Times New Roman" w:hAnsi="Times New Roman"/>
          <w:noProof/>
          <w:sz w:val="24"/>
          <w:szCs w:val="24"/>
        </w:rPr>
        <w:t>2.</w:t>
      </w:r>
      <w:r w:rsidR="00920F62" w:rsidRPr="004B4F5B">
        <w:rPr>
          <w:rFonts w:ascii="Times New Roman" w:hAnsi="Times New Roman"/>
          <w:noProof/>
          <w:sz w:val="24"/>
          <w:szCs w:val="24"/>
        </w:rPr>
        <w:t>1 in Appendix 2). In</w:t>
      </w:r>
      <w:r w:rsidRPr="004B4F5B">
        <w:rPr>
          <w:rFonts w:ascii="Times New Roman" w:hAnsi="Times New Roman"/>
          <w:noProof/>
          <w:sz w:val="24"/>
          <w:szCs w:val="24"/>
        </w:rPr>
        <w:t xml:space="preserve"> 2018 alone, the generated total revenues were EUR 14 </w:t>
      </w:r>
      <w:r w:rsidR="00920F62" w:rsidRPr="004B4F5B">
        <w:rPr>
          <w:rFonts w:ascii="Times New Roman" w:hAnsi="Times New Roman"/>
          <w:noProof/>
          <w:sz w:val="24"/>
          <w:szCs w:val="24"/>
        </w:rPr>
        <w:t xml:space="preserve"> billion</w:t>
      </w:r>
      <w:r w:rsidRPr="001C09BD">
        <w:rPr>
          <w:rFonts w:ascii="Times New Roman" w:hAnsi="Times New Roman"/>
          <w:noProof/>
          <w:sz w:val="24"/>
          <w:szCs w:val="24"/>
        </w:rPr>
        <w:t>. The EU ETS Directive provides t</w:t>
      </w:r>
      <w:r>
        <w:rPr>
          <w:rFonts w:ascii="Times New Roman" w:hAnsi="Times New Roman"/>
          <w:noProof/>
          <w:sz w:val="24"/>
          <w:szCs w:val="24"/>
        </w:rPr>
        <w:t>hat at least 50% of auction revenues, including all revenues generated from allowances distributed for the purposes of solidarity and growth, should be used by Member States for climate and energy related purposes. According to the information submitted to the Commission</w:t>
      </w:r>
      <w:r w:rsidR="001B4818">
        <w:rPr>
          <w:rFonts w:ascii="Times New Roman" w:hAnsi="Times New Roman"/>
          <w:noProof/>
          <w:sz w:val="24"/>
          <w:szCs w:val="24"/>
        </w:rPr>
        <w:t xml:space="preserve"> by Member States</w:t>
      </w:r>
      <w:r>
        <w:rPr>
          <w:rFonts w:ascii="Times New Roman" w:hAnsi="Times New Roman"/>
          <w:noProof/>
          <w:sz w:val="24"/>
          <w:szCs w:val="24"/>
        </w:rPr>
        <w:t xml:space="preserve">, Member States spent or planned to </w:t>
      </w:r>
      <w:r w:rsidRPr="001B4818">
        <w:rPr>
          <w:rFonts w:ascii="Times New Roman" w:hAnsi="Times New Roman"/>
          <w:noProof/>
          <w:sz w:val="24"/>
          <w:szCs w:val="24"/>
        </w:rPr>
        <w:t xml:space="preserve">spend </w:t>
      </w:r>
      <w:r w:rsidR="004C3EAB" w:rsidRPr="001B4818">
        <w:rPr>
          <w:rFonts w:ascii="Times New Roman" w:hAnsi="Times New Roman"/>
          <w:noProof/>
          <w:sz w:val="24"/>
          <w:szCs w:val="24"/>
        </w:rPr>
        <w:t>close to</w:t>
      </w:r>
      <w:r w:rsidR="00630CB3" w:rsidRPr="001B4818">
        <w:rPr>
          <w:rFonts w:ascii="Times New Roman" w:hAnsi="Times New Roman"/>
          <w:noProof/>
          <w:sz w:val="24"/>
          <w:szCs w:val="24"/>
        </w:rPr>
        <w:t xml:space="preserve"> 70%</w:t>
      </w:r>
      <w:r w:rsidR="005220A0" w:rsidRPr="001B4818">
        <w:rPr>
          <w:rFonts w:ascii="Times New Roman" w:hAnsi="Times New Roman"/>
          <w:noProof/>
          <w:sz w:val="24"/>
          <w:szCs w:val="24"/>
        </w:rPr>
        <w:t xml:space="preserve"> </w:t>
      </w:r>
      <w:r w:rsidRPr="001B4818">
        <w:rPr>
          <w:rFonts w:ascii="Times New Roman" w:hAnsi="Times New Roman"/>
          <w:noProof/>
          <w:sz w:val="24"/>
          <w:szCs w:val="24"/>
        </w:rPr>
        <w:t>of these revenues for specified climate and energy related purposes in 2018.</w:t>
      </w:r>
      <w:r w:rsidR="00FF62C7" w:rsidRPr="001B4818">
        <w:rPr>
          <w:rFonts w:ascii="Times New Roman" w:hAnsi="Times New Roman"/>
          <w:noProof/>
          <w:sz w:val="24"/>
          <w:szCs w:val="24"/>
        </w:rPr>
        <w:t xml:space="preserve"> In the period 2013-2018, </w:t>
      </w:r>
      <w:r w:rsidR="00630CB3" w:rsidRPr="001B4818">
        <w:rPr>
          <w:rFonts w:ascii="Times New Roman" w:hAnsi="Times New Roman"/>
          <w:noProof/>
          <w:sz w:val="24"/>
          <w:szCs w:val="24"/>
        </w:rPr>
        <w:t>about 80%</w:t>
      </w:r>
      <w:r w:rsidR="005220A0" w:rsidRPr="001B4818">
        <w:rPr>
          <w:rFonts w:ascii="Times New Roman" w:hAnsi="Times New Roman"/>
          <w:noProof/>
          <w:sz w:val="24"/>
          <w:szCs w:val="24"/>
        </w:rPr>
        <w:t xml:space="preserve"> </w:t>
      </w:r>
      <w:r w:rsidR="00FF62C7" w:rsidRPr="001B4818">
        <w:rPr>
          <w:rFonts w:ascii="Times New Roman" w:hAnsi="Times New Roman"/>
          <w:noProof/>
          <w:sz w:val="24"/>
          <w:szCs w:val="24"/>
        </w:rPr>
        <w:t>of auction</w:t>
      </w:r>
      <w:r w:rsidR="00FF62C7" w:rsidRPr="003B73EF">
        <w:rPr>
          <w:rFonts w:ascii="Times New Roman" w:hAnsi="Times New Roman"/>
          <w:noProof/>
          <w:sz w:val="24"/>
          <w:szCs w:val="24"/>
        </w:rPr>
        <w:t xml:space="preserve"> revenues were spent for such purposes.</w:t>
      </w:r>
    </w:p>
    <w:p w14:paraId="223BAE32" w14:textId="77777777" w:rsidR="005F6BD0" w:rsidRDefault="00A52F4C">
      <w:pPr>
        <w:pStyle w:val="Heading4"/>
        <w:spacing w:before="0" w:after="200"/>
        <w:ind w:left="1080"/>
        <w:rPr>
          <w:noProof/>
        </w:rPr>
      </w:pPr>
      <w:bookmarkStart w:id="37" w:name="_Toc490850430"/>
      <w:bookmarkStart w:id="38" w:name="_Toc20217734"/>
      <w:r>
        <w:rPr>
          <w:noProof/>
        </w:rPr>
        <w:t>3</w:t>
      </w:r>
      <w:r w:rsidR="003A348D">
        <w:rPr>
          <w:noProof/>
        </w:rPr>
        <w:t>.1.2.</w:t>
      </w:r>
      <w:r w:rsidR="00235970">
        <w:rPr>
          <w:noProof/>
        </w:rPr>
        <w:t>5</w:t>
      </w:r>
      <w:r w:rsidR="003A348D">
        <w:rPr>
          <w:noProof/>
        </w:rPr>
        <w:t xml:space="preserve">. Derogation from full auctioning for </w:t>
      </w:r>
      <w:r w:rsidR="008E46B6">
        <w:rPr>
          <w:noProof/>
        </w:rPr>
        <w:t>electricity and heat production</w:t>
      </w:r>
      <w:bookmarkEnd w:id="37"/>
      <w:bookmarkEnd w:id="38"/>
    </w:p>
    <w:p w14:paraId="66966EE8" w14:textId="77777777" w:rsidR="005F6BD0" w:rsidRDefault="003A348D">
      <w:pPr>
        <w:jc w:val="both"/>
        <w:rPr>
          <w:noProof/>
        </w:rPr>
      </w:pPr>
      <w:r>
        <w:rPr>
          <w:rFonts w:ascii="Times New Roman" w:hAnsi="Times New Roman"/>
          <w:noProof/>
          <w:sz w:val="24"/>
          <w:szCs w:val="24"/>
          <w:lang w:eastAsia="en-GB"/>
        </w:rPr>
        <mc:AlternateContent>
          <mc:Choice Requires="wps">
            <w:drawing>
              <wp:inline distT="0" distB="0" distL="0" distR="0" wp14:anchorId="399D85D1" wp14:editId="6B236A1B">
                <wp:extent cx="5720487" cy="5613621"/>
                <wp:effectExtent l="0" t="0" r="13970" b="254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5613621"/>
                        </a:xfrm>
                        <a:prstGeom prst="rect">
                          <a:avLst/>
                        </a:prstGeom>
                        <a:solidFill>
                          <a:sysClr val="window" lastClr="FFFFFF">
                            <a:lumMod val="85000"/>
                          </a:sysClr>
                        </a:solidFill>
                        <a:ln w="12700">
                          <a:solidFill>
                            <a:srgbClr val="000000">
                              <a:alpha val="70000"/>
                            </a:srgbClr>
                          </a:solidFill>
                          <a:miter lim="800000"/>
                          <a:headEnd/>
                          <a:tailEnd/>
                        </a:ln>
                      </wps:spPr>
                      <wps:txbx>
                        <w:txbxContent>
                          <w:p w14:paraId="4C24446F" w14:textId="77777777" w:rsidR="00516F65" w:rsidRDefault="00516F65" w:rsidP="007F5B1E">
                            <w:pPr>
                              <w:pStyle w:val="FootnoteText"/>
                              <w:spacing w:after="200" w:line="276" w:lineRule="auto"/>
                              <w:jc w:val="both"/>
                              <w:rPr>
                                <w:sz w:val="24"/>
                                <w:szCs w:val="24"/>
                              </w:rPr>
                            </w:pPr>
                            <w:r w:rsidRPr="00276918">
                              <w:rPr>
                                <w:sz w:val="24"/>
                                <w:szCs w:val="24"/>
                              </w:rPr>
                              <w:t xml:space="preserve">Article 10c of the EU ETS Directive provides a derogation from the general rule of auctioning to support investments in the modernisation of the electricity sector in certain lower income EU Member States. Eight out of ten eligible Member States* make use of this derogation in phase 3 and allocate to electricity generators a number of allowances for free provided corresponding investments are carried out. </w:t>
                            </w:r>
                          </w:p>
                          <w:p w14:paraId="26623B68" w14:textId="6FD7686E" w:rsidR="00516F65" w:rsidRDefault="00516F65" w:rsidP="007F5B1E">
                            <w:pPr>
                              <w:pStyle w:val="FootnoteText"/>
                              <w:spacing w:after="200" w:line="276" w:lineRule="auto"/>
                              <w:jc w:val="both"/>
                              <w:rPr>
                                <w:sz w:val="24"/>
                                <w:szCs w:val="24"/>
                              </w:rPr>
                            </w:pPr>
                            <w:r w:rsidRPr="00276918">
                              <w:rPr>
                                <w:sz w:val="24"/>
                                <w:szCs w:val="24"/>
                              </w:rPr>
                              <w:t xml:space="preserve">The free allowances under Article 10c are deducted from the quantity that the respective Member State would otherwise auction. Depending on the national rules for the implementation of the derogation, electricity generators can receive free allowances of an equivalent value to the investments they carry out from their National Investment Plans, or to payments made into a national fund through which such investments are financed. As the free allocation of allowances to electricity generators under Article 10c of the ETS Directive would in principle involve State aid, the national schemes for the implementation of the Article 10c derogation have been cleared under state aid rules and are subject to the requirements of the State Aid </w:t>
                            </w:r>
                            <w:r w:rsidR="00B75E76" w:rsidRPr="00276918">
                              <w:rPr>
                                <w:sz w:val="24"/>
                                <w:szCs w:val="24"/>
                              </w:rPr>
                              <w:t>Guidelines</w:t>
                            </w:r>
                            <w:r w:rsidRPr="00276918">
                              <w:rPr>
                                <w:sz w:val="24"/>
                                <w:szCs w:val="24"/>
                              </w:rPr>
                              <w:t>.**</w:t>
                            </w:r>
                          </w:p>
                          <w:p w14:paraId="218DB988" w14:textId="1F2BD2AE" w:rsidR="00516F65" w:rsidRPr="00276918" w:rsidRDefault="00516F65" w:rsidP="007F5B1E">
                            <w:pPr>
                              <w:pStyle w:val="FootnoteText"/>
                              <w:spacing w:after="120" w:line="276" w:lineRule="auto"/>
                              <w:jc w:val="both"/>
                              <w:rPr>
                                <w:sz w:val="24"/>
                                <w:szCs w:val="24"/>
                              </w:rPr>
                            </w:pPr>
                            <w:r w:rsidRPr="00276918">
                              <w:rPr>
                                <w:sz w:val="24"/>
                                <w:szCs w:val="24"/>
                              </w:rPr>
                              <w:t>Transitional free allocation under Article 10c will continue to be available in phase 4</w:t>
                            </w:r>
                            <w:r w:rsidR="00143C3B">
                              <w:rPr>
                                <w:sz w:val="24"/>
                                <w:szCs w:val="24"/>
                              </w:rPr>
                              <w:t xml:space="preserve"> </w:t>
                            </w:r>
                            <w:r w:rsidRPr="00276918">
                              <w:rPr>
                                <w:sz w:val="24"/>
                                <w:szCs w:val="24"/>
                              </w:rPr>
                              <w:t xml:space="preserve">but with enhanced transparency provisions and with the option for eligible Member States to use all or part of their Article 10c allocation to support investments within the framework of the Modernisation Fund. </w:t>
                            </w:r>
                            <w:r w:rsidR="005C667A" w:rsidRPr="001B4818">
                              <w:rPr>
                                <w:sz w:val="24"/>
                                <w:szCs w:val="24"/>
                              </w:rPr>
                              <w:t xml:space="preserve">Based on information submitted to the Commission by Member States, the </w:t>
                            </w:r>
                            <w:r w:rsidR="00143C3B">
                              <w:rPr>
                                <w:sz w:val="24"/>
                                <w:szCs w:val="24"/>
                              </w:rPr>
                              <w:t xml:space="preserve">use of </w:t>
                            </w:r>
                            <w:r w:rsidR="005C667A" w:rsidRPr="001B4818">
                              <w:rPr>
                                <w:sz w:val="24"/>
                                <w:szCs w:val="24"/>
                              </w:rPr>
                              <w:t xml:space="preserve">Article 10c derogation will be very limited </w:t>
                            </w:r>
                            <w:r w:rsidR="00E47213" w:rsidRPr="001B4818">
                              <w:rPr>
                                <w:sz w:val="24"/>
                                <w:szCs w:val="24"/>
                              </w:rPr>
                              <w:t>in the next trading period. S</w:t>
                            </w:r>
                            <w:r w:rsidR="005C667A" w:rsidRPr="001B4818">
                              <w:rPr>
                                <w:sz w:val="24"/>
                                <w:szCs w:val="24"/>
                              </w:rPr>
                              <w:t xml:space="preserve">even out </w:t>
                            </w:r>
                            <w:r w:rsidR="00E47213" w:rsidRPr="001B4818">
                              <w:rPr>
                                <w:sz w:val="24"/>
                                <w:szCs w:val="24"/>
                              </w:rPr>
                              <w:t xml:space="preserve">of the </w:t>
                            </w:r>
                            <w:r w:rsidR="005C667A" w:rsidRPr="001B4818">
                              <w:rPr>
                                <w:sz w:val="24"/>
                                <w:szCs w:val="24"/>
                              </w:rPr>
                              <w:t xml:space="preserve">ten </w:t>
                            </w:r>
                            <w:r w:rsidR="00E47213" w:rsidRPr="001B4818">
                              <w:rPr>
                                <w:sz w:val="24"/>
                                <w:szCs w:val="24"/>
                              </w:rPr>
                              <w:t xml:space="preserve">eligible </w:t>
                            </w:r>
                            <w:r w:rsidR="005C667A" w:rsidRPr="001B4818">
                              <w:rPr>
                                <w:sz w:val="24"/>
                                <w:szCs w:val="24"/>
                              </w:rPr>
                              <w:t>Member States, including Poland and the Czech Republic</w:t>
                            </w:r>
                            <w:r w:rsidR="00E47213" w:rsidRPr="001B4818">
                              <w:rPr>
                                <w:sz w:val="24"/>
                                <w:szCs w:val="24"/>
                              </w:rPr>
                              <w:t xml:space="preserve">, </w:t>
                            </w:r>
                            <w:r w:rsidR="005C667A" w:rsidRPr="001B4818">
                              <w:rPr>
                                <w:sz w:val="24"/>
                                <w:szCs w:val="24"/>
                              </w:rPr>
                              <w:t>which had the highest volumes of transitional fr</w:t>
                            </w:r>
                            <w:r w:rsidR="00E47213" w:rsidRPr="001B4818">
                              <w:rPr>
                                <w:sz w:val="24"/>
                                <w:szCs w:val="24"/>
                              </w:rPr>
                              <w:t>ee allocation in phase 3, opted</w:t>
                            </w:r>
                            <w:r w:rsidR="005C667A" w:rsidRPr="001B4818">
                              <w:rPr>
                                <w:sz w:val="24"/>
                                <w:szCs w:val="24"/>
                              </w:rPr>
                              <w:t xml:space="preserve"> not to use the derogation any longer.</w:t>
                            </w:r>
                          </w:p>
                          <w:p w14:paraId="55136B73" w14:textId="77777777" w:rsidR="00516F65" w:rsidRPr="009B58A9" w:rsidRDefault="00516F65" w:rsidP="007F5B1E">
                            <w:pPr>
                              <w:spacing w:after="120"/>
                              <w:jc w:val="both"/>
                              <w:rPr>
                                <w:rFonts w:ascii="Times New Roman" w:hAnsi="Times New Roman"/>
                                <w:sz w:val="18"/>
                                <w:szCs w:val="18"/>
                              </w:rPr>
                            </w:pPr>
                            <w:r w:rsidRPr="00B3113B">
                              <w:rPr>
                                <w:rFonts w:ascii="Times New Roman" w:hAnsi="Times New Roman"/>
                                <w:sz w:val="18"/>
                                <w:szCs w:val="18"/>
                              </w:rPr>
                              <w:t>*</w:t>
                            </w:r>
                            <w:r w:rsidRPr="009B58A9">
                              <w:rPr>
                                <w:rFonts w:ascii="Times New Roman" w:hAnsi="Times New Roman"/>
                                <w:sz w:val="18"/>
                                <w:szCs w:val="18"/>
                              </w:rPr>
                              <w:t>Bulgaria, Cyprus, Czech Republic, Estonia, Hungary, Latvia, Lithuania, Malta, Poland and Romania are eligible for the derogation. Malta and Latvi</w:t>
                            </w:r>
                            <w:r w:rsidR="00E47213">
                              <w:rPr>
                                <w:rFonts w:ascii="Times New Roman" w:hAnsi="Times New Roman"/>
                                <w:sz w:val="18"/>
                                <w:szCs w:val="18"/>
                              </w:rPr>
                              <w:t>a decided not to make use of it in phase 3.</w:t>
                            </w:r>
                          </w:p>
                          <w:p w14:paraId="650DFAD5" w14:textId="43F69296" w:rsidR="00516F65" w:rsidRPr="00BE6633" w:rsidRDefault="00516F65" w:rsidP="007F5B1E">
                            <w:pPr>
                              <w:spacing w:after="120"/>
                              <w:jc w:val="both"/>
                              <w:rPr>
                                <w:rFonts w:ascii="Times New Roman" w:hAnsi="Times New Roman"/>
                                <w:sz w:val="18"/>
                                <w:szCs w:val="18"/>
                              </w:rPr>
                            </w:pPr>
                            <w:r w:rsidRPr="00BE6633">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BE6633">
                              <w:rPr>
                                <w:rFonts w:ascii="Times New Roman" w:hAnsi="Times New Roman"/>
                                <w:sz w:val="18"/>
                                <w:szCs w:val="18"/>
                              </w:rPr>
                              <w:t>OJ C158, 05.06.2012, p.4</w:t>
                            </w:r>
                            <w:r w:rsidR="00143C3B">
                              <w:rPr>
                                <w:rFonts w:ascii="Times New Roman" w:hAnsi="Times New Roman"/>
                                <w:sz w:val="18"/>
                                <w:szCs w:val="18"/>
                              </w:rPr>
                              <w:t>.</w:t>
                            </w:r>
                          </w:p>
                        </w:txbxContent>
                      </wps:txbx>
                      <wps:bodyPr rot="0" vert="horz" wrap="square" lIns="91440" tIns="45720" rIns="91440" bIns="45720" anchor="t" anchorCtr="0">
                        <a:noAutofit/>
                      </wps:bodyPr>
                    </wps:wsp>
                  </a:graphicData>
                </a:graphic>
              </wp:inline>
            </w:drawing>
          </mc:Choice>
          <mc:Fallback>
            <w:pict>
              <v:shape w14:anchorId="399D85D1" id="_x0000_s1034" type="#_x0000_t202" style="width:450.45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" fillcolor="#d9d9d9" strokeweight="1pt">
                <v:stroke opacity="46003f"/>
                <v:textbox>
                  <w:txbxContent>
                    <w:p w14:paraId="4C24446F" w14:textId="77777777" w:rsidR="00516F65" w:rsidRDefault="00516F65" w:rsidP="007F5B1E">
                      <w:pPr>
                        <w:pStyle w:val="FootnoteText"/>
                        <w:spacing w:after="200" w:line="276" w:lineRule="auto"/>
                        <w:jc w:val="both"/>
                        <w:rPr>
                          <w:sz w:val="24"/>
                          <w:szCs w:val="24"/>
                        </w:rPr>
                      </w:pPr>
                      <w:r w:rsidRPr="00276918">
                        <w:rPr>
                          <w:sz w:val="24"/>
                          <w:szCs w:val="24"/>
                        </w:rPr>
                        <w:t xml:space="preserve">Article 10c of the EU ETS Directive provides a derogation from the general rule of auctioning to support investments in the modernisation of the electricity sector in certain lower income EU Member States. Eight out of ten eligible Member States* make use of this derogation in phase 3 and allocate to electricity generators a number of allowances for free provided corresponding investments are carried out. </w:t>
                      </w:r>
                    </w:p>
                    <w:p w14:paraId="26623B68" w14:textId="6FD7686E" w:rsidR="00516F65" w:rsidRDefault="00516F65" w:rsidP="007F5B1E">
                      <w:pPr>
                        <w:pStyle w:val="FootnoteText"/>
                        <w:spacing w:after="200" w:line="276" w:lineRule="auto"/>
                        <w:jc w:val="both"/>
                        <w:rPr>
                          <w:sz w:val="24"/>
                          <w:szCs w:val="24"/>
                        </w:rPr>
                      </w:pPr>
                      <w:r w:rsidRPr="00276918">
                        <w:rPr>
                          <w:sz w:val="24"/>
                          <w:szCs w:val="24"/>
                        </w:rPr>
                        <w:t xml:space="preserve">The free allowances under Article 10c are deducted from the quantity that the respective Member State would otherwise auction. Depending on the national rules for the implementation of the derogation, electricity generators can receive free allowances of an equivalent value to the investments they carry out from their National Investment Plans, or to payments made into a national fund through which such investments are financed. As the free allocation of allowances to electricity generators under Article 10c of the ETS Directive would in principle involve State aid, the national schemes for the implementation of the Article 10c derogation have been cleared under state aid rules and are subject to the requirements of the State Aid </w:t>
                      </w:r>
                      <w:r w:rsidR="00B75E76" w:rsidRPr="00276918">
                        <w:rPr>
                          <w:sz w:val="24"/>
                          <w:szCs w:val="24"/>
                        </w:rPr>
                        <w:t>Guidelines</w:t>
                      </w:r>
                      <w:r w:rsidRPr="00276918">
                        <w:rPr>
                          <w:sz w:val="24"/>
                          <w:szCs w:val="24"/>
                        </w:rPr>
                        <w:t>.**</w:t>
                      </w:r>
                    </w:p>
                    <w:p w14:paraId="218DB988" w14:textId="1F2BD2AE" w:rsidR="00516F65" w:rsidRPr="00276918" w:rsidRDefault="00516F65" w:rsidP="007F5B1E">
                      <w:pPr>
                        <w:pStyle w:val="FootnoteText"/>
                        <w:spacing w:after="120" w:line="276" w:lineRule="auto"/>
                        <w:jc w:val="both"/>
                        <w:rPr>
                          <w:sz w:val="24"/>
                          <w:szCs w:val="24"/>
                        </w:rPr>
                      </w:pPr>
                      <w:r w:rsidRPr="00276918">
                        <w:rPr>
                          <w:sz w:val="24"/>
                          <w:szCs w:val="24"/>
                        </w:rPr>
                        <w:t>Transitional free allocation under Article 10c will continue to be available in phase 4</w:t>
                      </w:r>
                      <w:r w:rsidR="00143C3B">
                        <w:rPr>
                          <w:sz w:val="24"/>
                          <w:szCs w:val="24"/>
                        </w:rPr>
                        <w:t xml:space="preserve"> </w:t>
                      </w:r>
                      <w:r w:rsidRPr="00276918">
                        <w:rPr>
                          <w:sz w:val="24"/>
                          <w:szCs w:val="24"/>
                        </w:rPr>
                        <w:t xml:space="preserve">but with enhanced transparency provisions and with the option for eligible Member States to use all or part of their Article 10c allocation to support investments within the framework of the Modernisation Fund. </w:t>
                      </w:r>
                      <w:r w:rsidR="005C667A" w:rsidRPr="001B4818">
                        <w:rPr>
                          <w:sz w:val="24"/>
                          <w:szCs w:val="24"/>
                        </w:rPr>
                        <w:t xml:space="preserve">Based on information submitted to the Commission by Member States, the </w:t>
                      </w:r>
                      <w:r w:rsidR="00143C3B">
                        <w:rPr>
                          <w:sz w:val="24"/>
                          <w:szCs w:val="24"/>
                        </w:rPr>
                        <w:t xml:space="preserve">use of </w:t>
                      </w:r>
                      <w:r w:rsidR="005C667A" w:rsidRPr="001B4818">
                        <w:rPr>
                          <w:sz w:val="24"/>
                          <w:szCs w:val="24"/>
                        </w:rPr>
                        <w:t xml:space="preserve">Article 10c derogation will be very limited </w:t>
                      </w:r>
                      <w:r w:rsidR="00E47213" w:rsidRPr="001B4818">
                        <w:rPr>
                          <w:sz w:val="24"/>
                          <w:szCs w:val="24"/>
                        </w:rPr>
                        <w:t>in the next trading period. S</w:t>
                      </w:r>
                      <w:r w:rsidR="005C667A" w:rsidRPr="001B4818">
                        <w:rPr>
                          <w:sz w:val="24"/>
                          <w:szCs w:val="24"/>
                        </w:rPr>
                        <w:t xml:space="preserve">even out </w:t>
                      </w:r>
                      <w:r w:rsidR="00E47213" w:rsidRPr="001B4818">
                        <w:rPr>
                          <w:sz w:val="24"/>
                          <w:szCs w:val="24"/>
                        </w:rPr>
                        <w:t xml:space="preserve">of the </w:t>
                      </w:r>
                      <w:r w:rsidR="005C667A" w:rsidRPr="001B4818">
                        <w:rPr>
                          <w:sz w:val="24"/>
                          <w:szCs w:val="24"/>
                        </w:rPr>
                        <w:t xml:space="preserve">ten </w:t>
                      </w:r>
                      <w:r w:rsidR="00E47213" w:rsidRPr="001B4818">
                        <w:rPr>
                          <w:sz w:val="24"/>
                          <w:szCs w:val="24"/>
                        </w:rPr>
                        <w:t xml:space="preserve">eligible </w:t>
                      </w:r>
                      <w:r w:rsidR="005C667A" w:rsidRPr="001B4818">
                        <w:rPr>
                          <w:sz w:val="24"/>
                          <w:szCs w:val="24"/>
                        </w:rPr>
                        <w:t>Member States, including Poland and the Czech Republic</w:t>
                      </w:r>
                      <w:r w:rsidR="00E47213" w:rsidRPr="001B4818">
                        <w:rPr>
                          <w:sz w:val="24"/>
                          <w:szCs w:val="24"/>
                        </w:rPr>
                        <w:t xml:space="preserve">, </w:t>
                      </w:r>
                      <w:r w:rsidR="005C667A" w:rsidRPr="001B4818">
                        <w:rPr>
                          <w:sz w:val="24"/>
                          <w:szCs w:val="24"/>
                        </w:rPr>
                        <w:t>which had the highest volumes of transitional fr</w:t>
                      </w:r>
                      <w:r w:rsidR="00E47213" w:rsidRPr="001B4818">
                        <w:rPr>
                          <w:sz w:val="24"/>
                          <w:szCs w:val="24"/>
                        </w:rPr>
                        <w:t>ee allocation in phase 3, opted</w:t>
                      </w:r>
                      <w:r w:rsidR="005C667A" w:rsidRPr="001B4818">
                        <w:rPr>
                          <w:sz w:val="24"/>
                          <w:szCs w:val="24"/>
                        </w:rPr>
                        <w:t xml:space="preserve"> not to use the derogation any longer.</w:t>
                      </w:r>
                    </w:p>
                    <w:p w14:paraId="55136B73" w14:textId="77777777" w:rsidR="00516F65" w:rsidRPr="009B58A9" w:rsidRDefault="00516F65" w:rsidP="007F5B1E">
                      <w:pPr>
                        <w:spacing w:after="120"/>
                        <w:jc w:val="both"/>
                        <w:rPr>
                          <w:rFonts w:ascii="Times New Roman" w:hAnsi="Times New Roman"/>
                          <w:sz w:val="18"/>
                          <w:szCs w:val="18"/>
                        </w:rPr>
                      </w:pPr>
                      <w:r w:rsidRPr="00B3113B">
                        <w:rPr>
                          <w:rFonts w:ascii="Times New Roman" w:hAnsi="Times New Roman"/>
                          <w:sz w:val="18"/>
                          <w:szCs w:val="18"/>
                        </w:rPr>
                        <w:t>*</w:t>
                      </w:r>
                      <w:r w:rsidRPr="009B58A9">
                        <w:rPr>
                          <w:rFonts w:ascii="Times New Roman" w:hAnsi="Times New Roman"/>
                          <w:sz w:val="18"/>
                          <w:szCs w:val="18"/>
                        </w:rPr>
                        <w:t>Bulgaria, Cyprus, Czech Republic, Estonia, Hungary, Latvia, Lithuania, Malta, Poland and Romania are eligible for the derogation. Malta and Latvi</w:t>
                      </w:r>
                      <w:r w:rsidR="00E47213">
                        <w:rPr>
                          <w:rFonts w:ascii="Times New Roman" w:hAnsi="Times New Roman"/>
                          <w:sz w:val="18"/>
                          <w:szCs w:val="18"/>
                        </w:rPr>
                        <w:t>a decided not to make use of it in phase 3.</w:t>
                      </w:r>
                    </w:p>
                    <w:p w14:paraId="650DFAD5" w14:textId="43F69296" w:rsidR="00516F65" w:rsidRPr="00BE6633" w:rsidRDefault="00516F65" w:rsidP="007F5B1E">
                      <w:pPr>
                        <w:spacing w:after="120"/>
                        <w:jc w:val="both"/>
                        <w:rPr>
                          <w:rFonts w:ascii="Times New Roman" w:hAnsi="Times New Roman"/>
                          <w:sz w:val="18"/>
                          <w:szCs w:val="18"/>
                        </w:rPr>
                      </w:pPr>
                      <w:r w:rsidRPr="00BE6633">
                        <w:rPr>
                          <w:rFonts w:ascii="Times New Roman" w:hAnsi="Times New Roman"/>
                          <w:sz w:val="18"/>
                          <w:szCs w:val="18"/>
                        </w:rPr>
                        <w:t>** Guidelines on certain State aid measures in the context of the greenhouse gas emission allowances trading scheme post 2012,</w:t>
                      </w:r>
                      <w:r w:rsidR="00B75E76">
                        <w:rPr>
                          <w:rFonts w:ascii="Times New Roman" w:hAnsi="Times New Roman"/>
                          <w:sz w:val="18"/>
                          <w:szCs w:val="18"/>
                        </w:rPr>
                        <w:t xml:space="preserve"> </w:t>
                      </w:r>
                      <w:r w:rsidRPr="00BE6633">
                        <w:rPr>
                          <w:rFonts w:ascii="Times New Roman" w:hAnsi="Times New Roman"/>
                          <w:sz w:val="18"/>
                          <w:szCs w:val="18"/>
                        </w:rPr>
                        <w:t>OJ C158, 05.06.2012, p.4</w:t>
                      </w:r>
                      <w:r w:rsidR="00143C3B">
                        <w:rPr>
                          <w:rFonts w:ascii="Times New Roman" w:hAnsi="Times New Roman"/>
                          <w:sz w:val="18"/>
                          <w:szCs w:val="18"/>
                        </w:rPr>
                        <w:t>.</w:t>
                      </w:r>
                    </w:p>
                  </w:txbxContent>
                </v:textbox>
                <w10:anchorlock/>
              </v:shape>
            </w:pict>
          </mc:Fallback>
        </mc:AlternateContent>
      </w:r>
    </w:p>
    <w:p w14:paraId="3429A3B5" w14:textId="77777777" w:rsidR="005F6BD0" w:rsidRDefault="003A348D" w:rsidP="002802C4">
      <w:pPr>
        <w:spacing w:after="160" w:line="259" w:lineRule="auto"/>
        <w:contextualSpacing/>
        <w:jc w:val="both"/>
        <w:rPr>
          <w:rFonts w:ascii="Times New Roman" w:hAnsi="Times New Roman"/>
          <w:noProof/>
          <w:sz w:val="24"/>
          <w:szCs w:val="24"/>
        </w:rPr>
      </w:pPr>
      <w:bookmarkStart w:id="39" w:name="_Toc490850431"/>
      <w:bookmarkStart w:id="40" w:name="_Toc519009682"/>
      <w:r>
        <w:rPr>
          <w:rFonts w:ascii="Times New Roman" w:hAnsi="Times New Roman"/>
          <w:noProof/>
          <w:sz w:val="24"/>
          <w:szCs w:val="24"/>
        </w:rPr>
        <w:t>The total value of reported investment support during the years 2009 to 201</w:t>
      </w:r>
      <w:r w:rsidR="006529AB">
        <w:rPr>
          <w:rFonts w:ascii="Times New Roman" w:hAnsi="Times New Roman"/>
          <w:noProof/>
          <w:sz w:val="24"/>
          <w:szCs w:val="24"/>
        </w:rPr>
        <w:t>8</w:t>
      </w:r>
      <w:r>
        <w:rPr>
          <w:rFonts w:ascii="Times New Roman" w:hAnsi="Times New Roman"/>
          <w:noProof/>
          <w:sz w:val="24"/>
          <w:szCs w:val="24"/>
        </w:rPr>
        <w:t xml:space="preserve"> is around EUR</w:t>
      </w:r>
      <w:r w:rsidR="00E6737F">
        <w:rPr>
          <w:rFonts w:ascii="Times New Roman" w:hAnsi="Times New Roman"/>
          <w:noProof/>
          <w:sz w:val="24"/>
          <w:szCs w:val="24"/>
        </w:rPr>
        <w:t xml:space="preserve"> </w:t>
      </w:r>
      <w:r w:rsidR="00E6737F" w:rsidRPr="00B96804">
        <w:rPr>
          <w:rFonts w:ascii="Times New Roman" w:hAnsi="Times New Roman"/>
          <w:noProof/>
          <w:sz w:val="24"/>
          <w:szCs w:val="24"/>
        </w:rPr>
        <w:t>12.</w:t>
      </w:r>
      <w:r w:rsidR="00E47213">
        <w:rPr>
          <w:rFonts w:ascii="Times New Roman" w:hAnsi="Times New Roman"/>
          <w:noProof/>
          <w:sz w:val="24"/>
          <w:szCs w:val="24"/>
        </w:rPr>
        <w:t xml:space="preserve">4 </w:t>
      </w:r>
      <w:r w:rsidRPr="00B96804">
        <w:rPr>
          <w:rFonts w:ascii="Times New Roman" w:hAnsi="Times New Roman"/>
          <w:noProof/>
          <w:sz w:val="24"/>
          <w:szCs w:val="24"/>
        </w:rPr>
        <w:t>billion. Abou</w:t>
      </w:r>
      <w:r w:rsidR="00E6737F" w:rsidRPr="00B96804">
        <w:rPr>
          <w:rFonts w:ascii="Times New Roman" w:hAnsi="Times New Roman"/>
          <w:noProof/>
          <w:sz w:val="24"/>
          <w:szCs w:val="24"/>
        </w:rPr>
        <w:t>t 82%</w:t>
      </w:r>
      <w:r w:rsidR="000E5992">
        <w:rPr>
          <w:rFonts w:ascii="Times New Roman" w:hAnsi="Times New Roman"/>
          <w:noProof/>
          <w:sz w:val="24"/>
          <w:szCs w:val="24"/>
        </w:rPr>
        <w:t xml:space="preserve"> </w:t>
      </w:r>
      <w:r w:rsidRPr="00B96804">
        <w:rPr>
          <w:rFonts w:ascii="Times New Roman" w:hAnsi="Times New Roman"/>
          <w:noProof/>
          <w:sz w:val="24"/>
          <w:szCs w:val="24"/>
        </w:rPr>
        <w:t>of</w:t>
      </w:r>
      <w:r>
        <w:rPr>
          <w:rFonts w:ascii="Times New Roman" w:hAnsi="Times New Roman"/>
          <w:noProof/>
          <w:sz w:val="24"/>
          <w:szCs w:val="24"/>
        </w:rPr>
        <w:t xml:space="preserve"> this amount was dedicated to upgrading and retrofitting infrastructure, while the rest of the investments were in clean technologies or diversification of supply. </w:t>
      </w:r>
    </w:p>
    <w:p w14:paraId="3C7A2009" w14:textId="77777777" w:rsidR="0081348D" w:rsidRDefault="0081348D" w:rsidP="002802C4">
      <w:pPr>
        <w:spacing w:after="160" w:line="259" w:lineRule="auto"/>
        <w:contextualSpacing/>
        <w:jc w:val="both"/>
        <w:rPr>
          <w:rFonts w:ascii="Times New Roman" w:hAnsi="Times New Roman"/>
          <w:noProof/>
          <w:sz w:val="24"/>
          <w:szCs w:val="24"/>
        </w:rPr>
      </w:pPr>
    </w:p>
    <w:p w14:paraId="342BC579" w14:textId="77777777" w:rsidR="00FE4E64" w:rsidRDefault="00FE4E64">
      <w:pPr>
        <w:jc w:val="both"/>
        <w:rPr>
          <w:rFonts w:ascii="Times New Roman" w:hAnsi="Times New Roman"/>
          <w:noProof/>
          <w:sz w:val="24"/>
          <w:szCs w:val="24"/>
        </w:rPr>
      </w:pPr>
      <w:r>
        <w:rPr>
          <w:rFonts w:ascii="Times New Roman" w:hAnsi="Times New Roman"/>
          <w:noProof/>
          <w:sz w:val="24"/>
          <w:szCs w:val="24"/>
        </w:rPr>
        <w:t>The number of allowances allocated for free to electricity generators in 2018 is indicated in Ta</w:t>
      </w:r>
      <w:r w:rsidR="00B96804">
        <w:rPr>
          <w:rFonts w:ascii="Times New Roman" w:hAnsi="Times New Roman"/>
          <w:noProof/>
          <w:sz w:val="24"/>
          <w:szCs w:val="24"/>
        </w:rPr>
        <w:t>ble</w:t>
      </w:r>
      <w:r w:rsidR="0081348D">
        <w:rPr>
          <w:rFonts w:ascii="Times New Roman" w:hAnsi="Times New Roman"/>
          <w:noProof/>
          <w:sz w:val="24"/>
          <w:szCs w:val="24"/>
        </w:rPr>
        <w:t xml:space="preserve"> 1.1</w:t>
      </w:r>
      <w:r w:rsidR="00B96804">
        <w:rPr>
          <w:rFonts w:ascii="Times New Roman" w:hAnsi="Times New Roman"/>
          <w:noProof/>
          <w:sz w:val="24"/>
          <w:szCs w:val="24"/>
        </w:rPr>
        <w:t xml:space="preserve">, Appendix </w:t>
      </w:r>
      <w:r w:rsidR="0081348D">
        <w:rPr>
          <w:rFonts w:ascii="Times New Roman" w:hAnsi="Times New Roman"/>
          <w:noProof/>
          <w:sz w:val="24"/>
          <w:szCs w:val="24"/>
        </w:rPr>
        <w:t xml:space="preserve">1 </w:t>
      </w:r>
      <w:r>
        <w:rPr>
          <w:rFonts w:ascii="Times New Roman" w:hAnsi="Times New Roman"/>
          <w:noProof/>
          <w:sz w:val="24"/>
          <w:szCs w:val="24"/>
        </w:rPr>
        <w:t>to the Annex, while the maximum number of allowances per year is indicated in Table</w:t>
      </w:r>
      <w:r w:rsidR="0081348D">
        <w:rPr>
          <w:rFonts w:ascii="Times New Roman" w:hAnsi="Times New Roman"/>
          <w:noProof/>
          <w:sz w:val="24"/>
          <w:szCs w:val="24"/>
        </w:rPr>
        <w:t xml:space="preserve"> 1.2 </w:t>
      </w:r>
      <w:r w:rsidR="00B96804">
        <w:rPr>
          <w:rFonts w:ascii="Times New Roman" w:hAnsi="Times New Roman"/>
          <w:noProof/>
          <w:sz w:val="24"/>
          <w:szCs w:val="24"/>
        </w:rPr>
        <w:t xml:space="preserve">of Appendix </w:t>
      </w:r>
      <w:r w:rsidR="0081348D">
        <w:rPr>
          <w:rFonts w:ascii="Times New Roman" w:hAnsi="Times New Roman"/>
          <w:noProof/>
          <w:sz w:val="24"/>
          <w:szCs w:val="24"/>
        </w:rPr>
        <w:t>1.</w:t>
      </w:r>
    </w:p>
    <w:p w14:paraId="0E438262" w14:textId="77777777" w:rsidR="005F6BD0" w:rsidRDefault="003A348D">
      <w:pPr>
        <w:jc w:val="both"/>
        <w:rPr>
          <w:rFonts w:ascii="Times New Roman" w:hAnsi="Times New Roman"/>
          <w:noProof/>
          <w:sz w:val="24"/>
          <w:szCs w:val="24"/>
        </w:rPr>
      </w:pPr>
      <w:r>
        <w:rPr>
          <w:rFonts w:ascii="Times New Roman" w:hAnsi="Times New Roman"/>
          <w:noProof/>
          <w:sz w:val="24"/>
          <w:szCs w:val="24"/>
        </w:rPr>
        <w:t>Unallocated allowances may either be auctioned or, following the provisions of the revised EU ETS Directive, may be allocated in 2021-2030 to Article 10c investments selected through competitive bidding</w:t>
      </w:r>
      <w:r w:rsidR="006529AB">
        <w:rPr>
          <w:rFonts w:ascii="Times New Roman" w:hAnsi="Times New Roman"/>
          <w:noProof/>
          <w:sz w:val="24"/>
          <w:szCs w:val="24"/>
        </w:rPr>
        <w:t>.</w:t>
      </w:r>
      <w:r>
        <w:rPr>
          <w:rFonts w:ascii="Times New Roman" w:hAnsi="Times New Roman"/>
          <w:noProof/>
          <w:sz w:val="24"/>
          <w:szCs w:val="24"/>
        </w:rPr>
        <w:t xml:space="preserve"> Figure </w:t>
      </w:r>
      <w:r w:rsidR="00693A53">
        <w:rPr>
          <w:rFonts w:ascii="Times New Roman" w:hAnsi="Times New Roman"/>
          <w:noProof/>
          <w:sz w:val="24"/>
          <w:szCs w:val="24"/>
        </w:rPr>
        <w:t>2</w:t>
      </w:r>
      <w:r>
        <w:rPr>
          <w:rFonts w:ascii="Times New Roman" w:hAnsi="Times New Roman"/>
          <w:noProof/>
          <w:sz w:val="24"/>
          <w:szCs w:val="24"/>
        </w:rPr>
        <w:t xml:space="preserve"> shows the number of allowances that have been allo</w:t>
      </w:r>
      <w:r w:rsidR="00967BB6">
        <w:rPr>
          <w:rFonts w:ascii="Times New Roman" w:hAnsi="Times New Roman"/>
          <w:noProof/>
          <w:sz w:val="24"/>
          <w:szCs w:val="24"/>
        </w:rPr>
        <w:t>cated during the years 2013-2018</w:t>
      </w:r>
      <w:r>
        <w:rPr>
          <w:rFonts w:ascii="Times New Roman" w:hAnsi="Times New Roman"/>
          <w:noProof/>
          <w:sz w:val="24"/>
          <w:szCs w:val="24"/>
        </w:rPr>
        <w:t>.</w:t>
      </w:r>
    </w:p>
    <w:p w14:paraId="4EEDB1C2" w14:textId="77777777" w:rsidR="0081348D" w:rsidRDefault="0081348D">
      <w:pPr>
        <w:jc w:val="both"/>
        <w:rPr>
          <w:rFonts w:ascii="Times New Roman" w:hAnsi="Times New Roman"/>
          <w:noProof/>
          <w:sz w:val="24"/>
          <w:szCs w:val="24"/>
        </w:rPr>
      </w:pPr>
    </w:p>
    <w:p w14:paraId="0FC9363F" w14:textId="77777777" w:rsidR="005F6BD0" w:rsidRDefault="003A348D">
      <w:pPr>
        <w:jc w:val="both"/>
        <w:rPr>
          <w:rFonts w:ascii="Times New Roman" w:hAnsi="Times New Roman"/>
          <w:b/>
          <w:noProof/>
        </w:rPr>
      </w:pPr>
      <w:r>
        <w:rPr>
          <w:rFonts w:ascii="Times New Roman" w:hAnsi="Times New Roman"/>
          <w:b/>
          <w:noProof/>
        </w:rPr>
        <w:t xml:space="preserve"> Figure </w:t>
      </w:r>
      <w:r w:rsidR="00693A53">
        <w:rPr>
          <w:rFonts w:ascii="Times New Roman" w:hAnsi="Times New Roman"/>
          <w:b/>
          <w:noProof/>
        </w:rPr>
        <w:t>2</w:t>
      </w:r>
      <w:r>
        <w:rPr>
          <w:rFonts w:ascii="Times New Roman" w:hAnsi="Times New Roman"/>
          <w:b/>
          <w:noProof/>
        </w:rPr>
        <w:t>: Allowances allocated for free pursuant to Article 10c</w:t>
      </w:r>
    </w:p>
    <w:p w14:paraId="3532CF67" w14:textId="77777777" w:rsidR="005F6BD0" w:rsidRDefault="00F47B94" w:rsidP="00BD381F">
      <w:pPr>
        <w:spacing w:after="160" w:line="259" w:lineRule="auto"/>
        <w:contextualSpacing/>
        <w:rPr>
          <w:rFonts w:ascii="Times New Roman" w:hAnsi="Times New Roman"/>
          <w:noProof/>
          <w:sz w:val="24"/>
          <w:szCs w:val="24"/>
        </w:rPr>
      </w:pPr>
      <w:r>
        <w:rPr>
          <w:rFonts w:ascii="Times New Roman" w:hAnsi="Times New Roman"/>
          <w:noProof/>
          <w:sz w:val="24"/>
          <w:szCs w:val="24"/>
          <w:lang w:eastAsia="en-GB"/>
        </w:rPr>
        <w:drawing>
          <wp:inline distT="0" distB="0" distL="0" distR="0" wp14:anchorId="48AA7D14" wp14:editId="4F8D381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14:paraId="794B64F3" w14:textId="77777777" w:rsidR="005F6BD0" w:rsidRPr="00276918" w:rsidRDefault="00A92C10">
      <w:pPr>
        <w:jc w:val="both"/>
        <w:rPr>
          <w:rFonts w:ascii="Times New Roman" w:hAnsi="Times New Roman"/>
          <w:noProof/>
          <w:sz w:val="18"/>
          <w:szCs w:val="18"/>
        </w:rPr>
      </w:pPr>
      <w:r>
        <w:rPr>
          <w:rFonts w:ascii="Times New Roman" w:hAnsi="Times New Roman"/>
          <w:noProof/>
          <w:sz w:val="18"/>
          <w:szCs w:val="18"/>
        </w:rPr>
        <w:t>Source: DG CLIMA</w:t>
      </w:r>
    </w:p>
    <w:p w14:paraId="5C6CC9DE" w14:textId="77777777" w:rsidR="005F6BD0" w:rsidRDefault="00967BB6">
      <w:pPr>
        <w:jc w:val="both"/>
        <w:rPr>
          <w:rFonts w:ascii="Times New Roman" w:hAnsi="Times New Roman"/>
          <w:b/>
          <w:noProof/>
          <w:sz w:val="20"/>
          <w:szCs w:val="20"/>
        </w:rPr>
      </w:pPr>
      <w:r w:rsidRPr="00516F65">
        <w:rPr>
          <w:rFonts w:ascii="Times New Roman" w:hAnsi="Times New Roman"/>
          <w:noProof/>
          <w:sz w:val="24"/>
          <w:szCs w:val="24"/>
        </w:rPr>
        <w:t xml:space="preserve">In December 2018, Poland informed the Commission that it intends to auction 55.8 million </w:t>
      </w:r>
      <w:r w:rsidR="00D75B42" w:rsidRPr="00516F65">
        <w:rPr>
          <w:rFonts w:ascii="Times New Roman" w:hAnsi="Times New Roman"/>
          <w:noProof/>
          <w:sz w:val="24"/>
          <w:szCs w:val="24"/>
        </w:rPr>
        <w:t>of</w:t>
      </w:r>
      <w:r w:rsidRPr="00516F65">
        <w:rPr>
          <w:rFonts w:ascii="Times New Roman" w:hAnsi="Times New Roman"/>
          <w:noProof/>
          <w:sz w:val="24"/>
          <w:szCs w:val="24"/>
        </w:rPr>
        <w:t xml:space="preserve"> its unallocated allowances under the Article 10c derogation in 2019. </w:t>
      </w:r>
      <w:r w:rsidR="00FE4E64" w:rsidRPr="00516F65">
        <w:rPr>
          <w:rFonts w:ascii="Times New Roman" w:hAnsi="Times New Roman"/>
          <w:noProof/>
          <w:sz w:val="24"/>
          <w:szCs w:val="24"/>
        </w:rPr>
        <w:t xml:space="preserve">In </w:t>
      </w:r>
      <w:r w:rsidR="007B526B" w:rsidRPr="00516F65">
        <w:rPr>
          <w:rFonts w:ascii="Times New Roman" w:hAnsi="Times New Roman"/>
          <w:noProof/>
          <w:sz w:val="24"/>
          <w:szCs w:val="24"/>
        </w:rPr>
        <w:t xml:space="preserve">May 2019, Poland further </w:t>
      </w:r>
      <w:r w:rsidR="00FE4E64" w:rsidRPr="00516F65">
        <w:rPr>
          <w:rFonts w:ascii="Times New Roman" w:hAnsi="Times New Roman"/>
          <w:noProof/>
          <w:sz w:val="24"/>
          <w:szCs w:val="24"/>
        </w:rPr>
        <w:t xml:space="preserve">notified </w:t>
      </w:r>
      <w:r w:rsidR="007B526B" w:rsidRPr="00516F65">
        <w:rPr>
          <w:rFonts w:ascii="Times New Roman" w:hAnsi="Times New Roman"/>
          <w:noProof/>
          <w:sz w:val="24"/>
          <w:szCs w:val="24"/>
        </w:rPr>
        <w:t xml:space="preserve">the Commission </w:t>
      </w:r>
      <w:r w:rsidR="00FE4E64" w:rsidRPr="00516F65">
        <w:rPr>
          <w:rFonts w:ascii="Times New Roman" w:hAnsi="Times New Roman"/>
          <w:noProof/>
          <w:sz w:val="24"/>
          <w:szCs w:val="24"/>
        </w:rPr>
        <w:t xml:space="preserve">of its intention </w:t>
      </w:r>
      <w:r w:rsidR="007B526B" w:rsidRPr="00516F65">
        <w:rPr>
          <w:rFonts w:ascii="Times New Roman" w:hAnsi="Times New Roman"/>
          <w:noProof/>
          <w:sz w:val="24"/>
          <w:szCs w:val="24"/>
        </w:rPr>
        <w:t xml:space="preserve">to add 49.52 million unallocated </w:t>
      </w:r>
      <w:r w:rsidR="00FE4E64" w:rsidRPr="00516F65">
        <w:rPr>
          <w:rFonts w:ascii="Times New Roman" w:hAnsi="Times New Roman"/>
          <w:noProof/>
          <w:sz w:val="24"/>
          <w:szCs w:val="24"/>
        </w:rPr>
        <w:t xml:space="preserve">Article 10c </w:t>
      </w:r>
      <w:r w:rsidR="007B526B" w:rsidRPr="00516F65">
        <w:rPr>
          <w:rFonts w:ascii="Times New Roman" w:hAnsi="Times New Roman"/>
          <w:noProof/>
          <w:sz w:val="24"/>
          <w:szCs w:val="24"/>
        </w:rPr>
        <w:t>allowances to the amount to be auctioned by Poland in 2020.</w:t>
      </w:r>
      <w:r w:rsidR="007B526B" w:rsidRPr="007B526B">
        <w:rPr>
          <w:rFonts w:ascii="Times New Roman" w:hAnsi="Times New Roman"/>
          <w:noProof/>
          <w:sz w:val="24"/>
          <w:szCs w:val="24"/>
        </w:rPr>
        <w:t xml:space="preserve"> </w:t>
      </w:r>
    </w:p>
    <w:p w14:paraId="548932C6" w14:textId="77777777" w:rsidR="005153FF" w:rsidRDefault="00967BB6">
      <w:pPr>
        <w:jc w:val="both"/>
        <w:rPr>
          <w:rFonts w:ascii="Times New Roman" w:hAnsi="Times New Roman"/>
          <w:b/>
          <w:noProof/>
        </w:rPr>
      </w:pPr>
      <w:r w:rsidRPr="00967BB6">
        <w:rPr>
          <w:rFonts w:ascii="Times New Roman" w:hAnsi="Times New Roman"/>
          <w:noProof/>
          <w:sz w:val="24"/>
          <w:szCs w:val="24"/>
        </w:rPr>
        <w:t xml:space="preserve">Figure </w:t>
      </w:r>
      <w:r w:rsidR="00693A53">
        <w:rPr>
          <w:rFonts w:ascii="Times New Roman" w:hAnsi="Times New Roman"/>
          <w:noProof/>
          <w:sz w:val="24"/>
          <w:szCs w:val="24"/>
        </w:rPr>
        <w:t>3</w:t>
      </w:r>
      <w:r w:rsidRPr="00967BB6">
        <w:rPr>
          <w:rFonts w:ascii="Times New Roman" w:hAnsi="Times New Roman"/>
          <w:noProof/>
          <w:sz w:val="24"/>
          <w:szCs w:val="24"/>
        </w:rPr>
        <w:t xml:space="preserve"> shows, for 10c allowances, the extent to which they have been allocated, added to the auctions, or remain unused (neither allocated nor added to the auctions</w:t>
      </w:r>
      <w:r w:rsidR="003D3E6C">
        <w:rPr>
          <w:rFonts w:ascii="Times New Roman" w:hAnsi="Times New Roman"/>
          <w:noProof/>
          <w:sz w:val="24"/>
          <w:szCs w:val="24"/>
        </w:rPr>
        <w:t xml:space="preserve"> yet</w:t>
      </w:r>
      <w:r w:rsidRPr="00967BB6">
        <w:rPr>
          <w:rFonts w:ascii="Times New Roman" w:hAnsi="Times New Roman"/>
          <w:noProof/>
          <w:sz w:val="24"/>
          <w:szCs w:val="24"/>
        </w:rPr>
        <w:t>).</w:t>
      </w:r>
      <w:r w:rsidR="00A063FC">
        <w:rPr>
          <w:rFonts w:ascii="Times New Roman" w:hAnsi="Times New Roman"/>
          <w:noProof/>
          <w:sz w:val="24"/>
          <w:szCs w:val="24"/>
        </w:rPr>
        <w:t xml:space="preserve"> </w:t>
      </w:r>
    </w:p>
    <w:p w14:paraId="2E6DA9B3" w14:textId="77777777" w:rsidR="00D15FE5" w:rsidRDefault="00D15FE5" w:rsidP="005153FF">
      <w:pPr>
        <w:jc w:val="both"/>
        <w:rPr>
          <w:rFonts w:ascii="Times New Roman" w:hAnsi="Times New Roman"/>
          <w:b/>
          <w:noProof/>
        </w:rPr>
      </w:pPr>
    </w:p>
    <w:p w14:paraId="401414B7" w14:textId="77777777" w:rsidR="00D15FE5" w:rsidRDefault="00D15FE5" w:rsidP="005153FF">
      <w:pPr>
        <w:jc w:val="both"/>
        <w:rPr>
          <w:rFonts w:ascii="Times New Roman" w:hAnsi="Times New Roman"/>
          <w:b/>
          <w:noProof/>
        </w:rPr>
      </w:pPr>
    </w:p>
    <w:p w14:paraId="5D6B7E68" w14:textId="77777777" w:rsidR="00D15FE5" w:rsidRDefault="00D15FE5" w:rsidP="005153FF">
      <w:pPr>
        <w:jc w:val="both"/>
        <w:rPr>
          <w:rFonts w:ascii="Times New Roman" w:hAnsi="Times New Roman"/>
          <w:b/>
          <w:noProof/>
        </w:rPr>
      </w:pPr>
    </w:p>
    <w:p w14:paraId="7FDD3205" w14:textId="77777777" w:rsidR="00D15FE5" w:rsidRDefault="00D15FE5" w:rsidP="005153FF">
      <w:pPr>
        <w:jc w:val="both"/>
        <w:rPr>
          <w:rFonts w:ascii="Times New Roman" w:hAnsi="Times New Roman"/>
          <w:b/>
          <w:noProof/>
        </w:rPr>
      </w:pPr>
    </w:p>
    <w:p w14:paraId="63D4ECA4" w14:textId="77777777" w:rsidR="00D15FE5" w:rsidRDefault="00D15FE5" w:rsidP="005153FF">
      <w:pPr>
        <w:jc w:val="both"/>
        <w:rPr>
          <w:rFonts w:ascii="Times New Roman" w:hAnsi="Times New Roman"/>
          <w:b/>
          <w:noProof/>
        </w:rPr>
      </w:pPr>
    </w:p>
    <w:p w14:paraId="7A872F1C" w14:textId="77777777" w:rsidR="00D15FE5" w:rsidRDefault="00D15FE5" w:rsidP="005153FF">
      <w:pPr>
        <w:jc w:val="both"/>
        <w:rPr>
          <w:rFonts w:ascii="Times New Roman" w:hAnsi="Times New Roman"/>
          <w:b/>
          <w:noProof/>
        </w:rPr>
      </w:pPr>
    </w:p>
    <w:p w14:paraId="2F2735B7" w14:textId="77777777" w:rsidR="00D15FE5" w:rsidRDefault="00D15FE5" w:rsidP="005153FF">
      <w:pPr>
        <w:jc w:val="both"/>
        <w:rPr>
          <w:rFonts w:ascii="Times New Roman" w:hAnsi="Times New Roman"/>
          <w:b/>
          <w:noProof/>
        </w:rPr>
      </w:pPr>
    </w:p>
    <w:p w14:paraId="0E4480BB" w14:textId="77777777" w:rsidR="00D15FE5" w:rsidRDefault="00D15FE5" w:rsidP="005153FF">
      <w:pPr>
        <w:jc w:val="both"/>
        <w:rPr>
          <w:rFonts w:ascii="Times New Roman" w:hAnsi="Times New Roman"/>
          <w:b/>
          <w:noProof/>
        </w:rPr>
      </w:pPr>
    </w:p>
    <w:p w14:paraId="750B31D7" w14:textId="77777777" w:rsidR="00D15FE5" w:rsidRDefault="00D15FE5" w:rsidP="005153FF">
      <w:pPr>
        <w:jc w:val="both"/>
        <w:rPr>
          <w:rFonts w:ascii="Times New Roman" w:hAnsi="Times New Roman"/>
          <w:b/>
          <w:noProof/>
        </w:rPr>
      </w:pPr>
    </w:p>
    <w:p w14:paraId="4983EFE1" w14:textId="77777777" w:rsidR="00D15FE5" w:rsidRDefault="00D15FE5" w:rsidP="005153FF">
      <w:pPr>
        <w:jc w:val="both"/>
        <w:rPr>
          <w:rFonts w:ascii="Times New Roman" w:hAnsi="Times New Roman"/>
          <w:b/>
          <w:noProof/>
        </w:rPr>
      </w:pPr>
    </w:p>
    <w:p w14:paraId="65965E6E" w14:textId="77777777" w:rsidR="00D15FE5" w:rsidRDefault="00D15FE5" w:rsidP="00BD381F">
      <w:pPr>
        <w:jc w:val="both"/>
        <w:rPr>
          <w:rFonts w:ascii="Times New Roman" w:hAnsi="Times New Roman"/>
          <w:b/>
          <w:noProof/>
        </w:rPr>
      </w:pPr>
    </w:p>
    <w:p w14:paraId="54B19E0B" w14:textId="77777777" w:rsidR="005F6BD0" w:rsidRDefault="003A348D" w:rsidP="00BD381F">
      <w:pPr>
        <w:jc w:val="both"/>
        <w:rPr>
          <w:rFonts w:ascii="Times New Roman" w:hAnsi="Times New Roman"/>
          <w:noProof/>
          <w:sz w:val="24"/>
          <w:szCs w:val="24"/>
        </w:rPr>
      </w:pPr>
      <w:r>
        <w:rPr>
          <w:rFonts w:ascii="Times New Roman" w:hAnsi="Times New Roman"/>
          <w:b/>
          <w:noProof/>
        </w:rPr>
        <w:t xml:space="preserve">Figure </w:t>
      </w:r>
      <w:r w:rsidR="00693A53">
        <w:rPr>
          <w:rFonts w:ascii="Times New Roman" w:hAnsi="Times New Roman"/>
          <w:b/>
          <w:noProof/>
        </w:rPr>
        <w:t>3</w:t>
      </w:r>
      <w:r>
        <w:rPr>
          <w:rFonts w:ascii="Times New Roman" w:hAnsi="Times New Roman"/>
          <w:b/>
          <w:noProof/>
        </w:rPr>
        <w:t>: Distribution of allowances (allocated, auctioned, unused rem</w:t>
      </w:r>
      <w:r w:rsidR="005153FF">
        <w:rPr>
          <w:rFonts w:ascii="Times New Roman" w:hAnsi="Times New Roman"/>
          <w:b/>
          <w:noProof/>
        </w:rPr>
        <w:t>aining)</w:t>
      </w:r>
      <w:r w:rsidR="005153FF">
        <w:rPr>
          <w:rStyle w:val="FootnoteReference"/>
          <w:rFonts w:ascii="Times New Roman" w:hAnsi="Times New Roman"/>
          <w:b/>
          <w:noProof/>
        </w:rPr>
        <w:footnoteReference w:id="41"/>
      </w:r>
    </w:p>
    <w:p w14:paraId="3D08DE0B" w14:textId="77777777" w:rsidR="005F6BD0" w:rsidRDefault="007D07C5" w:rsidP="00276918">
      <w:pPr>
        <w:keepNext/>
        <w:spacing w:after="0" w:line="240" w:lineRule="auto"/>
        <w:rPr>
          <w:rFonts w:ascii="Times New Roman" w:hAnsi="Times New Roman"/>
          <w:noProof/>
          <w:sz w:val="24"/>
          <w:szCs w:val="24"/>
        </w:rPr>
      </w:pPr>
      <w:r>
        <w:rPr>
          <w:rFonts w:ascii="Times New Roman" w:hAnsi="Times New Roman"/>
          <w:noProof/>
          <w:sz w:val="24"/>
          <w:szCs w:val="24"/>
          <w:lang w:eastAsia="en-GB"/>
        </w:rPr>
        <w:drawing>
          <wp:inline distT="0" distB="0" distL="0" distR="0" wp14:anchorId="77ACA8CF" wp14:editId="35D4F5BA">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14:paraId="183B21DE" w14:textId="77777777" w:rsidR="00A92C10" w:rsidRPr="00A92C10" w:rsidRDefault="00A92C10" w:rsidP="00276918">
      <w:pPr>
        <w:keepNext/>
        <w:spacing w:after="0" w:line="240" w:lineRule="auto"/>
        <w:rPr>
          <w:rFonts w:ascii="Times New Roman" w:hAnsi="Times New Roman"/>
          <w:noProof/>
          <w:sz w:val="18"/>
          <w:szCs w:val="18"/>
        </w:rPr>
      </w:pPr>
      <w:r w:rsidRPr="00A92C10">
        <w:rPr>
          <w:rFonts w:ascii="Times New Roman" w:hAnsi="Times New Roman"/>
          <w:noProof/>
          <w:sz w:val="18"/>
          <w:szCs w:val="18"/>
        </w:rPr>
        <w:t>Source: DG CLIMA</w:t>
      </w:r>
    </w:p>
    <w:tbl>
      <w:tblPr>
        <w:tblStyle w:val="TableGrid5"/>
        <w:tblpPr w:leftFromText="180" w:rightFromText="180" w:vertAnchor="text" w:horzAnchor="page" w:tblpX="1794" w:tblpY="142"/>
        <w:tblW w:w="1157" w:type="pct"/>
        <w:tblLook w:val="04A0" w:firstRow="1" w:lastRow="0" w:firstColumn="1" w:lastColumn="0" w:noHBand="0" w:noVBand="1"/>
      </w:tblPr>
      <w:tblGrid>
        <w:gridCol w:w="537"/>
        <w:gridCol w:w="1602"/>
      </w:tblGrid>
      <w:tr w:rsidR="007708E7" w14:paraId="0D798E09" w14:textId="77777777" w:rsidTr="00276918">
        <w:trPr>
          <w:trHeight w:val="461"/>
        </w:trPr>
        <w:tc>
          <w:tcPr>
            <w:tcW w:w="1255" w:type="pct"/>
            <w:shd w:val="clear" w:color="auto" w:fill="4F81BD"/>
          </w:tcPr>
          <w:p w14:paraId="2F8EFB45" w14:textId="77777777" w:rsidR="007708E7" w:rsidRDefault="007708E7" w:rsidP="007708E7">
            <w:pPr>
              <w:rPr>
                <w:noProof/>
                <w:highlight w:val="yellow"/>
              </w:rPr>
            </w:pPr>
          </w:p>
        </w:tc>
        <w:tc>
          <w:tcPr>
            <w:tcW w:w="3745" w:type="pct"/>
            <w:vAlign w:val="center"/>
          </w:tcPr>
          <w:p w14:paraId="1B4A53B2" w14:textId="77777777" w:rsidR="007708E7" w:rsidRDefault="007708E7" w:rsidP="007708E7">
            <w:pPr>
              <w:rPr>
                <w:rFonts w:ascii="Times New Roman" w:hAnsi="Times New Roman"/>
                <w:noProof/>
                <w:sz w:val="18"/>
                <w:szCs w:val="18"/>
              </w:rPr>
            </w:pPr>
            <w:r>
              <w:rPr>
                <w:rFonts w:ascii="Times New Roman" w:hAnsi="Times New Roman"/>
                <w:noProof/>
                <w:sz w:val="18"/>
                <w:szCs w:val="18"/>
              </w:rPr>
              <w:t>Allocated allowances</w:t>
            </w:r>
          </w:p>
        </w:tc>
      </w:tr>
      <w:tr w:rsidR="007708E7" w14:paraId="4D39D1F5" w14:textId="77777777" w:rsidTr="00276918">
        <w:trPr>
          <w:trHeight w:val="461"/>
        </w:trPr>
        <w:tc>
          <w:tcPr>
            <w:tcW w:w="1255" w:type="pct"/>
            <w:shd w:val="clear" w:color="auto" w:fill="C00000"/>
          </w:tcPr>
          <w:p w14:paraId="0B4AB5DB" w14:textId="77777777" w:rsidR="007708E7" w:rsidRDefault="007708E7" w:rsidP="007708E7">
            <w:pPr>
              <w:jc w:val="both"/>
              <w:rPr>
                <w:noProof/>
                <w:highlight w:val="yellow"/>
              </w:rPr>
            </w:pPr>
          </w:p>
        </w:tc>
        <w:tc>
          <w:tcPr>
            <w:tcW w:w="3745" w:type="pct"/>
            <w:vAlign w:val="center"/>
          </w:tcPr>
          <w:p w14:paraId="4C2F4A14" w14:textId="77777777" w:rsidR="007708E7" w:rsidRDefault="007708E7" w:rsidP="00A92C10">
            <w:pPr>
              <w:rPr>
                <w:rFonts w:ascii="Times New Roman" w:hAnsi="Times New Roman"/>
                <w:noProof/>
                <w:sz w:val="18"/>
                <w:szCs w:val="18"/>
              </w:rPr>
            </w:pPr>
            <w:r>
              <w:rPr>
                <w:rFonts w:ascii="Times New Roman" w:hAnsi="Times New Roman"/>
                <w:noProof/>
                <w:sz w:val="18"/>
                <w:szCs w:val="18"/>
              </w:rPr>
              <w:t>Auctioned allowances</w:t>
            </w:r>
          </w:p>
        </w:tc>
      </w:tr>
      <w:tr w:rsidR="007708E7" w14:paraId="5BA788F8" w14:textId="77777777" w:rsidTr="00276918">
        <w:trPr>
          <w:trHeight w:val="461"/>
        </w:trPr>
        <w:tc>
          <w:tcPr>
            <w:tcW w:w="1255" w:type="pct"/>
            <w:shd w:val="clear" w:color="auto" w:fill="9BBB59"/>
          </w:tcPr>
          <w:p w14:paraId="3E388509" w14:textId="77777777" w:rsidR="007708E7" w:rsidRDefault="007708E7" w:rsidP="007708E7">
            <w:pPr>
              <w:rPr>
                <w:noProof/>
                <w:highlight w:val="yellow"/>
              </w:rPr>
            </w:pPr>
          </w:p>
        </w:tc>
        <w:tc>
          <w:tcPr>
            <w:tcW w:w="3745" w:type="pct"/>
            <w:vAlign w:val="center"/>
          </w:tcPr>
          <w:p w14:paraId="19548CBA" w14:textId="77777777" w:rsidR="007708E7" w:rsidRDefault="007708E7" w:rsidP="007708E7">
            <w:pPr>
              <w:rPr>
                <w:rFonts w:ascii="Times New Roman" w:hAnsi="Times New Roman"/>
                <w:noProof/>
                <w:sz w:val="18"/>
                <w:szCs w:val="18"/>
              </w:rPr>
            </w:pPr>
            <w:r>
              <w:rPr>
                <w:rFonts w:ascii="Times New Roman" w:hAnsi="Times New Roman"/>
                <w:noProof/>
                <w:sz w:val="18"/>
                <w:szCs w:val="18"/>
              </w:rPr>
              <w:t>Unused remaining allowances</w:t>
            </w:r>
          </w:p>
        </w:tc>
      </w:tr>
    </w:tbl>
    <w:p w14:paraId="453E8449" w14:textId="77777777" w:rsidR="005F6BD0" w:rsidRDefault="005F6BD0">
      <w:pPr>
        <w:keepNext/>
        <w:spacing w:line="240" w:lineRule="auto"/>
        <w:jc w:val="both"/>
        <w:rPr>
          <w:rFonts w:ascii="Times New Roman" w:hAnsi="Times New Roman"/>
          <w:noProof/>
          <w:sz w:val="24"/>
          <w:szCs w:val="24"/>
        </w:rPr>
      </w:pPr>
    </w:p>
    <w:p w14:paraId="0A65B778" w14:textId="77777777" w:rsidR="005F6BD0" w:rsidRDefault="005F6BD0">
      <w:pPr>
        <w:keepNext/>
        <w:spacing w:line="240" w:lineRule="auto"/>
        <w:jc w:val="both"/>
        <w:rPr>
          <w:rFonts w:ascii="Times New Roman" w:hAnsi="Times New Roman"/>
          <w:noProof/>
          <w:sz w:val="24"/>
          <w:szCs w:val="24"/>
        </w:rPr>
      </w:pPr>
    </w:p>
    <w:p w14:paraId="7B3C2CFD" w14:textId="77777777" w:rsidR="005153FF" w:rsidRDefault="005153FF">
      <w:pPr>
        <w:keepNext/>
        <w:spacing w:line="240" w:lineRule="auto"/>
        <w:jc w:val="both"/>
        <w:rPr>
          <w:rFonts w:ascii="Times New Roman" w:hAnsi="Times New Roman"/>
          <w:noProof/>
          <w:sz w:val="24"/>
          <w:szCs w:val="24"/>
        </w:rPr>
      </w:pPr>
    </w:p>
    <w:p w14:paraId="4E96E12B" w14:textId="77777777" w:rsidR="007708E7" w:rsidRDefault="007708E7" w:rsidP="00E72EF9">
      <w:pPr>
        <w:jc w:val="both"/>
        <w:rPr>
          <w:rFonts w:ascii="Times New Roman" w:hAnsi="Times New Roman"/>
          <w:noProof/>
          <w:sz w:val="24"/>
          <w:szCs w:val="24"/>
        </w:rPr>
      </w:pPr>
    </w:p>
    <w:p w14:paraId="0D4900D2" w14:textId="77777777" w:rsidR="005F6BD0" w:rsidRDefault="003A348D" w:rsidP="00E72EF9">
      <w:pPr>
        <w:jc w:val="both"/>
        <w:rPr>
          <w:rFonts w:ascii="Times New Roman" w:hAnsi="Times New Roman"/>
          <w:noProof/>
          <w:sz w:val="24"/>
          <w:szCs w:val="24"/>
        </w:rPr>
      </w:pPr>
      <w:r>
        <w:rPr>
          <w:rFonts w:ascii="Times New Roman" w:hAnsi="Times New Roman"/>
          <w:noProof/>
          <w:sz w:val="24"/>
          <w:szCs w:val="24"/>
        </w:rPr>
        <w:t>Table 6 shows the number of 10c all</w:t>
      </w:r>
      <w:r w:rsidR="00D75B42">
        <w:rPr>
          <w:rFonts w:ascii="Times New Roman" w:hAnsi="Times New Roman"/>
          <w:noProof/>
          <w:sz w:val="24"/>
          <w:szCs w:val="24"/>
        </w:rPr>
        <w:t>owances</w:t>
      </w:r>
      <w:r>
        <w:rPr>
          <w:rFonts w:ascii="Times New Roman" w:hAnsi="Times New Roman"/>
          <w:noProof/>
          <w:sz w:val="24"/>
          <w:szCs w:val="24"/>
        </w:rPr>
        <w:t xml:space="preserve"> which have been a</w:t>
      </w:r>
      <w:r w:rsidR="00967BB6">
        <w:rPr>
          <w:rFonts w:ascii="Times New Roman" w:hAnsi="Times New Roman"/>
          <w:noProof/>
          <w:sz w:val="24"/>
          <w:szCs w:val="24"/>
        </w:rPr>
        <w:t>uctioned i</w:t>
      </w:r>
      <w:r w:rsidR="00B736F4">
        <w:rPr>
          <w:rFonts w:ascii="Times New Roman" w:hAnsi="Times New Roman"/>
          <w:noProof/>
          <w:sz w:val="24"/>
          <w:szCs w:val="24"/>
        </w:rPr>
        <w:t>n the period 2013-2018</w:t>
      </w:r>
      <w:r>
        <w:rPr>
          <w:rFonts w:ascii="Times New Roman" w:hAnsi="Times New Roman"/>
          <w:noProof/>
          <w:sz w:val="24"/>
          <w:szCs w:val="24"/>
        </w:rPr>
        <w:t>, as well as the number of remaining unused allowances.</w:t>
      </w:r>
      <w:r w:rsidRPr="00E72EF9">
        <w:rPr>
          <w:rFonts w:ascii="Times New Roman" w:hAnsi="Times New Roman"/>
          <w:noProof/>
          <w:sz w:val="24"/>
          <w:szCs w:val="24"/>
        </w:rPr>
        <w:t xml:space="preserve"> </w:t>
      </w:r>
    </w:p>
    <w:p w14:paraId="44B135BB" w14:textId="77777777" w:rsidR="005F6BD0" w:rsidRDefault="003A348D">
      <w:pPr>
        <w:keepNext/>
        <w:rPr>
          <w:rFonts w:ascii="Times New Roman" w:hAnsi="Times New Roman"/>
          <w:b/>
          <w:bCs/>
          <w:noProof/>
        </w:rPr>
      </w:pPr>
      <w:r>
        <w:rPr>
          <w:rFonts w:ascii="Times New Roman" w:hAnsi="Times New Roman"/>
          <w:b/>
          <w:bCs/>
          <w:noProof/>
        </w:rPr>
        <w:t>Table 6: Treatment of</w:t>
      </w:r>
      <w:r w:rsidR="00B736F4">
        <w:rPr>
          <w:rFonts w:ascii="Times New Roman" w:hAnsi="Times New Roman"/>
          <w:b/>
          <w:bCs/>
          <w:noProof/>
        </w:rPr>
        <w:t xml:space="preserve"> unused 10c allowances 2013-2018</w:t>
      </w:r>
      <w:r w:rsidR="009C2DCE">
        <w:rPr>
          <w:rStyle w:val="FootnoteReference"/>
          <w:rFonts w:ascii="Times New Roman" w:hAnsi="Times New Roman"/>
          <w:b/>
          <w:bCs/>
          <w:noProof/>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rsidR="00AF42BE" w:rsidRPr="00AF42BE" w14:paraId="31DE2C0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D671EAC"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Member State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10A139"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 xml:space="preserve">Number of 10c allowances </w:t>
            </w:r>
          </w:p>
          <w:p w14:paraId="1105E166"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which have been auctioned (in million)</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9A4C9CB" w14:textId="77777777" w:rsidR="00AF42BE" w:rsidRPr="00AF42BE" w:rsidRDefault="00AF42BE" w:rsidP="00013E53">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Number of remaining unused allowances (in million)</w:t>
            </w:r>
          </w:p>
        </w:tc>
      </w:tr>
      <w:tr w:rsidR="00AF42BE" w:rsidRPr="00AF42BE" w14:paraId="643A4E9B"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34B62EE"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1F1741"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CC0DCD"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0,8</w:t>
            </w:r>
          </w:p>
        </w:tc>
      </w:tr>
      <w:tr w:rsidR="00AF42BE" w:rsidRPr="00AF42BE" w14:paraId="1DDDFF40"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BE6880C"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5FDF1E0"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A34FD16"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0,0</w:t>
            </w:r>
          </w:p>
        </w:tc>
      </w:tr>
      <w:tr w:rsidR="00AF42BE" w:rsidRPr="00AF42BE" w14:paraId="350720D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895EDF3"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AD669DA"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A7C395"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0,1</w:t>
            </w:r>
          </w:p>
        </w:tc>
      </w:tr>
      <w:tr w:rsidR="00AF42BE" w:rsidRPr="00AF42BE" w14:paraId="3E1A2A7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D83BFBB"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25F4ACA"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CC509EA"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0,0</w:t>
            </w:r>
          </w:p>
        </w:tc>
      </w:tr>
      <w:tr w:rsidR="00AF42BE" w:rsidRPr="00AF42BE" w14:paraId="3F591B4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CDB72D2"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9D08B20"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076243E"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0,1</w:t>
            </w:r>
          </w:p>
        </w:tc>
      </w:tr>
      <w:tr w:rsidR="00AF42BE" w:rsidRPr="00AF42BE" w14:paraId="24325275"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78CBA2"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D28F951"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7F16EBF"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68,9</w:t>
            </w:r>
          </w:p>
        </w:tc>
      </w:tr>
      <w:tr w:rsidR="00AF42BE" w:rsidRPr="00AF42BE" w14:paraId="7B3E655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920767"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232DD66"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46469DE"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2,8</w:t>
            </w:r>
          </w:p>
        </w:tc>
      </w:tr>
      <w:tr w:rsidR="00AF42BE" w:rsidRPr="00AF42BE" w14:paraId="41F9C951"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3C329A1"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120C9C0"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E8906F"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516F65">
              <w:rPr>
                <w:rFonts w:ascii="Times New Roman" w:hAnsi="Times New Roman"/>
                <w:b/>
                <w:bCs/>
                <w:noProof/>
                <w:color w:val="000000"/>
                <w:sz w:val="20"/>
                <w:szCs w:val="20"/>
                <w:lang w:eastAsia="en-GB"/>
              </w:rPr>
              <w:t>0,9</w:t>
            </w:r>
          </w:p>
        </w:tc>
      </w:tr>
      <w:tr w:rsidR="00AF42BE" w:rsidRPr="00AF42BE" w14:paraId="0CC8EAF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6ACFDD9" w14:textId="77777777" w:rsidR="00AF42BE" w:rsidRPr="00AF42BE" w:rsidRDefault="00AF42BE" w:rsidP="00AF42BE">
            <w:pPr>
              <w:spacing w:after="0" w:line="240" w:lineRule="auto"/>
              <w:jc w:val="center"/>
              <w:rPr>
                <w:rFonts w:ascii="Times New Roman" w:hAnsi="Times New Roman"/>
                <w:b/>
                <w:bCs/>
                <w:noProof/>
                <w:color w:val="000000"/>
                <w:sz w:val="20"/>
                <w:szCs w:val="20"/>
                <w:lang w:eastAsia="en-GB"/>
              </w:rPr>
            </w:pPr>
            <w:r w:rsidRPr="00AF42BE">
              <w:rPr>
                <w:rFonts w:ascii="Times New Roman" w:hAnsi="Times New Roman"/>
                <w:b/>
                <w:bCs/>
                <w:noProof/>
                <w:color w:val="000000"/>
                <w:sz w:val="20"/>
                <w:szCs w:val="20"/>
                <w:lang w:eastAsia="en-GB"/>
              </w:rPr>
              <w:t>Total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5932401" w14:textId="77777777" w:rsidR="00AF42BE" w:rsidRPr="00AF42BE" w:rsidRDefault="00544382" w:rsidP="00AF42BE">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8D920B8" w14:textId="77777777" w:rsidR="00AF42BE" w:rsidRPr="00AF42BE" w:rsidRDefault="00544382" w:rsidP="00544382">
            <w:pPr>
              <w:spacing w:after="0" w:line="240" w:lineRule="auto"/>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7</w:t>
            </w:r>
            <w:r w:rsidR="00F24CFE">
              <w:rPr>
                <w:rFonts w:ascii="Times New Roman" w:hAnsi="Times New Roman"/>
                <w:b/>
                <w:bCs/>
                <w:noProof/>
                <w:color w:val="000000"/>
                <w:sz w:val="20"/>
                <w:szCs w:val="20"/>
                <w:lang w:eastAsia="en-GB"/>
              </w:rPr>
              <w:t>3,5</w:t>
            </w:r>
          </w:p>
        </w:tc>
      </w:tr>
    </w:tbl>
    <w:p w14:paraId="12EAE172" w14:textId="77777777" w:rsidR="005F6BD0" w:rsidRPr="00276918" w:rsidRDefault="00A92C10" w:rsidP="00A92C10">
      <w:pPr>
        <w:jc w:val="both"/>
        <w:rPr>
          <w:rFonts w:ascii="Times New Roman" w:hAnsi="Times New Roman"/>
          <w:noProof/>
          <w:sz w:val="18"/>
          <w:szCs w:val="18"/>
        </w:rPr>
      </w:pPr>
      <w:r>
        <w:rPr>
          <w:rFonts w:ascii="Times New Roman" w:hAnsi="Times New Roman"/>
          <w:noProof/>
          <w:sz w:val="18"/>
          <w:szCs w:val="18"/>
        </w:rPr>
        <w:t xml:space="preserve"> </w:t>
      </w:r>
      <w:r w:rsidRPr="00276918">
        <w:rPr>
          <w:rFonts w:ascii="Times New Roman" w:hAnsi="Times New Roman"/>
          <w:noProof/>
          <w:sz w:val="18"/>
          <w:szCs w:val="18"/>
        </w:rPr>
        <w:t>Source: DG CLIMA</w:t>
      </w:r>
    </w:p>
    <w:p w14:paraId="57D7927A" w14:textId="77777777" w:rsidR="00A063FC" w:rsidRDefault="00A063FC" w:rsidP="002802C4">
      <w:pPr>
        <w:jc w:val="both"/>
        <w:rPr>
          <w:noProof/>
        </w:rPr>
      </w:pPr>
      <w:r w:rsidRPr="00A063FC">
        <w:rPr>
          <w:rFonts w:ascii="Times New Roman" w:hAnsi="Times New Roman"/>
          <w:noProof/>
          <w:sz w:val="24"/>
          <w:szCs w:val="24"/>
        </w:rPr>
        <w:t>The number of</w:t>
      </w:r>
      <w:r>
        <w:rPr>
          <w:rFonts w:ascii="Times New Roman" w:hAnsi="Times New Roman"/>
          <w:noProof/>
          <w:sz w:val="24"/>
          <w:szCs w:val="24"/>
        </w:rPr>
        <w:t xml:space="preserve"> unallocated allowances that have been auctioned (or planned </w:t>
      </w:r>
      <w:r w:rsidR="000E5992">
        <w:rPr>
          <w:rFonts w:ascii="Times New Roman" w:hAnsi="Times New Roman"/>
          <w:noProof/>
          <w:sz w:val="24"/>
          <w:szCs w:val="24"/>
        </w:rPr>
        <w:t>for auctioning</w:t>
      </w:r>
      <w:r>
        <w:rPr>
          <w:rFonts w:ascii="Times New Roman" w:hAnsi="Times New Roman"/>
          <w:noProof/>
          <w:sz w:val="24"/>
          <w:szCs w:val="24"/>
        </w:rPr>
        <w:t>) by Member States under the Article 10c derogation for each year of phase 3 is indicated in Table</w:t>
      </w:r>
      <w:r w:rsidR="000E5992">
        <w:rPr>
          <w:rFonts w:ascii="Times New Roman" w:hAnsi="Times New Roman"/>
          <w:noProof/>
          <w:sz w:val="24"/>
          <w:szCs w:val="24"/>
        </w:rPr>
        <w:t xml:space="preserve"> 1.3 in </w:t>
      </w:r>
      <w:r>
        <w:rPr>
          <w:rFonts w:ascii="Times New Roman" w:hAnsi="Times New Roman"/>
          <w:noProof/>
          <w:sz w:val="24"/>
          <w:szCs w:val="24"/>
        </w:rPr>
        <w:t>Appendix</w:t>
      </w:r>
      <w:r w:rsidR="000E5992">
        <w:rPr>
          <w:rFonts w:ascii="Times New Roman" w:hAnsi="Times New Roman"/>
          <w:noProof/>
          <w:sz w:val="24"/>
          <w:szCs w:val="24"/>
        </w:rPr>
        <w:t xml:space="preserve"> 1</w:t>
      </w:r>
      <w:r>
        <w:rPr>
          <w:rFonts w:ascii="Times New Roman" w:hAnsi="Times New Roman"/>
          <w:noProof/>
          <w:sz w:val="24"/>
          <w:szCs w:val="24"/>
        </w:rPr>
        <w:t xml:space="preserve"> to the Annex.</w:t>
      </w:r>
    </w:p>
    <w:p w14:paraId="041B37C7" w14:textId="77777777" w:rsidR="005F6BD0" w:rsidRDefault="00A52F4C">
      <w:pPr>
        <w:pStyle w:val="Heading3"/>
        <w:spacing w:before="0" w:after="200"/>
        <w:ind w:left="720"/>
        <w:rPr>
          <w:noProof/>
        </w:rPr>
      </w:pPr>
      <w:bookmarkStart w:id="41" w:name="_Toc20217735"/>
      <w:r>
        <w:rPr>
          <w:noProof/>
        </w:rPr>
        <w:t>3</w:t>
      </w:r>
      <w:r w:rsidR="003A348D">
        <w:rPr>
          <w:noProof/>
        </w:rPr>
        <w:t>.1.3. International credits</w:t>
      </w:r>
      <w:bookmarkEnd w:id="39"/>
      <w:bookmarkEnd w:id="40"/>
      <w:bookmarkEnd w:id="41"/>
    </w:p>
    <w:p w14:paraId="23377E86" w14:textId="77777777" w:rsidR="005F6BD0" w:rsidRDefault="003A348D">
      <w:pPr>
        <w:jc w:val="both"/>
        <w:rPr>
          <w:rFonts w:ascii="Times New Roman" w:hAnsi="Times New Roman"/>
          <w:noProof/>
          <w:sz w:val="24"/>
          <w:szCs w:val="24"/>
        </w:rPr>
      </w:pPr>
      <w:r>
        <w:rPr>
          <w:rFonts w:ascii="Times New Roman" w:hAnsi="Times New Roman"/>
          <w:noProof/>
          <w:sz w:val="24"/>
          <w:szCs w:val="24"/>
          <w:lang w:eastAsia="en-GB"/>
        </w:rPr>
        <mc:AlternateContent>
          <mc:Choice Requires="wps">
            <w:drawing>
              <wp:inline distT="0" distB="0" distL="0" distR="0" wp14:anchorId="45E3A308" wp14:editId="48F2482A">
                <wp:extent cx="5742432" cy="2493818"/>
                <wp:effectExtent l="0" t="0" r="10795" b="2095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2493818"/>
                        </a:xfrm>
                        <a:prstGeom prst="rect">
                          <a:avLst/>
                        </a:prstGeom>
                        <a:solidFill>
                          <a:schemeClr val="bg1">
                            <a:lumMod val="85000"/>
                          </a:schemeClr>
                        </a:solidFill>
                        <a:ln w="12700">
                          <a:solidFill>
                            <a:srgbClr val="000000"/>
                          </a:solidFill>
                          <a:miter lim="800000"/>
                          <a:headEnd/>
                          <a:tailEnd/>
                        </a:ln>
                      </wps:spPr>
                      <wps:txbx>
                        <w:txbxContent>
                          <w:p w14:paraId="541897DA" w14:textId="77777777" w:rsidR="00516F65" w:rsidRDefault="00516F65">
                            <w:pPr>
                              <w:jc w:val="both"/>
                              <w:rPr>
                                <w:rFonts w:ascii="Times New Roman" w:hAnsi="Times New Roman"/>
                                <w:sz w:val="24"/>
                                <w:szCs w:val="24"/>
                              </w:rPr>
                            </w:pPr>
                            <w:r>
                              <w:rPr>
                                <w:rFonts w:ascii="Times New Roman" w:hAnsi="Times New Roman"/>
                                <w:sz w:val="24"/>
                                <w:szCs w:val="24"/>
                              </w:rPr>
                              <w:t>Participants in the EU ETS can still use international credits from the Kyoto Protocol's Clean Development Mechanism (CDM) and Joint Implementation (JI) towards fulfilling part of their EU ETS obligations until 2020</w:t>
                            </w:r>
                            <w:r>
                              <w:rPr>
                                <w:rStyle w:val="FootnoteReference"/>
                                <w:rFonts w:ascii="Times New Roman" w:hAnsi="Times New Roman"/>
                                <w:sz w:val="24"/>
                                <w:szCs w:val="24"/>
                              </w:rPr>
                              <w:t>*</w:t>
                            </w:r>
                            <w:r>
                              <w:rPr>
                                <w:rFonts w:ascii="Times New Roman" w:hAnsi="Times New Roman"/>
                                <w:sz w:val="24"/>
                                <w:szCs w:val="24"/>
                              </w:rPr>
                              <w:t>, subject to qualitative and quantitative restrictions. These credits are financial instruments that represent a tonne of CO</w:t>
                            </w:r>
                            <w:r>
                              <w:rPr>
                                <w:rFonts w:ascii="Times New Roman" w:hAnsi="Times New Roman"/>
                                <w:sz w:val="24"/>
                                <w:szCs w:val="24"/>
                                <w:vertAlign w:val="subscript"/>
                              </w:rPr>
                              <w:t>2</w:t>
                            </w:r>
                            <w:r>
                              <w:rPr>
                                <w:rFonts w:ascii="Times New Roman" w:hAnsi="Times New Roman"/>
                                <w:sz w:val="24"/>
                                <w:szCs w:val="24"/>
                              </w:rPr>
                              <w:t xml:space="preserve"> removed or reduced from the atmosphere as a result of an emissions reduction project. In phase 3 credits are no longer surrendered directly, but instead may be exchanged for allowances at any time during the calendar year.</w:t>
                            </w:r>
                            <w:r>
                              <w:t xml:space="preserve"> </w:t>
                            </w:r>
                          </w:p>
                          <w:p w14:paraId="4E867384" w14:textId="77777777" w:rsidR="00516F65" w:rsidRDefault="00516F65">
                            <w:pPr>
                              <w:jc w:val="both"/>
                              <w:rPr>
                                <w:rFonts w:ascii="Times New Roman" w:hAnsi="Times New Roman"/>
                                <w:sz w:val="24"/>
                                <w:szCs w:val="24"/>
                              </w:rPr>
                            </w:pPr>
                            <w:r>
                              <w:rPr>
                                <w:rFonts w:ascii="Times New Roman" w:hAnsi="Times New Roman"/>
                                <w:sz w:val="24"/>
                                <w:szCs w:val="24"/>
                              </w:rPr>
                              <w:t>According to the provisions of the revised EU ETS Directive, international credits will no longer be used for EU ETS compliance in the next trading period.</w:t>
                            </w:r>
                          </w:p>
                          <w:p w14:paraId="170A6952" w14:textId="77777777" w:rsidR="00516F65" w:rsidRDefault="00516F65">
                            <w:pPr>
                              <w:jc w:val="both"/>
                              <w:rPr>
                                <w:rFonts w:ascii="Times New Roman" w:hAnsi="Times New Roman"/>
                                <w:sz w:val="18"/>
                                <w:szCs w:val="18"/>
                              </w:rPr>
                            </w:pPr>
                            <w:r>
                              <w:rPr>
                                <w:rFonts w:ascii="Times New Roman" w:hAnsi="Times New Roman"/>
                                <w:sz w:val="18"/>
                                <w:szCs w:val="18"/>
                              </w:rPr>
                              <w:t xml:space="preserve">* CDM and JI projects generate Kyoto carbon credits: Certified Emission Reductions (CERs) and Emission Reduction Units (ERUs) respectively. </w:t>
                            </w:r>
                          </w:p>
                        </w:txbxContent>
                      </wps:txbx>
                      <wps:bodyPr rot="0" vert="horz" wrap="square" lIns="91440" tIns="45720" rIns="91440" bIns="45720" anchor="t" anchorCtr="0">
                        <a:noAutofit/>
                      </wps:bodyPr>
                    </wps:wsp>
                  </a:graphicData>
                </a:graphic>
              </wp:inline>
            </w:drawing>
          </mc:Choice>
          <mc:Fallback>
            <w:pict>
              <v:shape w14:anchorId="45E3A308" id="_x0000_s1035" type="#_x0000_t202" style="width:452.15pt;height:1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" fillcolor="#d8d8d8 [2732]" strokeweight="1pt">
                <v:textbox>
                  <w:txbxContent>
                    <w:p w14:paraId="541897DA" w14:textId="77777777" w:rsidR="00516F65" w:rsidRDefault="00516F65">
                      <w:pPr>
                        <w:jc w:val="both"/>
                        <w:rPr>
                          <w:rFonts w:ascii="Times New Roman" w:hAnsi="Times New Roman"/>
                          <w:sz w:val="24"/>
                          <w:szCs w:val="24"/>
                        </w:rPr>
                      </w:pPr>
                      <w:r>
                        <w:rPr>
                          <w:rFonts w:ascii="Times New Roman" w:hAnsi="Times New Roman"/>
                          <w:sz w:val="24"/>
                          <w:szCs w:val="24"/>
                        </w:rPr>
                        <w:t>Participants in the EU ETS can still use international credits from the Kyoto Protocol's Clean Development Mechanism (CDM) and Joint Implementation (JI) towards fulfilling part of their EU ETS obligations until 2020</w:t>
                      </w:r>
                      <w:r>
                        <w:rPr>
                          <w:rStyle w:val="FootnoteReference"/>
                          <w:rFonts w:ascii="Times New Roman" w:hAnsi="Times New Roman"/>
                          <w:sz w:val="24"/>
                          <w:szCs w:val="24"/>
                        </w:rPr>
                        <w:t>*</w:t>
                      </w:r>
                      <w:r>
                        <w:rPr>
                          <w:rFonts w:ascii="Times New Roman" w:hAnsi="Times New Roman"/>
                          <w:sz w:val="24"/>
                          <w:szCs w:val="24"/>
                        </w:rPr>
                        <w:t>, subject to qualitative and quantitative restrictions. These credits are financial instruments that represent a tonne of CO</w:t>
                      </w:r>
                      <w:r>
                        <w:rPr>
                          <w:rFonts w:ascii="Times New Roman" w:hAnsi="Times New Roman"/>
                          <w:sz w:val="24"/>
                          <w:szCs w:val="24"/>
                          <w:vertAlign w:val="subscript"/>
                        </w:rPr>
                        <w:t>2</w:t>
                      </w:r>
                      <w:r>
                        <w:rPr>
                          <w:rFonts w:ascii="Times New Roman" w:hAnsi="Times New Roman"/>
                          <w:sz w:val="24"/>
                          <w:szCs w:val="24"/>
                        </w:rPr>
                        <w:t xml:space="preserve"> removed or reduced from the atmosphere as a result of an emissions reduction project. In phase 3 credits are no longer surrendered directly, but instead may be exchanged for allowances at any time during the calendar year.</w:t>
                      </w:r>
                      <w:r>
                        <w:t xml:space="preserve"> </w:t>
                      </w:r>
                    </w:p>
                    <w:p w14:paraId="4E867384" w14:textId="77777777" w:rsidR="00516F65" w:rsidRDefault="00516F65">
                      <w:pPr>
                        <w:jc w:val="both"/>
                        <w:rPr>
                          <w:rFonts w:ascii="Times New Roman" w:hAnsi="Times New Roman"/>
                          <w:sz w:val="24"/>
                          <w:szCs w:val="24"/>
                        </w:rPr>
                      </w:pPr>
                      <w:r>
                        <w:rPr>
                          <w:rFonts w:ascii="Times New Roman" w:hAnsi="Times New Roman"/>
                          <w:sz w:val="24"/>
                          <w:szCs w:val="24"/>
                        </w:rPr>
                        <w:t>According to the provisions of the revised EU ETS Directive, international credits will no longer be used for EU ETS compliance in the next trading period.</w:t>
                      </w:r>
                    </w:p>
                    <w:p w14:paraId="170A6952" w14:textId="77777777" w:rsidR="00516F65" w:rsidRDefault="00516F65">
                      <w:pPr>
                        <w:jc w:val="both"/>
                        <w:rPr>
                          <w:rFonts w:ascii="Times New Roman" w:hAnsi="Times New Roman"/>
                          <w:sz w:val="18"/>
                          <w:szCs w:val="18"/>
                        </w:rPr>
                      </w:pPr>
                      <w:r>
                        <w:rPr>
                          <w:rFonts w:ascii="Times New Roman" w:hAnsi="Times New Roman"/>
                          <w:sz w:val="18"/>
                          <w:szCs w:val="18"/>
                        </w:rPr>
                        <w:t xml:space="preserve">* CDM and JI projects generate Kyoto carbon credits: Certified Emission Reductions (CERs) and Emission Reduction Units (ERUs) respectively. </w:t>
                      </w:r>
                    </w:p>
                  </w:txbxContent>
                </v:textbox>
                <w10:anchorlock/>
              </v:shape>
            </w:pict>
          </mc:Fallback>
        </mc:AlternateContent>
      </w:r>
    </w:p>
    <w:p w14:paraId="22FD9B1F"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Although the exact quantity of international credit entitlements over phases 2 and 3 (2008-2020) will partially depend on the quantity of future verified emissions, market analysts estimate that it will amount to approximately 1.6 billion credits. As of </w:t>
      </w:r>
      <w:r w:rsidR="00D33DAD">
        <w:rPr>
          <w:rFonts w:ascii="Times New Roman" w:hAnsi="Times New Roman"/>
          <w:noProof/>
          <w:sz w:val="24"/>
          <w:szCs w:val="24"/>
        </w:rPr>
        <w:t>end</w:t>
      </w:r>
      <w:r>
        <w:rPr>
          <w:rFonts w:ascii="Times New Roman" w:hAnsi="Times New Roman"/>
          <w:noProof/>
          <w:sz w:val="24"/>
          <w:szCs w:val="24"/>
        </w:rPr>
        <w:t xml:space="preserve"> June 201</w:t>
      </w:r>
      <w:r w:rsidR="00D33DAD">
        <w:rPr>
          <w:rFonts w:ascii="Times New Roman" w:hAnsi="Times New Roman"/>
          <w:noProof/>
          <w:sz w:val="24"/>
          <w:szCs w:val="24"/>
        </w:rPr>
        <w:t>9</w:t>
      </w:r>
      <w:r>
        <w:rPr>
          <w:rFonts w:ascii="Times New Roman" w:hAnsi="Times New Roman"/>
          <w:noProof/>
          <w:sz w:val="24"/>
          <w:szCs w:val="24"/>
        </w:rPr>
        <w:t xml:space="preserve">, the total number of international credits used or exchanged amounts to </w:t>
      </w:r>
      <w:r w:rsidR="00D812BF">
        <w:rPr>
          <w:rFonts w:ascii="Times New Roman" w:hAnsi="Times New Roman"/>
          <w:noProof/>
          <w:sz w:val="24"/>
          <w:szCs w:val="24"/>
        </w:rPr>
        <w:t xml:space="preserve">around </w:t>
      </w:r>
      <w:r>
        <w:rPr>
          <w:rFonts w:ascii="Times New Roman" w:hAnsi="Times New Roman"/>
          <w:noProof/>
          <w:sz w:val="24"/>
          <w:szCs w:val="24"/>
        </w:rPr>
        <w:t>1.</w:t>
      </w:r>
      <w:r w:rsidR="00D812BF">
        <w:rPr>
          <w:rFonts w:ascii="Times New Roman" w:hAnsi="Times New Roman"/>
          <w:noProof/>
          <w:sz w:val="24"/>
          <w:szCs w:val="24"/>
        </w:rPr>
        <w:t>5</w:t>
      </w:r>
      <w:r w:rsidR="0061725C">
        <w:rPr>
          <w:rFonts w:ascii="Times New Roman" w:hAnsi="Times New Roman"/>
          <w:noProof/>
          <w:sz w:val="24"/>
          <w:szCs w:val="24"/>
        </w:rPr>
        <w:t>1</w:t>
      </w:r>
      <w:r>
        <w:rPr>
          <w:rFonts w:ascii="Times New Roman" w:hAnsi="Times New Roman"/>
          <w:noProof/>
          <w:sz w:val="24"/>
          <w:szCs w:val="24"/>
        </w:rPr>
        <w:t xml:space="preserve"> billion, accounting for over 90% of the estimate for the allowed maximum.</w:t>
      </w:r>
    </w:p>
    <w:p w14:paraId="7634AFD4" w14:textId="77777777" w:rsidR="00796CB0" w:rsidRDefault="003A348D" w:rsidP="00495FC8">
      <w:pPr>
        <w:spacing w:after="0"/>
        <w:jc w:val="both"/>
        <w:rPr>
          <w:rFonts w:ascii="Times New Roman" w:hAnsi="Times New Roman"/>
          <w:noProof/>
          <w:sz w:val="24"/>
          <w:szCs w:val="24"/>
        </w:rPr>
      </w:pPr>
      <w:r>
        <w:rPr>
          <w:rFonts w:ascii="Times New Roman" w:hAnsi="Times New Roman"/>
          <w:noProof/>
          <w:sz w:val="24"/>
          <w:szCs w:val="24"/>
        </w:rPr>
        <w:t>For a full overview of the international credits exchange, see Appendix 3 to the Annex.</w:t>
      </w:r>
      <w:bookmarkStart w:id="42" w:name="_Toc490850432"/>
      <w:bookmarkStart w:id="43" w:name="_Toc519009683"/>
    </w:p>
    <w:p w14:paraId="5E4A415D" w14:textId="77777777" w:rsidR="007F5B1E" w:rsidRDefault="007F5B1E" w:rsidP="00495FC8">
      <w:pPr>
        <w:spacing w:after="0"/>
        <w:jc w:val="both"/>
        <w:rPr>
          <w:rFonts w:ascii="Times New Roman" w:hAnsi="Times New Roman"/>
          <w:noProof/>
          <w:sz w:val="24"/>
          <w:szCs w:val="24"/>
        </w:rPr>
      </w:pPr>
    </w:p>
    <w:p w14:paraId="61BA759C" w14:textId="77777777" w:rsidR="007F5B1E" w:rsidRDefault="007F5B1E" w:rsidP="00495FC8">
      <w:pPr>
        <w:spacing w:after="0"/>
        <w:jc w:val="both"/>
        <w:rPr>
          <w:rFonts w:ascii="Times New Roman" w:hAnsi="Times New Roman"/>
          <w:noProof/>
          <w:sz w:val="24"/>
          <w:szCs w:val="24"/>
        </w:rPr>
      </w:pPr>
    </w:p>
    <w:p w14:paraId="493EBFEE" w14:textId="77777777" w:rsidR="007F5B1E" w:rsidRDefault="007F5B1E" w:rsidP="00495FC8">
      <w:pPr>
        <w:spacing w:after="0"/>
        <w:jc w:val="both"/>
        <w:rPr>
          <w:rFonts w:ascii="Times New Roman" w:hAnsi="Times New Roman"/>
          <w:noProof/>
          <w:sz w:val="24"/>
          <w:szCs w:val="24"/>
        </w:rPr>
      </w:pPr>
    </w:p>
    <w:p w14:paraId="0755FAA3" w14:textId="77777777" w:rsidR="007F5B1E" w:rsidRDefault="007F5B1E" w:rsidP="00495FC8">
      <w:pPr>
        <w:spacing w:after="0"/>
        <w:jc w:val="both"/>
        <w:rPr>
          <w:rFonts w:ascii="Times New Roman" w:hAnsi="Times New Roman"/>
          <w:noProof/>
          <w:sz w:val="24"/>
          <w:szCs w:val="24"/>
        </w:rPr>
      </w:pPr>
    </w:p>
    <w:p w14:paraId="087CE548" w14:textId="77777777" w:rsidR="007F5B1E" w:rsidRDefault="007F5B1E" w:rsidP="00495FC8">
      <w:pPr>
        <w:spacing w:after="0"/>
        <w:jc w:val="both"/>
        <w:rPr>
          <w:rFonts w:ascii="Times New Roman" w:hAnsi="Times New Roman"/>
          <w:noProof/>
          <w:sz w:val="24"/>
          <w:szCs w:val="24"/>
        </w:rPr>
      </w:pPr>
    </w:p>
    <w:p w14:paraId="3A74B91F" w14:textId="77777777" w:rsidR="007F5B1E" w:rsidRDefault="007F5B1E" w:rsidP="00495FC8">
      <w:pPr>
        <w:spacing w:after="0"/>
        <w:jc w:val="both"/>
        <w:rPr>
          <w:rFonts w:ascii="Times New Roman" w:hAnsi="Times New Roman"/>
          <w:noProof/>
          <w:sz w:val="24"/>
          <w:szCs w:val="24"/>
        </w:rPr>
      </w:pPr>
    </w:p>
    <w:p w14:paraId="2AEEBC6B" w14:textId="77777777" w:rsidR="007F5B1E" w:rsidRDefault="007F5B1E" w:rsidP="00495FC8">
      <w:pPr>
        <w:spacing w:after="0"/>
        <w:jc w:val="both"/>
        <w:rPr>
          <w:rFonts w:ascii="Times New Roman" w:hAnsi="Times New Roman"/>
          <w:noProof/>
          <w:sz w:val="24"/>
          <w:szCs w:val="24"/>
        </w:rPr>
      </w:pPr>
    </w:p>
    <w:p w14:paraId="23BF2CC4" w14:textId="77777777" w:rsidR="007F5B1E" w:rsidRDefault="007F5B1E" w:rsidP="00495FC8">
      <w:pPr>
        <w:spacing w:after="0"/>
        <w:jc w:val="both"/>
        <w:rPr>
          <w:rFonts w:ascii="Times New Roman" w:hAnsi="Times New Roman"/>
          <w:noProof/>
          <w:sz w:val="24"/>
          <w:szCs w:val="24"/>
        </w:rPr>
      </w:pPr>
    </w:p>
    <w:p w14:paraId="78251126" w14:textId="77777777" w:rsidR="007F5B1E" w:rsidRDefault="007F5B1E" w:rsidP="00495FC8">
      <w:pPr>
        <w:spacing w:after="0"/>
        <w:jc w:val="both"/>
        <w:rPr>
          <w:rFonts w:ascii="Times New Roman" w:hAnsi="Times New Roman"/>
          <w:noProof/>
          <w:sz w:val="24"/>
          <w:szCs w:val="24"/>
        </w:rPr>
      </w:pPr>
    </w:p>
    <w:p w14:paraId="410FD69E" w14:textId="77777777" w:rsidR="007F5B1E" w:rsidRDefault="007F5B1E" w:rsidP="00495FC8">
      <w:pPr>
        <w:spacing w:after="0"/>
        <w:jc w:val="both"/>
        <w:rPr>
          <w:rFonts w:ascii="Times New Roman" w:hAnsi="Times New Roman"/>
          <w:noProof/>
          <w:sz w:val="24"/>
          <w:szCs w:val="24"/>
        </w:rPr>
      </w:pPr>
    </w:p>
    <w:p w14:paraId="17A92FF6" w14:textId="77777777" w:rsidR="007F5B1E" w:rsidRDefault="007F5B1E" w:rsidP="00495FC8">
      <w:pPr>
        <w:spacing w:after="0"/>
        <w:jc w:val="both"/>
        <w:rPr>
          <w:rFonts w:ascii="Times New Roman" w:hAnsi="Times New Roman"/>
          <w:noProof/>
          <w:sz w:val="24"/>
          <w:szCs w:val="24"/>
        </w:rPr>
      </w:pPr>
    </w:p>
    <w:p w14:paraId="50A1AB8F" w14:textId="77777777" w:rsidR="007F5B1E" w:rsidRDefault="007F5B1E" w:rsidP="00495FC8">
      <w:pPr>
        <w:spacing w:after="0"/>
        <w:jc w:val="both"/>
        <w:rPr>
          <w:rFonts w:ascii="Times New Roman" w:hAnsi="Times New Roman"/>
          <w:noProof/>
          <w:sz w:val="24"/>
          <w:szCs w:val="24"/>
        </w:rPr>
      </w:pPr>
    </w:p>
    <w:p w14:paraId="653F79D1" w14:textId="77777777" w:rsidR="007F5B1E" w:rsidRDefault="007F5B1E" w:rsidP="00495FC8">
      <w:pPr>
        <w:spacing w:after="0"/>
        <w:jc w:val="both"/>
        <w:rPr>
          <w:rFonts w:ascii="Times New Roman" w:hAnsi="Times New Roman"/>
          <w:noProof/>
          <w:sz w:val="24"/>
          <w:szCs w:val="24"/>
        </w:rPr>
      </w:pPr>
    </w:p>
    <w:p w14:paraId="4F314435" w14:textId="77777777" w:rsidR="007F5B1E" w:rsidRDefault="007F5B1E" w:rsidP="00495FC8">
      <w:pPr>
        <w:spacing w:after="0"/>
        <w:jc w:val="both"/>
        <w:rPr>
          <w:rFonts w:ascii="Times New Roman" w:hAnsi="Times New Roman"/>
          <w:noProof/>
          <w:sz w:val="24"/>
          <w:szCs w:val="24"/>
        </w:rPr>
      </w:pPr>
    </w:p>
    <w:p w14:paraId="301273B5" w14:textId="77777777" w:rsidR="007F5B1E" w:rsidRPr="00495FC8" w:rsidRDefault="007F5B1E" w:rsidP="00495FC8">
      <w:pPr>
        <w:spacing w:after="0"/>
        <w:jc w:val="both"/>
        <w:rPr>
          <w:rFonts w:ascii="Times New Roman" w:hAnsi="Times New Roman"/>
          <w:noProof/>
          <w:sz w:val="24"/>
          <w:szCs w:val="24"/>
        </w:rPr>
      </w:pPr>
    </w:p>
    <w:p w14:paraId="4EEDA10C" w14:textId="77777777" w:rsidR="005F6BD0" w:rsidRDefault="00A52F4C">
      <w:pPr>
        <w:pStyle w:val="Heading2"/>
        <w:rPr>
          <w:i w:val="0"/>
          <w:noProof/>
        </w:rPr>
      </w:pPr>
      <w:bookmarkStart w:id="44" w:name="_Toc20217736"/>
      <w:r>
        <w:rPr>
          <w:i w:val="0"/>
          <w:noProof/>
        </w:rPr>
        <w:t>3</w:t>
      </w:r>
      <w:r w:rsidR="003A348D">
        <w:rPr>
          <w:i w:val="0"/>
          <w:noProof/>
        </w:rPr>
        <w:t>.2. Demand: allowances taken out of circulation</w:t>
      </w:r>
      <w:bookmarkEnd w:id="42"/>
      <w:bookmarkEnd w:id="43"/>
      <w:bookmarkEnd w:id="44"/>
    </w:p>
    <w:p w14:paraId="0D482F57" w14:textId="77777777" w:rsidR="000E5992" w:rsidRPr="00BD381F" w:rsidRDefault="003A348D" w:rsidP="00A324A5">
      <w:pPr>
        <w:jc w:val="both"/>
      </w:pPr>
      <w:r>
        <w:rPr>
          <w:rFonts w:ascii="Times New Roman" w:hAnsi="Times New Roman"/>
          <w:noProof/>
          <w:sz w:val="24"/>
          <w:szCs w:val="24"/>
        </w:rPr>
        <w:t>In 201</w:t>
      </w:r>
      <w:r w:rsidR="00E63E09">
        <w:rPr>
          <w:rFonts w:ascii="Times New Roman" w:hAnsi="Times New Roman"/>
          <w:noProof/>
          <w:sz w:val="24"/>
          <w:szCs w:val="24"/>
        </w:rPr>
        <w:t>8</w:t>
      </w:r>
      <w:r>
        <w:rPr>
          <w:rFonts w:ascii="Times New Roman" w:hAnsi="Times New Roman"/>
          <w:noProof/>
          <w:sz w:val="24"/>
          <w:szCs w:val="24"/>
        </w:rPr>
        <w:t xml:space="preserve">, emissions from installations participating in the EU ETS are estimated to have </w:t>
      </w:r>
      <w:r w:rsidR="00E63E09">
        <w:rPr>
          <w:rFonts w:ascii="Times New Roman" w:hAnsi="Times New Roman"/>
          <w:noProof/>
          <w:sz w:val="24"/>
          <w:szCs w:val="24"/>
        </w:rPr>
        <w:t>decreased</w:t>
      </w:r>
      <w:r w:rsidR="00796CB0">
        <w:rPr>
          <w:rFonts w:ascii="Times New Roman" w:hAnsi="Times New Roman"/>
          <w:noProof/>
          <w:sz w:val="24"/>
          <w:szCs w:val="24"/>
        </w:rPr>
        <w:t xml:space="preserve"> </w:t>
      </w:r>
      <w:r>
        <w:rPr>
          <w:rFonts w:ascii="Times New Roman" w:hAnsi="Times New Roman"/>
          <w:noProof/>
          <w:sz w:val="24"/>
          <w:szCs w:val="24"/>
        </w:rPr>
        <w:t xml:space="preserve">by </w:t>
      </w:r>
      <w:r w:rsidR="00E63E09">
        <w:rPr>
          <w:rFonts w:ascii="Times New Roman" w:hAnsi="Times New Roman"/>
          <w:noProof/>
          <w:sz w:val="24"/>
          <w:szCs w:val="24"/>
        </w:rPr>
        <w:t>4.1</w:t>
      </w:r>
      <w:r>
        <w:rPr>
          <w:rFonts w:ascii="Times New Roman" w:hAnsi="Times New Roman"/>
          <w:noProof/>
          <w:sz w:val="24"/>
          <w:szCs w:val="24"/>
        </w:rPr>
        <w:t>% compared to 201</w:t>
      </w:r>
      <w:r w:rsidR="00E63E09">
        <w:rPr>
          <w:rFonts w:ascii="Times New Roman" w:hAnsi="Times New Roman"/>
          <w:noProof/>
          <w:sz w:val="24"/>
          <w:szCs w:val="24"/>
        </w:rPr>
        <w:t>7</w:t>
      </w:r>
      <w:r>
        <w:rPr>
          <w:rFonts w:ascii="Times New Roman" w:hAnsi="Times New Roman"/>
          <w:noProof/>
          <w:sz w:val="24"/>
          <w:szCs w:val="24"/>
        </w:rPr>
        <w:t xml:space="preserve"> based on the information recorded in the Union Registry.</w:t>
      </w:r>
      <w:r w:rsidR="00E63E09">
        <w:rPr>
          <w:rFonts w:ascii="Times New Roman" w:hAnsi="Times New Roman"/>
          <w:noProof/>
          <w:sz w:val="24"/>
          <w:szCs w:val="24"/>
        </w:rPr>
        <w:t xml:space="preserve"> </w:t>
      </w:r>
      <w:r w:rsidR="00E63E09" w:rsidRPr="00E63E09">
        <w:rPr>
          <w:rFonts w:ascii="Times New Roman" w:hAnsi="Times New Roman"/>
          <w:noProof/>
          <w:sz w:val="24"/>
          <w:szCs w:val="24"/>
        </w:rPr>
        <w:t xml:space="preserve">As </w:t>
      </w:r>
      <w:r w:rsidR="00E63E09">
        <w:rPr>
          <w:rFonts w:ascii="Times New Roman" w:hAnsi="Times New Roman"/>
          <w:noProof/>
          <w:sz w:val="24"/>
          <w:szCs w:val="24"/>
        </w:rPr>
        <w:t>table</w:t>
      </w:r>
      <w:r w:rsidR="00DC3851">
        <w:rPr>
          <w:rFonts w:ascii="Times New Roman" w:hAnsi="Times New Roman"/>
          <w:noProof/>
          <w:sz w:val="24"/>
          <w:szCs w:val="24"/>
        </w:rPr>
        <w:t xml:space="preserve"> 7 </w:t>
      </w:r>
      <w:r w:rsidR="00E63E09" w:rsidRPr="00E63E09">
        <w:rPr>
          <w:rFonts w:ascii="Times New Roman" w:hAnsi="Times New Roman"/>
          <w:noProof/>
          <w:sz w:val="24"/>
          <w:szCs w:val="24"/>
        </w:rPr>
        <w:t xml:space="preserve">demonstrates, the </w:t>
      </w:r>
      <w:r w:rsidR="00E63E09">
        <w:rPr>
          <w:rFonts w:ascii="Times New Roman" w:hAnsi="Times New Roman"/>
          <w:noProof/>
          <w:sz w:val="24"/>
          <w:szCs w:val="24"/>
        </w:rPr>
        <w:t>decrease</w:t>
      </w:r>
      <w:r w:rsidR="00E63E09" w:rsidRPr="00E63E09">
        <w:rPr>
          <w:rFonts w:ascii="Times New Roman" w:hAnsi="Times New Roman"/>
          <w:noProof/>
          <w:sz w:val="24"/>
          <w:szCs w:val="24"/>
        </w:rPr>
        <w:t xml:space="preserve"> in emissions was mainly driven by </w:t>
      </w:r>
      <w:r w:rsidR="008E46B6">
        <w:rPr>
          <w:rFonts w:ascii="Times New Roman" w:hAnsi="Times New Roman"/>
          <w:noProof/>
          <w:sz w:val="24"/>
          <w:szCs w:val="24"/>
        </w:rPr>
        <w:t xml:space="preserve">electricity and heat production </w:t>
      </w:r>
      <w:r w:rsidR="00E63E09" w:rsidRPr="00E63E09">
        <w:rPr>
          <w:rFonts w:ascii="Times New Roman" w:hAnsi="Times New Roman"/>
          <w:noProof/>
          <w:sz w:val="24"/>
          <w:szCs w:val="24"/>
        </w:rPr>
        <w:t>, whereas emissions fro</w:t>
      </w:r>
      <w:r w:rsidR="0045466C">
        <w:rPr>
          <w:rFonts w:ascii="Times New Roman" w:hAnsi="Times New Roman"/>
          <w:noProof/>
          <w:sz w:val="24"/>
          <w:szCs w:val="24"/>
        </w:rPr>
        <w:t>m industry decreased only very slightly</w:t>
      </w:r>
      <w:r w:rsidR="00E63E09">
        <w:rPr>
          <w:rFonts w:ascii="Times New Roman" w:hAnsi="Times New Roman"/>
          <w:noProof/>
          <w:sz w:val="24"/>
          <w:szCs w:val="24"/>
        </w:rPr>
        <w:t xml:space="preserve">. </w:t>
      </w:r>
    </w:p>
    <w:p w14:paraId="254CD840" w14:textId="77777777" w:rsidR="005F6BD0" w:rsidRDefault="003A348D">
      <w:pPr>
        <w:pStyle w:val="Caption"/>
        <w:keepNext/>
        <w:rPr>
          <w:rFonts w:ascii="Times New Roman" w:hAnsi="Times New Roman"/>
          <w:noProof/>
          <w:color w:val="000000"/>
          <w:sz w:val="22"/>
          <w:szCs w:val="22"/>
          <w:lang w:eastAsia="en-GB"/>
        </w:rPr>
      </w:pPr>
      <w:r w:rsidRPr="002802C4">
        <w:rPr>
          <w:rFonts w:ascii="Times New Roman" w:hAnsi="Times New Roman"/>
          <w:noProof/>
          <w:sz w:val="22"/>
          <w:szCs w:val="22"/>
        </w:rPr>
        <w:t>Table</w:t>
      </w:r>
      <w:r w:rsidR="00DC3851" w:rsidRPr="002802C4">
        <w:rPr>
          <w:rFonts w:ascii="Times New Roman" w:hAnsi="Times New Roman"/>
          <w:noProof/>
          <w:sz w:val="22"/>
          <w:szCs w:val="22"/>
        </w:rPr>
        <w:t xml:space="preserve"> 7</w:t>
      </w:r>
      <w:r w:rsidRPr="002802C4">
        <w:rPr>
          <w:rFonts w:ascii="Times New Roman" w:hAnsi="Times New Roman"/>
          <w:noProof/>
          <w:sz w:val="22"/>
          <w:szCs w:val="22"/>
        </w:rPr>
        <w:t>:</w:t>
      </w:r>
      <w:r>
        <w:rPr>
          <w:rFonts w:ascii="Times New Roman" w:hAnsi="Times New Roman"/>
          <w:noProof/>
          <w:sz w:val="22"/>
          <w:szCs w:val="22"/>
        </w:rPr>
        <w:t xml:space="preserve"> Verified emissions </w:t>
      </w:r>
      <w:r>
        <w:rPr>
          <w:rFonts w:ascii="Times New Roman" w:hAnsi="Times New Roman"/>
          <w:noProof/>
          <w:color w:val="000000"/>
          <w:sz w:val="22"/>
          <w:szCs w:val="22"/>
          <w:lang w:eastAsia="en-GB"/>
        </w:rPr>
        <w:t xml:space="preserve">(in million tonnes </w:t>
      </w:r>
      <w:r>
        <w:rPr>
          <w:rFonts w:ascii="Times New Roman" w:hAnsi="Times New Roman"/>
          <w:b w:val="0"/>
          <w:bCs w:val="0"/>
          <w:noProof/>
          <w:sz w:val="22"/>
          <w:szCs w:val="22"/>
        </w:rPr>
        <w:t>CO</w:t>
      </w:r>
      <w:r>
        <w:rPr>
          <w:rFonts w:ascii="Times New Roman" w:hAnsi="Times New Roman"/>
          <w:b w:val="0"/>
          <w:bCs w:val="0"/>
          <w:noProof/>
          <w:sz w:val="22"/>
          <w:szCs w:val="22"/>
          <w:vertAlign w:val="subscript"/>
        </w:rPr>
        <w:t>2</w:t>
      </w:r>
      <w:r>
        <w:rPr>
          <w:rFonts w:ascii="Times New Roman" w:hAnsi="Times New Roman"/>
          <w:b w:val="0"/>
          <w:bCs w:val="0"/>
          <w:noProof/>
          <w:sz w:val="22"/>
          <w:szCs w:val="22"/>
        </w:rPr>
        <w:t xml:space="preserve"> </w:t>
      </w:r>
      <w:r>
        <w:rPr>
          <w:rFonts w:ascii="Times New Roman" w:hAnsi="Times New Roman"/>
          <w:noProof/>
          <w:color w:val="000000"/>
          <w:sz w:val="22"/>
          <w:szCs w:val="22"/>
          <w:lang w:eastAsia="en-GB"/>
        </w:rPr>
        <w:t>equivalents)</w:t>
      </w:r>
      <w:r w:rsidR="00F14010">
        <w:rPr>
          <w:rStyle w:val="FootnoteReference"/>
          <w:rFonts w:ascii="Times New Roman" w:hAnsi="Times New Roman"/>
          <w:noProof/>
          <w:color w:val="000000"/>
          <w:sz w:val="22"/>
          <w:szCs w:val="22"/>
          <w:lang w:eastAsia="en-GB"/>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rsidR="00250CD2" w14:paraId="167E3B00" w14:textId="77777777" w:rsidTr="00E72EF9">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010D935"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Year</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698471" w14:textId="77777777" w:rsidR="00250CD2" w:rsidRDefault="00250CD2" w:rsidP="00964AD1">
            <w:pPr>
              <w:jc w:val="center"/>
              <w:rPr>
                <w:rFonts w:ascii="Times New Roman" w:hAnsi="Times New Roman"/>
                <w:b/>
                <w:noProof/>
                <w:sz w:val="20"/>
                <w:szCs w:val="20"/>
              </w:rPr>
            </w:pPr>
            <w:r>
              <w:rPr>
                <w:rFonts w:ascii="Times New Roman" w:hAnsi="Times New Roman"/>
                <w:b/>
                <w:noProof/>
                <w:sz w:val="20"/>
                <w:szCs w:val="20"/>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0ADA1C" w14:textId="77777777" w:rsidR="00250CD2" w:rsidRDefault="00250CD2" w:rsidP="00A37088">
            <w:pPr>
              <w:jc w:val="center"/>
              <w:rPr>
                <w:rFonts w:ascii="Times New Roman" w:hAnsi="Times New Roman"/>
                <w:b/>
                <w:noProof/>
                <w:sz w:val="20"/>
                <w:szCs w:val="20"/>
                <w:lang w:val="en"/>
              </w:rPr>
            </w:pPr>
            <w:r>
              <w:rPr>
                <w:rFonts w:ascii="Times New Roman" w:hAnsi="Times New Roman"/>
                <w:b/>
                <w:noProof/>
                <w:sz w:val="20"/>
                <w:szCs w:val="20"/>
                <w:lang w:val="en"/>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35E5623" w14:textId="77777777" w:rsidR="00250CD2" w:rsidRDefault="00250CD2" w:rsidP="00A40886">
            <w:pPr>
              <w:jc w:val="center"/>
              <w:rPr>
                <w:rFonts w:ascii="Times New Roman" w:hAnsi="Times New Roman"/>
                <w:b/>
                <w:noProof/>
                <w:sz w:val="20"/>
                <w:szCs w:val="20"/>
              </w:rPr>
            </w:pPr>
            <w:r>
              <w:rPr>
                <w:rFonts w:ascii="Times New Roman" w:hAnsi="Times New Roman"/>
                <w:b/>
                <w:noProof/>
                <w:sz w:val="20"/>
                <w:szCs w:val="20"/>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51B6131" w14:textId="77777777" w:rsidR="00250CD2" w:rsidRDefault="00250CD2" w:rsidP="00FB4235">
            <w:pPr>
              <w:jc w:val="center"/>
              <w:rPr>
                <w:rFonts w:ascii="Times New Roman" w:hAnsi="Times New Roman"/>
                <w:b/>
                <w:noProof/>
                <w:sz w:val="20"/>
                <w:szCs w:val="20"/>
              </w:rPr>
            </w:pPr>
            <w:r>
              <w:rPr>
                <w:rFonts w:ascii="Times New Roman" w:hAnsi="Times New Roman"/>
                <w:b/>
                <w:noProof/>
                <w:sz w:val="20"/>
                <w:szCs w:val="20"/>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66C84E4" w14:textId="77777777" w:rsidR="00250CD2" w:rsidRDefault="00250CD2" w:rsidP="00C84C9A">
            <w:pPr>
              <w:jc w:val="center"/>
              <w:rPr>
                <w:rFonts w:ascii="Times New Roman" w:hAnsi="Times New Roman"/>
                <w:b/>
                <w:noProof/>
                <w:sz w:val="20"/>
                <w:szCs w:val="20"/>
              </w:rPr>
            </w:pPr>
            <w:r>
              <w:rPr>
                <w:rFonts w:ascii="Times New Roman" w:hAnsi="Times New Roman"/>
                <w:b/>
                <w:noProof/>
                <w:sz w:val="20"/>
                <w:szCs w:val="20"/>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C3314D6" w14:textId="77777777" w:rsidR="00250CD2" w:rsidRDefault="00250CD2" w:rsidP="00C84C9A">
            <w:pPr>
              <w:jc w:val="center"/>
              <w:rPr>
                <w:rFonts w:ascii="Times New Roman" w:hAnsi="Times New Roman"/>
                <w:b/>
                <w:noProof/>
                <w:sz w:val="20"/>
                <w:szCs w:val="20"/>
              </w:rPr>
            </w:pPr>
            <w:r>
              <w:rPr>
                <w:rFonts w:ascii="Times New Roman" w:hAnsi="Times New Roman"/>
                <w:b/>
                <w:noProof/>
                <w:sz w:val="20"/>
                <w:szCs w:val="20"/>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EB3592A" w14:textId="77777777" w:rsidR="00250CD2" w:rsidRDefault="00250CD2">
            <w:pPr>
              <w:jc w:val="center"/>
              <w:rPr>
                <w:rFonts w:ascii="Times New Roman" w:hAnsi="Times New Roman"/>
                <w:b/>
                <w:noProof/>
                <w:sz w:val="20"/>
                <w:szCs w:val="20"/>
              </w:rPr>
            </w:pPr>
            <w:r>
              <w:rPr>
                <w:rFonts w:ascii="Times New Roman" w:hAnsi="Times New Roman"/>
                <w:b/>
                <w:noProof/>
                <w:sz w:val="20"/>
                <w:szCs w:val="20"/>
              </w:rPr>
              <w:t>2017</w:t>
            </w:r>
          </w:p>
        </w:tc>
        <w:tc>
          <w:tcPr>
            <w:tcW w:w="479" w:type="pct"/>
            <w:tcBorders>
              <w:top w:val="double" w:sz="4" w:space="0" w:color="auto"/>
              <w:left w:val="nil"/>
              <w:bottom w:val="double" w:sz="4" w:space="0" w:color="auto"/>
              <w:right w:val="double" w:sz="4" w:space="0" w:color="auto"/>
            </w:tcBorders>
            <w:vAlign w:val="center"/>
          </w:tcPr>
          <w:p w14:paraId="4170912D" w14:textId="77777777" w:rsidR="00250CD2" w:rsidRDefault="00250CD2">
            <w:pPr>
              <w:jc w:val="center"/>
              <w:rPr>
                <w:rFonts w:ascii="Times New Roman" w:hAnsi="Times New Roman"/>
                <w:b/>
                <w:noProof/>
                <w:sz w:val="20"/>
                <w:szCs w:val="20"/>
              </w:rPr>
            </w:pPr>
            <w:r>
              <w:rPr>
                <w:rFonts w:ascii="Times New Roman" w:hAnsi="Times New Roman"/>
                <w:b/>
                <w:noProof/>
                <w:sz w:val="20"/>
                <w:szCs w:val="20"/>
              </w:rPr>
              <w:t>2018</w:t>
            </w:r>
          </w:p>
        </w:tc>
      </w:tr>
      <w:tr w:rsidR="00250CD2" w14:paraId="4BB93598" w14:textId="77777777" w:rsidTr="00E72EF9">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3AA25B4" w14:textId="77777777" w:rsidR="00250CD2" w:rsidRDefault="00250CD2" w:rsidP="002800C8">
            <w:pPr>
              <w:jc w:val="center"/>
              <w:rPr>
                <w:rFonts w:ascii="Times New Roman" w:hAnsi="Times New Roman"/>
                <w:noProof/>
                <w:color w:val="FF0000"/>
                <w:sz w:val="20"/>
                <w:szCs w:val="20"/>
              </w:rPr>
            </w:pPr>
            <w:r>
              <w:rPr>
                <w:rFonts w:ascii="Times New Roman" w:hAnsi="Times New Roman"/>
                <w:b/>
                <w:bCs/>
                <w:noProof/>
                <w:color w:val="000000"/>
                <w:sz w:val="20"/>
                <w:szCs w:val="20"/>
                <w:lang w:eastAsia="en-GB"/>
              </w:rPr>
              <w:t>Verified total emissions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750E6F" w14:textId="77777777" w:rsidR="00250CD2" w:rsidRDefault="00250CD2" w:rsidP="00A37088">
            <w:pPr>
              <w:jc w:val="center"/>
              <w:rPr>
                <w:rFonts w:ascii="Times New Roman" w:hAnsi="Times New Roman"/>
                <w:noProof/>
                <w:sz w:val="20"/>
                <w:szCs w:val="20"/>
              </w:rPr>
            </w:pPr>
            <w:r>
              <w:rPr>
                <w:rFonts w:ascii="Times New Roman" w:hAnsi="Times New Roman"/>
                <w:noProof/>
                <w:sz w:val="20"/>
                <w:szCs w:val="20"/>
              </w:rPr>
              <w:t>1904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B779F5" w14:textId="77777777" w:rsidR="00250CD2" w:rsidRDefault="00250CD2" w:rsidP="00A40886">
            <w:pPr>
              <w:jc w:val="center"/>
              <w:rPr>
                <w:rFonts w:ascii="Times New Roman" w:hAnsi="Times New Roman"/>
                <w:noProof/>
                <w:sz w:val="20"/>
                <w:szCs w:val="20"/>
              </w:rPr>
            </w:pPr>
            <w:r>
              <w:rPr>
                <w:rFonts w:ascii="Times New Roman" w:hAnsi="Times New Roman"/>
                <w:noProof/>
                <w:sz w:val="20"/>
                <w:szCs w:val="20"/>
                <w:lang w:val="en"/>
              </w:rPr>
              <w:t>1867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CEB0B5" w14:textId="77777777" w:rsidR="00250CD2" w:rsidRDefault="00250CD2" w:rsidP="00FB4235">
            <w:pPr>
              <w:jc w:val="center"/>
              <w:rPr>
                <w:rFonts w:ascii="Times New Roman" w:hAnsi="Times New Roman"/>
                <w:noProof/>
                <w:sz w:val="20"/>
                <w:szCs w:val="20"/>
              </w:rPr>
            </w:pPr>
            <w:r>
              <w:rPr>
                <w:rFonts w:ascii="Times New Roman" w:hAnsi="Times New Roman"/>
                <w:noProof/>
                <w:sz w:val="20"/>
                <w:szCs w:val="20"/>
              </w:rPr>
              <w:t>1908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B5DB73E" w14:textId="77777777" w:rsidR="00250CD2" w:rsidRDefault="00250CD2" w:rsidP="00C84C9A">
            <w:pPr>
              <w:jc w:val="center"/>
              <w:rPr>
                <w:rFonts w:ascii="Times New Roman" w:hAnsi="Times New Roman"/>
                <w:noProof/>
                <w:sz w:val="20"/>
                <w:szCs w:val="20"/>
              </w:rPr>
            </w:pPr>
            <w:r>
              <w:rPr>
                <w:rFonts w:ascii="Times New Roman" w:hAnsi="Times New Roman"/>
                <w:noProof/>
                <w:sz w:val="20"/>
                <w:szCs w:val="20"/>
              </w:rPr>
              <w:t>1814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54B94CC" w14:textId="77777777" w:rsidR="00250CD2" w:rsidRDefault="00250CD2" w:rsidP="00C84C9A">
            <w:pPr>
              <w:jc w:val="center"/>
              <w:rPr>
                <w:rFonts w:ascii="Times New Roman" w:hAnsi="Times New Roman"/>
                <w:noProof/>
                <w:sz w:val="20"/>
                <w:szCs w:val="20"/>
              </w:rPr>
            </w:pPr>
            <w:r>
              <w:rPr>
                <w:rFonts w:ascii="Times New Roman" w:hAnsi="Times New Roman"/>
                <w:noProof/>
                <w:sz w:val="20"/>
                <w:szCs w:val="20"/>
              </w:rPr>
              <w:t>1803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9836B0" w14:textId="77777777" w:rsidR="00250CD2" w:rsidRDefault="00250CD2">
            <w:pPr>
              <w:jc w:val="center"/>
              <w:rPr>
                <w:rFonts w:ascii="Times New Roman" w:hAnsi="Times New Roman"/>
                <w:noProof/>
                <w:sz w:val="20"/>
                <w:szCs w:val="20"/>
              </w:rPr>
            </w:pPr>
            <w:r>
              <w:rPr>
                <w:rFonts w:ascii="Times New Roman" w:hAnsi="Times New Roman"/>
                <w:noProof/>
                <w:sz w:val="20"/>
                <w:szCs w:val="20"/>
              </w:rPr>
              <w:t>175</w:t>
            </w:r>
            <w:r w:rsidR="00E20A97">
              <w:rPr>
                <w:rFonts w:ascii="Times New Roman" w:hAnsi="Times New Roman"/>
                <w:noProof/>
                <w:sz w:val="20"/>
                <w:szCs w:val="20"/>
              </w:rPr>
              <w:t>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D770350" w14:textId="77777777" w:rsidR="00250CD2" w:rsidRDefault="00250CD2">
            <w:pPr>
              <w:jc w:val="center"/>
              <w:rPr>
                <w:rFonts w:ascii="Times New Roman" w:hAnsi="Times New Roman"/>
                <w:noProof/>
                <w:sz w:val="20"/>
                <w:szCs w:val="20"/>
              </w:rPr>
            </w:pPr>
            <w:r>
              <w:rPr>
                <w:rFonts w:ascii="Times New Roman" w:hAnsi="Times New Roman"/>
                <w:noProof/>
                <w:sz w:val="20"/>
                <w:szCs w:val="20"/>
              </w:rPr>
              <w:t>175</w:t>
            </w:r>
            <w:r w:rsidR="00E20A97">
              <w:rPr>
                <w:rFonts w:ascii="Times New Roman" w:hAnsi="Times New Roman"/>
                <w:noProof/>
                <w:sz w:val="20"/>
                <w:szCs w:val="20"/>
              </w:rPr>
              <w:t>5</w:t>
            </w:r>
          </w:p>
        </w:tc>
        <w:tc>
          <w:tcPr>
            <w:tcW w:w="479" w:type="pct"/>
            <w:tcBorders>
              <w:top w:val="nil"/>
              <w:left w:val="nil"/>
              <w:bottom w:val="double" w:sz="4" w:space="0" w:color="auto"/>
              <w:right w:val="double" w:sz="4" w:space="0" w:color="auto"/>
            </w:tcBorders>
            <w:vAlign w:val="center"/>
          </w:tcPr>
          <w:p w14:paraId="29C6D3D4" w14:textId="77777777" w:rsidR="00250CD2" w:rsidRDefault="00E20A97">
            <w:pPr>
              <w:jc w:val="center"/>
              <w:rPr>
                <w:rFonts w:ascii="Times New Roman" w:hAnsi="Times New Roman"/>
                <w:noProof/>
                <w:sz w:val="20"/>
                <w:szCs w:val="20"/>
              </w:rPr>
            </w:pPr>
            <w:r>
              <w:rPr>
                <w:rFonts w:ascii="Times New Roman" w:hAnsi="Times New Roman"/>
                <w:noProof/>
                <w:sz w:val="20"/>
                <w:szCs w:val="20"/>
              </w:rPr>
              <w:t>1682</w:t>
            </w:r>
          </w:p>
        </w:tc>
      </w:tr>
      <w:tr w:rsidR="00250CD2" w14:paraId="13F898C8"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B49F04C"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Change to year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E94528C" w14:textId="77777777" w:rsidR="00250CD2" w:rsidRDefault="00250CD2" w:rsidP="00A37088">
            <w:pPr>
              <w:jc w:val="center"/>
              <w:rPr>
                <w:rFonts w:ascii="Times New Roman" w:hAnsi="Times New Roman"/>
                <w:noProof/>
                <w:color w:val="FF0000"/>
                <w:sz w:val="20"/>
                <w:szCs w:val="20"/>
              </w:rPr>
            </w:pPr>
            <w:r>
              <w:rPr>
                <w:rFonts w:ascii="Times New Roman" w:hAnsi="Times New Roman"/>
                <w:noProof/>
                <w:color w:val="000000"/>
                <w:sz w:val="20"/>
                <w:szCs w:val="20"/>
                <w:lang w:eastAsia="en-GB"/>
              </w:rPr>
              <w:t>-1.8%</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B2FB4E1" w14:textId="77777777" w:rsidR="00250CD2" w:rsidRDefault="00250CD2" w:rsidP="00A40886">
            <w:pPr>
              <w:jc w:val="center"/>
              <w:rPr>
                <w:rFonts w:ascii="Times New Roman" w:hAnsi="Times New Roman"/>
                <w:noProof/>
                <w:color w:val="FF0000"/>
                <w:sz w:val="20"/>
                <w:szCs w:val="20"/>
              </w:rPr>
            </w:pPr>
            <w:r>
              <w:rPr>
                <w:rFonts w:ascii="Times New Roman" w:hAnsi="Times New Roman"/>
                <w:noProof/>
                <w:color w:val="000000"/>
                <w:sz w:val="20"/>
                <w:szCs w:val="20"/>
                <w:lang w:eastAsia="en-GB"/>
              </w:rPr>
              <w:t>-2%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03AE47F" w14:textId="77777777" w:rsidR="00250CD2" w:rsidRDefault="00250CD2" w:rsidP="00FB4235">
            <w:pPr>
              <w:jc w:val="center"/>
              <w:rPr>
                <w:rFonts w:ascii="Times New Roman" w:hAnsi="Times New Roman"/>
                <w:noProof/>
                <w:color w:val="FF0000"/>
                <w:sz w:val="20"/>
                <w:szCs w:val="20"/>
              </w:rPr>
            </w:pPr>
            <w:r>
              <w:rPr>
                <w:rFonts w:ascii="Times New Roman" w:hAnsi="Times New Roman"/>
                <w:noProof/>
                <w:color w:val="000000"/>
                <w:sz w:val="20"/>
                <w:szCs w:val="20"/>
                <w:lang w:eastAsia="en-GB"/>
              </w:rPr>
              <w:t>2.2%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E5C9DED" w14:textId="77777777" w:rsidR="00250CD2" w:rsidRDefault="00250CD2" w:rsidP="00C84C9A">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-4.9%</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235303" w14:textId="77777777" w:rsidR="00250CD2" w:rsidRDefault="00250CD2" w:rsidP="00C84C9A">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-0.6%</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0343943" w14:textId="77777777" w:rsidR="00250CD2" w:rsidRDefault="00250CD2">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-2.9%</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858867" w14:textId="77777777" w:rsidR="00250CD2" w:rsidRDefault="00250CD2">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0.2%</w:t>
            </w:r>
          </w:p>
        </w:tc>
        <w:tc>
          <w:tcPr>
            <w:tcW w:w="479" w:type="pct"/>
            <w:tcBorders>
              <w:top w:val="nil"/>
              <w:left w:val="nil"/>
              <w:bottom w:val="double" w:sz="4" w:space="0" w:color="auto"/>
              <w:right w:val="double" w:sz="4" w:space="0" w:color="auto"/>
            </w:tcBorders>
            <w:vAlign w:val="center"/>
          </w:tcPr>
          <w:p w14:paraId="33CE7F5B" w14:textId="77777777" w:rsidR="00250CD2" w:rsidRDefault="00E20A9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-4.1%</w:t>
            </w:r>
          </w:p>
        </w:tc>
      </w:tr>
      <w:tr w:rsidR="00250CD2" w14:paraId="5A19CCEC" w14:textId="77777777" w:rsidTr="00E72EF9">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309F883"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Verified emissions from</w:t>
            </w:r>
            <w:r w:rsidR="008E46B6">
              <w:rPr>
                <w:rFonts w:ascii="Times New Roman" w:hAnsi="Times New Roman"/>
                <w:b/>
                <w:bCs/>
                <w:noProof/>
                <w:color w:val="000000"/>
                <w:sz w:val="20"/>
                <w:szCs w:val="20"/>
                <w:lang w:eastAsia="en-GB"/>
              </w:rPr>
              <w:t xml:space="preserve"> electricity and heat production</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8F9AD8" w14:textId="77777777" w:rsidR="00250CD2" w:rsidRDefault="00117A8A" w:rsidP="00A37088">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03447D4" w14:textId="77777777" w:rsidR="00250CD2" w:rsidRDefault="00117A8A" w:rsidP="00A40886">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B4777F" w14:textId="77777777" w:rsidR="00250CD2" w:rsidRDefault="00117A8A" w:rsidP="00FB4235">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658F0B2" w14:textId="77777777" w:rsidR="00250CD2" w:rsidRDefault="00117A8A" w:rsidP="00C84C9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D16A0ED" w14:textId="77777777" w:rsidR="00250CD2" w:rsidRDefault="00117A8A" w:rsidP="00C84C9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1032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87549" w14:textId="77777777" w:rsidR="00250CD2" w:rsidRDefault="00117A8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32830C3" w14:textId="77777777" w:rsidR="00250CD2" w:rsidRDefault="00117A8A">
            <w:pPr>
              <w:jc w:val="center"/>
              <w:rPr>
                <w:rFonts w:ascii="Times New Roman" w:hAnsi="Times New Roman"/>
                <w:noProof/>
                <w:color w:val="000000"/>
                <w:sz w:val="20"/>
                <w:szCs w:val="20"/>
                <w:lang w:eastAsia="en-GB"/>
              </w:rPr>
            </w:pPr>
            <w:r w:rsidRPr="00117A8A">
              <w:rPr>
                <w:rFonts w:ascii="Times New Roman" w:hAnsi="Times New Roman"/>
                <w:noProof/>
                <w:color w:val="000000"/>
                <w:sz w:val="20"/>
                <w:szCs w:val="20"/>
                <w:lang w:eastAsia="en-GB"/>
              </w:rPr>
              <w:t>985</w:t>
            </w:r>
          </w:p>
        </w:tc>
        <w:tc>
          <w:tcPr>
            <w:tcW w:w="479" w:type="pct"/>
            <w:tcBorders>
              <w:top w:val="nil"/>
              <w:left w:val="nil"/>
              <w:bottom w:val="double" w:sz="4" w:space="0" w:color="auto"/>
              <w:right w:val="double" w:sz="4" w:space="0" w:color="auto"/>
            </w:tcBorders>
            <w:vAlign w:val="center"/>
          </w:tcPr>
          <w:p w14:paraId="27E36802" w14:textId="77777777" w:rsidR="00250CD2" w:rsidRDefault="00117A8A">
            <w:pPr>
              <w:jc w:val="center"/>
              <w:rPr>
                <w:rFonts w:ascii="Times New Roman" w:hAnsi="Times New Roman"/>
                <w:noProof/>
                <w:color w:val="000000"/>
                <w:sz w:val="20"/>
                <w:szCs w:val="20"/>
                <w:lang w:eastAsia="en-GB"/>
              </w:rPr>
            </w:pPr>
            <w:r>
              <w:rPr>
                <w:rFonts w:ascii="Times New Roman" w:hAnsi="Times New Roman"/>
                <w:color w:val="000000"/>
                <w:sz w:val="20"/>
                <w:szCs w:val="20"/>
                <w:lang w:eastAsia="en-GB"/>
              </w:rPr>
              <w:t>913</w:t>
            </w:r>
          </w:p>
        </w:tc>
      </w:tr>
      <w:tr w:rsidR="00250CD2" w14:paraId="0B8F315E"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AD75C6B"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Change to year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230130D1" w14:textId="77777777" w:rsidR="00250CD2" w:rsidRDefault="00250CD2" w:rsidP="00A37088">
            <w:pPr>
              <w:jc w:val="center"/>
              <w:rPr>
                <w:rFonts w:ascii="Times New Roman" w:hAnsi="Times New Roman"/>
                <w:noProof/>
                <w:color w:val="000000"/>
                <w:sz w:val="20"/>
                <w:szCs w:val="20"/>
                <w:lang w:eastAsia="en-GB"/>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BA8163" w14:textId="77777777" w:rsidR="00250CD2" w:rsidRDefault="00117A8A"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-0,5%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02AD66"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-5,0%</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C2F466"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-7,8%</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6DECC" w14:textId="77777777" w:rsidR="00250CD2" w:rsidRDefault="00117A8A" w:rsidP="00FB4235">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-0,5%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63E079B" w14:textId="77777777" w:rsidR="00250CD2" w:rsidRDefault="00117A8A" w:rsidP="00C84C9A">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-3,8%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B6BACC" w14:textId="77777777" w:rsidR="00250CD2" w:rsidRDefault="00117A8A" w:rsidP="00C84C9A">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-0,7%</w:t>
            </w:r>
          </w:p>
        </w:tc>
        <w:tc>
          <w:tcPr>
            <w:tcW w:w="479" w:type="pct"/>
            <w:tcBorders>
              <w:top w:val="nil"/>
              <w:left w:val="nil"/>
              <w:bottom w:val="double" w:sz="4" w:space="0" w:color="auto"/>
              <w:right w:val="double" w:sz="4" w:space="0" w:color="auto"/>
            </w:tcBorders>
            <w:vAlign w:val="center"/>
          </w:tcPr>
          <w:p w14:paraId="3128F6C2" w14:textId="77777777" w:rsidR="00250CD2" w:rsidRDefault="00117A8A">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-7,3%</w:t>
            </w:r>
          </w:p>
        </w:tc>
      </w:tr>
      <w:tr w:rsidR="00250CD2" w14:paraId="2740F905" w14:textId="77777777" w:rsidTr="00E72EF9">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F65A22B"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Verified emissions from industrial installations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90AF5E1" w14:textId="77777777" w:rsidR="00250CD2" w:rsidRDefault="00117A8A" w:rsidP="00A37088">
            <w:pPr>
              <w:jc w:val="center"/>
              <w:rPr>
                <w:rFonts w:ascii="Times New Roman" w:hAnsi="Times New Roman"/>
                <w:noProof/>
                <w:color w:val="000000"/>
                <w:sz w:val="20"/>
                <w:szCs w:val="20"/>
                <w:lang w:eastAsia="en-GB"/>
              </w:rPr>
            </w:pPr>
            <w:r>
              <w:rPr>
                <w:rFonts w:ascii="Times New Roman" w:hAnsi="Times New Roman"/>
                <w:color w:val="000000"/>
                <w:sz w:val="20"/>
                <w:szCs w:val="20"/>
                <w:lang w:eastAsia="en-GB"/>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87A3A9"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29E6BF4"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A03626" w14:textId="77777777" w:rsidR="00250CD2" w:rsidRDefault="00117A8A" w:rsidP="00E72EF9">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74A26B9" w14:textId="77777777" w:rsidR="00250CD2" w:rsidRDefault="00117A8A" w:rsidP="00A37088">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BC55A9"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2EEEB1"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769</w:t>
            </w:r>
          </w:p>
        </w:tc>
        <w:tc>
          <w:tcPr>
            <w:tcW w:w="479" w:type="pct"/>
            <w:tcBorders>
              <w:top w:val="nil"/>
              <w:left w:val="nil"/>
              <w:bottom w:val="double" w:sz="4" w:space="0" w:color="auto"/>
              <w:right w:val="double" w:sz="4" w:space="0" w:color="auto"/>
            </w:tcBorders>
            <w:vAlign w:val="center"/>
          </w:tcPr>
          <w:p w14:paraId="3987BBEB" w14:textId="77777777" w:rsidR="00250CD2" w:rsidRDefault="00117A8A" w:rsidP="00A40886">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769</w:t>
            </w:r>
          </w:p>
        </w:tc>
      </w:tr>
      <w:tr w:rsidR="00250CD2" w14:paraId="5FCE3C93"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29DF5B5" w14:textId="77777777" w:rsidR="00250CD2" w:rsidRDefault="00250CD2" w:rsidP="002800C8">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t>Change to year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00E7DFC6" w14:textId="77777777" w:rsidR="00250CD2" w:rsidRDefault="00250CD2" w:rsidP="00A37088">
            <w:pPr>
              <w:jc w:val="center"/>
              <w:rPr>
                <w:rFonts w:ascii="Times New Roman" w:hAnsi="Times New Roman"/>
                <w:noProof/>
                <w:color w:val="000000"/>
                <w:sz w:val="20"/>
                <w:szCs w:val="20"/>
                <w:lang w:eastAsia="en-GB"/>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A805931" w14:textId="77777777" w:rsidR="00250CD2" w:rsidRDefault="0045466C" w:rsidP="00E72EF9">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4,5%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8EA885C" w14:textId="77777777" w:rsidR="00250CD2" w:rsidRDefault="00117A8A" w:rsidP="00A37088">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14,7%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7DF6CF" w14:textId="77777777" w:rsidR="00250CD2" w:rsidRDefault="0045466C"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0,9%</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721E52" w14:textId="77777777" w:rsidR="00250CD2" w:rsidRDefault="0045466C"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0,7%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C01EF54" w14:textId="77777777" w:rsidR="00250CD2" w:rsidRDefault="0045466C"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w:t>
            </w:r>
            <w:r w:rsidR="00117A8A">
              <w:rPr>
                <w:rFonts w:ascii="Times New Roman" w:hAnsi="Times New Roman"/>
                <w:color w:val="000000"/>
                <w:sz w:val="20"/>
                <w:szCs w:val="20"/>
                <w:lang w:eastAsia="en-GB"/>
              </w:rPr>
              <w:t>1,7%</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147448F" w14:textId="77777777" w:rsidR="00250CD2" w:rsidRDefault="00117A8A" w:rsidP="00A40886">
            <w:pPr>
              <w:jc w:val="center"/>
              <w:rPr>
                <w:rFonts w:ascii="Times New Roman" w:hAnsi="Times New Roman"/>
                <w:noProof/>
                <w:color w:val="000000" w:themeColor="text1"/>
                <w:sz w:val="20"/>
                <w:szCs w:val="20"/>
                <w:lang w:eastAsia="en-GB"/>
              </w:rPr>
            </w:pPr>
            <w:r>
              <w:rPr>
                <w:rFonts w:ascii="Times New Roman" w:hAnsi="Times New Roman"/>
                <w:color w:val="000000"/>
                <w:sz w:val="20"/>
                <w:szCs w:val="20"/>
                <w:lang w:eastAsia="en-GB"/>
              </w:rPr>
              <w:t>1,4%</w:t>
            </w:r>
          </w:p>
        </w:tc>
        <w:tc>
          <w:tcPr>
            <w:tcW w:w="479" w:type="pct"/>
            <w:tcBorders>
              <w:top w:val="nil"/>
              <w:left w:val="nil"/>
              <w:bottom w:val="double" w:sz="4" w:space="0" w:color="auto"/>
              <w:right w:val="double" w:sz="4" w:space="0" w:color="auto"/>
            </w:tcBorders>
            <w:vAlign w:val="center"/>
          </w:tcPr>
          <w:p w14:paraId="261DC9AA" w14:textId="77777777" w:rsidR="00250CD2" w:rsidRDefault="00117A8A" w:rsidP="00FB4235">
            <w:pPr>
              <w:jc w:val="center"/>
              <w:rPr>
                <w:rFonts w:ascii="Times New Roman" w:hAnsi="Times New Roman"/>
                <w:noProof/>
                <w:color w:val="000000" w:themeColor="text1"/>
                <w:sz w:val="20"/>
                <w:szCs w:val="20"/>
                <w:lang w:eastAsia="en-GB"/>
              </w:rPr>
            </w:pPr>
            <w:r w:rsidRPr="00117A8A">
              <w:rPr>
                <w:rFonts w:ascii="Times New Roman" w:hAnsi="Times New Roman"/>
                <w:noProof/>
                <w:color w:val="000000" w:themeColor="text1"/>
                <w:sz w:val="20"/>
                <w:szCs w:val="20"/>
                <w:lang w:eastAsia="en-GB"/>
              </w:rPr>
              <w:t>-0,1%</w:t>
            </w:r>
          </w:p>
        </w:tc>
      </w:tr>
      <w:tr w:rsidR="00250CD2" w14:paraId="6F4F7C5E" w14:textId="77777777" w:rsidTr="00E72EF9">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5F6B321" w14:textId="77777777" w:rsidR="00250CD2" w:rsidRDefault="00250CD2" w:rsidP="00A92C10">
            <w:pPr>
              <w:jc w:val="center"/>
              <w:rPr>
                <w:rFonts w:ascii="Times New Roman" w:hAnsi="Times New Roman"/>
                <w:b/>
                <w:bCs/>
                <w:noProof/>
                <w:color w:val="000000"/>
                <w:sz w:val="20"/>
                <w:szCs w:val="20"/>
                <w:lang w:eastAsia="en-GB"/>
              </w:rPr>
            </w:pPr>
            <w:r>
              <w:rPr>
                <w:rFonts w:ascii="Times New Roman" w:hAnsi="Times New Roman"/>
                <w:b/>
                <w:bCs/>
                <w:noProof/>
                <w:color w:val="000000"/>
                <w:sz w:val="20"/>
                <w:szCs w:val="20"/>
                <w:lang w:eastAsia="en-GB"/>
              </w:rPr>
              <w:br/>
              <w:t>Real GDPgrowth rate EU28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4429B01" w14:textId="77777777" w:rsidR="00250CD2" w:rsidRDefault="00250CD2" w:rsidP="00A37088">
            <w:pPr>
              <w:jc w:val="center"/>
              <w:rPr>
                <w:rFonts w:ascii="Times New Roman" w:hAnsi="Times New Roman"/>
                <w:noProof/>
                <w:color w:val="FF0000"/>
                <w:sz w:val="20"/>
                <w:szCs w:val="20"/>
              </w:rPr>
            </w:pPr>
            <w:r>
              <w:rPr>
                <w:rFonts w:ascii="Times New Roman" w:hAnsi="Times New Roman"/>
                <w:noProof/>
                <w:color w:val="000000"/>
                <w:sz w:val="20"/>
                <w:szCs w:val="20"/>
                <w:lang w:eastAsia="en-GB"/>
              </w:rPr>
              <w:t>1.</w:t>
            </w:r>
            <w:r w:rsidR="00DD0ECB">
              <w:rPr>
                <w:rFonts w:ascii="Times New Roman" w:hAnsi="Times New Roman"/>
                <w:noProof/>
                <w:color w:val="000000"/>
                <w:sz w:val="20"/>
                <w:szCs w:val="20"/>
                <w:lang w:eastAsia="en-GB"/>
              </w:rPr>
              <w:t>8</w:t>
            </w:r>
            <w:r>
              <w:rPr>
                <w:rFonts w:ascii="Times New Roman" w:hAnsi="Times New Roman"/>
                <w:noProof/>
                <w:color w:val="000000"/>
                <w:sz w:val="20"/>
                <w:szCs w:val="20"/>
                <w:lang w:eastAsia="en-GB"/>
              </w:rPr>
              <w:t>%</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6A416108" w14:textId="77777777" w:rsidR="00250CD2" w:rsidRDefault="00250CD2" w:rsidP="00A40886">
            <w:pPr>
              <w:jc w:val="center"/>
              <w:rPr>
                <w:rFonts w:ascii="Times New Roman" w:hAnsi="Times New Roman"/>
                <w:noProof/>
                <w:color w:val="FF0000"/>
                <w:sz w:val="20"/>
                <w:szCs w:val="20"/>
              </w:rPr>
            </w:pPr>
            <w:r>
              <w:rPr>
                <w:rFonts w:ascii="Times New Roman" w:hAnsi="Times New Roman"/>
                <w:noProof/>
                <w:color w:val="000000"/>
                <w:sz w:val="20"/>
                <w:szCs w:val="20"/>
                <w:lang w:eastAsia="en-GB"/>
              </w:rPr>
              <w:t>-0.</w:t>
            </w:r>
            <w:r w:rsidR="00DD0ECB">
              <w:rPr>
                <w:rFonts w:ascii="Times New Roman" w:hAnsi="Times New Roman"/>
                <w:noProof/>
                <w:color w:val="000000"/>
                <w:sz w:val="20"/>
                <w:szCs w:val="20"/>
                <w:lang w:eastAsia="en-GB"/>
              </w:rPr>
              <w:t>4</w:t>
            </w:r>
            <w:r>
              <w:rPr>
                <w:rFonts w:ascii="Times New Roman" w:hAnsi="Times New Roman"/>
                <w:noProof/>
                <w:color w:val="000000"/>
                <w:sz w:val="20"/>
                <w:szCs w:val="20"/>
                <w:lang w:eastAsia="en-GB"/>
              </w:rPr>
              <w:t>%</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693470C8" w14:textId="77777777" w:rsidR="00250CD2" w:rsidRDefault="00250CD2" w:rsidP="00A40886">
            <w:pPr>
              <w:jc w:val="center"/>
              <w:rPr>
                <w:rFonts w:ascii="Times New Roman" w:hAnsi="Times New Roman"/>
                <w:noProof/>
                <w:color w:val="FF0000"/>
                <w:sz w:val="20"/>
                <w:szCs w:val="20"/>
              </w:rPr>
            </w:pPr>
            <w:r>
              <w:rPr>
                <w:rFonts w:ascii="Times New Roman" w:hAnsi="Times New Roman"/>
                <w:noProof/>
                <w:color w:val="000000"/>
                <w:sz w:val="20"/>
                <w:szCs w:val="20"/>
                <w:lang w:eastAsia="en-GB"/>
              </w:rPr>
              <w:t>0.</w:t>
            </w:r>
            <w:r w:rsidR="00DD0ECB">
              <w:rPr>
                <w:rFonts w:ascii="Times New Roman" w:hAnsi="Times New Roman"/>
                <w:noProof/>
                <w:color w:val="000000"/>
                <w:sz w:val="20"/>
                <w:szCs w:val="20"/>
                <w:lang w:eastAsia="en-GB"/>
              </w:rPr>
              <w:t>3</w:t>
            </w:r>
            <w:r>
              <w:rPr>
                <w:rFonts w:ascii="Times New Roman" w:hAnsi="Times New Roman"/>
                <w:noProof/>
                <w:color w:val="000000"/>
                <w:sz w:val="20"/>
                <w:szCs w:val="20"/>
                <w:lang w:eastAsia="en-GB"/>
              </w:rPr>
              <w:t>%</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1BD792AF" w14:textId="77777777" w:rsidR="00250CD2" w:rsidRDefault="00250CD2" w:rsidP="00A40886">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1.</w:t>
            </w:r>
            <w:r w:rsidR="00DD0ECB">
              <w:rPr>
                <w:rFonts w:ascii="Times New Roman" w:hAnsi="Times New Roman"/>
                <w:noProof/>
                <w:color w:val="000000"/>
                <w:sz w:val="20"/>
                <w:szCs w:val="20"/>
                <w:lang w:eastAsia="en-GB"/>
              </w:rPr>
              <w:t>8</w:t>
            </w:r>
            <w:r>
              <w:rPr>
                <w:rFonts w:ascii="Times New Roman" w:hAnsi="Times New Roman"/>
                <w:noProof/>
                <w:color w:val="000000"/>
                <w:sz w:val="20"/>
                <w:szCs w:val="20"/>
                <w:lang w:eastAsia="en-GB"/>
              </w:rPr>
              <w:t>%</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3822F7E0" w14:textId="77777777" w:rsidR="00250CD2" w:rsidRDefault="00250CD2" w:rsidP="00A40886">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w:t>
            </w:r>
            <w:r w:rsidR="00DD0ECB">
              <w:rPr>
                <w:rFonts w:ascii="Times New Roman" w:hAnsi="Times New Roman"/>
                <w:noProof/>
                <w:color w:val="000000"/>
                <w:sz w:val="20"/>
                <w:szCs w:val="20"/>
                <w:lang w:eastAsia="en-GB"/>
              </w:rPr>
              <w:t>3</w:t>
            </w:r>
            <w:r>
              <w:rPr>
                <w:rFonts w:ascii="Times New Roman" w:hAnsi="Times New Roman"/>
                <w:noProof/>
                <w:color w:val="000000"/>
                <w:sz w:val="20"/>
                <w:szCs w:val="20"/>
                <w:lang w:eastAsia="en-GB"/>
              </w:rPr>
              <w:t>%</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308C1DF9" w14:textId="77777777" w:rsidR="00250CD2" w:rsidRDefault="00DD0ECB" w:rsidP="00FB4235">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14:paraId="0A66ABE2" w14:textId="77777777" w:rsidR="00250CD2" w:rsidRDefault="00250CD2" w:rsidP="0046000B">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w:t>
            </w:r>
            <w:r w:rsidR="00DD0ECB">
              <w:rPr>
                <w:rFonts w:ascii="Times New Roman" w:hAnsi="Times New Roman"/>
                <w:noProof/>
                <w:color w:val="000000"/>
                <w:sz w:val="20"/>
                <w:szCs w:val="20"/>
                <w:lang w:eastAsia="en-GB"/>
              </w:rPr>
              <w:t>5</w:t>
            </w:r>
            <w:r>
              <w:rPr>
                <w:rFonts w:ascii="Times New Roman" w:hAnsi="Times New Roman"/>
                <w:noProof/>
                <w:color w:val="000000"/>
                <w:sz w:val="20"/>
                <w:szCs w:val="20"/>
                <w:lang w:eastAsia="en-GB"/>
              </w:rPr>
              <w:t>%</w:t>
            </w:r>
          </w:p>
        </w:tc>
        <w:tc>
          <w:tcPr>
            <w:tcW w:w="479" w:type="pct"/>
            <w:tcBorders>
              <w:top w:val="nil"/>
              <w:left w:val="nil"/>
              <w:bottom w:val="double" w:sz="4" w:space="0" w:color="auto"/>
              <w:right w:val="double" w:sz="4" w:space="0" w:color="auto"/>
            </w:tcBorders>
            <w:vAlign w:val="center"/>
          </w:tcPr>
          <w:p w14:paraId="1FDCA916" w14:textId="77777777" w:rsidR="00250CD2" w:rsidRDefault="00DD0ECB" w:rsidP="00C84C9A">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2.0%</w:t>
            </w:r>
          </w:p>
        </w:tc>
      </w:tr>
    </w:tbl>
    <w:p w14:paraId="57631802" w14:textId="77777777" w:rsidR="005F6BD0" w:rsidRDefault="00A92C10">
      <w:pPr>
        <w:autoSpaceDE w:val="0"/>
        <w:autoSpaceDN w:val="0"/>
        <w:adjustRightInd w:val="0"/>
        <w:spacing w:after="0"/>
        <w:rPr>
          <w:rStyle w:val="Hyperlink"/>
          <w:rFonts w:ascii="Times New Roman" w:hAnsi="Times New Roman"/>
          <w:bCs/>
          <w:noProof/>
          <w:color w:val="auto"/>
          <w:sz w:val="18"/>
          <w:szCs w:val="18"/>
          <w:lang w:eastAsia="en-GB"/>
        </w:rPr>
      </w:pPr>
      <w:r>
        <w:rPr>
          <w:rFonts w:ascii="Times New Roman" w:hAnsi="Times New Roman"/>
          <w:noProof/>
          <w:sz w:val="18"/>
          <w:szCs w:val="18"/>
          <w:lang w:eastAsia="en-GB"/>
        </w:rPr>
        <w:t xml:space="preserve">Source: EUTL, </w:t>
      </w:r>
      <w:r w:rsidR="003A348D">
        <w:rPr>
          <w:rFonts w:ascii="Times New Roman" w:hAnsi="Times New Roman"/>
          <w:noProof/>
          <w:sz w:val="18"/>
          <w:szCs w:val="18"/>
          <w:lang w:eastAsia="en-GB"/>
        </w:rPr>
        <w:t>GDP data as reported on</w:t>
      </w:r>
      <w:hyperlink r:id="rId18" w:history="1">
        <w:r w:rsidR="003A348D">
          <w:rPr>
            <w:rStyle w:val="Hyperlink"/>
            <w:rFonts w:ascii="Times New Roman" w:hAnsi="Times New Roman"/>
            <w:bCs/>
            <w:noProof/>
            <w:color w:val="auto"/>
            <w:sz w:val="18"/>
            <w:szCs w:val="18"/>
            <w:lang w:eastAsia="en-GB"/>
          </w:rPr>
          <w:t>http://epp.eurostat.ec.europa.eu/tgm/table.do?tab=table&amp;init=1&amp;plugin=1&amp;language=en&amp;pcode=tec00115</w:t>
        </w:r>
      </w:hyperlink>
      <w:r w:rsidR="003A348D">
        <w:rPr>
          <w:rStyle w:val="Hyperlink"/>
          <w:rFonts w:ascii="Times New Roman" w:hAnsi="Times New Roman"/>
          <w:bCs/>
          <w:noProof/>
          <w:color w:val="auto"/>
          <w:sz w:val="18"/>
          <w:szCs w:val="18"/>
          <w:lang w:eastAsia="en-GB"/>
        </w:rPr>
        <w:t xml:space="preserve"> </w:t>
      </w:r>
    </w:p>
    <w:p w14:paraId="0F9CFA4B" w14:textId="77777777" w:rsidR="005F6BD0" w:rsidRDefault="003A348D">
      <w:pPr>
        <w:autoSpaceDE w:val="0"/>
        <w:autoSpaceDN w:val="0"/>
        <w:adjustRightInd w:val="0"/>
        <w:spacing w:after="0"/>
        <w:rPr>
          <w:rStyle w:val="Hyperlink"/>
          <w:rFonts w:ascii="Times New Roman" w:hAnsi="Times New Roman"/>
          <w:bCs/>
          <w:noProof/>
          <w:color w:val="auto"/>
          <w:sz w:val="18"/>
          <w:szCs w:val="18"/>
          <w:lang w:eastAsia="en-GB"/>
        </w:rPr>
      </w:pPr>
      <w:r>
        <w:rPr>
          <w:rStyle w:val="Hyperlink"/>
          <w:rFonts w:ascii="Times New Roman" w:hAnsi="Times New Roman"/>
          <w:bCs/>
          <w:noProof/>
          <w:color w:val="auto"/>
          <w:sz w:val="18"/>
          <w:szCs w:val="18"/>
          <w:lang w:eastAsia="en-GB"/>
        </w:rPr>
        <w:t>(accessed in July 201</w:t>
      </w:r>
      <w:r w:rsidR="00E63E09">
        <w:rPr>
          <w:rStyle w:val="Hyperlink"/>
          <w:rFonts w:ascii="Times New Roman" w:hAnsi="Times New Roman"/>
          <w:bCs/>
          <w:noProof/>
          <w:color w:val="auto"/>
          <w:sz w:val="18"/>
          <w:szCs w:val="18"/>
          <w:lang w:eastAsia="en-GB"/>
        </w:rPr>
        <w:t>9</w:t>
      </w:r>
      <w:r>
        <w:rPr>
          <w:rStyle w:val="Hyperlink"/>
          <w:rFonts w:ascii="Times New Roman" w:hAnsi="Times New Roman"/>
          <w:bCs/>
          <w:noProof/>
          <w:color w:val="auto"/>
          <w:sz w:val="18"/>
          <w:szCs w:val="18"/>
          <w:lang w:eastAsia="en-GB"/>
        </w:rPr>
        <w:t xml:space="preserve">). </w:t>
      </w:r>
      <w:r>
        <w:rPr>
          <w:rStyle w:val="Hyperlink"/>
          <w:rFonts w:ascii="Times New Roman" w:hAnsi="Times New Roman"/>
          <w:bCs/>
          <w:noProof/>
          <w:color w:val="auto"/>
          <w:sz w:val="18"/>
          <w:szCs w:val="18"/>
          <w:u w:val="none"/>
          <w:lang w:eastAsia="en-GB"/>
        </w:rPr>
        <w:t xml:space="preserve">Verified aviation emissions are reported </w:t>
      </w:r>
      <w:r w:rsidRPr="00BD381F">
        <w:rPr>
          <w:rStyle w:val="Hyperlink"/>
          <w:rFonts w:ascii="Times New Roman" w:hAnsi="Times New Roman"/>
          <w:bCs/>
          <w:noProof/>
          <w:color w:val="auto"/>
          <w:sz w:val="18"/>
          <w:szCs w:val="18"/>
          <w:u w:val="none"/>
          <w:lang w:eastAsia="en-GB"/>
        </w:rPr>
        <w:t xml:space="preserve">separately in </w:t>
      </w:r>
      <w:r w:rsidR="00593BC0">
        <w:rPr>
          <w:rStyle w:val="Hyperlink"/>
          <w:rFonts w:ascii="Times New Roman" w:hAnsi="Times New Roman"/>
          <w:bCs/>
          <w:noProof/>
          <w:color w:val="auto"/>
          <w:sz w:val="18"/>
          <w:szCs w:val="18"/>
          <w:u w:val="none"/>
          <w:lang w:eastAsia="en-GB"/>
        </w:rPr>
        <w:t>chapter</w:t>
      </w:r>
      <w:r w:rsidRPr="00BD381F">
        <w:rPr>
          <w:rStyle w:val="Hyperlink"/>
          <w:rFonts w:ascii="Times New Roman" w:hAnsi="Times New Roman"/>
          <w:bCs/>
          <w:noProof/>
          <w:color w:val="auto"/>
          <w:sz w:val="18"/>
          <w:szCs w:val="18"/>
          <w:u w:val="none"/>
          <w:lang w:eastAsia="en-GB"/>
        </w:rPr>
        <w:t xml:space="preserve"> </w:t>
      </w:r>
      <w:r w:rsidR="00A21F92" w:rsidRPr="00BD381F">
        <w:rPr>
          <w:rStyle w:val="Hyperlink"/>
          <w:rFonts w:ascii="Times New Roman" w:hAnsi="Times New Roman"/>
          <w:bCs/>
          <w:noProof/>
          <w:color w:val="auto"/>
          <w:sz w:val="18"/>
          <w:szCs w:val="18"/>
          <w:u w:val="none"/>
          <w:lang w:eastAsia="en-GB"/>
        </w:rPr>
        <w:t>4.</w:t>
      </w:r>
    </w:p>
    <w:p w14:paraId="143AC280" w14:textId="77777777" w:rsidR="005F6BD0" w:rsidRDefault="005F6BD0">
      <w:pPr>
        <w:autoSpaceDE w:val="0"/>
        <w:autoSpaceDN w:val="0"/>
        <w:adjustRightInd w:val="0"/>
        <w:spacing w:after="0"/>
        <w:rPr>
          <w:noProof/>
          <w:highlight w:val="yellow"/>
        </w:rPr>
      </w:pPr>
    </w:p>
    <w:p w14:paraId="2D446545" w14:textId="77777777" w:rsidR="002C2541" w:rsidRPr="002C2541" w:rsidRDefault="002C2541">
      <w:pPr>
        <w:jc w:val="both"/>
        <w:rPr>
          <w:rFonts w:ascii="Times New Roman" w:hAnsi="Times New Roman"/>
          <w:noProof/>
          <w:sz w:val="24"/>
          <w:szCs w:val="24"/>
        </w:rPr>
      </w:pPr>
      <w:r w:rsidRPr="002C2541">
        <w:rPr>
          <w:rFonts w:ascii="Times New Roman" w:hAnsi="Times New Roman"/>
          <w:noProof/>
          <w:sz w:val="24"/>
          <w:szCs w:val="24"/>
        </w:rPr>
        <w:t>A breakdown of ETS verified emissions from installations by type of greenhouse gas (</w:t>
      </w:r>
      <w:r w:rsidRPr="002C2541">
        <w:rPr>
          <w:rFonts w:ascii="Times New Roman" w:hAnsi="Times New Roman"/>
          <w:bCs/>
          <w:color w:val="262626"/>
          <w:sz w:val="24"/>
          <w:szCs w:val="24"/>
        </w:rPr>
        <w:t>CO</w:t>
      </w:r>
      <w:r w:rsidRPr="002C2541">
        <w:rPr>
          <w:rFonts w:ascii="Times New Roman" w:hAnsi="Times New Roman"/>
          <w:bCs/>
          <w:color w:val="262626"/>
          <w:sz w:val="24"/>
          <w:szCs w:val="24"/>
          <w:bdr w:val="none" w:sz="0" w:space="0" w:color="auto" w:frame="1"/>
          <w:vertAlign w:val="subscript"/>
        </w:rPr>
        <w:t>2</w:t>
      </w:r>
      <w:r w:rsidRPr="002C2541">
        <w:rPr>
          <w:rFonts w:ascii="Times New Roman" w:hAnsi="Times New Roman"/>
          <w:noProof/>
          <w:sz w:val="24"/>
          <w:szCs w:val="24"/>
        </w:rPr>
        <w:t xml:space="preserve">, </w:t>
      </w:r>
      <w:r w:rsidRPr="002C2541">
        <w:rPr>
          <w:rFonts w:ascii="Times New Roman" w:hAnsi="Times New Roman"/>
          <w:bCs/>
          <w:color w:val="262626"/>
          <w:sz w:val="24"/>
          <w:szCs w:val="24"/>
        </w:rPr>
        <w:t>N</w:t>
      </w:r>
      <w:r w:rsidRPr="002C2541">
        <w:rPr>
          <w:rFonts w:ascii="Times New Roman" w:hAnsi="Times New Roman"/>
          <w:bCs/>
          <w:color w:val="262626"/>
          <w:sz w:val="24"/>
          <w:szCs w:val="24"/>
          <w:bdr w:val="none" w:sz="0" w:space="0" w:color="auto" w:frame="1"/>
          <w:vertAlign w:val="subscript"/>
        </w:rPr>
        <w:t>2</w:t>
      </w:r>
      <w:r w:rsidRPr="002C2541">
        <w:rPr>
          <w:rFonts w:ascii="Times New Roman" w:hAnsi="Times New Roman"/>
          <w:bCs/>
          <w:color w:val="262626"/>
          <w:sz w:val="24"/>
          <w:szCs w:val="24"/>
        </w:rPr>
        <w:t>O</w:t>
      </w:r>
      <w:r w:rsidRPr="002C2541">
        <w:rPr>
          <w:rFonts w:ascii="Times New Roman" w:hAnsi="Times New Roman"/>
          <w:noProof/>
          <w:sz w:val="24"/>
          <w:szCs w:val="24"/>
        </w:rPr>
        <w:t xml:space="preserve"> and PFCs</w:t>
      </w:r>
      <w:r w:rsidR="001B4818">
        <w:rPr>
          <w:rFonts w:ascii="Times New Roman" w:hAnsi="Times New Roman"/>
          <w:noProof/>
          <w:sz w:val="24"/>
          <w:szCs w:val="24"/>
        </w:rPr>
        <w:t>)</w:t>
      </w:r>
      <w:r w:rsidRPr="002C2541">
        <w:rPr>
          <w:rFonts w:ascii="Times New Roman" w:hAnsi="Times New Roman"/>
          <w:noProof/>
          <w:sz w:val="24"/>
          <w:szCs w:val="24"/>
        </w:rPr>
        <w:t xml:space="preserve"> is provided in table </w:t>
      </w:r>
      <w:r w:rsidR="0057434D">
        <w:rPr>
          <w:rFonts w:ascii="Times New Roman" w:hAnsi="Times New Roman"/>
          <w:noProof/>
          <w:sz w:val="24"/>
          <w:szCs w:val="24"/>
        </w:rPr>
        <w:t>5.1</w:t>
      </w:r>
      <w:r w:rsidRPr="002C2541">
        <w:rPr>
          <w:rFonts w:ascii="Times New Roman" w:hAnsi="Times New Roman"/>
          <w:noProof/>
          <w:sz w:val="24"/>
          <w:szCs w:val="24"/>
        </w:rPr>
        <w:t>, Appendix</w:t>
      </w:r>
      <w:r w:rsidR="0057434D">
        <w:rPr>
          <w:rFonts w:ascii="Times New Roman" w:hAnsi="Times New Roman"/>
          <w:noProof/>
          <w:sz w:val="24"/>
          <w:szCs w:val="24"/>
        </w:rPr>
        <w:t xml:space="preserve"> 5</w:t>
      </w:r>
      <w:r w:rsidR="00055907">
        <w:rPr>
          <w:rFonts w:ascii="Times New Roman" w:hAnsi="Times New Roman"/>
          <w:noProof/>
          <w:sz w:val="24"/>
          <w:szCs w:val="24"/>
        </w:rPr>
        <w:t xml:space="preserve"> </w:t>
      </w:r>
      <w:r w:rsidRPr="002C2541">
        <w:rPr>
          <w:rFonts w:ascii="Times New Roman" w:hAnsi="Times New Roman"/>
          <w:noProof/>
          <w:sz w:val="24"/>
          <w:szCs w:val="24"/>
        </w:rPr>
        <w:t>to the Annex.</w:t>
      </w:r>
    </w:p>
    <w:p w14:paraId="33EDC775"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The number of allowances cancelled on a voluntary basis amounts to </w:t>
      </w:r>
      <w:r w:rsidR="00A16C99">
        <w:rPr>
          <w:rFonts w:ascii="Times New Roman" w:hAnsi="Times New Roman"/>
          <w:noProof/>
          <w:sz w:val="24"/>
          <w:szCs w:val="24"/>
        </w:rPr>
        <w:t>36 559</w:t>
      </w:r>
      <w:r>
        <w:rPr>
          <w:rFonts w:ascii="Times New Roman" w:hAnsi="Times New Roman"/>
          <w:noProof/>
          <w:sz w:val="24"/>
          <w:szCs w:val="24"/>
        </w:rPr>
        <w:t xml:space="preserve"> allowances in 201</w:t>
      </w:r>
      <w:r w:rsidR="00E63E09">
        <w:rPr>
          <w:rFonts w:ascii="Times New Roman" w:hAnsi="Times New Roman"/>
          <w:noProof/>
          <w:sz w:val="24"/>
          <w:szCs w:val="24"/>
        </w:rPr>
        <w:t>8</w:t>
      </w:r>
      <w:r>
        <w:rPr>
          <w:rFonts w:ascii="Times New Roman" w:hAnsi="Times New Roman"/>
          <w:noProof/>
          <w:sz w:val="24"/>
          <w:szCs w:val="24"/>
        </w:rPr>
        <w:t xml:space="preserve">. In total, voluntary cancellations of </w:t>
      </w:r>
      <w:r w:rsidR="00650419">
        <w:rPr>
          <w:rFonts w:ascii="Times New Roman" w:hAnsi="Times New Roman"/>
          <w:noProof/>
          <w:sz w:val="24"/>
          <w:szCs w:val="24"/>
        </w:rPr>
        <w:t>345 893</w:t>
      </w:r>
      <w:r>
        <w:rPr>
          <w:rFonts w:ascii="Times New Roman" w:hAnsi="Times New Roman"/>
          <w:noProof/>
          <w:sz w:val="24"/>
          <w:szCs w:val="24"/>
        </w:rPr>
        <w:t xml:space="preserve"> allowances have been recorded until end June 201</w:t>
      </w:r>
      <w:r w:rsidR="00A16C99">
        <w:rPr>
          <w:rFonts w:ascii="Times New Roman" w:hAnsi="Times New Roman"/>
          <w:noProof/>
          <w:sz w:val="24"/>
          <w:szCs w:val="24"/>
        </w:rPr>
        <w:t>9</w:t>
      </w:r>
      <w:r>
        <w:rPr>
          <w:rFonts w:ascii="Times New Roman" w:hAnsi="Times New Roman"/>
          <w:noProof/>
          <w:sz w:val="24"/>
          <w:szCs w:val="24"/>
        </w:rPr>
        <w:t>.</w:t>
      </w:r>
    </w:p>
    <w:p w14:paraId="4409A09B" w14:textId="77777777" w:rsidR="007F5B1E" w:rsidRDefault="007F5B1E">
      <w:pPr>
        <w:jc w:val="both"/>
        <w:rPr>
          <w:rFonts w:ascii="Times New Roman" w:hAnsi="Times New Roman"/>
          <w:noProof/>
          <w:sz w:val="24"/>
          <w:szCs w:val="24"/>
        </w:rPr>
      </w:pPr>
    </w:p>
    <w:p w14:paraId="406330A0" w14:textId="77777777" w:rsidR="007F5B1E" w:rsidRDefault="007F5B1E">
      <w:pPr>
        <w:jc w:val="both"/>
        <w:rPr>
          <w:rFonts w:ascii="Times New Roman" w:hAnsi="Times New Roman"/>
          <w:noProof/>
          <w:sz w:val="24"/>
          <w:szCs w:val="24"/>
        </w:rPr>
      </w:pPr>
    </w:p>
    <w:p w14:paraId="384D4D8E" w14:textId="77777777" w:rsidR="005F6BD0" w:rsidRDefault="00A52F4C">
      <w:pPr>
        <w:pStyle w:val="Heading2"/>
        <w:rPr>
          <w:i w:val="0"/>
          <w:noProof/>
        </w:rPr>
      </w:pPr>
      <w:bookmarkStart w:id="45" w:name="_Toc490850433"/>
      <w:bookmarkStart w:id="46" w:name="_Toc519009684"/>
      <w:bookmarkStart w:id="47" w:name="_Toc20217737"/>
      <w:r>
        <w:rPr>
          <w:i w:val="0"/>
          <w:noProof/>
        </w:rPr>
        <w:t>3</w:t>
      </w:r>
      <w:r w:rsidR="003A348D">
        <w:rPr>
          <w:i w:val="0"/>
          <w:noProof/>
        </w:rPr>
        <w:t>.3. Balancing supply and demand</w:t>
      </w:r>
      <w:bookmarkEnd w:id="45"/>
      <w:bookmarkEnd w:id="46"/>
      <w:bookmarkEnd w:id="47"/>
      <w:r w:rsidR="003A348D">
        <w:rPr>
          <w:i w:val="0"/>
          <w:noProof/>
        </w:rPr>
        <w:t xml:space="preserve"> </w:t>
      </w:r>
    </w:p>
    <w:p w14:paraId="08A51BDA" w14:textId="77777777" w:rsidR="00593BC0" w:rsidRDefault="00DA667D" w:rsidP="00DA667D">
      <w:pPr>
        <w:jc w:val="both"/>
        <w:rPr>
          <w:rFonts w:ascii="Times New Roman" w:hAnsi="Times New Roman"/>
          <w:noProof/>
          <w:sz w:val="24"/>
          <w:szCs w:val="24"/>
        </w:rPr>
      </w:pPr>
      <w:r>
        <w:rPr>
          <w:rFonts w:ascii="Times New Roman" w:hAnsi="Times New Roman"/>
          <w:noProof/>
          <w:sz w:val="24"/>
          <w:szCs w:val="24"/>
        </w:rPr>
        <w:t>At the start of phase 3 in 2013, the EU ETS was characterised by a large structural imbalance between the supply and demand of allowances, equaling 2.1 billion allowances. The surplus has been decreasing over the course of the current trading period, remaining stable in 2014 and falling significantly to 1.78 billion allowances in 2015, 1.69 billion allowances in 2016, and 1.65 billion allowances in 2017. In 2018, the surplus remained at 1.65 billion allowance</w:t>
      </w:r>
      <w:r w:rsidR="00EE7A6D">
        <w:rPr>
          <w:rFonts w:ascii="Times New Roman" w:hAnsi="Times New Roman"/>
          <w:noProof/>
          <w:sz w:val="24"/>
          <w:szCs w:val="24"/>
        </w:rPr>
        <w:t xml:space="preserve">s. </w:t>
      </w:r>
    </w:p>
    <w:p w14:paraId="412A36D0" w14:textId="77777777" w:rsidR="00235970" w:rsidRDefault="00DA667D" w:rsidP="00DA667D">
      <w:pPr>
        <w:jc w:val="both"/>
        <w:rPr>
          <w:rFonts w:ascii="Times New Roman" w:hAnsi="Times New Roman"/>
          <w:b/>
          <w:noProof/>
        </w:rPr>
      </w:pPr>
      <w:r>
        <w:rPr>
          <w:rFonts w:ascii="Times New Roman" w:hAnsi="Times New Roman"/>
          <w:noProof/>
          <w:sz w:val="24"/>
          <w:szCs w:val="24"/>
        </w:rPr>
        <w:t xml:space="preserve">Figure </w:t>
      </w:r>
      <w:r w:rsidR="00693A53">
        <w:rPr>
          <w:rFonts w:ascii="Times New Roman" w:hAnsi="Times New Roman"/>
          <w:noProof/>
          <w:sz w:val="24"/>
          <w:szCs w:val="24"/>
        </w:rPr>
        <w:t>4</w:t>
      </w:r>
      <w:r>
        <w:rPr>
          <w:rFonts w:ascii="Times New Roman" w:hAnsi="Times New Roman"/>
          <w:noProof/>
          <w:sz w:val="24"/>
          <w:szCs w:val="24"/>
        </w:rPr>
        <w:t xml:space="preserve"> presents the development of the surplus in the European carbon market by</w:t>
      </w:r>
      <w:r w:rsidR="00EE7A6D">
        <w:rPr>
          <w:rFonts w:ascii="Times New Roman" w:hAnsi="Times New Roman"/>
          <w:noProof/>
          <w:sz w:val="24"/>
          <w:szCs w:val="24"/>
        </w:rPr>
        <w:t xml:space="preserve"> </w:t>
      </w:r>
      <w:r>
        <w:rPr>
          <w:rFonts w:ascii="Times New Roman" w:hAnsi="Times New Roman"/>
          <w:noProof/>
          <w:sz w:val="24"/>
          <w:szCs w:val="24"/>
        </w:rPr>
        <w:t xml:space="preserve">end 2018. </w:t>
      </w:r>
    </w:p>
    <w:p w14:paraId="0B85A162" w14:textId="77777777" w:rsidR="005F6BD0" w:rsidRDefault="00DA667D">
      <w:pPr>
        <w:jc w:val="both"/>
        <w:rPr>
          <w:rFonts w:ascii="Times New Roman" w:hAnsi="Times New Roman"/>
          <w:b/>
          <w:noProof/>
        </w:rPr>
      </w:pPr>
      <w:r>
        <w:rPr>
          <w:rFonts w:ascii="Times New Roman" w:hAnsi="Times New Roman"/>
          <w:b/>
          <w:noProof/>
        </w:rPr>
        <w:t xml:space="preserve">Figure </w:t>
      </w:r>
      <w:r w:rsidR="00693A53">
        <w:rPr>
          <w:rFonts w:ascii="Times New Roman" w:hAnsi="Times New Roman"/>
          <w:b/>
          <w:noProof/>
        </w:rPr>
        <w:t>4</w:t>
      </w:r>
      <w:r>
        <w:rPr>
          <w:rFonts w:ascii="Times New Roman" w:hAnsi="Times New Roman"/>
          <w:b/>
          <w:noProof/>
        </w:rPr>
        <w:t>: Development of the surplus in the Euro</w:t>
      </w:r>
      <w:r w:rsidR="007770F8">
        <w:rPr>
          <w:rFonts w:ascii="Times New Roman" w:hAnsi="Times New Roman"/>
          <w:b/>
          <w:noProof/>
        </w:rPr>
        <w:t>pean carbon market in 2013-2018</w:t>
      </w:r>
    </w:p>
    <w:p w14:paraId="208CDB95" w14:textId="77777777" w:rsidR="00076795" w:rsidRDefault="00076795" w:rsidP="00276918">
      <w:pPr>
        <w:spacing w:after="0"/>
        <w:jc w:val="both"/>
        <w:rPr>
          <w:rFonts w:ascii="Times New Roman" w:hAnsi="Times New Roman"/>
          <w:noProof/>
          <w:sz w:val="24"/>
          <w:szCs w:val="24"/>
        </w:rPr>
      </w:pPr>
      <w:r>
        <w:rPr>
          <w:rFonts w:ascii="Times New Roman" w:hAnsi="Times New Roman"/>
          <w:b/>
          <w:noProof/>
          <w:lang w:eastAsia="en-GB"/>
        </w:rPr>
        <w:drawing>
          <wp:inline distT="0" distB="0" distL="0" distR="0" wp14:anchorId="11C7606E" wp14:editId="28CB2864">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14:paraId="56D0B8B2" w14:textId="77777777" w:rsidR="00246919" w:rsidRPr="00246919" w:rsidRDefault="00246919" w:rsidP="00276918">
      <w:pPr>
        <w:jc w:val="both"/>
        <w:rPr>
          <w:rFonts w:ascii="Times New Roman" w:hAnsi="Times New Roman"/>
          <w:noProof/>
          <w:sz w:val="18"/>
          <w:szCs w:val="18"/>
        </w:rPr>
      </w:pPr>
      <w:r w:rsidRPr="00246919">
        <w:rPr>
          <w:rFonts w:ascii="Times New Roman" w:hAnsi="Times New Roman"/>
          <w:noProof/>
          <w:sz w:val="18"/>
          <w:szCs w:val="18"/>
        </w:rPr>
        <w:t>Source: DG CLIMA</w:t>
      </w:r>
    </w:p>
    <w:p w14:paraId="204A6F24" w14:textId="77777777" w:rsidR="000E5BB1" w:rsidRDefault="000E5BB1" w:rsidP="00246919">
      <w:pPr>
        <w:jc w:val="both"/>
        <w:rPr>
          <w:rFonts w:ascii="Times New Roman" w:hAnsi="Times New Roman"/>
          <w:noProof/>
          <w:sz w:val="24"/>
          <w:szCs w:val="24"/>
        </w:rPr>
      </w:pPr>
      <w:r>
        <w:rPr>
          <w:rFonts w:ascii="Times New Roman" w:hAnsi="Times New Roman"/>
          <w:noProof/>
          <w:sz w:val="24"/>
          <w:szCs w:val="24"/>
        </w:rPr>
        <w:t>To address the structural imbalance between the supply and demand</w:t>
      </w:r>
      <w:r w:rsidR="00593BC0">
        <w:rPr>
          <w:rFonts w:ascii="Times New Roman" w:hAnsi="Times New Roman"/>
          <w:noProof/>
          <w:sz w:val="24"/>
          <w:szCs w:val="24"/>
        </w:rPr>
        <w:t xml:space="preserve"> of allowances</w:t>
      </w:r>
      <w:r>
        <w:rPr>
          <w:rFonts w:ascii="Times New Roman" w:hAnsi="Times New Roman"/>
          <w:noProof/>
          <w:sz w:val="24"/>
          <w:szCs w:val="24"/>
        </w:rPr>
        <w:t>, a Market Stability Reserve (MSR) was created in 2015</w:t>
      </w:r>
      <w:r>
        <w:rPr>
          <w:rStyle w:val="FootnoteReference"/>
          <w:noProof/>
          <w:szCs w:val="24"/>
        </w:rPr>
        <w:footnoteReference w:id="44"/>
      </w:r>
      <w:r>
        <w:rPr>
          <w:rFonts w:ascii="Times New Roman" w:hAnsi="Times New Roman"/>
          <w:noProof/>
          <w:sz w:val="24"/>
          <w:szCs w:val="24"/>
        </w:rPr>
        <w:t xml:space="preserve"> to render the auction supply of emission allowances more flexible. </w:t>
      </w:r>
      <w:r w:rsidRPr="005D0730">
        <w:rPr>
          <w:rFonts w:ascii="Times New Roman" w:eastAsia="Times New Roman" w:hAnsi="Times New Roman" w:cstheme="minorBidi"/>
          <w:bCs/>
          <w:iCs/>
          <w:noProof/>
          <w:sz w:val="24"/>
          <w:szCs w:val="24"/>
          <w:lang w:eastAsia="en-GB"/>
        </w:rPr>
        <w:t>In the context of the revision of the EU ETS</w:t>
      </w:r>
      <w:r w:rsidRPr="005D0730">
        <w:rPr>
          <w:rFonts w:ascii="Times New Roman" w:eastAsia="Times New Roman" w:hAnsi="Times New Roman" w:cstheme="minorBidi"/>
          <w:bCs/>
          <w:iCs/>
          <w:noProof/>
          <w:sz w:val="24"/>
          <w:szCs w:val="24"/>
          <w:vertAlign w:val="superscript"/>
          <w:lang w:eastAsia="en-GB"/>
        </w:rPr>
        <w:footnoteReference w:id="45"/>
      </w:r>
      <w:r w:rsidRPr="005D0730">
        <w:rPr>
          <w:rFonts w:ascii="Times New Roman" w:eastAsia="Times New Roman" w:hAnsi="Times New Roman" w:cstheme="minorBidi"/>
          <w:bCs/>
          <w:iCs/>
          <w:noProof/>
          <w:sz w:val="24"/>
          <w:szCs w:val="24"/>
          <w:lang w:eastAsia="en-GB"/>
        </w:rPr>
        <w:t>, important changes were made</w:t>
      </w:r>
      <w:r>
        <w:rPr>
          <w:rFonts w:ascii="Times New Roman" w:eastAsia="Times New Roman" w:hAnsi="Times New Roman" w:cstheme="minorBidi"/>
          <w:bCs/>
          <w:iCs/>
          <w:noProof/>
          <w:sz w:val="24"/>
          <w:szCs w:val="24"/>
          <w:lang w:eastAsia="en-GB"/>
        </w:rPr>
        <w:t xml:space="preserve"> to the functioning of the MSR, as shown in the text box below. </w:t>
      </w:r>
      <w:r>
        <w:rPr>
          <w:rFonts w:ascii="Times New Roman" w:hAnsi="Times New Roman"/>
          <w:noProof/>
          <w:sz w:val="24"/>
          <w:szCs w:val="24"/>
        </w:rPr>
        <w:t xml:space="preserve">The MSR began operating </w:t>
      </w:r>
      <w:r w:rsidR="00FB120A">
        <w:rPr>
          <w:rFonts w:ascii="Times New Roman" w:hAnsi="Times New Roman"/>
          <w:noProof/>
          <w:sz w:val="24"/>
          <w:szCs w:val="24"/>
        </w:rPr>
        <w:t>at the start of</w:t>
      </w:r>
      <w:r>
        <w:rPr>
          <w:rFonts w:ascii="Times New Roman" w:hAnsi="Times New Roman"/>
          <w:noProof/>
          <w:sz w:val="24"/>
          <w:szCs w:val="24"/>
        </w:rPr>
        <w:t xml:space="preserve"> 2019.</w:t>
      </w:r>
    </w:p>
    <w:p w14:paraId="62966FD3" w14:textId="77777777" w:rsidR="00076795" w:rsidRDefault="00076795">
      <w:pPr>
        <w:jc w:val="both"/>
        <w:rPr>
          <w:rFonts w:ascii="Times New Roman" w:hAnsi="Times New Roman"/>
          <w:noProof/>
          <w:sz w:val="24"/>
          <w:szCs w:val="24"/>
        </w:rPr>
      </w:pPr>
    </w:p>
    <w:p w14:paraId="404CD0E3" w14:textId="77777777" w:rsidR="005F6BD0" w:rsidRDefault="003A348D">
      <w:pPr>
        <w:rPr>
          <w:noProof/>
        </w:rPr>
      </w:pPr>
      <w:r>
        <w:rPr>
          <w:rFonts w:ascii="Times New Roman" w:hAnsi="Times New Roman"/>
          <w:noProof/>
          <w:sz w:val="24"/>
          <w:szCs w:val="24"/>
          <w:lang w:eastAsia="en-GB"/>
        </w:rPr>
        <mc:AlternateContent>
          <mc:Choice Requires="wps">
            <w:drawing>
              <wp:inline distT="0" distB="0" distL="0" distR="0" wp14:anchorId="14D9424C" wp14:editId="6DD11966">
                <wp:extent cx="5731510" cy="6269182"/>
                <wp:effectExtent l="0" t="0" r="21590" b="1778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269182"/>
                        </a:xfrm>
                        <a:prstGeom prst="rect">
                          <a:avLst/>
                        </a:prstGeom>
                        <a:solidFill>
                          <a:sysClr val="window" lastClr="FFFFFF">
                            <a:lumMod val="85000"/>
                          </a:sysClr>
                        </a:solidFill>
                        <a:ln w="12700">
                          <a:solidFill>
                            <a:srgbClr val="000000"/>
                          </a:solidFill>
                          <a:miter lim="800000"/>
                          <a:headEnd/>
                          <a:tailEnd/>
                        </a:ln>
                      </wps:spPr>
                      <wps:txbx>
                        <w:txbxContent>
                          <w:p w14:paraId="46C0987F" w14:textId="77777777" w:rsidR="00516F65" w:rsidRDefault="00516F65" w:rsidP="000E5BB1">
                            <w:pPr>
                              <w:jc w:val="both"/>
                              <w:rPr>
                                <w:rFonts w:ascii="Times New Roman" w:hAnsi="Times New Roman"/>
                                <w:sz w:val="24"/>
                                <w:szCs w:val="24"/>
                              </w:rPr>
                            </w:pPr>
                            <w:r>
                              <w:rPr>
                                <w:rFonts w:ascii="Times New Roman" w:hAnsi="Times New Roman"/>
                                <w:sz w:val="24"/>
                                <w:szCs w:val="24"/>
                              </w:rPr>
                              <w:t>A key notion for the functioning of the MSR is the total number of allowances in circulation (TNAC). Allowances will be added to the reserve, if the TNAC is above a predefined upper threshold (833 million allowances) and will be released from the reserve, if the number is below a predefined lower threshold (below 400 million allowances)*</w:t>
                            </w:r>
                            <w:r>
                              <w:rPr>
                                <w:rFonts w:ascii="Times New Roman" w:hAnsi="Times New Roman"/>
                                <w:sz w:val="20"/>
                                <w:szCs w:val="20"/>
                              </w:rPr>
                              <w:t>.</w:t>
                            </w:r>
                            <w:r>
                              <w:rPr>
                                <w:rFonts w:ascii="Times New Roman" w:hAnsi="Times New Roman"/>
                                <w:sz w:val="24"/>
                                <w:szCs w:val="24"/>
                              </w:rPr>
                              <w:t xml:space="preserve"> Thus, the MSR absorbs or releases allowances, if the TNAC indicator is outside of a predefined range. Back-loaded allowances from the period 2014-2016**, as well as so-called unallocated*** allowances will also be put in the reserve. </w:t>
                            </w:r>
                          </w:p>
                          <w:p w14:paraId="65A710FB"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The total number of allowances in circulation relevant for determining the MSR feeds and releases is calculated on the basis of the following formula:</w:t>
                            </w:r>
                          </w:p>
                          <w:p w14:paraId="55436D03"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TNAC = Supply – (Demand + allowances in the MSR)</w:t>
                            </w:r>
                          </w:p>
                          <w:p w14:paraId="16B9E149" w14:textId="77777777" w:rsidR="00516F65" w:rsidRPr="004724FA" w:rsidRDefault="00516F65" w:rsidP="004B4F5B">
                            <w:pPr>
                              <w:rPr>
                                <w:rFonts w:ascii="Times New Roman" w:hAnsi="Times New Roman"/>
                                <w:noProof/>
                                <w:sz w:val="24"/>
                                <w:szCs w:val="24"/>
                              </w:rPr>
                            </w:pPr>
                            <w:r w:rsidRPr="004724FA">
                              <w:rPr>
                                <w:rFonts w:ascii="Times New Roman" w:hAnsi="Times New Roman"/>
                                <w:noProof/>
                                <w:sz w:val="24"/>
                                <w:szCs w:val="24"/>
                              </w:rPr>
                              <w:t xml:space="preserve">The </w:t>
                            </w:r>
                            <w:r w:rsidRPr="00516F65">
                              <w:rPr>
                                <w:rFonts w:ascii="Times New Roman" w:hAnsi="Times New Roman"/>
                                <w:noProof/>
                                <w:sz w:val="24"/>
                                <w:szCs w:val="24"/>
                              </w:rPr>
                              <w:t>components of supply and demand used in the formula are described in detail in Table 4.1, Appendix 4 to the Annex.</w:t>
                            </w:r>
                          </w:p>
                          <w:p w14:paraId="74047526" w14:textId="77777777" w:rsidR="00516F65" w:rsidRDefault="00516F65" w:rsidP="008E69DA">
                            <w:pPr>
                              <w:jc w:val="both"/>
                              <w:rPr>
                                <w:rFonts w:ascii="Times New Roman" w:hAnsi="Times New Roman"/>
                                <w:noProof/>
                                <w:sz w:val="24"/>
                                <w:szCs w:val="24"/>
                              </w:rPr>
                            </w:pPr>
                            <w:r w:rsidRPr="004724FA">
                              <w:rPr>
                                <w:rFonts w:ascii="Times New Roman" w:hAnsi="Times New Roman"/>
                                <w:noProof/>
                                <w:sz w:val="24"/>
                                <w:szCs w:val="24"/>
                              </w:rPr>
                              <w:t>The revised EU ETS Directive makes</w:t>
                            </w:r>
                            <w:r>
                              <w:rPr>
                                <w:rFonts w:ascii="Times New Roman" w:hAnsi="Times New Roman"/>
                                <w:noProof/>
                                <w:sz w:val="24"/>
                                <w:szCs w:val="24"/>
                              </w:rPr>
                              <w:t xml:space="preserve"> two notable changes to the functioning of the MSR. First, the percentage of the TNAC to be placed in the reserve from 2019 to 2023 is doubled from 12% to 24%. This substantially increases the pace of reducing the surplus. Second, from 2023, allowances held in the MSR exceeding the previous year's auction volume will no longer be valid. </w:t>
                            </w:r>
                          </w:p>
                          <w:p w14:paraId="6A0F2585" w14:textId="77777777" w:rsidR="00516F65" w:rsidRDefault="00516F65" w:rsidP="000E5BB1">
                            <w:pPr>
                              <w:jc w:val="both"/>
                              <w:rPr>
                                <w:rFonts w:ascii="Times New Roman" w:hAnsi="Times New Roman"/>
                                <w:sz w:val="18"/>
                                <w:szCs w:val="18"/>
                              </w:rPr>
                            </w:pPr>
                            <w:r>
                              <w:rPr>
                                <w:rFonts w:ascii="Times New Roman" w:hAnsi="Times New Roman"/>
                                <w:sz w:val="18"/>
                                <w:szCs w:val="18"/>
                              </w:rPr>
                              <w:t>*Or where measures are adopted under Article 29a of the EU ETS Directive</w:t>
                            </w:r>
                          </w:p>
                          <w:p w14:paraId="621F3CC0" w14:textId="77777777" w:rsidR="00516F65" w:rsidRDefault="00516F65" w:rsidP="000E5BB1">
                            <w:pPr>
                              <w:jc w:val="both"/>
                              <w:rPr>
                                <w:rFonts w:ascii="Times New Roman" w:hAnsi="Times New Roman"/>
                                <w:sz w:val="18"/>
                                <w:szCs w:val="18"/>
                              </w:rPr>
                            </w:pPr>
                            <w:r>
                              <w:rPr>
                                <w:rFonts w:ascii="Times New Roman" w:hAnsi="Times New Roman"/>
                                <w:sz w:val="18"/>
                                <w:szCs w:val="18"/>
                              </w:rPr>
                              <w:t>**</w:t>
                            </w:r>
                            <w:r w:rsidRPr="00D357D7">
                              <w:t xml:space="preserve"> </w:t>
                            </w:r>
                            <w:r w:rsidRPr="00D357D7">
                              <w:rPr>
                                <w:rFonts w:ascii="Times New Roman" w:hAnsi="Times New Roman"/>
                                <w:sz w:val="18"/>
                                <w:szCs w:val="18"/>
                              </w:rPr>
                              <w:t>Decision No 1359/2013/EU of the European Parliament and of the Council of 17 December 2013 amending Directive 2003/87/EC clarifying provisions on the timing of auctions of greenhouse gas allowances, OJ L 343, 19.12.2013, p. 1.</w:t>
                            </w:r>
                          </w:p>
                          <w:p w14:paraId="636A7EFE" w14:textId="77777777" w:rsidR="00516F65" w:rsidRDefault="00516F65" w:rsidP="000E5BB1">
                            <w:pPr>
                              <w:jc w:val="both"/>
                              <w:rPr>
                                <w:rFonts w:ascii="Times New Roman" w:hAnsi="Times New Roman"/>
                                <w:sz w:val="18"/>
                                <w:szCs w:val="18"/>
                              </w:rPr>
                            </w:pPr>
                            <w:r>
                              <w:rPr>
                                <w:rFonts w:ascii="Times New Roman" w:hAnsi="Times New Roman"/>
                                <w:sz w:val="18"/>
                                <w:szCs w:val="18"/>
                              </w:rPr>
                              <w:t>***Unallocated allowances are allowances not allocated pursuant to Article 10a(7) of the EU ETS Directive, i.e. allowances remaining in the new entrants' reserve, and resulting from the application of Article 10a(19) and (20), i.e. allowances foreseen for free allocation to installations but remaining unallocated because of (partial) cessation of operations or significant capacity reductions. De facto "unallocated" allowances stemming from the application of the relevant carbon leakage factor to sectors not included in the carbon leakage list during the current period, as well as any allowances that are not allocated under Article 10c of the ETS Directive, are not foreseen to be placed in the Market Stability Reserve under Article 1(3) of Decision (EU) 2015/1814. Such allowances are therefore not covered (please refer to p. 225 of the Impact Assessment (SWD(2015) 135 final) accompanying the proposal for a revision the EU ETS Directive in phase 4.</w:t>
                            </w:r>
                          </w:p>
                          <w:p w14:paraId="0796D009" w14:textId="77777777" w:rsidR="00516F65" w:rsidRDefault="00516F65" w:rsidP="004B4F5B">
                            <w:pPr>
                              <w:rPr>
                                <w:rFonts w:ascii="Times New Roman" w:hAnsi="Times New Roman"/>
                                <w:sz w:val="18"/>
                                <w:szCs w:val="18"/>
                              </w:rPr>
                            </w:pPr>
                          </w:p>
                        </w:txbxContent>
                      </wps:txbx>
                      <wps:bodyPr rot="0" vert="horz" wrap="square" lIns="91440" tIns="45720" rIns="91440" bIns="45720" anchor="t" anchorCtr="0">
                        <a:noAutofit/>
                      </wps:bodyPr>
                    </wps:wsp>
                  </a:graphicData>
                </a:graphic>
              </wp:inline>
            </w:drawing>
          </mc:Choice>
          <mc:Fallback>
            <w:pict>
              <v:shape w14:anchorId="14D9424C" id="_x0000_s1036" type="#_x0000_t202" style="width:451.3pt;height:4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" fillcolor="#d9d9d9" strokeweight="1pt">
                <v:textbox>
                  <w:txbxContent>
                    <w:p w14:paraId="46C0987F" w14:textId="77777777" w:rsidR="00516F65" w:rsidRDefault="00516F65" w:rsidP="000E5BB1">
                      <w:pPr>
                        <w:jc w:val="both"/>
                        <w:rPr>
                          <w:rFonts w:ascii="Times New Roman" w:hAnsi="Times New Roman"/>
                          <w:sz w:val="24"/>
                          <w:szCs w:val="24"/>
                        </w:rPr>
                      </w:pPr>
                      <w:r>
                        <w:rPr>
                          <w:rFonts w:ascii="Times New Roman" w:hAnsi="Times New Roman"/>
                          <w:sz w:val="24"/>
                          <w:szCs w:val="24"/>
                        </w:rPr>
                        <w:t>A key notion for the functioning of the MSR is the total number of allowances in circulation (TNAC). Allowances will be added to the reserve, if the TNAC is above a predefined upper threshold (833 million allowances) and will be released from the reserve, if the number is below a predefined lower threshold (below 400 million allowances)*</w:t>
                      </w:r>
                      <w:r>
                        <w:rPr>
                          <w:rFonts w:ascii="Times New Roman" w:hAnsi="Times New Roman"/>
                          <w:sz w:val="20"/>
                          <w:szCs w:val="20"/>
                        </w:rPr>
                        <w:t>.</w:t>
                      </w:r>
                      <w:r>
                        <w:rPr>
                          <w:rFonts w:ascii="Times New Roman" w:hAnsi="Times New Roman"/>
                          <w:sz w:val="24"/>
                          <w:szCs w:val="24"/>
                        </w:rPr>
                        <w:t xml:space="preserve"> Thus, the MSR absorbs or releases allowances, if the TNAC indicator is outside of a predefined range. Back-loaded allowances from the period 2014-2016**, as well as so-called unallocated*** allowances will also be put in the reserve. </w:t>
                      </w:r>
                    </w:p>
                    <w:p w14:paraId="65A710FB"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The total number of allowances in circulation relevant for determining the MSR feeds and releases is calculated on the basis of the following formula:</w:t>
                      </w:r>
                    </w:p>
                    <w:p w14:paraId="55436D03" w14:textId="77777777" w:rsidR="00516F65" w:rsidRDefault="00516F65" w:rsidP="000E5BB1">
                      <w:pPr>
                        <w:jc w:val="both"/>
                        <w:rPr>
                          <w:rFonts w:ascii="Times New Roman" w:hAnsi="Times New Roman"/>
                          <w:noProof/>
                          <w:sz w:val="24"/>
                          <w:szCs w:val="24"/>
                        </w:rPr>
                      </w:pPr>
                      <w:r>
                        <w:rPr>
                          <w:rFonts w:ascii="Times New Roman" w:hAnsi="Times New Roman"/>
                          <w:noProof/>
                          <w:sz w:val="24"/>
                          <w:szCs w:val="24"/>
                        </w:rPr>
                        <w:t>TNAC = Supply – (Demand + allowances in the MSR)</w:t>
                      </w:r>
                    </w:p>
                    <w:p w14:paraId="16B9E149" w14:textId="77777777" w:rsidR="00516F65" w:rsidRPr="004724FA" w:rsidRDefault="00516F65" w:rsidP="004B4F5B">
                      <w:pPr>
                        <w:rPr>
                          <w:rFonts w:ascii="Times New Roman" w:hAnsi="Times New Roman"/>
                          <w:noProof/>
                          <w:sz w:val="24"/>
                          <w:szCs w:val="24"/>
                        </w:rPr>
                      </w:pPr>
                      <w:r w:rsidRPr="004724FA">
                        <w:rPr>
                          <w:rFonts w:ascii="Times New Roman" w:hAnsi="Times New Roman"/>
                          <w:noProof/>
                          <w:sz w:val="24"/>
                          <w:szCs w:val="24"/>
                        </w:rPr>
                        <w:t xml:space="preserve">The </w:t>
                      </w:r>
                      <w:r w:rsidRPr="00516F65">
                        <w:rPr>
                          <w:rFonts w:ascii="Times New Roman" w:hAnsi="Times New Roman"/>
                          <w:noProof/>
                          <w:sz w:val="24"/>
                          <w:szCs w:val="24"/>
                        </w:rPr>
                        <w:t>components of supply and demand used in the formula are described in detail in Table 4.1, Appendix 4 to the Annex.</w:t>
                      </w:r>
                    </w:p>
                    <w:p w14:paraId="74047526" w14:textId="77777777" w:rsidR="00516F65" w:rsidRDefault="00516F65" w:rsidP="008E69DA">
                      <w:pPr>
                        <w:jc w:val="both"/>
                        <w:rPr>
                          <w:rFonts w:ascii="Times New Roman" w:hAnsi="Times New Roman"/>
                          <w:noProof/>
                          <w:sz w:val="24"/>
                          <w:szCs w:val="24"/>
                        </w:rPr>
                      </w:pPr>
                      <w:r w:rsidRPr="004724FA">
                        <w:rPr>
                          <w:rFonts w:ascii="Times New Roman" w:hAnsi="Times New Roman"/>
                          <w:noProof/>
                          <w:sz w:val="24"/>
                          <w:szCs w:val="24"/>
                        </w:rPr>
                        <w:t>The revised EU ETS Directive makes</w:t>
                      </w:r>
                      <w:r>
                        <w:rPr>
                          <w:rFonts w:ascii="Times New Roman" w:hAnsi="Times New Roman"/>
                          <w:noProof/>
                          <w:sz w:val="24"/>
                          <w:szCs w:val="24"/>
                        </w:rPr>
                        <w:t xml:space="preserve"> two notable changes to the functioning of the MSR. First, the percentage of the TNAC to be placed in the reserve from 2019 to 2023 is doubled from 12% to 24%. This substantially increases the pace of reducing the surplus. Second, from 2023, allowances held in the MSR exceeding the previous year's auction volume will no longer be valid. </w:t>
                      </w:r>
                    </w:p>
                    <w:p w14:paraId="6A0F2585" w14:textId="77777777" w:rsidR="00516F65" w:rsidRDefault="00516F65" w:rsidP="000E5BB1">
                      <w:pPr>
                        <w:jc w:val="both"/>
                        <w:rPr>
                          <w:rFonts w:ascii="Times New Roman" w:hAnsi="Times New Roman"/>
                          <w:sz w:val="18"/>
                          <w:szCs w:val="18"/>
                        </w:rPr>
                      </w:pPr>
                      <w:r>
                        <w:rPr>
                          <w:rFonts w:ascii="Times New Roman" w:hAnsi="Times New Roman"/>
                          <w:sz w:val="18"/>
                          <w:szCs w:val="18"/>
                        </w:rPr>
                        <w:t>*Or where measures are adopted under Article 29a of the EU ETS Directive</w:t>
                      </w:r>
                    </w:p>
                    <w:p w14:paraId="621F3CC0" w14:textId="77777777" w:rsidR="00516F65" w:rsidRDefault="00516F65" w:rsidP="000E5BB1">
                      <w:pPr>
                        <w:jc w:val="both"/>
                        <w:rPr>
                          <w:rFonts w:ascii="Times New Roman" w:hAnsi="Times New Roman"/>
                          <w:sz w:val="18"/>
                          <w:szCs w:val="18"/>
                        </w:rPr>
                      </w:pPr>
                      <w:r>
                        <w:rPr>
                          <w:rFonts w:ascii="Times New Roman" w:hAnsi="Times New Roman"/>
                          <w:sz w:val="18"/>
                          <w:szCs w:val="18"/>
                        </w:rPr>
                        <w:t>**</w:t>
                      </w:r>
                      <w:r w:rsidRPr="00D357D7">
                        <w:t xml:space="preserve"> </w:t>
                      </w:r>
                      <w:r w:rsidRPr="00D357D7">
                        <w:rPr>
                          <w:rFonts w:ascii="Times New Roman" w:hAnsi="Times New Roman"/>
                          <w:sz w:val="18"/>
                          <w:szCs w:val="18"/>
                        </w:rPr>
                        <w:t>Decision No 1359/2013/EU of the European Parliament and of the Council of 17 December 2013 amending Directive 2003/87/EC clarifying provisions on the timing of auctions of greenhouse gas allowances, OJ L 343, 19.12.2013, p. 1.</w:t>
                      </w:r>
                    </w:p>
                    <w:p w14:paraId="636A7EFE" w14:textId="77777777" w:rsidR="00516F65" w:rsidRDefault="00516F65" w:rsidP="000E5BB1">
                      <w:pPr>
                        <w:jc w:val="both"/>
                        <w:rPr>
                          <w:rFonts w:ascii="Times New Roman" w:hAnsi="Times New Roman"/>
                          <w:sz w:val="18"/>
                          <w:szCs w:val="18"/>
                        </w:rPr>
                      </w:pPr>
                      <w:r>
                        <w:rPr>
                          <w:rFonts w:ascii="Times New Roman" w:hAnsi="Times New Roman"/>
                          <w:sz w:val="18"/>
                          <w:szCs w:val="18"/>
                        </w:rPr>
                        <w:t>***Unallocated allowances are allowances not allocated pursuant to Article 10a(7) of the EU ETS Directive, i.e. allowances remaining in the new entrants' reserve, and resulting from the application of Article 10a(19) and (20), i.e. allowances foreseen for free allocation to installations but remaining unallocated because of (partial) cessation of operations or significant capacity reductions. De facto "unallocated" allowances stemming from the application of the relevant carbon leakage factor to sectors not included in the carbon leakage list during the current period, as well as any allowances that are not allocated under Article 10c of the ETS Directive, are not foreseen to be placed in the Market Stability Reserve under Article 1(3) of Decision (EU) 2015/1814. Such allowances are therefore not covered (please refer to p. 225 of the Impact Assessment (SWD(2015) 135 final) accompanying the proposal for a revision the EU ETS Directive in phase 4.</w:t>
                      </w:r>
                    </w:p>
                    <w:p w14:paraId="0796D009" w14:textId="77777777" w:rsidR="00516F65" w:rsidRDefault="00516F65" w:rsidP="004B4F5B">
                      <w:pPr>
                        <w:rPr>
                          <w:rFonts w:ascii="Times New Roman" w:hAnsi="Times New Roman"/>
                          <w:sz w:val="18"/>
                          <w:szCs w:val="18"/>
                        </w:rPr>
                      </w:pPr>
                    </w:p>
                  </w:txbxContent>
                </v:textbox>
                <w10:anchorlock/>
              </v:shape>
            </w:pict>
          </mc:Fallback>
        </mc:AlternateContent>
      </w:r>
    </w:p>
    <w:p w14:paraId="5DF66922" w14:textId="77777777" w:rsidR="00572D1B" w:rsidRDefault="00EB4AF8" w:rsidP="008E69DA">
      <w:pPr>
        <w:jc w:val="both"/>
        <w:rPr>
          <w:rFonts w:ascii="Times New Roman" w:hAnsi="Times New Roman"/>
          <w:noProof/>
          <w:sz w:val="24"/>
          <w:szCs w:val="24"/>
        </w:rPr>
      </w:pPr>
      <w:r>
        <w:rPr>
          <w:rFonts w:ascii="Times New Roman" w:hAnsi="Times New Roman"/>
          <w:noProof/>
          <w:sz w:val="24"/>
          <w:szCs w:val="24"/>
        </w:rPr>
        <w:t xml:space="preserve">The carbon market report allows for the consolidation of supply and demand figures which are published according to the timeline of reporting obligations stemming from the EU ETS Directive and its implementing provisions. </w:t>
      </w:r>
    </w:p>
    <w:p w14:paraId="512C20EE" w14:textId="77777777" w:rsidR="008E69DA" w:rsidRDefault="00EB4AF8" w:rsidP="008E69DA">
      <w:pPr>
        <w:jc w:val="both"/>
        <w:rPr>
          <w:rFonts w:ascii="Times New Roman" w:hAnsi="Times New Roman"/>
          <w:noProof/>
        </w:rPr>
      </w:pPr>
      <w:r>
        <w:rPr>
          <w:rFonts w:ascii="Times New Roman" w:hAnsi="Times New Roman"/>
          <w:noProof/>
          <w:sz w:val="24"/>
          <w:szCs w:val="24"/>
        </w:rPr>
        <w:t>Figure</w:t>
      </w:r>
      <w:r w:rsidR="00DC3851">
        <w:rPr>
          <w:rFonts w:ascii="Times New Roman" w:hAnsi="Times New Roman"/>
          <w:noProof/>
          <w:sz w:val="24"/>
          <w:szCs w:val="24"/>
        </w:rPr>
        <w:t xml:space="preserve"> </w:t>
      </w:r>
      <w:r w:rsidR="00693A53">
        <w:rPr>
          <w:rFonts w:ascii="Times New Roman" w:hAnsi="Times New Roman"/>
          <w:noProof/>
          <w:sz w:val="24"/>
          <w:szCs w:val="24"/>
        </w:rPr>
        <w:t>5</w:t>
      </w:r>
      <w:r w:rsidR="00DC3851">
        <w:rPr>
          <w:rFonts w:ascii="Times New Roman" w:hAnsi="Times New Roman"/>
          <w:noProof/>
          <w:sz w:val="24"/>
          <w:szCs w:val="24"/>
        </w:rPr>
        <w:t xml:space="preserve"> </w:t>
      </w:r>
      <w:r>
        <w:rPr>
          <w:rFonts w:ascii="Times New Roman" w:hAnsi="Times New Roman"/>
          <w:noProof/>
          <w:sz w:val="24"/>
          <w:szCs w:val="24"/>
        </w:rPr>
        <w:t>shows the composition of supply and demand in 2018. The relevant data have also been published as part of the third communication on the total number of allowances in circulation (TNAC) for MSR purposes</w:t>
      </w:r>
      <w:r>
        <w:rPr>
          <w:rFonts w:ascii="Times New Roman" w:hAnsi="Times New Roman"/>
          <w:noProof/>
          <w:sz w:val="24"/>
          <w:szCs w:val="24"/>
          <w:vertAlign w:val="superscript"/>
        </w:rPr>
        <w:footnoteReference w:id="46"/>
      </w:r>
      <w:r>
        <w:rPr>
          <w:rFonts w:ascii="Times New Roman" w:hAnsi="Times New Roman"/>
          <w:noProof/>
        </w:rPr>
        <w:t>.</w:t>
      </w:r>
    </w:p>
    <w:p w14:paraId="24F833AA" w14:textId="77777777" w:rsidR="008E69DA" w:rsidRDefault="008E69DA" w:rsidP="008E69DA">
      <w:pPr>
        <w:jc w:val="both"/>
        <w:rPr>
          <w:rFonts w:ascii="Times New Roman" w:hAnsi="Times New Roman"/>
          <w:noProof/>
        </w:rPr>
      </w:pPr>
    </w:p>
    <w:p w14:paraId="60E2B522" w14:textId="77777777" w:rsidR="005F6BD0" w:rsidRPr="008E69DA" w:rsidRDefault="003A348D" w:rsidP="008E69DA">
      <w:pPr>
        <w:jc w:val="both"/>
        <w:rPr>
          <w:rFonts w:ascii="Times New Roman" w:hAnsi="Times New Roman"/>
          <w:noProof/>
        </w:rPr>
      </w:pPr>
      <w:r w:rsidRPr="002802C4">
        <w:rPr>
          <w:rFonts w:ascii="Times New Roman" w:hAnsi="Times New Roman"/>
          <w:b/>
          <w:noProof/>
        </w:rPr>
        <w:t xml:space="preserve">Figure </w:t>
      </w:r>
      <w:r w:rsidR="00693A53">
        <w:rPr>
          <w:rFonts w:ascii="Times New Roman" w:hAnsi="Times New Roman"/>
          <w:b/>
          <w:noProof/>
        </w:rPr>
        <w:t>5</w:t>
      </w:r>
      <w:r w:rsidRPr="002802C4">
        <w:rPr>
          <w:rFonts w:ascii="Times New Roman" w:hAnsi="Times New Roman"/>
          <w:b/>
          <w:noProof/>
        </w:rPr>
        <w:t>:</w:t>
      </w:r>
      <w:r>
        <w:rPr>
          <w:rFonts w:ascii="Times New Roman" w:hAnsi="Times New Roman"/>
          <w:b/>
          <w:noProof/>
        </w:rPr>
        <w:t xml:space="preserve"> Composition of cumulative supply and demand until the end of 201</w:t>
      </w:r>
      <w:r w:rsidR="00EB4AF8">
        <w:rPr>
          <w:rFonts w:ascii="Times New Roman" w:hAnsi="Times New Roman"/>
          <w:b/>
          <w:noProof/>
        </w:rPr>
        <w:t>8</w:t>
      </w:r>
    </w:p>
    <w:p w14:paraId="744BB1EA" w14:textId="77777777" w:rsidR="005F6BD0" w:rsidRDefault="003A348D">
      <w:pPr>
        <w:rPr>
          <w:noProof/>
          <w:sz w:val="20"/>
          <w:szCs w:val="20"/>
        </w:rPr>
      </w:pPr>
      <w:r>
        <w:rPr>
          <w:rFonts w:ascii="Times New Roman" w:eastAsia="Times New Roman" w:hAnsi="Times New Roman"/>
          <w:b/>
          <w:bCs/>
          <w:noProof/>
          <w:color w:val="000000"/>
          <w:sz w:val="20"/>
          <w:szCs w:val="20"/>
          <w:lang w:eastAsia="en-GB"/>
        </w:rPr>
        <w:t xml:space="preserve">Supply </w:t>
      </w:r>
      <w:r>
        <w:rPr>
          <w:rFonts w:ascii="Times New Roman" w:eastAsia="Times New Roman" w:hAnsi="Times New Roman"/>
          <w:noProof/>
          <w:color w:val="000000"/>
          <w:sz w:val="20"/>
          <w:szCs w:val="20"/>
          <w:lang w:eastAsia="en-GB"/>
        </w:rPr>
        <w:t>(cumulative, millions)</w:t>
      </w:r>
      <w:r>
        <w:rPr>
          <w:rFonts w:ascii="Times New Roman" w:eastAsia="Times New Roman" w:hAnsi="Times New Roman"/>
          <w:noProof/>
          <w:color w:val="000000"/>
          <w:sz w:val="20"/>
          <w:szCs w:val="20"/>
          <w:lang w:eastAsia="en-GB"/>
        </w:rPr>
        <w:tab/>
        <w:t xml:space="preserve">                   </w:t>
      </w:r>
      <w:r>
        <w:rPr>
          <w:rFonts w:ascii="Times New Roman" w:hAnsi="Times New Roman"/>
          <w:b/>
          <w:bCs/>
          <w:noProof/>
          <w:color w:val="000000"/>
          <w:sz w:val="20"/>
          <w:szCs w:val="20"/>
        </w:rPr>
        <w:t xml:space="preserve">Demand </w:t>
      </w:r>
      <w:r>
        <w:rPr>
          <w:rFonts w:ascii="Times New Roman" w:hAnsi="Times New Roman"/>
          <w:noProof/>
          <w:color w:val="000000"/>
          <w:sz w:val="20"/>
          <w:szCs w:val="20"/>
        </w:rPr>
        <w:t>(cumulative, millions)</w:t>
      </w:r>
    </w:p>
    <w:p w14:paraId="16F552AD" w14:textId="77777777" w:rsidR="005F6BD0" w:rsidRDefault="008E69DA" w:rsidP="00276918">
      <w:pPr>
        <w:spacing w:after="0"/>
        <w:rPr>
          <w:noProof/>
        </w:rPr>
      </w:pPr>
      <w:r>
        <w:rPr>
          <w:noProof/>
          <w:lang w:eastAsia="en-GB"/>
        </w:rPr>
        <w:drawing>
          <wp:inline distT="0" distB="0" distL="0" distR="0" wp14:anchorId="09C85C50" wp14:editId="668A1F15">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en-GB"/>
        </w:rPr>
        <w:drawing>
          <wp:inline distT="0" distB="0" distL="0" distR="0" wp14:anchorId="5BD76768" wp14:editId="71A6E781">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716347" w14:textId="77777777" w:rsidR="005F6BD0" w:rsidRPr="00526348" w:rsidRDefault="00526348" w:rsidP="00276918">
      <w:pPr>
        <w:rPr>
          <w:rFonts w:ascii="Times New Roman" w:hAnsi="Times New Roman"/>
          <w:noProof/>
          <w:sz w:val="18"/>
          <w:szCs w:val="18"/>
        </w:rPr>
      </w:pPr>
      <w:r w:rsidRPr="00526348">
        <w:rPr>
          <w:rFonts w:ascii="Times New Roman" w:hAnsi="Times New Roman"/>
          <w:noProof/>
          <w:sz w:val="18"/>
          <w:szCs w:val="18"/>
        </w:rPr>
        <w:t>Source: DG CLIMA</w:t>
      </w:r>
    </w:p>
    <w:tbl>
      <w:tblPr>
        <w:tblW w:w="4051" w:type="dxa"/>
        <w:jc w:val="center"/>
        <w:tblLook w:val="04A0" w:firstRow="1" w:lastRow="0" w:firstColumn="1" w:lastColumn="0" w:noHBand="0" w:noVBand="1"/>
      </w:tblPr>
      <w:tblGrid>
        <w:gridCol w:w="551"/>
        <w:gridCol w:w="3500"/>
      </w:tblGrid>
      <w:tr w:rsidR="005C54C3" w14:paraId="0FD8B42A" w14:textId="77777777" w:rsidTr="008E69DA">
        <w:trPr>
          <w:trHeight w:val="310"/>
          <w:jc w:val="center"/>
        </w:trPr>
        <w:tc>
          <w:tcPr>
            <w:tcW w:w="551" w:type="dxa"/>
            <w:tcBorders>
              <w:top w:val="nil"/>
              <w:left w:val="nil"/>
              <w:bottom w:val="nil"/>
              <w:right w:val="nil"/>
            </w:tcBorders>
            <w:shd w:val="clear" w:color="auto" w:fill="4BACC6" w:themeFill="accent5"/>
            <w:noWrap/>
            <w:vAlign w:val="center"/>
          </w:tcPr>
          <w:p w14:paraId="04FA8FFC" w14:textId="77777777" w:rsidR="005C54C3" w:rsidRDefault="005C54C3" w:rsidP="00276918">
            <w:pPr>
              <w:spacing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1B726D52" w14:textId="77777777" w:rsidR="005C54C3" w:rsidRDefault="005C54C3" w:rsidP="00276918">
            <w:pPr>
              <w:spacing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Auctioning</w:t>
            </w:r>
          </w:p>
        </w:tc>
      </w:tr>
      <w:tr w:rsidR="005C54C3" w14:paraId="08CA4BD6" w14:textId="77777777" w:rsidTr="008E69DA">
        <w:trPr>
          <w:trHeight w:val="310"/>
          <w:jc w:val="center"/>
        </w:trPr>
        <w:tc>
          <w:tcPr>
            <w:tcW w:w="551" w:type="dxa"/>
            <w:tcBorders>
              <w:top w:val="nil"/>
              <w:left w:val="nil"/>
              <w:bottom w:val="nil"/>
              <w:right w:val="nil"/>
            </w:tcBorders>
            <w:shd w:val="clear" w:color="auto" w:fill="C0504D" w:themeFill="accent2"/>
            <w:noWrap/>
            <w:vAlign w:val="center"/>
          </w:tcPr>
          <w:p w14:paraId="07846CC7"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7E4DC6A3"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Free allocation</w:t>
            </w:r>
          </w:p>
        </w:tc>
      </w:tr>
      <w:tr w:rsidR="005C54C3" w14:paraId="3702DC68" w14:textId="77777777" w:rsidTr="008E69DA">
        <w:trPr>
          <w:trHeight w:val="310"/>
          <w:jc w:val="center"/>
        </w:trPr>
        <w:tc>
          <w:tcPr>
            <w:tcW w:w="551" w:type="dxa"/>
            <w:tcBorders>
              <w:top w:val="nil"/>
              <w:left w:val="nil"/>
              <w:bottom w:val="nil"/>
              <w:right w:val="nil"/>
            </w:tcBorders>
            <w:shd w:val="clear" w:color="auto" w:fill="9BBB59" w:themeFill="accent3"/>
            <w:noWrap/>
            <w:vAlign w:val="center"/>
          </w:tcPr>
          <w:p w14:paraId="53CC0484"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54D6297F"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Free allocation (NER)</w:t>
            </w:r>
          </w:p>
        </w:tc>
      </w:tr>
      <w:tr w:rsidR="005C54C3" w14:paraId="7BFE0879" w14:textId="77777777" w:rsidTr="008E69DA">
        <w:trPr>
          <w:trHeight w:val="310"/>
          <w:jc w:val="center"/>
        </w:trPr>
        <w:tc>
          <w:tcPr>
            <w:tcW w:w="551" w:type="dxa"/>
            <w:tcBorders>
              <w:top w:val="nil"/>
              <w:left w:val="nil"/>
              <w:bottom w:val="nil"/>
              <w:right w:val="nil"/>
            </w:tcBorders>
            <w:shd w:val="clear" w:color="auto" w:fill="8064A2" w:themeFill="accent4"/>
            <w:noWrap/>
            <w:vAlign w:val="center"/>
          </w:tcPr>
          <w:p w14:paraId="03CE5182"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1D19A5E5"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Free allocation (10c)</w:t>
            </w:r>
          </w:p>
        </w:tc>
      </w:tr>
      <w:tr w:rsidR="005C54C3" w14:paraId="65D722B4" w14:textId="77777777" w:rsidTr="008E69DA">
        <w:trPr>
          <w:trHeight w:val="310"/>
          <w:jc w:val="center"/>
        </w:trPr>
        <w:tc>
          <w:tcPr>
            <w:tcW w:w="551" w:type="dxa"/>
            <w:tcBorders>
              <w:top w:val="nil"/>
              <w:left w:val="nil"/>
              <w:bottom w:val="nil"/>
              <w:right w:val="nil"/>
            </w:tcBorders>
            <w:shd w:val="clear" w:color="auto" w:fill="1F497D" w:themeFill="text2"/>
            <w:noWrap/>
            <w:vAlign w:val="center"/>
          </w:tcPr>
          <w:p w14:paraId="5B97F255"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6F3881C4"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International credits exchanged</w:t>
            </w:r>
          </w:p>
        </w:tc>
      </w:tr>
      <w:tr w:rsidR="005C54C3" w14:paraId="390B3415" w14:textId="77777777" w:rsidTr="008E69DA">
        <w:trPr>
          <w:trHeight w:val="310"/>
          <w:jc w:val="center"/>
        </w:trPr>
        <w:tc>
          <w:tcPr>
            <w:tcW w:w="551" w:type="dxa"/>
            <w:tcBorders>
              <w:top w:val="nil"/>
              <w:left w:val="nil"/>
              <w:bottom w:val="nil"/>
              <w:right w:val="nil"/>
            </w:tcBorders>
            <w:shd w:val="clear" w:color="auto" w:fill="F79646" w:themeFill="accent6"/>
            <w:noWrap/>
            <w:vAlign w:val="center"/>
          </w:tcPr>
          <w:p w14:paraId="095B3FD1"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0CABE209"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NER 300 monetisation by EIB</w:t>
            </w:r>
          </w:p>
        </w:tc>
      </w:tr>
      <w:tr w:rsidR="005C54C3" w14:paraId="5826F97F" w14:textId="77777777" w:rsidTr="008E69DA">
        <w:trPr>
          <w:trHeight w:val="310"/>
          <w:jc w:val="center"/>
        </w:trPr>
        <w:tc>
          <w:tcPr>
            <w:tcW w:w="551" w:type="dxa"/>
            <w:tcBorders>
              <w:top w:val="nil"/>
              <w:left w:val="nil"/>
              <w:bottom w:val="nil"/>
              <w:right w:val="nil"/>
            </w:tcBorders>
            <w:shd w:val="clear" w:color="auto" w:fill="632423" w:themeFill="accent2" w:themeFillShade="80"/>
            <w:noWrap/>
            <w:vAlign w:val="center"/>
          </w:tcPr>
          <w:p w14:paraId="7DD9E809"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p>
        </w:tc>
        <w:tc>
          <w:tcPr>
            <w:tcW w:w="3500" w:type="dxa"/>
            <w:tcBorders>
              <w:top w:val="nil"/>
              <w:left w:val="nil"/>
              <w:bottom w:val="nil"/>
              <w:right w:val="nil"/>
            </w:tcBorders>
            <w:shd w:val="clear" w:color="000000" w:fill="FFFFFF"/>
            <w:noWrap/>
            <w:vAlign w:val="center"/>
          </w:tcPr>
          <w:p w14:paraId="2BA79C61"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Early auctions</w:t>
            </w:r>
          </w:p>
        </w:tc>
      </w:tr>
      <w:tr w:rsidR="005C54C3" w14:paraId="3A59EC98" w14:textId="77777777" w:rsidTr="008E69DA">
        <w:trPr>
          <w:trHeight w:val="310"/>
          <w:jc w:val="center"/>
        </w:trPr>
        <w:tc>
          <w:tcPr>
            <w:tcW w:w="551" w:type="dxa"/>
            <w:tcBorders>
              <w:top w:val="nil"/>
              <w:left w:val="nil"/>
              <w:bottom w:val="nil"/>
              <w:right w:val="nil"/>
            </w:tcBorders>
            <w:shd w:val="clear" w:color="auto" w:fill="4F81BD" w:themeFill="accent1"/>
            <w:noWrap/>
            <w:vAlign w:val="center"/>
          </w:tcPr>
          <w:p w14:paraId="6A3E692E" w14:textId="77777777" w:rsidR="005C54C3" w:rsidRDefault="005C54C3" w:rsidP="00650F07">
            <w:pPr>
              <w:spacing w:after="0" w:line="240" w:lineRule="auto"/>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 </w:t>
            </w:r>
          </w:p>
        </w:tc>
        <w:tc>
          <w:tcPr>
            <w:tcW w:w="3500" w:type="dxa"/>
            <w:tcBorders>
              <w:top w:val="nil"/>
              <w:left w:val="nil"/>
              <w:bottom w:val="nil"/>
              <w:right w:val="nil"/>
            </w:tcBorders>
            <w:shd w:val="clear" w:color="000000" w:fill="FFFFFF"/>
            <w:noWrap/>
            <w:vAlign w:val="center"/>
          </w:tcPr>
          <w:p w14:paraId="77560710" w14:textId="77777777" w:rsidR="005C54C3" w:rsidRDefault="005C54C3" w:rsidP="00650F07">
            <w:pPr>
              <w:spacing w:after="0" w:line="240" w:lineRule="auto"/>
              <w:rPr>
                <w:rFonts w:ascii="Times New Roman" w:eastAsia="Times New Roman" w:hAnsi="Times New Roman"/>
                <w:noProof/>
                <w:color w:val="000000"/>
                <w:sz w:val="20"/>
                <w:szCs w:val="20"/>
                <w:lang w:eastAsia="en-GB"/>
              </w:rPr>
            </w:pPr>
            <w:r>
              <w:rPr>
                <w:rFonts w:ascii="Times New Roman" w:eastAsia="Times New Roman" w:hAnsi="Times New Roman"/>
                <w:noProof/>
                <w:color w:val="000000"/>
                <w:sz w:val="20"/>
                <w:szCs w:val="20"/>
                <w:lang w:eastAsia="en-GB"/>
              </w:rPr>
              <w:t>Banking</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rsidR="005C54C3" w:rsidRPr="005C54C3" w14:paraId="51EF94B7" w14:textId="77777777" w:rsidTr="00650F07">
        <w:trPr>
          <w:trHeight w:val="342"/>
        </w:trPr>
        <w:tc>
          <w:tcPr>
            <w:tcW w:w="460" w:type="dxa"/>
            <w:tcBorders>
              <w:top w:val="nil"/>
              <w:left w:val="nil"/>
              <w:bottom w:val="nil"/>
              <w:right w:val="nil"/>
            </w:tcBorders>
            <w:shd w:val="clear" w:color="auto" w:fill="3374C3"/>
            <w:noWrap/>
            <w:vAlign w:val="center"/>
            <w:hideMark/>
          </w:tcPr>
          <w:p w14:paraId="26D65FC2" w14:textId="77777777" w:rsidR="005C54C3" w:rsidRPr="005C54C3" w:rsidRDefault="005C54C3" w:rsidP="005C54C3">
            <w:pPr>
              <w:spacing w:after="0" w:line="240" w:lineRule="auto"/>
              <w:rPr>
                <w:rFonts w:ascii="Times New Roman" w:eastAsia="Times New Roman" w:hAnsi="Times New Roman"/>
                <w:noProof/>
                <w:color w:val="000000"/>
                <w:sz w:val="24"/>
                <w:szCs w:val="24"/>
                <w:lang w:eastAsia="en-GB"/>
              </w:rPr>
            </w:pPr>
            <w:r w:rsidRPr="005C54C3">
              <w:rPr>
                <w:rFonts w:ascii="Times New Roman" w:eastAsia="Times New Roman" w:hAnsi="Times New Roman"/>
                <w:noProof/>
                <w:color w:val="000000"/>
                <w:sz w:val="24"/>
                <w:szCs w:val="24"/>
                <w:lang w:eastAsia="en-GB"/>
              </w:rPr>
              <w:t> </w:t>
            </w:r>
          </w:p>
        </w:tc>
        <w:tc>
          <w:tcPr>
            <w:tcW w:w="2920" w:type="dxa"/>
            <w:tcBorders>
              <w:top w:val="nil"/>
              <w:left w:val="nil"/>
              <w:bottom w:val="nil"/>
              <w:right w:val="nil"/>
            </w:tcBorders>
            <w:shd w:val="clear" w:color="000000" w:fill="FFFFFF"/>
            <w:noWrap/>
            <w:vAlign w:val="center"/>
            <w:hideMark/>
          </w:tcPr>
          <w:p w14:paraId="09245578" w14:textId="77777777" w:rsidR="005C54C3" w:rsidRPr="005C54C3" w:rsidRDefault="005C54C3" w:rsidP="005C54C3">
            <w:pPr>
              <w:spacing w:after="0" w:line="240" w:lineRule="auto"/>
              <w:rPr>
                <w:rFonts w:ascii="Times New Roman" w:eastAsia="Times New Roman" w:hAnsi="Times New Roman"/>
                <w:noProof/>
                <w:color w:val="000000"/>
                <w:sz w:val="20"/>
                <w:szCs w:val="20"/>
                <w:lang w:eastAsia="en-GB"/>
              </w:rPr>
            </w:pPr>
            <w:r w:rsidRPr="005C54C3">
              <w:rPr>
                <w:rFonts w:ascii="Times New Roman" w:eastAsia="Times New Roman" w:hAnsi="Times New Roman"/>
                <w:noProof/>
                <w:color w:val="000000"/>
                <w:sz w:val="20"/>
                <w:szCs w:val="20"/>
                <w:lang w:eastAsia="en-GB"/>
              </w:rPr>
              <w:t>Verified emissions</w:t>
            </w:r>
          </w:p>
        </w:tc>
      </w:tr>
      <w:tr w:rsidR="005C54C3" w:rsidRPr="005C54C3" w14:paraId="7BBA8898" w14:textId="77777777" w:rsidTr="005C54C3">
        <w:trPr>
          <w:trHeight w:val="342"/>
        </w:trPr>
        <w:tc>
          <w:tcPr>
            <w:tcW w:w="460" w:type="dxa"/>
            <w:tcBorders>
              <w:top w:val="nil"/>
              <w:left w:val="nil"/>
              <w:bottom w:val="nil"/>
              <w:right w:val="nil"/>
            </w:tcBorders>
            <w:shd w:val="clear" w:color="auto" w:fill="C2D69B"/>
            <w:noWrap/>
            <w:vAlign w:val="center"/>
            <w:hideMark/>
          </w:tcPr>
          <w:p w14:paraId="6F290C31" w14:textId="77777777" w:rsidR="005C54C3" w:rsidRPr="005C54C3" w:rsidRDefault="005C54C3" w:rsidP="005C54C3">
            <w:pPr>
              <w:spacing w:after="0" w:line="240" w:lineRule="auto"/>
              <w:rPr>
                <w:rFonts w:ascii="Times New Roman" w:eastAsia="Times New Roman" w:hAnsi="Times New Roman"/>
                <w:noProof/>
                <w:color w:val="000000"/>
                <w:sz w:val="24"/>
                <w:szCs w:val="24"/>
                <w:lang w:eastAsia="en-GB"/>
              </w:rPr>
            </w:pPr>
            <w:r w:rsidRPr="005C54C3">
              <w:rPr>
                <w:rFonts w:ascii="Times New Roman" w:eastAsia="Times New Roman" w:hAnsi="Times New Roman"/>
                <w:noProof/>
                <w:color w:val="000000"/>
                <w:sz w:val="24"/>
                <w:szCs w:val="24"/>
                <w:lang w:eastAsia="en-GB"/>
              </w:rPr>
              <w:t> </w:t>
            </w:r>
          </w:p>
        </w:tc>
        <w:tc>
          <w:tcPr>
            <w:tcW w:w="2920" w:type="dxa"/>
            <w:tcBorders>
              <w:top w:val="nil"/>
              <w:left w:val="nil"/>
              <w:bottom w:val="nil"/>
              <w:right w:val="nil"/>
            </w:tcBorders>
            <w:shd w:val="clear" w:color="000000" w:fill="FFFFFF"/>
            <w:noWrap/>
            <w:vAlign w:val="center"/>
            <w:hideMark/>
          </w:tcPr>
          <w:p w14:paraId="14C59A3B" w14:textId="77777777" w:rsidR="005C54C3" w:rsidRPr="005C54C3" w:rsidRDefault="005C54C3" w:rsidP="005C54C3">
            <w:pPr>
              <w:spacing w:after="0" w:line="240" w:lineRule="auto"/>
              <w:rPr>
                <w:rFonts w:ascii="Times New Roman" w:eastAsia="Times New Roman" w:hAnsi="Times New Roman"/>
                <w:noProof/>
                <w:color w:val="000000"/>
                <w:sz w:val="20"/>
                <w:szCs w:val="20"/>
                <w:lang w:eastAsia="en-GB"/>
              </w:rPr>
            </w:pPr>
            <w:r w:rsidRPr="005C54C3">
              <w:rPr>
                <w:rFonts w:ascii="Times New Roman" w:eastAsia="Times New Roman" w:hAnsi="Times New Roman"/>
                <w:noProof/>
                <w:color w:val="000000"/>
                <w:sz w:val="20"/>
                <w:szCs w:val="20"/>
                <w:lang w:eastAsia="en-GB"/>
              </w:rPr>
              <w:t>Cancellations</w:t>
            </w:r>
          </w:p>
        </w:tc>
      </w:tr>
    </w:tbl>
    <w:p w14:paraId="3E173424" w14:textId="77777777" w:rsidR="005C54C3" w:rsidRDefault="005C54C3">
      <w:pPr>
        <w:jc w:val="both"/>
        <w:rPr>
          <w:rFonts w:ascii="Times New Roman" w:hAnsi="Times New Roman"/>
          <w:noProof/>
          <w:sz w:val="24"/>
          <w:szCs w:val="24"/>
        </w:rPr>
      </w:pPr>
    </w:p>
    <w:p w14:paraId="1B382BE9" w14:textId="77777777" w:rsidR="00926127" w:rsidRPr="004724FA" w:rsidRDefault="00926127" w:rsidP="00926127">
      <w:pPr>
        <w:jc w:val="both"/>
        <w:rPr>
          <w:rFonts w:ascii="Times New Roman" w:hAnsi="Times New Roman"/>
          <w:noProof/>
          <w:sz w:val="24"/>
          <w:szCs w:val="24"/>
        </w:rPr>
      </w:pPr>
      <w:r w:rsidRPr="00926127">
        <w:rPr>
          <w:rFonts w:ascii="Times New Roman" w:hAnsi="Times New Roman"/>
          <w:noProof/>
          <w:sz w:val="24"/>
          <w:szCs w:val="24"/>
        </w:rPr>
        <w:t>In preparation for the MSR becoming operational in 2019, the Commission has regularly published as from mid-May 2017</w:t>
      </w:r>
      <w:r w:rsidRPr="00926127">
        <w:rPr>
          <w:rFonts w:ascii="Times New Roman" w:hAnsi="Times New Roman"/>
          <w:noProof/>
          <w:sz w:val="24"/>
          <w:szCs w:val="24"/>
          <w:vertAlign w:val="superscript"/>
        </w:rPr>
        <w:footnoteReference w:id="47"/>
      </w:r>
      <w:r w:rsidRPr="00926127">
        <w:rPr>
          <w:rFonts w:ascii="Times New Roman" w:hAnsi="Times New Roman"/>
          <w:noProof/>
          <w:sz w:val="24"/>
          <w:szCs w:val="24"/>
        </w:rPr>
        <w:t xml:space="preserve"> the TNAC for the preceding year. In May 2019, the TNAC was published for the third time</w:t>
      </w:r>
      <w:r w:rsidRPr="004952C2">
        <w:rPr>
          <w:rFonts w:ascii="Times New Roman" w:hAnsi="Times New Roman"/>
          <w:noProof/>
          <w:sz w:val="24"/>
          <w:szCs w:val="24"/>
        </w:rPr>
        <w:t xml:space="preserve">, corresponding to </w:t>
      </w:r>
      <w:r w:rsidRPr="00A324A5">
        <w:rPr>
          <w:rFonts w:ascii="Times New Roman" w:hAnsi="Times New Roman"/>
          <w:sz w:val="24"/>
          <w:szCs w:val="24"/>
        </w:rPr>
        <w:t>1</w:t>
      </w:r>
      <w:r w:rsidRPr="004952C2">
        <w:rPr>
          <w:rFonts w:ascii="Times New Roman" w:hAnsi="Times New Roman"/>
          <w:noProof/>
          <w:sz w:val="24"/>
          <w:szCs w:val="24"/>
        </w:rPr>
        <w:t xml:space="preserve"> 654 909 824 allowances</w:t>
      </w:r>
      <w:r w:rsidRPr="00926127">
        <w:rPr>
          <w:rFonts w:ascii="Times New Roman" w:hAnsi="Times New Roman"/>
          <w:noProof/>
          <w:sz w:val="24"/>
          <w:szCs w:val="24"/>
          <w:vertAlign w:val="superscript"/>
        </w:rPr>
        <w:footnoteReference w:id="48"/>
      </w:r>
      <w:r w:rsidRPr="00926127">
        <w:rPr>
          <w:rFonts w:ascii="Times New Roman" w:hAnsi="Times New Roman"/>
          <w:noProof/>
          <w:sz w:val="24"/>
          <w:szCs w:val="24"/>
        </w:rPr>
        <w:t>. The 2019 publication lead</w:t>
      </w:r>
      <w:r w:rsidR="00E162AE">
        <w:rPr>
          <w:rFonts w:ascii="Times New Roman" w:hAnsi="Times New Roman"/>
          <w:noProof/>
          <w:sz w:val="24"/>
          <w:szCs w:val="24"/>
        </w:rPr>
        <w:t>s</w:t>
      </w:r>
      <w:r w:rsidRPr="00926127">
        <w:rPr>
          <w:rFonts w:ascii="Times New Roman" w:hAnsi="Times New Roman"/>
          <w:noProof/>
          <w:sz w:val="24"/>
          <w:szCs w:val="24"/>
        </w:rPr>
        <w:t xml:space="preserve"> to the</w:t>
      </w:r>
      <w:r w:rsidR="00482F44">
        <w:rPr>
          <w:rFonts w:ascii="Times New Roman" w:hAnsi="Times New Roman"/>
          <w:noProof/>
          <w:sz w:val="24"/>
          <w:szCs w:val="24"/>
        </w:rPr>
        <w:t xml:space="preserve"> continued</w:t>
      </w:r>
      <w:r w:rsidRPr="00926127">
        <w:rPr>
          <w:rFonts w:ascii="Times New Roman" w:hAnsi="Times New Roman"/>
          <w:noProof/>
          <w:sz w:val="24"/>
          <w:szCs w:val="24"/>
        </w:rPr>
        <w:t xml:space="preserve"> placement of allowances in the MSR, reducing the auction </w:t>
      </w:r>
      <w:r w:rsidRPr="00516F65">
        <w:rPr>
          <w:rFonts w:ascii="Times New Roman" w:hAnsi="Times New Roman"/>
          <w:noProof/>
          <w:sz w:val="24"/>
          <w:szCs w:val="24"/>
        </w:rPr>
        <w:t>volume</w:t>
      </w:r>
      <w:r w:rsidR="001F0457" w:rsidRPr="00516F65">
        <w:rPr>
          <w:rFonts w:ascii="Times New Roman" w:hAnsi="Times New Roman"/>
          <w:noProof/>
          <w:sz w:val="24"/>
          <w:szCs w:val="24"/>
        </w:rPr>
        <w:t>s in 2019 and 2020</w:t>
      </w:r>
      <w:r w:rsidRPr="00516F65">
        <w:rPr>
          <w:rFonts w:ascii="Times New Roman" w:hAnsi="Times New Roman"/>
          <w:noProof/>
          <w:sz w:val="24"/>
          <w:szCs w:val="24"/>
        </w:rPr>
        <w:t>.</w:t>
      </w:r>
    </w:p>
    <w:p w14:paraId="54F95386" w14:textId="77777777" w:rsidR="00FB4235" w:rsidRPr="00FB4235" w:rsidRDefault="00926127" w:rsidP="00FB4235">
      <w:pPr>
        <w:jc w:val="both"/>
        <w:rPr>
          <w:rFonts w:ascii="Times New Roman" w:hAnsi="Times New Roman"/>
          <w:noProof/>
          <w:sz w:val="24"/>
          <w:szCs w:val="24"/>
        </w:rPr>
      </w:pPr>
      <w:r w:rsidRPr="00171CDC">
        <w:rPr>
          <w:rFonts w:ascii="Times New Roman" w:hAnsi="Times New Roman"/>
          <w:noProof/>
          <w:sz w:val="24"/>
          <w:szCs w:val="24"/>
        </w:rPr>
        <w:t xml:space="preserve">Thus, </w:t>
      </w:r>
      <w:r w:rsidRPr="003F30A8">
        <w:rPr>
          <w:rFonts w:ascii="Times New Roman" w:hAnsi="Times New Roman"/>
          <w:noProof/>
          <w:sz w:val="24"/>
          <w:szCs w:val="24"/>
        </w:rPr>
        <w:t>on the basis of the 201</w:t>
      </w:r>
      <w:r w:rsidR="00FB4235" w:rsidRPr="003F30A8">
        <w:rPr>
          <w:rFonts w:ascii="Times New Roman" w:hAnsi="Times New Roman"/>
          <w:noProof/>
          <w:sz w:val="24"/>
          <w:szCs w:val="24"/>
        </w:rPr>
        <w:t xml:space="preserve">7 and 2018 </w:t>
      </w:r>
      <w:r w:rsidRPr="003F30A8">
        <w:rPr>
          <w:rFonts w:ascii="Times New Roman" w:hAnsi="Times New Roman"/>
          <w:noProof/>
          <w:sz w:val="24"/>
          <w:szCs w:val="24"/>
        </w:rPr>
        <w:t xml:space="preserve">TNAC and the revised legislation, the auction volumes </w:t>
      </w:r>
      <w:r w:rsidR="00FB4235" w:rsidRPr="003F30A8">
        <w:rPr>
          <w:rFonts w:ascii="Times New Roman" w:hAnsi="Times New Roman"/>
          <w:noProof/>
          <w:sz w:val="24"/>
          <w:szCs w:val="24"/>
        </w:rPr>
        <w:t xml:space="preserve">in </w:t>
      </w:r>
      <w:r w:rsidRPr="003F30A8">
        <w:rPr>
          <w:rFonts w:ascii="Times New Roman" w:hAnsi="Times New Roman"/>
          <w:noProof/>
          <w:sz w:val="24"/>
          <w:szCs w:val="24"/>
        </w:rPr>
        <w:t>2019</w:t>
      </w:r>
      <w:r w:rsidR="00FB4235" w:rsidRPr="003F30A8">
        <w:rPr>
          <w:rFonts w:ascii="Times New Roman" w:hAnsi="Times New Roman"/>
          <w:noProof/>
          <w:sz w:val="24"/>
          <w:szCs w:val="24"/>
        </w:rPr>
        <w:t xml:space="preserve"> were</w:t>
      </w:r>
      <w:r w:rsidRPr="003F30A8">
        <w:rPr>
          <w:rFonts w:ascii="Times New Roman" w:hAnsi="Times New Roman"/>
          <w:noProof/>
          <w:sz w:val="24"/>
          <w:szCs w:val="24"/>
        </w:rPr>
        <w:t xml:space="preserve"> reduced by </w:t>
      </w:r>
      <w:r w:rsidR="00155185" w:rsidRPr="003F30A8">
        <w:rPr>
          <w:rFonts w:ascii="Times New Roman" w:hAnsi="Times New Roman"/>
          <w:noProof/>
          <w:sz w:val="24"/>
          <w:szCs w:val="24"/>
        </w:rPr>
        <w:t xml:space="preserve">nearly 40%, or </w:t>
      </w:r>
      <w:r w:rsidRPr="003F30A8">
        <w:rPr>
          <w:rFonts w:ascii="Times New Roman" w:hAnsi="Times New Roman"/>
          <w:noProof/>
          <w:sz w:val="24"/>
          <w:szCs w:val="24"/>
        </w:rPr>
        <w:t>close to 397</w:t>
      </w:r>
      <w:r w:rsidRPr="00171CDC">
        <w:rPr>
          <w:rFonts w:ascii="Times New Roman" w:hAnsi="Times New Roman"/>
          <w:noProof/>
          <w:sz w:val="24"/>
          <w:szCs w:val="24"/>
        </w:rPr>
        <w:t xml:space="preserve"> million</w:t>
      </w:r>
      <w:r w:rsidRPr="00516F65">
        <w:rPr>
          <w:rFonts w:ascii="Times New Roman" w:hAnsi="Times New Roman"/>
          <w:noProof/>
          <w:sz w:val="24"/>
          <w:szCs w:val="24"/>
        </w:rPr>
        <w:t xml:space="preserve"> allowances</w:t>
      </w:r>
      <w:r w:rsidR="00FB4235" w:rsidRPr="00516F65">
        <w:rPr>
          <w:rFonts w:ascii="Times New Roman" w:hAnsi="Times New Roman"/>
          <w:noProof/>
          <w:sz w:val="24"/>
          <w:szCs w:val="24"/>
        </w:rPr>
        <w:t>. Auction volumes in 2020 will also be reduced in a corresponding manner.</w:t>
      </w:r>
      <w:r w:rsidR="00FB4235" w:rsidRPr="00516F65">
        <w:rPr>
          <w:rFonts w:ascii="Times New Roman" w:hAnsi="Times New Roman"/>
          <w:noProof/>
          <w:sz w:val="24"/>
          <w:szCs w:val="24"/>
          <w:vertAlign w:val="superscript"/>
        </w:rPr>
        <w:footnoteReference w:id="49"/>
      </w:r>
      <w:r w:rsidR="00FB4235" w:rsidRPr="00516F65">
        <w:rPr>
          <w:rFonts w:ascii="Times New Roman" w:hAnsi="Times New Roman"/>
          <w:noProof/>
          <w:sz w:val="24"/>
          <w:szCs w:val="24"/>
        </w:rPr>
        <w:t xml:space="preserve"> As a </w:t>
      </w:r>
      <w:r w:rsidR="00FB4235" w:rsidRPr="00171CDC">
        <w:rPr>
          <w:rFonts w:ascii="Times New Roman" w:hAnsi="Times New Roman"/>
          <w:noProof/>
          <w:sz w:val="24"/>
          <w:szCs w:val="24"/>
        </w:rPr>
        <w:t xml:space="preserve">result, some </w:t>
      </w:r>
      <w:r w:rsidR="00FB4235" w:rsidRPr="003F30A8">
        <w:rPr>
          <w:rFonts w:ascii="Times New Roman" w:hAnsi="Times New Roman"/>
          <w:noProof/>
          <w:sz w:val="24"/>
          <w:szCs w:val="24"/>
        </w:rPr>
        <w:t>30%</w:t>
      </w:r>
      <w:r w:rsidR="00FB4235" w:rsidRPr="00171CDC">
        <w:rPr>
          <w:rFonts w:ascii="Times New Roman" w:hAnsi="Times New Roman"/>
          <w:noProof/>
          <w:sz w:val="24"/>
          <w:szCs w:val="24"/>
          <w:vertAlign w:val="superscript"/>
        </w:rPr>
        <w:footnoteReference w:id="50"/>
      </w:r>
      <w:r w:rsidR="00FB4235" w:rsidRPr="00516F65">
        <w:rPr>
          <w:rFonts w:ascii="Times New Roman" w:hAnsi="Times New Roman"/>
          <w:noProof/>
          <w:sz w:val="24"/>
          <w:szCs w:val="24"/>
        </w:rPr>
        <w:t xml:space="preserve"> fewer allowances</w:t>
      </w:r>
      <w:r w:rsidR="00FB4235" w:rsidRPr="00516F65">
        <w:rPr>
          <w:rFonts w:ascii="Times New Roman" w:hAnsi="Times New Roman"/>
          <w:noProof/>
          <w:sz w:val="24"/>
          <w:szCs w:val="24"/>
          <w:vertAlign w:val="superscript"/>
        </w:rPr>
        <w:footnoteReference w:id="51"/>
      </w:r>
      <w:r w:rsidR="00FB4235" w:rsidRPr="00516F65">
        <w:rPr>
          <w:rFonts w:ascii="Times New Roman" w:hAnsi="Times New Roman"/>
          <w:noProof/>
          <w:sz w:val="24"/>
          <w:szCs w:val="24"/>
        </w:rPr>
        <w:t xml:space="preserve"> will be auctioned in 2019 than in 2018. Appendix </w:t>
      </w:r>
      <w:r w:rsidR="00626D3C">
        <w:rPr>
          <w:rFonts w:ascii="Times New Roman" w:hAnsi="Times New Roman"/>
          <w:noProof/>
          <w:sz w:val="24"/>
          <w:szCs w:val="24"/>
        </w:rPr>
        <w:t>8</w:t>
      </w:r>
      <w:r w:rsidR="00FB4235" w:rsidRPr="00516F65">
        <w:rPr>
          <w:rFonts w:ascii="Times New Roman" w:hAnsi="Times New Roman"/>
          <w:noProof/>
          <w:sz w:val="24"/>
          <w:szCs w:val="24"/>
        </w:rPr>
        <w:t xml:space="preserve"> provides information on the contributions by Member State to the MSR for the whole of 2019, and from January to August 2020.</w:t>
      </w:r>
    </w:p>
    <w:p w14:paraId="7C061943" w14:textId="77777777" w:rsidR="005F6BD0" w:rsidRDefault="00A52F4C">
      <w:pPr>
        <w:pStyle w:val="Heading1"/>
        <w:spacing w:before="0" w:after="200"/>
        <w:rPr>
          <w:noProof/>
        </w:rPr>
      </w:pPr>
      <w:bookmarkStart w:id="48" w:name="_Toc490850434"/>
      <w:bookmarkStart w:id="49" w:name="_Toc519009685"/>
      <w:bookmarkStart w:id="50" w:name="_Toc20217738"/>
      <w:r>
        <w:rPr>
          <w:noProof/>
        </w:rPr>
        <w:t>4</w:t>
      </w:r>
      <w:r w:rsidR="003A348D">
        <w:rPr>
          <w:noProof/>
        </w:rPr>
        <w:t>. AVIATION</w:t>
      </w:r>
      <w:bookmarkEnd w:id="48"/>
      <w:bookmarkEnd w:id="49"/>
      <w:bookmarkEnd w:id="50"/>
    </w:p>
    <w:p w14:paraId="11041A86" w14:textId="77777777" w:rsidR="005F6BD0" w:rsidRDefault="003A348D">
      <w:pPr>
        <w:jc w:val="both"/>
        <w:rPr>
          <w:noProof/>
        </w:rPr>
      </w:pPr>
      <w:r>
        <w:rPr>
          <w:noProof/>
          <w:lang w:eastAsia="en-GB"/>
        </w:rPr>
        <mc:AlternateContent>
          <mc:Choice Requires="wps">
            <w:drawing>
              <wp:inline distT="0" distB="0" distL="0" distR="0" wp14:anchorId="2B0C4131" wp14:editId="102DBC10">
                <wp:extent cx="5727802" cy="3456709"/>
                <wp:effectExtent l="0" t="0" r="25400" b="1079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456709"/>
                        </a:xfrm>
                        <a:prstGeom prst="rect">
                          <a:avLst/>
                        </a:prstGeom>
                        <a:solidFill>
                          <a:sysClr val="window" lastClr="FFFFFF">
                            <a:lumMod val="85000"/>
                          </a:sysClr>
                        </a:solidFill>
                        <a:ln w="12700">
                          <a:solidFill>
                            <a:srgbClr val="000000"/>
                          </a:solidFill>
                          <a:miter lim="800000"/>
                          <a:headEnd/>
                          <a:tailEnd/>
                        </a:ln>
                      </wps:spPr>
                      <wps:txbx>
                        <w:txbxContent>
                          <w:p w14:paraId="02F97212" w14:textId="77777777" w:rsidR="00516F65" w:rsidRDefault="00516F65">
                            <w:pPr>
                              <w:jc w:val="both"/>
                              <w:rPr>
                                <w:rFonts w:ascii="Times New Roman" w:hAnsi="Times New Roman"/>
                                <w:sz w:val="24"/>
                                <w:szCs w:val="24"/>
                              </w:rPr>
                            </w:pPr>
                            <w:r>
                              <w:rPr>
                                <w:rFonts w:ascii="Times New Roman" w:hAnsi="Times New Roman"/>
                                <w:sz w:val="24"/>
                                <w:szCs w:val="24"/>
                              </w:rPr>
                              <w:t xml:space="preserve">The aviation sector has been part of the EU ETS since 2012. The original legislation covered all flights in and out of the European Economic Area (EEA). However, the EU limited the obligations for 2012-2016 to flights within the EEA, in order to support the development of a global measure by the International Civil Aviation Organisation (ICAO) for reducing aviation emissions. </w:t>
                            </w:r>
                          </w:p>
                          <w:p w14:paraId="3699CA8C" w14:textId="4B7AEBF3" w:rsidR="00516F65" w:rsidRDefault="00516F65">
                            <w:pPr>
                              <w:jc w:val="both"/>
                              <w:rPr>
                                <w:rFonts w:ascii="Times New Roman" w:hAnsi="Times New Roman"/>
                                <w:sz w:val="24"/>
                                <w:szCs w:val="24"/>
                              </w:rPr>
                            </w:pPr>
                            <w:r>
                              <w:rPr>
                                <w:rFonts w:ascii="Times New Roman" w:hAnsi="Times New Roman"/>
                                <w:sz w:val="24"/>
                                <w:szCs w:val="24"/>
                              </w:rPr>
                              <w:t>In October 2016, the ICAO Assembly agreed on a resolution on the Carbon Offsetting and Reduction Scheme for International Aviation (CORSIA)</w:t>
                            </w:r>
                            <w:r w:rsidR="009D1D9B">
                              <w:rPr>
                                <w:rFonts w:ascii="Times New Roman" w:hAnsi="Times New Roman"/>
                                <w:sz w:val="24"/>
                                <w:szCs w:val="24"/>
                              </w:rPr>
                              <w:t>.</w:t>
                            </w:r>
                            <w:r>
                              <w:rPr>
                                <w:rFonts w:ascii="Times New Roman" w:hAnsi="Times New Roman"/>
                                <w:sz w:val="24"/>
                                <w:szCs w:val="24"/>
                              </w:rPr>
                              <w:t xml:space="preserve"> CORSIA is conceived as a carbon offsetting scheme with the objective of stabilising emissions from international aviation at 2020 levels. In light of this outcome, the EU ETS Directive was amended in 2017 to prolong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until 31 December 2023.</w:t>
                            </w:r>
                            <w:r w:rsidRPr="008E69DA">
                              <w:t xml:space="preserve"> </w:t>
                            </w:r>
                            <w:r w:rsidRPr="008E69DA">
                              <w:rPr>
                                <w:rFonts w:ascii="Times New Roman" w:hAnsi="Times New Roman"/>
                                <w:sz w:val="24"/>
                                <w:szCs w:val="24"/>
                              </w:rPr>
                              <w:t xml:space="preserve">After that, in the absence of a </w:t>
                            </w:r>
                            <w:r>
                              <w:rPr>
                                <w:rFonts w:ascii="Times New Roman" w:hAnsi="Times New Roman"/>
                                <w:sz w:val="24"/>
                                <w:szCs w:val="24"/>
                              </w:rPr>
                              <w:t xml:space="preserve">review, </w:t>
                            </w:r>
                            <w:r w:rsidRPr="008E69DA">
                              <w:rPr>
                                <w:rFonts w:ascii="Times New Roman" w:hAnsi="Times New Roman"/>
                                <w:sz w:val="24"/>
                                <w:szCs w:val="24"/>
                              </w:rPr>
                              <w:t>the original full scope</w:t>
                            </w:r>
                            <w:r>
                              <w:rPr>
                                <w:rFonts w:ascii="Times New Roman" w:hAnsi="Times New Roman"/>
                                <w:sz w:val="24"/>
                                <w:szCs w:val="24"/>
                              </w:rPr>
                              <w:t xml:space="preserve"> would be restored</w:t>
                            </w:r>
                            <w:r w:rsidRPr="008E69DA">
                              <w:rPr>
                                <w:rFonts w:ascii="Times New Roman" w:hAnsi="Times New Roman"/>
                                <w:sz w:val="24"/>
                                <w:szCs w:val="24"/>
                              </w:rPr>
                              <w:t xml:space="preserve">.  </w:t>
                            </w:r>
                          </w:p>
                          <w:p w14:paraId="44FC2491" w14:textId="77777777" w:rsidR="00516F65" w:rsidRPr="004B4F5B" w:rsidRDefault="00516F65" w:rsidP="004B4F5B">
                            <w:pPr>
                              <w:jc w:val="both"/>
                              <w:rPr>
                                <w:rFonts w:ascii="Times New Roman" w:hAnsi="Times New Roman"/>
                                <w:sz w:val="24"/>
                                <w:szCs w:val="24"/>
                              </w:rPr>
                            </w:pPr>
                            <w:r w:rsidRPr="004B4F5B">
                              <w:rPr>
                                <w:rFonts w:ascii="Times New Roman" w:hAnsi="Times New Roman"/>
                                <w:sz w:val="24"/>
                                <w:szCs w:val="24"/>
                              </w:rPr>
                              <w:t xml:space="preserve">The revised EU ETS Directive foresees that the European Commission should report to the European Parliament and the Council on ways to implement CORSIA in EU law through a revision of the Directive. It also provides for the application of the linear reduction factor to aviation as from 2021.  </w:t>
                            </w:r>
                          </w:p>
                          <w:p w14:paraId="1813B900" w14:textId="77777777" w:rsidR="00516F65" w:rsidRDefault="00516F65">
                            <w:pPr>
                              <w:jc w:val="both"/>
                              <w:rPr>
                                <w:rFonts w:ascii="Times New Roman" w:hAnsi="Times New Roman"/>
                                <w:sz w:val="24"/>
                                <w:szCs w:val="24"/>
                              </w:rPr>
                            </w:pPr>
                          </w:p>
                          <w:p w14:paraId="47AD052C" w14:textId="77777777" w:rsidR="00516F65" w:rsidRDefault="00516F65">
                            <w:pPr>
                              <w:jc w:val="both"/>
                            </w:pPr>
                          </w:p>
                        </w:txbxContent>
                      </wps:txbx>
                      <wps:bodyPr rot="0" vert="horz" wrap="square" lIns="91440" tIns="45720" rIns="91440" bIns="45720" anchor="t" anchorCtr="0">
                        <a:noAutofit/>
                      </wps:bodyPr>
                    </wps:wsp>
                  </a:graphicData>
                </a:graphic>
              </wp:inline>
            </w:drawing>
          </mc:Choice>
          <mc:Fallback>
            <w:pict>
              <v:shape w14:anchorId="2B0C4131" id="_x0000_s1037" type="#_x0000_t202" style="width:451pt;height:2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" fillcolor="#d9d9d9" strokeweight="1pt">
                <v:textbox>
                  <w:txbxContent>
                    <w:p w14:paraId="02F97212" w14:textId="77777777" w:rsidR="00516F65" w:rsidRDefault="00516F65">
                      <w:pPr>
                        <w:jc w:val="both"/>
                        <w:rPr>
                          <w:rFonts w:ascii="Times New Roman" w:hAnsi="Times New Roman"/>
                          <w:sz w:val="24"/>
                          <w:szCs w:val="24"/>
                        </w:rPr>
                      </w:pPr>
                      <w:r>
                        <w:rPr>
                          <w:rFonts w:ascii="Times New Roman" w:hAnsi="Times New Roman"/>
                          <w:sz w:val="24"/>
                          <w:szCs w:val="24"/>
                        </w:rPr>
                        <w:t xml:space="preserve">The aviation sector has been part of the EU ETS since 2012. The original legislation covered all flights in and out of the European Economic Area (EEA). However, the EU limited the obligations for 2012-2016 to flights within the EEA, in order to support the development of a global measure by the International Civil Aviation Organisation (ICAO) for reducing aviation emissions. </w:t>
                      </w:r>
                    </w:p>
                    <w:p w14:paraId="3699CA8C" w14:textId="4B7AEBF3" w:rsidR="00516F65" w:rsidRDefault="00516F65">
                      <w:pPr>
                        <w:jc w:val="both"/>
                        <w:rPr>
                          <w:rFonts w:ascii="Times New Roman" w:hAnsi="Times New Roman"/>
                          <w:sz w:val="24"/>
                          <w:szCs w:val="24"/>
                        </w:rPr>
                      </w:pPr>
                      <w:r>
                        <w:rPr>
                          <w:rFonts w:ascii="Times New Roman" w:hAnsi="Times New Roman"/>
                          <w:sz w:val="24"/>
                          <w:szCs w:val="24"/>
                        </w:rPr>
                        <w:t>In October 2016, the ICAO Assembly agreed on a resolution on the Carbon Offsetting and Reduction Scheme for International Aviation (CORSIA)</w:t>
                      </w:r>
                      <w:r w:rsidR="009D1D9B">
                        <w:rPr>
                          <w:rFonts w:ascii="Times New Roman" w:hAnsi="Times New Roman"/>
                          <w:sz w:val="24"/>
                          <w:szCs w:val="24"/>
                        </w:rPr>
                        <w:t>.</w:t>
                      </w:r>
                      <w:r>
                        <w:rPr>
                          <w:rFonts w:ascii="Times New Roman" w:hAnsi="Times New Roman"/>
                          <w:sz w:val="24"/>
                          <w:szCs w:val="24"/>
                        </w:rPr>
                        <w:t xml:space="preserve"> CORSIA is conceived as a carbon offsetting scheme with the objective of stabilising emissions from international aviation at 2020 levels. In light of this outcome, the EU ETS Directive was amended in 2017 to prolong the </w:t>
                      </w:r>
                      <w:r w:rsidR="00143C3B">
                        <w:rPr>
                          <w:rFonts w:ascii="Times New Roman" w:hAnsi="Times New Roman"/>
                          <w:sz w:val="24"/>
                          <w:szCs w:val="24"/>
                        </w:rPr>
                        <w:t xml:space="preserve">limitation to </w:t>
                      </w:r>
                      <w:r>
                        <w:rPr>
                          <w:rFonts w:ascii="Times New Roman" w:hAnsi="Times New Roman"/>
                          <w:sz w:val="24"/>
                          <w:szCs w:val="24"/>
                        </w:rPr>
                        <w:t xml:space="preserve">intra-EEA </w:t>
                      </w:r>
                      <w:r w:rsidR="00143C3B">
                        <w:rPr>
                          <w:rFonts w:ascii="Times New Roman" w:hAnsi="Times New Roman"/>
                          <w:sz w:val="24"/>
                          <w:szCs w:val="24"/>
                        </w:rPr>
                        <w:t>flights</w:t>
                      </w:r>
                      <w:r>
                        <w:rPr>
                          <w:rFonts w:ascii="Times New Roman" w:hAnsi="Times New Roman"/>
                          <w:sz w:val="24"/>
                          <w:szCs w:val="24"/>
                        </w:rPr>
                        <w:t xml:space="preserve"> until 31 December 2023.</w:t>
                      </w:r>
                      <w:r w:rsidRPr="008E69DA">
                        <w:t xml:space="preserve"> </w:t>
                      </w:r>
                      <w:r w:rsidRPr="008E69DA">
                        <w:rPr>
                          <w:rFonts w:ascii="Times New Roman" w:hAnsi="Times New Roman"/>
                          <w:sz w:val="24"/>
                          <w:szCs w:val="24"/>
                        </w:rPr>
                        <w:t xml:space="preserve">After that, in the absence of a </w:t>
                      </w:r>
                      <w:r>
                        <w:rPr>
                          <w:rFonts w:ascii="Times New Roman" w:hAnsi="Times New Roman"/>
                          <w:sz w:val="24"/>
                          <w:szCs w:val="24"/>
                        </w:rPr>
                        <w:t xml:space="preserve">review, </w:t>
                      </w:r>
                      <w:r w:rsidRPr="008E69DA">
                        <w:rPr>
                          <w:rFonts w:ascii="Times New Roman" w:hAnsi="Times New Roman"/>
                          <w:sz w:val="24"/>
                          <w:szCs w:val="24"/>
                        </w:rPr>
                        <w:t>the original full scope</w:t>
                      </w:r>
                      <w:r>
                        <w:rPr>
                          <w:rFonts w:ascii="Times New Roman" w:hAnsi="Times New Roman"/>
                          <w:sz w:val="24"/>
                          <w:szCs w:val="24"/>
                        </w:rPr>
                        <w:t xml:space="preserve"> would be restored</w:t>
                      </w:r>
                      <w:r w:rsidRPr="008E69DA">
                        <w:rPr>
                          <w:rFonts w:ascii="Times New Roman" w:hAnsi="Times New Roman"/>
                          <w:sz w:val="24"/>
                          <w:szCs w:val="24"/>
                        </w:rPr>
                        <w:t xml:space="preserve">.  </w:t>
                      </w:r>
                    </w:p>
                    <w:p w14:paraId="44FC2491" w14:textId="77777777" w:rsidR="00516F65" w:rsidRPr="004B4F5B" w:rsidRDefault="00516F65" w:rsidP="004B4F5B">
                      <w:pPr>
                        <w:jc w:val="both"/>
                        <w:rPr>
                          <w:rFonts w:ascii="Times New Roman" w:hAnsi="Times New Roman"/>
                          <w:sz w:val="24"/>
                          <w:szCs w:val="24"/>
                        </w:rPr>
                      </w:pPr>
                      <w:r w:rsidRPr="004B4F5B">
                        <w:rPr>
                          <w:rFonts w:ascii="Times New Roman" w:hAnsi="Times New Roman"/>
                          <w:sz w:val="24"/>
                          <w:szCs w:val="24"/>
                        </w:rPr>
                        <w:t xml:space="preserve">The revised EU ETS Directive foresees that the European Commission should report to the European Parliament and the Council on ways to implement CORSIA in EU law through a revision of the Directive. It also provides for the application of the linear reduction factor to aviation as from 2021.  </w:t>
                      </w:r>
                    </w:p>
                    <w:p w14:paraId="1813B900" w14:textId="77777777" w:rsidR="00516F65" w:rsidRDefault="00516F65">
                      <w:pPr>
                        <w:jc w:val="both"/>
                        <w:rPr>
                          <w:rFonts w:ascii="Times New Roman" w:hAnsi="Times New Roman"/>
                          <w:sz w:val="24"/>
                          <w:szCs w:val="24"/>
                        </w:rPr>
                      </w:pPr>
                    </w:p>
                    <w:p w14:paraId="47AD052C" w14:textId="77777777" w:rsidR="00516F65" w:rsidRDefault="00516F65">
                      <w:pPr>
                        <w:jc w:val="both"/>
                      </w:pPr>
                    </w:p>
                  </w:txbxContent>
                </v:textbox>
                <w10:anchorlock/>
              </v:shape>
            </w:pict>
          </mc:Fallback>
        </mc:AlternateContent>
      </w:r>
    </w:p>
    <w:p w14:paraId="657A51D5" w14:textId="77777777" w:rsidR="00491E4C" w:rsidRPr="004B4F5B" w:rsidRDefault="00491E4C" w:rsidP="004B4F5B">
      <w:pPr>
        <w:jc w:val="both"/>
        <w:rPr>
          <w:rFonts w:ascii="Times New Roman" w:hAnsi="Times New Roman"/>
          <w:sz w:val="24"/>
          <w:szCs w:val="24"/>
        </w:rPr>
      </w:pPr>
      <w:r w:rsidRPr="004B4F5B">
        <w:rPr>
          <w:rFonts w:ascii="Times New Roman" w:hAnsi="Times New Roman"/>
          <w:sz w:val="24"/>
          <w:szCs w:val="24"/>
        </w:rPr>
        <w:t xml:space="preserve">In 2018, allowances were issued in line with the intra-EEA scope. </w:t>
      </w:r>
      <w:r w:rsidR="002B31DD">
        <w:rPr>
          <w:rFonts w:ascii="Times New Roman" w:hAnsi="Times New Roman"/>
          <w:sz w:val="24"/>
          <w:szCs w:val="24"/>
        </w:rPr>
        <w:t>F</w:t>
      </w:r>
      <w:r w:rsidRPr="004B4F5B">
        <w:rPr>
          <w:rFonts w:ascii="Times New Roman" w:hAnsi="Times New Roman"/>
          <w:sz w:val="24"/>
          <w:szCs w:val="24"/>
        </w:rPr>
        <w:t xml:space="preserve">ree allocation amounted to slightly over 32.3 million allowances. This number comprises </w:t>
      </w:r>
      <w:r w:rsidR="00B84FD2">
        <w:rPr>
          <w:rFonts w:ascii="Times New Roman" w:hAnsi="Times New Roman"/>
          <w:sz w:val="24"/>
          <w:szCs w:val="24"/>
        </w:rPr>
        <w:t>bo</w:t>
      </w:r>
      <w:r w:rsidRPr="004B4F5B">
        <w:rPr>
          <w:rFonts w:ascii="Times New Roman" w:hAnsi="Times New Roman"/>
          <w:sz w:val="24"/>
          <w:szCs w:val="24"/>
        </w:rPr>
        <w:t>th free allocation (slightly over 31.2 million allowances)</w:t>
      </w:r>
      <w:r w:rsidR="00B84FD2">
        <w:rPr>
          <w:rFonts w:ascii="Times New Roman" w:hAnsi="Times New Roman"/>
          <w:sz w:val="24"/>
          <w:szCs w:val="24"/>
        </w:rPr>
        <w:t xml:space="preserve"> for incumbent operators</w:t>
      </w:r>
      <w:r w:rsidRPr="004B4F5B">
        <w:rPr>
          <w:rFonts w:ascii="Times New Roman" w:hAnsi="Times New Roman"/>
          <w:sz w:val="24"/>
          <w:szCs w:val="24"/>
        </w:rPr>
        <w:t xml:space="preserve"> and nearly 1.1 million allowances allocated from the special reserve for new entrants and fast growing operators. Allocations from this reserve are doubled in 2017-2020 as they relate to the full period 2013-2020. The volume auctioned in 2018 was approximately 5.6 million allowances. </w:t>
      </w:r>
    </w:p>
    <w:p w14:paraId="20A23957" w14:textId="77777777" w:rsidR="00F442D1" w:rsidRPr="00F442D1" w:rsidRDefault="00B84FD2" w:rsidP="00F442D1">
      <w:pPr>
        <w:jc w:val="both"/>
        <w:rPr>
          <w:rFonts w:ascii="Times New Roman" w:hAnsi="Times New Roman"/>
          <w:noProof/>
          <w:sz w:val="24"/>
          <w:szCs w:val="24"/>
        </w:rPr>
      </w:pPr>
      <w:r>
        <w:rPr>
          <w:rFonts w:ascii="Times New Roman" w:hAnsi="Times New Roman"/>
          <w:noProof/>
          <w:sz w:val="24"/>
          <w:szCs w:val="24"/>
        </w:rPr>
        <w:t>V</w:t>
      </w:r>
      <w:r w:rsidR="00F442D1" w:rsidRPr="00F442D1">
        <w:rPr>
          <w:rFonts w:ascii="Times New Roman" w:hAnsi="Times New Roman"/>
          <w:noProof/>
          <w:sz w:val="24"/>
          <w:szCs w:val="24"/>
        </w:rPr>
        <w:t>erified</w:t>
      </w:r>
      <w:r>
        <w:rPr>
          <w:rFonts w:ascii="Times New Roman" w:hAnsi="Times New Roman"/>
          <w:noProof/>
          <w:sz w:val="24"/>
          <w:szCs w:val="24"/>
        </w:rPr>
        <w:t xml:space="preserve"> aviation</w:t>
      </w:r>
      <w:r w:rsidR="00F442D1" w:rsidRPr="00F442D1">
        <w:rPr>
          <w:rFonts w:ascii="Times New Roman" w:hAnsi="Times New Roman"/>
          <w:noProof/>
          <w:sz w:val="24"/>
          <w:szCs w:val="24"/>
        </w:rPr>
        <w:t xml:space="preserve"> emissions continued to grow and amounted to 6</w:t>
      </w:r>
      <w:r w:rsidR="00EC4E52">
        <w:rPr>
          <w:rFonts w:ascii="Times New Roman" w:hAnsi="Times New Roman"/>
          <w:noProof/>
          <w:sz w:val="24"/>
          <w:szCs w:val="24"/>
        </w:rPr>
        <w:t>7</w:t>
      </w:r>
      <w:r w:rsidR="00F442D1" w:rsidRPr="00F442D1">
        <w:rPr>
          <w:rFonts w:ascii="Times New Roman" w:hAnsi="Times New Roman"/>
          <w:noProof/>
          <w:sz w:val="24"/>
          <w:szCs w:val="24"/>
        </w:rPr>
        <w:t xml:space="preserve"> million tonnes of</w:t>
      </w:r>
      <w:r>
        <w:rPr>
          <w:rFonts w:ascii="Times New Roman" w:hAnsi="Times New Roman"/>
          <w:noProof/>
          <w:sz w:val="24"/>
          <w:szCs w:val="24"/>
        </w:rPr>
        <w:t xml:space="preserve"> carbon dioxide</w:t>
      </w:r>
      <w:r w:rsidR="00F442D1" w:rsidRPr="00F442D1">
        <w:rPr>
          <w:rFonts w:ascii="Times New Roman" w:hAnsi="Times New Roman"/>
          <w:noProof/>
          <w:sz w:val="24"/>
          <w:szCs w:val="24"/>
        </w:rPr>
        <w:t xml:space="preserve"> in 2018, an increase of </w:t>
      </w:r>
      <w:r w:rsidR="00EC4E52">
        <w:rPr>
          <w:rFonts w:ascii="Times New Roman" w:hAnsi="Times New Roman"/>
          <w:noProof/>
          <w:sz w:val="24"/>
          <w:szCs w:val="24"/>
        </w:rPr>
        <w:t>4</w:t>
      </w:r>
      <w:r w:rsidR="00F442D1" w:rsidRPr="00F442D1">
        <w:rPr>
          <w:rFonts w:ascii="Times New Roman" w:hAnsi="Times New Roman"/>
          <w:noProof/>
          <w:sz w:val="24"/>
          <w:szCs w:val="24"/>
        </w:rPr>
        <w:t xml:space="preserve">% compared to 2017.   </w:t>
      </w:r>
    </w:p>
    <w:p w14:paraId="0A7E73BC" w14:textId="77777777" w:rsidR="00F442D1" w:rsidRDefault="00F442D1" w:rsidP="00F442D1">
      <w:pPr>
        <w:jc w:val="both"/>
        <w:rPr>
          <w:rFonts w:ascii="Times New Roman" w:hAnsi="Times New Roman"/>
          <w:b/>
          <w:noProof/>
        </w:rPr>
      </w:pPr>
      <w:r w:rsidRPr="002802C4">
        <w:rPr>
          <w:rFonts w:ascii="Times New Roman" w:hAnsi="Times New Roman"/>
          <w:noProof/>
          <w:sz w:val="24"/>
          <w:szCs w:val="24"/>
        </w:rPr>
        <w:t>Table</w:t>
      </w:r>
      <w:r w:rsidR="00DC3851" w:rsidRPr="002802C4">
        <w:rPr>
          <w:rFonts w:ascii="Times New Roman" w:hAnsi="Times New Roman"/>
          <w:noProof/>
          <w:sz w:val="24"/>
          <w:szCs w:val="24"/>
        </w:rPr>
        <w:t xml:space="preserve"> 8</w:t>
      </w:r>
      <w:r w:rsidRPr="00F442D1">
        <w:rPr>
          <w:rFonts w:ascii="Times New Roman" w:hAnsi="Times New Roman"/>
          <w:noProof/>
          <w:sz w:val="24"/>
          <w:szCs w:val="24"/>
        </w:rPr>
        <w:t xml:space="preserve"> shows a summary of verified emissions, free allocation, and auction volumes for the aviation sector since the start of phase 3</w:t>
      </w:r>
      <w:r w:rsidRPr="00F442D1">
        <w:rPr>
          <w:rFonts w:ascii="Times New Roman" w:hAnsi="Times New Roman"/>
          <w:b/>
          <w:noProof/>
        </w:rPr>
        <w:t xml:space="preserve">. </w:t>
      </w:r>
    </w:p>
    <w:p w14:paraId="302A9E75" w14:textId="77777777" w:rsidR="007F5B1E" w:rsidRDefault="007F5B1E" w:rsidP="00F442D1">
      <w:pPr>
        <w:jc w:val="both"/>
        <w:rPr>
          <w:rFonts w:ascii="Times New Roman" w:hAnsi="Times New Roman"/>
          <w:b/>
          <w:noProof/>
        </w:rPr>
      </w:pPr>
    </w:p>
    <w:p w14:paraId="6E0DB9F4" w14:textId="77777777" w:rsidR="007F5B1E" w:rsidRDefault="007F5B1E" w:rsidP="00F442D1">
      <w:pPr>
        <w:jc w:val="both"/>
        <w:rPr>
          <w:rFonts w:ascii="Times New Roman" w:hAnsi="Times New Roman"/>
          <w:b/>
          <w:noProof/>
        </w:rPr>
      </w:pPr>
    </w:p>
    <w:p w14:paraId="1FA3C279" w14:textId="77777777" w:rsidR="007F5B1E" w:rsidRPr="00F442D1" w:rsidRDefault="007F5B1E" w:rsidP="00F442D1">
      <w:pPr>
        <w:jc w:val="both"/>
        <w:rPr>
          <w:rFonts w:ascii="Times New Roman" w:hAnsi="Times New Roman"/>
          <w:b/>
          <w:noProof/>
        </w:rPr>
      </w:pPr>
    </w:p>
    <w:p w14:paraId="6868671C" w14:textId="77777777" w:rsidR="005F6BD0" w:rsidRDefault="00F442D1" w:rsidP="00F442D1">
      <w:pPr>
        <w:jc w:val="both"/>
        <w:rPr>
          <w:rFonts w:ascii="Times New Roman" w:hAnsi="Times New Roman"/>
          <w:b/>
          <w:noProof/>
        </w:rPr>
      </w:pPr>
      <w:r w:rsidRPr="002802C4">
        <w:rPr>
          <w:rFonts w:ascii="Times New Roman" w:hAnsi="Times New Roman"/>
          <w:b/>
          <w:noProof/>
        </w:rPr>
        <w:t xml:space="preserve">Table </w:t>
      </w:r>
      <w:r w:rsidR="00DC3851" w:rsidRPr="002802C4">
        <w:rPr>
          <w:rFonts w:ascii="Times New Roman" w:hAnsi="Times New Roman"/>
          <w:b/>
          <w:noProof/>
        </w:rPr>
        <w:t xml:space="preserve">8: </w:t>
      </w:r>
      <w:r w:rsidRPr="00F442D1">
        <w:rPr>
          <w:rFonts w:ascii="Times New Roman" w:hAnsi="Times New Roman"/>
          <w:b/>
          <w:noProof/>
        </w:rPr>
        <w:t>Verified emissions and allocation to the aviation sector</w:t>
      </w:r>
    </w:p>
    <w:tbl>
      <w:tblPr>
        <w:tblW w:w="4889" w:type="pct"/>
        <w:tblInd w:w="108" w:type="dxa"/>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rsidR="00294A8C" w:rsidRPr="002B2EE4" w14:paraId="0F8C6C1C" w14:textId="77777777" w:rsidTr="00E72EF9">
        <w:trPr>
          <w:trHeight w:val="532"/>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8487E22" w14:textId="77777777" w:rsidR="00E2275C" w:rsidRPr="002B2EE4" w:rsidRDefault="00E2275C" w:rsidP="00650F07">
            <w:pPr>
              <w:jc w:val="center"/>
              <w:rPr>
                <w:rFonts w:ascii="Times New Roman" w:hAnsi="Times New Roman"/>
                <w:b/>
                <w:bCs/>
                <w:noProof/>
                <w:sz w:val="20"/>
                <w:szCs w:val="20"/>
              </w:rPr>
            </w:pPr>
            <w:r w:rsidRPr="002B2EE4">
              <w:rPr>
                <w:rFonts w:ascii="Times New Roman" w:hAnsi="Times New Roman"/>
                <w:b/>
                <w:bCs/>
                <w:noProof/>
                <w:sz w:val="20"/>
                <w:szCs w:val="20"/>
              </w:rPr>
              <w:br/>
              <w:t>Year</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01B9379" w14:textId="77777777" w:rsidR="00E2275C" w:rsidRPr="002B2EE4" w:rsidRDefault="00E2275C" w:rsidP="002E287F">
            <w:pPr>
              <w:jc w:val="center"/>
              <w:rPr>
                <w:rFonts w:ascii="Times New Roman" w:hAnsi="Times New Roman"/>
                <w:b/>
                <w:bCs/>
                <w:noProof/>
                <w:sz w:val="20"/>
                <w:szCs w:val="20"/>
              </w:rPr>
            </w:pPr>
            <w:r w:rsidRPr="002B2EE4">
              <w:rPr>
                <w:rFonts w:ascii="Times New Roman" w:hAnsi="Times New Roman"/>
                <w:b/>
                <w:bCs/>
                <w:noProof/>
                <w:sz w:val="20"/>
                <w:szCs w:val="20"/>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CF580D8" w14:textId="77777777" w:rsidR="00E2275C" w:rsidRPr="002B2EE4" w:rsidRDefault="00E2275C" w:rsidP="00923ABD">
            <w:pPr>
              <w:jc w:val="center"/>
              <w:rPr>
                <w:rFonts w:ascii="Times New Roman" w:hAnsi="Times New Roman"/>
                <w:b/>
                <w:bCs/>
                <w:noProof/>
                <w:sz w:val="20"/>
                <w:szCs w:val="20"/>
              </w:rPr>
            </w:pPr>
            <w:r w:rsidRPr="002B2EE4">
              <w:rPr>
                <w:rFonts w:ascii="Times New Roman" w:hAnsi="Times New Roman"/>
                <w:b/>
                <w:bCs/>
                <w:noProof/>
                <w:sz w:val="20"/>
                <w:szCs w:val="20"/>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15CA9ED" w14:textId="77777777" w:rsidR="00E2275C" w:rsidRPr="002B2EE4" w:rsidRDefault="00E2275C" w:rsidP="00C95B98">
            <w:pPr>
              <w:jc w:val="center"/>
              <w:rPr>
                <w:rFonts w:ascii="Times New Roman" w:hAnsi="Times New Roman"/>
                <w:b/>
                <w:bCs/>
                <w:noProof/>
                <w:sz w:val="20"/>
                <w:szCs w:val="20"/>
              </w:rPr>
            </w:pPr>
            <w:r w:rsidRPr="002B2EE4">
              <w:rPr>
                <w:rFonts w:ascii="Times New Roman" w:hAnsi="Times New Roman"/>
                <w:b/>
                <w:bCs/>
                <w:noProof/>
                <w:sz w:val="20"/>
                <w:szCs w:val="20"/>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AEF9934" w14:textId="77777777" w:rsidR="00E2275C" w:rsidRPr="002B2EE4" w:rsidRDefault="00E2275C" w:rsidP="00C95B98">
            <w:pPr>
              <w:jc w:val="center"/>
              <w:rPr>
                <w:rFonts w:ascii="Times New Roman" w:hAnsi="Times New Roman"/>
                <w:b/>
                <w:bCs/>
                <w:noProof/>
                <w:sz w:val="20"/>
                <w:szCs w:val="20"/>
              </w:rPr>
            </w:pPr>
            <w:r w:rsidRPr="002B2EE4">
              <w:rPr>
                <w:rFonts w:ascii="Times New Roman" w:hAnsi="Times New Roman"/>
                <w:b/>
                <w:bCs/>
                <w:noProof/>
                <w:sz w:val="20"/>
                <w:szCs w:val="20"/>
              </w:rPr>
              <w:t>2016</w:t>
            </w:r>
          </w:p>
        </w:tc>
        <w:tc>
          <w:tcPr>
            <w:tcW w:w="539" w:type="pct"/>
            <w:tcBorders>
              <w:top w:val="double" w:sz="4" w:space="0" w:color="auto"/>
              <w:left w:val="nil"/>
              <w:bottom w:val="double" w:sz="4" w:space="0" w:color="auto"/>
              <w:right w:val="double" w:sz="4" w:space="0" w:color="auto"/>
            </w:tcBorders>
            <w:vAlign w:val="center"/>
          </w:tcPr>
          <w:p w14:paraId="44D52AE5" w14:textId="77777777" w:rsidR="00E2275C" w:rsidRPr="002B2EE4" w:rsidRDefault="00E2275C">
            <w:pPr>
              <w:jc w:val="center"/>
              <w:rPr>
                <w:rFonts w:ascii="Times New Roman" w:hAnsi="Times New Roman"/>
                <w:b/>
                <w:bCs/>
                <w:noProof/>
                <w:sz w:val="20"/>
                <w:szCs w:val="20"/>
              </w:rPr>
            </w:pPr>
            <w:r w:rsidRPr="002B2EE4">
              <w:rPr>
                <w:rFonts w:ascii="Times New Roman" w:hAnsi="Times New Roman"/>
                <w:b/>
                <w:bCs/>
                <w:noProof/>
                <w:sz w:val="20"/>
                <w:szCs w:val="20"/>
              </w:rPr>
              <w:t>2017</w:t>
            </w:r>
          </w:p>
        </w:tc>
        <w:tc>
          <w:tcPr>
            <w:tcW w:w="539" w:type="pct"/>
            <w:tcBorders>
              <w:top w:val="double" w:sz="4" w:space="0" w:color="auto"/>
              <w:left w:val="nil"/>
              <w:bottom w:val="double" w:sz="4" w:space="0" w:color="auto"/>
              <w:right w:val="double" w:sz="4" w:space="0" w:color="auto"/>
            </w:tcBorders>
            <w:vAlign w:val="center"/>
          </w:tcPr>
          <w:p w14:paraId="40DB6636" w14:textId="77777777" w:rsidR="00E2275C" w:rsidRPr="002B2EE4" w:rsidRDefault="00E2275C">
            <w:pPr>
              <w:jc w:val="center"/>
              <w:rPr>
                <w:rFonts w:ascii="Times New Roman" w:hAnsi="Times New Roman"/>
                <w:b/>
                <w:bCs/>
                <w:noProof/>
                <w:sz w:val="20"/>
                <w:szCs w:val="20"/>
              </w:rPr>
            </w:pPr>
            <w:r>
              <w:rPr>
                <w:rFonts w:ascii="Times New Roman" w:hAnsi="Times New Roman"/>
                <w:b/>
                <w:bCs/>
                <w:noProof/>
                <w:sz w:val="20"/>
                <w:szCs w:val="20"/>
              </w:rPr>
              <w:t>2018</w:t>
            </w:r>
          </w:p>
        </w:tc>
        <w:tc>
          <w:tcPr>
            <w:tcW w:w="537" w:type="pct"/>
            <w:tcBorders>
              <w:top w:val="double" w:sz="4" w:space="0" w:color="auto"/>
              <w:left w:val="nil"/>
              <w:bottom w:val="double" w:sz="4" w:space="0" w:color="auto"/>
              <w:right w:val="double" w:sz="4" w:space="0" w:color="auto"/>
            </w:tcBorders>
            <w:vAlign w:val="center"/>
          </w:tcPr>
          <w:p w14:paraId="3BED0959" w14:textId="77777777" w:rsidR="00E2275C" w:rsidRDefault="00E2275C">
            <w:pPr>
              <w:jc w:val="center"/>
              <w:rPr>
                <w:rFonts w:ascii="Times New Roman" w:hAnsi="Times New Roman"/>
                <w:b/>
                <w:bCs/>
                <w:noProof/>
                <w:sz w:val="20"/>
                <w:szCs w:val="20"/>
              </w:rPr>
            </w:pPr>
            <w:r>
              <w:rPr>
                <w:rFonts w:ascii="Times New Roman" w:hAnsi="Times New Roman"/>
                <w:b/>
                <w:bCs/>
                <w:noProof/>
                <w:sz w:val="20"/>
                <w:szCs w:val="20"/>
              </w:rPr>
              <w:t>2019</w:t>
            </w:r>
          </w:p>
        </w:tc>
      </w:tr>
      <w:tr w:rsidR="00294A8C" w:rsidRPr="002B2EE4" w14:paraId="19E33297" w14:textId="77777777" w:rsidTr="00294A8C">
        <w:trPr>
          <w:trHeight w:val="1017"/>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91C1A4F" w14:textId="77777777" w:rsidR="00E2275C" w:rsidRPr="002B2EE4" w:rsidRDefault="00E2275C" w:rsidP="00650F07">
            <w:pPr>
              <w:jc w:val="center"/>
              <w:rPr>
                <w:rFonts w:ascii="Times New Roman" w:hAnsi="Times New Roman"/>
                <w:noProof/>
                <w:color w:val="FF0000"/>
                <w:sz w:val="20"/>
                <w:szCs w:val="20"/>
              </w:rPr>
            </w:pPr>
            <w:r w:rsidRPr="002B2EE4">
              <w:rPr>
                <w:rFonts w:ascii="Times New Roman" w:hAnsi="Times New Roman"/>
                <w:b/>
                <w:bCs/>
                <w:noProof/>
                <w:color w:val="000000"/>
                <w:sz w:val="20"/>
                <w:szCs w:val="20"/>
                <w:lang w:eastAsia="en-GB"/>
              </w:rPr>
              <w:br/>
              <w:t>Verified emissions (in million tonnes CO</w:t>
            </w:r>
            <w:r w:rsidRPr="002B2EE4">
              <w:rPr>
                <w:rFonts w:ascii="Times New Roman" w:hAnsi="Times New Roman"/>
                <w:b/>
                <w:bCs/>
                <w:noProof/>
                <w:color w:val="000000"/>
                <w:sz w:val="20"/>
                <w:szCs w:val="20"/>
                <w:vertAlign w:val="subscript"/>
                <w:lang w:eastAsia="en-GB"/>
              </w:rPr>
              <w:t>2</w:t>
            </w:r>
            <w:r w:rsidRPr="002B2EE4">
              <w:rPr>
                <w:rFonts w:ascii="Times New Roman" w:hAnsi="Times New Roman"/>
                <w:b/>
                <w:bCs/>
                <w:noProof/>
                <w:color w:val="000000"/>
                <w:sz w:val="20"/>
                <w:szCs w:val="20"/>
                <w:lang w:eastAsia="en-GB"/>
              </w:rPr>
              <w:t xml:space="preserve"> equivalents)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629FBA6"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53</w:t>
            </w:r>
            <w:r>
              <w:rPr>
                <w:rFonts w:ascii="Times New Roman" w:hAnsi="Times New Roman"/>
                <w:noProof/>
                <w:color w:val="000000"/>
                <w:sz w:val="20"/>
                <w:szCs w:val="20"/>
                <w:lang w:eastAsia="en-GB"/>
              </w:rPr>
              <w:t>,5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3A7FCEC"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54</w:t>
            </w:r>
            <w:r>
              <w:rPr>
                <w:rFonts w:ascii="Times New Roman" w:hAnsi="Times New Roman"/>
                <w:noProof/>
                <w:color w:val="000000"/>
                <w:sz w:val="20"/>
                <w:szCs w:val="20"/>
                <w:lang w:eastAsia="en-GB"/>
              </w:rPr>
              <w:t>,</w:t>
            </w:r>
            <w:r w:rsidRPr="002B2EE4">
              <w:rPr>
                <w:rFonts w:ascii="Times New Roman" w:hAnsi="Times New Roman"/>
                <w:noProof/>
                <w:color w:val="000000"/>
                <w:sz w:val="20"/>
                <w:szCs w:val="20"/>
                <w:lang w:eastAsia="en-GB"/>
              </w:rPr>
              <w:t>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9EDFF9"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57</w:t>
            </w:r>
            <w:r>
              <w:rPr>
                <w:rFonts w:ascii="Times New Roman" w:hAnsi="Times New Roman"/>
                <w:noProof/>
                <w:color w:val="000000"/>
                <w:sz w:val="20"/>
                <w:szCs w:val="20"/>
                <w:lang w:eastAsia="en-GB"/>
              </w:rPr>
              <w:t>,1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031F37"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61</w:t>
            </w:r>
            <w:r>
              <w:rPr>
                <w:rFonts w:ascii="Times New Roman" w:hAnsi="Times New Roman"/>
                <w:noProof/>
                <w:color w:val="000000"/>
                <w:sz w:val="20"/>
                <w:szCs w:val="20"/>
                <w:lang w:eastAsia="en-GB"/>
              </w:rPr>
              <w:t>,5</w:t>
            </w:r>
          </w:p>
        </w:tc>
        <w:tc>
          <w:tcPr>
            <w:tcW w:w="539" w:type="pct"/>
            <w:tcBorders>
              <w:top w:val="nil"/>
              <w:left w:val="nil"/>
              <w:bottom w:val="double" w:sz="4" w:space="0" w:color="auto"/>
              <w:right w:val="double" w:sz="4" w:space="0" w:color="auto"/>
            </w:tcBorders>
            <w:vAlign w:val="center"/>
          </w:tcPr>
          <w:p w14:paraId="12D12699"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64</w:t>
            </w:r>
            <w:r>
              <w:rPr>
                <w:rFonts w:ascii="Times New Roman" w:hAnsi="Times New Roman"/>
                <w:noProof/>
                <w:color w:val="000000"/>
                <w:sz w:val="20"/>
                <w:szCs w:val="20"/>
                <w:lang w:eastAsia="en-GB"/>
              </w:rPr>
              <w:t>,4</w:t>
            </w:r>
          </w:p>
        </w:tc>
        <w:tc>
          <w:tcPr>
            <w:tcW w:w="539" w:type="pct"/>
            <w:tcBorders>
              <w:top w:val="nil"/>
              <w:left w:val="nil"/>
              <w:bottom w:val="double" w:sz="4" w:space="0" w:color="auto"/>
              <w:right w:val="double" w:sz="4" w:space="0" w:color="auto"/>
            </w:tcBorders>
          </w:tcPr>
          <w:p w14:paraId="7CC27619" w14:textId="77777777" w:rsidR="00E2275C" w:rsidRDefault="00E2275C" w:rsidP="00650F07">
            <w:pPr>
              <w:jc w:val="center"/>
              <w:rPr>
                <w:rFonts w:ascii="Times New Roman" w:hAnsi="Times New Roman"/>
                <w:noProof/>
                <w:color w:val="000000"/>
                <w:sz w:val="20"/>
                <w:szCs w:val="20"/>
                <w:lang w:eastAsia="en-GB"/>
              </w:rPr>
            </w:pPr>
          </w:p>
          <w:p w14:paraId="4B39A5CA" w14:textId="77777777" w:rsidR="00E2275C" w:rsidRPr="002B2EE4" w:rsidRDefault="00E2275C"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6</w:t>
            </w:r>
            <w:r w:rsidR="003603DF">
              <w:rPr>
                <w:rFonts w:ascii="Times New Roman" w:hAnsi="Times New Roman"/>
                <w:noProof/>
                <w:color w:val="000000"/>
                <w:sz w:val="20"/>
                <w:szCs w:val="20"/>
                <w:lang w:eastAsia="en-GB"/>
              </w:rPr>
              <w:t>7</w:t>
            </w:r>
            <w:r>
              <w:rPr>
                <w:rFonts w:ascii="Times New Roman" w:hAnsi="Times New Roman"/>
                <w:noProof/>
                <w:color w:val="000000"/>
                <w:sz w:val="20"/>
                <w:szCs w:val="20"/>
                <w:lang w:eastAsia="en-GB"/>
              </w:rPr>
              <w:t>,</w:t>
            </w:r>
            <w:r w:rsidR="003603DF">
              <w:rPr>
                <w:rFonts w:ascii="Times New Roman" w:hAnsi="Times New Roman"/>
                <w:noProof/>
                <w:color w:val="000000"/>
                <w:sz w:val="20"/>
                <w:szCs w:val="20"/>
                <w:lang w:eastAsia="en-GB"/>
              </w:rPr>
              <w:t>0</w:t>
            </w:r>
          </w:p>
        </w:tc>
        <w:tc>
          <w:tcPr>
            <w:tcW w:w="537" w:type="pct"/>
            <w:tcBorders>
              <w:top w:val="nil"/>
              <w:left w:val="nil"/>
              <w:bottom w:val="double" w:sz="4" w:space="0" w:color="auto"/>
              <w:right w:val="double" w:sz="4" w:space="0" w:color="auto"/>
            </w:tcBorders>
          </w:tcPr>
          <w:p w14:paraId="7D9A0C9F" w14:textId="77777777" w:rsidR="00E2275C" w:rsidRPr="002B2EE4" w:rsidRDefault="00E2275C" w:rsidP="00650F07">
            <w:pPr>
              <w:jc w:val="center"/>
              <w:rPr>
                <w:rFonts w:ascii="Times New Roman" w:hAnsi="Times New Roman"/>
                <w:noProof/>
                <w:color w:val="000000"/>
                <w:sz w:val="20"/>
                <w:szCs w:val="20"/>
                <w:lang w:eastAsia="en-GB"/>
              </w:rPr>
            </w:pPr>
          </w:p>
        </w:tc>
      </w:tr>
      <w:tr w:rsidR="00294A8C" w:rsidRPr="002B2EE4" w14:paraId="32BADC2B"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C188407" w14:textId="77777777" w:rsidR="00E2275C" w:rsidRPr="002B2EE4" w:rsidRDefault="00E2275C" w:rsidP="00650F07">
            <w:pPr>
              <w:jc w:val="center"/>
              <w:rPr>
                <w:rFonts w:ascii="Times New Roman" w:hAnsi="Times New Roman"/>
                <w:b/>
                <w:bCs/>
                <w:noProof/>
                <w:color w:val="000000"/>
                <w:sz w:val="20"/>
                <w:szCs w:val="20"/>
                <w:lang w:eastAsia="en-GB"/>
              </w:rPr>
            </w:pPr>
            <w:r w:rsidRPr="002B2EE4">
              <w:rPr>
                <w:rFonts w:ascii="Times New Roman" w:hAnsi="Times New Roman"/>
                <w:b/>
                <w:bCs/>
                <w:noProof/>
                <w:color w:val="000000"/>
                <w:sz w:val="20"/>
                <w:szCs w:val="20"/>
                <w:lang w:eastAsia="en-GB"/>
              </w:rPr>
              <w:br/>
              <w:t>Change of verified emissions to year x-1</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38DCABA" w14:textId="77777777" w:rsidR="00E2275C" w:rsidRPr="002B2EE4" w:rsidRDefault="00E2275C" w:rsidP="00650F07">
            <w:pPr>
              <w:jc w:val="center"/>
              <w:rPr>
                <w:rFonts w:ascii="Times New Roman" w:hAnsi="Times New Roman"/>
                <w:noProof/>
                <w:color w:val="000000"/>
                <w:sz w:val="20"/>
                <w:szCs w:val="20"/>
                <w:lang w:eastAsia="en-GB"/>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1A6EE4D"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2,5%</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C10EAAC"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4,1%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079522"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7,6%</w:t>
            </w:r>
          </w:p>
        </w:tc>
        <w:tc>
          <w:tcPr>
            <w:tcW w:w="539" w:type="pct"/>
            <w:tcBorders>
              <w:top w:val="nil"/>
              <w:left w:val="nil"/>
              <w:bottom w:val="double" w:sz="4" w:space="0" w:color="auto"/>
              <w:right w:val="double" w:sz="4" w:space="0" w:color="auto"/>
            </w:tcBorders>
            <w:vAlign w:val="center"/>
          </w:tcPr>
          <w:p w14:paraId="6DF13295"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E2275C">
              <w:rPr>
                <w:rFonts w:ascii="Times New Roman" w:hAnsi="Times New Roman"/>
                <w:noProof/>
                <w:color w:val="000000"/>
                <w:sz w:val="20"/>
                <w:szCs w:val="20"/>
                <w:lang w:eastAsia="en-GB"/>
              </w:rPr>
              <w:t>4,7%</w:t>
            </w:r>
          </w:p>
        </w:tc>
        <w:tc>
          <w:tcPr>
            <w:tcW w:w="539" w:type="pct"/>
            <w:tcBorders>
              <w:top w:val="nil"/>
              <w:left w:val="nil"/>
              <w:bottom w:val="double" w:sz="4" w:space="0" w:color="auto"/>
              <w:right w:val="double" w:sz="4" w:space="0" w:color="auto"/>
            </w:tcBorders>
            <w:vAlign w:val="center"/>
          </w:tcPr>
          <w:p w14:paraId="592E7A6F" w14:textId="77777777" w:rsidR="00E2275C" w:rsidRPr="002B2EE4" w:rsidRDefault="00B84FD2"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w:t>
            </w:r>
            <w:r w:rsidR="003603DF">
              <w:rPr>
                <w:rFonts w:ascii="Times New Roman" w:hAnsi="Times New Roman"/>
                <w:noProof/>
                <w:color w:val="000000"/>
                <w:sz w:val="20"/>
                <w:szCs w:val="20"/>
                <w:lang w:eastAsia="en-GB"/>
              </w:rPr>
              <w:t>4</w:t>
            </w:r>
            <w:r w:rsidR="00E2275C">
              <w:rPr>
                <w:rFonts w:ascii="Times New Roman" w:hAnsi="Times New Roman"/>
                <w:noProof/>
                <w:color w:val="000000"/>
                <w:sz w:val="20"/>
                <w:szCs w:val="20"/>
                <w:lang w:eastAsia="en-GB"/>
              </w:rPr>
              <w:t>%</w:t>
            </w:r>
          </w:p>
        </w:tc>
        <w:tc>
          <w:tcPr>
            <w:tcW w:w="537" w:type="pct"/>
            <w:tcBorders>
              <w:top w:val="nil"/>
              <w:left w:val="nil"/>
              <w:bottom w:val="double" w:sz="4" w:space="0" w:color="auto"/>
              <w:right w:val="double" w:sz="4" w:space="0" w:color="auto"/>
            </w:tcBorders>
          </w:tcPr>
          <w:p w14:paraId="671BDB59" w14:textId="77777777" w:rsidR="00E2275C" w:rsidRPr="002B2EE4" w:rsidRDefault="00E2275C" w:rsidP="00650F07">
            <w:pPr>
              <w:jc w:val="center"/>
              <w:rPr>
                <w:rFonts w:ascii="Times New Roman" w:hAnsi="Times New Roman"/>
                <w:noProof/>
                <w:color w:val="000000"/>
                <w:sz w:val="20"/>
                <w:szCs w:val="20"/>
                <w:lang w:eastAsia="en-GB"/>
              </w:rPr>
            </w:pPr>
          </w:p>
        </w:tc>
      </w:tr>
      <w:tr w:rsidR="00294A8C" w:rsidRPr="002B2EE4" w14:paraId="6DF9E924" w14:textId="77777777" w:rsidTr="00294A8C">
        <w:trPr>
          <w:trHeight w:val="68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59D3A9B" w14:textId="77777777" w:rsidR="00E2275C" w:rsidRPr="00276918" w:rsidRDefault="00E2275C" w:rsidP="00650F07">
            <w:pPr>
              <w:jc w:val="center"/>
              <w:rPr>
                <w:rFonts w:ascii="Times New Roman" w:hAnsi="Times New Roman"/>
                <w:b/>
                <w:bCs/>
                <w:noProof/>
                <w:color w:val="000000"/>
                <w:sz w:val="20"/>
                <w:szCs w:val="20"/>
                <w:lang w:eastAsia="en-GB"/>
              </w:rPr>
            </w:pPr>
            <w:r w:rsidRPr="00276918">
              <w:rPr>
                <w:rFonts w:ascii="Times New Roman" w:hAnsi="Times New Roman"/>
                <w:b/>
                <w:bCs/>
                <w:noProof/>
                <w:color w:val="000000"/>
                <w:sz w:val="20"/>
                <w:szCs w:val="20"/>
                <w:lang w:eastAsia="en-GB"/>
              </w:rPr>
              <w:br/>
              <w:t>Free allocation  (EU28+EEA EFTA states)</w:t>
            </w:r>
            <w:r w:rsidRPr="00276918">
              <w:rPr>
                <w:rStyle w:val="FootnoteReference"/>
                <w:noProof/>
                <w:color w:val="000000"/>
                <w:sz w:val="20"/>
                <w:szCs w:val="20"/>
                <w:lang w:eastAsia="en-GB"/>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BDE361C"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6CE95EE"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5AA96C"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7226589"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32,0</w:t>
            </w:r>
          </w:p>
        </w:tc>
        <w:tc>
          <w:tcPr>
            <w:tcW w:w="539" w:type="pct"/>
            <w:tcBorders>
              <w:top w:val="nil"/>
              <w:left w:val="nil"/>
              <w:bottom w:val="double" w:sz="4" w:space="0" w:color="auto"/>
              <w:right w:val="double" w:sz="4" w:space="0" w:color="auto"/>
            </w:tcBorders>
            <w:vAlign w:val="center"/>
          </w:tcPr>
          <w:p w14:paraId="4D9DEF51"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33,1</w:t>
            </w:r>
          </w:p>
        </w:tc>
        <w:tc>
          <w:tcPr>
            <w:tcW w:w="539" w:type="pct"/>
            <w:tcBorders>
              <w:top w:val="nil"/>
              <w:left w:val="nil"/>
              <w:bottom w:val="double" w:sz="4" w:space="0" w:color="auto"/>
              <w:right w:val="double" w:sz="4" w:space="0" w:color="auto"/>
            </w:tcBorders>
            <w:vAlign w:val="center"/>
          </w:tcPr>
          <w:p w14:paraId="3EF2D942" w14:textId="77777777" w:rsidR="00E2275C" w:rsidRPr="00276918" w:rsidRDefault="00E2275C" w:rsidP="00650F07">
            <w:pPr>
              <w:jc w:val="center"/>
              <w:rPr>
                <w:rFonts w:ascii="Times New Roman" w:hAnsi="Times New Roman"/>
                <w:noProof/>
                <w:color w:val="000000"/>
                <w:sz w:val="20"/>
                <w:szCs w:val="20"/>
                <w:lang w:eastAsia="en-GB"/>
              </w:rPr>
            </w:pPr>
            <w:r w:rsidRPr="00276918">
              <w:rPr>
                <w:rFonts w:ascii="Times New Roman" w:hAnsi="Times New Roman"/>
                <w:noProof/>
                <w:color w:val="000000"/>
                <w:sz w:val="20"/>
                <w:szCs w:val="20"/>
                <w:lang w:eastAsia="en-GB"/>
              </w:rPr>
              <w:t>31,2</w:t>
            </w:r>
          </w:p>
        </w:tc>
        <w:tc>
          <w:tcPr>
            <w:tcW w:w="537" w:type="pct"/>
            <w:tcBorders>
              <w:top w:val="nil"/>
              <w:left w:val="nil"/>
              <w:bottom w:val="double" w:sz="4" w:space="0" w:color="auto"/>
              <w:right w:val="double" w:sz="4" w:space="0" w:color="auto"/>
            </w:tcBorders>
            <w:vAlign w:val="center"/>
          </w:tcPr>
          <w:p w14:paraId="058582DC" w14:textId="77777777" w:rsidR="00E2275C" w:rsidRPr="00276918" w:rsidRDefault="00E2275C" w:rsidP="009D1D9B">
            <w:pPr>
              <w:jc w:val="center"/>
              <w:rPr>
                <w:rFonts w:ascii="Times New Roman" w:hAnsi="Times New Roman"/>
                <w:noProof/>
                <w:color w:val="000000"/>
                <w:sz w:val="20"/>
                <w:szCs w:val="20"/>
                <w:highlight w:val="yellow"/>
                <w:lang w:eastAsia="en-GB"/>
              </w:rPr>
            </w:pPr>
            <w:r w:rsidRPr="00264CAF">
              <w:rPr>
                <w:rFonts w:ascii="Times New Roman" w:hAnsi="Times New Roman"/>
                <w:noProof/>
                <w:color w:val="000000"/>
                <w:sz w:val="20"/>
                <w:szCs w:val="20"/>
                <w:lang w:eastAsia="en-GB"/>
              </w:rPr>
              <w:t>31,2</w:t>
            </w:r>
            <w:r w:rsidR="00BE6633" w:rsidRPr="00264CAF">
              <w:rPr>
                <w:rStyle w:val="FootnoteReference"/>
                <w:rFonts w:ascii="Times New Roman" w:hAnsi="Times New Roman"/>
                <w:noProof/>
                <w:color w:val="000000"/>
                <w:sz w:val="20"/>
                <w:szCs w:val="20"/>
                <w:lang w:eastAsia="en-GB"/>
              </w:rPr>
              <w:footnoteReference w:id="53"/>
            </w:r>
          </w:p>
        </w:tc>
      </w:tr>
      <w:tr w:rsidR="00294A8C" w:rsidRPr="002B2EE4" w14:paraId="602D96FE" w14:textId="77777777" w:rsidTr="00294A8C">
        <w:trPr>
          <w:trHeight w:val="790"/>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7720543" w14:textId="77777777" w:rsidR="00E2275C" w:rsidRPr="002B2EE4" w:rsidRDefault="00E2275C" w:rsidP="00650F07">
            <w:pPr>
              <w:jc w:val="center"/>
              <w:rPr>
                <w:rFonts w:ascii="Times New Roman" w:hAnsi="Times New Roman"/>
                <w:b/>
                <w:bCs/>
                <w:noProof/>
                <w:color w:val="000000"/>
                <w:sz w:val="20"/>
                <w:szCs w:val="20"/>
                <w:lang w:eastAsia="en-GB"/>
              </w:rPr>
            </w:pPr>
            <w:r w:rsidRPr="002B2EE4">
              <w:rPr>
                <w:rFonts w:ascii="Times New Roman" w:hAnsi="Times New Roman"/>
                <w:b/>
                <w:bCs/>
                <w:noProof/>
                <w:color w:val="000000"/>
                <w:sz w:val="20"/>
                <w:szCs w:val="20"/>
                <w:lang w:eastAsia="en-GB"/>
              </w:rPr>
              <w:t>Free allocation from special reserve for new entrants and fast growing operators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14:paraId="5C40A67E"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14:paraId="374010BB"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14:paraId="2FCEB16C"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14:paraId="27794DC2"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39" w:type="pct"/>
            <w:tcBorders>
              <w:top w:val="nil"/>
              <w:left w:val="nil"/>
              <w:bottom w:val="double" w:sz="4" w:space="0" w:color="auto"/>
              <w:right w:val="double" w:sz="4" w:space="0" w:color="auto"/>
            </w:tcBorders>
            <w:vAlign w:val="center"/>
          </w:tcPr>
          <w:p w14:paraId="73A8D6ED"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w:t>
            </w:r>
            <w:r>
              <w:rPr>
                <w:rFonts w:ascii="Times New Roman" w:hAnsi="Times New Roman"/>
                <w:noProof/>
                <w:color w:val="000000"/>
                <w:sz w:val="20"/>
                <w:szCs w:val="20"/>
                <w:lang w:eastAsia="en-GB"/>
              </w:rPr>
              <w:t>,1</w:t>
            </w:r>
          </w:p>
        </w:tc>
        <w:tc>
          <w:tcPr>
            <w:tcW w:w="539" w:type="pct"/>
            <w:tcBorders>
              <w:top w:val="nil"/>
              <w:left w:val="nil"/>
              <w:bottom w:val="double" w:sz="4" w:space="0" w:color="auto"/>
              <w:right w:val="double" w:sz="4" w:space="0" w:color="auto"/>
            </w:tcBorders>
            <w:vAlign w:val="center"/>
          </w:tcPr>
          <w:p w14:paraId="2F4A3EEE"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w:t>
            </w:r>
            <w:r>
              <w:rPr>
                <w:rFonts w:ascii="Times New Roman" w:hAnsi="Times New Roman"/>
                <w:noProof/>
                <w:color w:val="000000"/>
                <w:sz w:val="20"/>
                <w:szCs w:val="20"/>
                <w:lang w:eastAsia="en-GB"/>
              </w:rPr>
              <w:t>,1</w:t>
            </w:r>
          </w:p>
        </w:tc>
        <w:tc>
          <w:tcPr>
            <w:tcW w:w="537" w:type="pct"/>
            <w:tcBorders>
              <w:top w:val="nil"/>
              <w:left w:val="nil"/>
              <w:bottom w:val="double" w:sz="4" w:space="0" w:color="auto"/>
              <w:right w:val="double" w:sz="4" w:space="0" w:color="auto"/>
            </w:tcBorders>
            <w:vAlign w:val="center"/>
          </w:tcPr>
          <w:p w14:paraId="4E5CFB9D"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w:t>
            </w:r>
            <w:r>
              <w:rPr>
                <w:rFonts w:ascii="Times New Roman" w:hAnsi="Times New Roman"/>
                <w:noProof/>
                <w:color w:val="000000"/>
                <w:sz w:val="20"/>
                <w:szCs w:val="20"/>
                <w:lang w:eastAsia="en-GB"/>
              </w:rPr>
              <w:t>,1</w:t>
            </w:r>
          </w:p>
        </w:tc>
      </w:tr>
      <w:tr w:rsidR="00294A8C" w:rsidRPr="002B2EE4" w14:paraId="76FB81C0" w14:textId="77777777" w:rsidTr="002802C4">
        <w:trPr>
          <w:trHeight w:val="34"/>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00669C3" w14:textId="77777777" w:rsidR="00E2275C" w:rsidRPr="002B2EE4" w:rsidRDefault="00E2275C" w:rsidP="00650F07">
            <w:pPr>
              <w:jc w:val="center"/>
              <w:rPr>
                <w:rFonts w:ascii="Times New Roman" w:hAnsi="Times New Roman"/>
                <w:b/>
                <w:bCs/>
                <w:noProof/>
                <w:color w:val="000000"/>
                <w:sz w:val="20"/>
                <w:szCs w:val="20"/>
                <w:lang w:eastAsia="en-GB"/>
              </w:rPr>
            </w:pPr>
            <w:r w:rsidRPr="002B2EE4">
              <w:rPr>
                <w:rFonts w:ascii="Times New Roman" w:hAnsi="Times New Roman"/>
                <w:b/>
                <w:bCs/>
                <w:noProof/>
                <w:color w:val="000000"/>
                <w:sz w:val="20"/>
                <w:szCs w:val="20"/>
                <w:lang w:eastAsia="en-GB"/>
              </w:rPr>
              <w:t>Volumes of allowances auctioned</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1142F5D"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E69CE3E"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9</w:t>
            </w:r>
            <w:r>
              <w:rPr>
                <w:rFonts w:ascii="Times New Roman" w:hAnsi="Times New Roman"/>
                <w:noProof/>
                <w:color w:val="000000"/>
                <w:sz w:val="20"/>
                <w:szCs w:val="20"/>
                <w:lang w:eastAsia="en-GB"/>
              </w:rPr>
              <w:t>,3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C19D0A0"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16</w:t>
            </w:r>
            <w:r>
              <w:rPr>
                <w:rFonts w:ascii="Times New Roman" w:hAnsi="Times New Roman"/>
                <w:noProof/>
                <w:color w:val="000000"/>
                <w:sz w:val="20"/>
                <w:szCs w:val="20"/>
                <w:lang w:eastAsia="en-GB"/>
              </w:rPr>
              <w:t>,4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5657B7D" w14:textId="77777777" w:rsidR="00E2275C" w:rsidRPr="002B2EE4" w:rsidRDefault="00E2275C" w:rsidP="00650F07">
            <w:pPr>
              <w:jc w:val="center"/>
              <w:rPr>
                <w:rFonts w:ascii="Times New Roman" w:hAnsi="Times New Roman"/>
                <w:noProof/>
                <w:color w:val="000000"/>
                <w:sz w:val="20"/>
                <w:szCs w:val="20"/>
                <w:lang w:eastAsia="en-GB"/>
              </w:rPr>
            </w:pPr>
            <w:r>
              <w:rPr>
                <w:rFonts w:ascii="Times New Roman" w:hAnsi="Times New Roman"/>
                <w:noProof/>
                <w:color w:val="000000"/>
                <w:sz w:val="20"/>
                <w:szCs w:val="20"/>
                <w:lang w:eastAsia="en-GB"/>
              </w:rPr>
              <w:t>5,9</w:t>
            </w:r>
          </w:p>
        </w:tc>
        <w:tc>
          <w:tcPr>
            <w:tcW w:w="539" w:type="pct"/>
            <w:tcBorders>
              <w:top w:val="nil"/>
              <w:left w:val="nil"/>
              <w:bottom w:val="double" w:sz="4" w:space="0" w:color="auto"/>
              <w:right w:val="double" w:sz="4" w:space="0" w:color="auto"/>
            </w:tcBorders>
            <w:vAlign w:val="center"/>
          </w:tcPr>
          <w:p w14:paraId="013F63CC" w14:textId="77777777" w:rsidR="00E2275C" w:rsidRPr="002B2EE4" w:rsidRDefault="00E2275C" w:rsidP="00650F07">
            <w:pPr>
              <w:jc w:val="center"/>
              <w:rPr>
                <w:rFonts w:ascii="Times New Roman" w:hAnsi="Times New Roman"/>
                <w:noProof/>
                <w:color w:val="000000"/>
                <w:sz w:val="20"/>
                <w:szCs w:val="20"/>
                <w:lang w:eastAsia="en-GB"/>
              </w:rPr>
            </w:pPr>
            <w:r w:rsidRPr="002B2EE4">
              <w:rPr>
                <w:rFonts w:ascii="Times New Roman" w:hAnsi="Times New Roman"/>
                <w:noProof/>
                <w:color w:val="000000"/>
                <w:sz w:val="20"/>
                <w:szCs w:val="20"/>
                <w:lang w:eastAsia="en-GB"/>
              </w:rPr>
              <w:t>4</w:t>
            </w:r>
            <w:r>
              <w:rPr>
                <w:rFonts w:ascii="Times New Roman" w:hAnsi="Times New Roman"/>
                <w:noProof/>
                <w:color w:val="000000"/>
                <w:sz w:val="20"/>
                <w:szCs w:val="20"/>
                <w:lang w:eastAsia="en-GB"/>
              </w:rPr>
              <w:t>,</w:t>
            </w:r>
            <w:r w:rsidRPr="002B2EE4">
              <w:rPr>
                <w:rFonts w:ascii="Times New Roman" w:hAnsi="Times New Roman"/>
                <w:noProof/>
                <w:color w:val="000000"/>
                <w:sz w:val="20"/>
                <w:szCs w:val="20"/>
                <w:lang w:eastAsia="en-GB"/>
              </w:rPr>
              <w:t>7</w:t>
            </w:r>
          </w:p>
        </w:tc>
        <w:tc>
          <w:tcPr>
            <w:tcW w:w="539" w:type="pct"/>
            <w:tcBorders>
              <w:top w:val="nil"/>
              <w:left w:val="nil"/>
              <w:bottom w:val="double" w:sz="4" w:space="0" w:color="auto"/>
              <w:right w:val="double" w:sz="4" w:space="0" w:color="auto"/>
            </w:tcBorders>
            <w:vAlign w:val="center"/>
          </w:tcPr>
          <w:p w14:paraId="77E44679" w14:textId="77777777" w:rsidR="00E2275C" w:rsidRPr="00E47213" w:rsidRDefault="00E2275C" w:rsidP="00650F07">
            <w:pPr>
              <w:jc w:val="center"/>
              <w:rPr>
                <w:rFonts w:ascii="Times New Roman" w:hAnsi="Times New Roman"/>
                <w:noProof/>
                <w:color w:val="000000"/>
                <w:sz w:val="20"/>
                <w:szCs w:val="20"/>
                <w:lang w:eastAsia="en-GB"/>
              </w:rPr>
            </w:pPr>
            <w:r w:rsidRPr="00E47213">
              <w:rPr>
                <w:rFonts w:ascii="Times New Roman" w:hAnsi="Times New Roman"/>
                <w:noProof/>
                <w:color w:val="000000"/>
                <w:sz w:val="20"/>
                <w:szCs w:val="20"/>
                <w:lang w:eastAsia="en-GB"/>
              </w:rPr>
              <w:t>5,6</w:t>
            </w:r>
          </w:p>
        </w:tc>
        <w:tc>
          <w:tcPr>
            <w:tcW w:w="537" w:type="pct"/>
            <w:tcBorders>
              <w:top w:val="nil"/>
              <w:left w:val="nil"/>
              <w:bottom w:val="double" w:sz="4" w:space="0" w:color="auto"/>
              <w:right w:val="double" w:sz="4" w:space="0" w:color="auto"/>
            </w:tcBorders>
            <w:vAlign w:val="center"/>
          </w:tcPr>
          <w:p w14:paraId="0B708719" w14:textId="77777777" w:rsidR="00E2275C" w:rsidRPr="00E47213" w:rsidRDefault="00E2275C" w:rsidP="00650F07">
            <w:pPr>
              <w:jc w:val="center"/>
              <w:rPr>
                <w:rFonts w:ascii="Times New Roman" w:hAnsi="Times New Roman"/>
                <w:noProof/>
                <w:color w:val="000000"/>
                <w:sz w:val="20"/>
                <w:szCs w:val="20"/>
                <w:lang w:eastAsia="en-GB"/>
              </w:rPr>
            </w:pPr>
            <w:r w:rsidRPr="00E47213">
              <w:rPr>
                <w:rFonts w:ascii="Times New Roman" w:hAnsi="Times New Roman"/>
                <w:noProof/>
                <w:color w:val="000000"/>
                <w:sz w:val="20"/>
                <w:szCs w:val="20"/>
                <w:lang w:eastAsia="en-GB"/>
              </w:rPr>
              <w:t>2,0</w:t>
            </w:r>
            <w:r w:rsidRPr="00E47213">
              <w:rPr>
                <w:rStyle w:val="FootnoteReference"/>
                <w:rFonts w:ascii="Times New Roman" w:hAnsi="Times New Roman"/>
                <w:noProof/>
                <w:color w:val="000000"/>
                <w:sz w:val="20"/>
                <w:szCs w:val="20"/>
                <w:lang w:eastAsia="en-GB"/>
              </w:rPr>
              <w:footnoteReference w:id="54"/>
            </w:r>
          </w:p>
        </w:tc>
      </w:tr>
    </w:tbl>
    <w:p w14:paraId="29ADA161" w14:textId="77777777" w:rsidR="005F6BD0" w:rsidRPr="00276918" w:rsidRDefault="00526348">
      <w:pPr>
        <w:jc w:val="both"/>
        <w:rPr>
          <w:rFonts w:ascii="Times New Roman" w:hAnsi="Times New Roman"/>
          <w:noProof/>
          <w:sz w:val="18"/>
          <w:szCs w:val="18"/>
          <w:lang w:val="fr-BE"/>
        </w:rPr>
      </w:pPr>
      <w:r w:rsidRPr="00276918">
        <w:rPr>
          <w:rFonts w:ascii="Times New Roman" w:hAnsi="Times New Roman"/>
          <w:noProof/>
          <w:sz w:val="18"/>
          <w:szCs w:val="18"/>
          <w:lang w:val="fr-BE"/>
        </w:rPr>
        <w:t>Sources: EUTL, DG CLIMA, EEX</w:t>
      </w:r>
    </w:p>
    <w:p w14:paraId="0514DF2F" w14:textId="77777777" w:rsidR="005F6BD0" w:rsidRDefault="00C95B98">
      <w:pPr>
        <w:jc w:val="both"/>
        <w:rPr>
          <w:rFonts w:ascii="Times New Roman" w:hAnsi="Times New Roman"/>
          <w:noProof/>
          <w:sz w:val="24"/>
          <w:szCs w:val="24"/>
        </w:rPr>
      </w:pPr>
      <w:r w:rsidRPr="00516F65">
        <w:rPr>
          <w:rFonts w:ascii="Times New Roman" w:hAnsi="Times New Roman"/>
          <w:noProof/>
          <w:sz w:val="24"/>
          <w:szCs w:val="24"/>
        </w:rPr>
        <w:t xml:space="preserve">In </w:t>
      </w:r>
      <w:r w:rsidR="003A348D" w:rsidRPr="00516F65">
        <w:rPr>
          <w:rFonts w:ascii="Times New Roman" w:hAnsi="Times New Roman"/>
          <w:noProof/>
          <w:sz w:val="24"/>
          <w:szCs w:val="24"/>
        </w:rPr>
        <w:t>2013</w:t>
      </w:r>
      <w:r w:rsidRPr="00516F65">
        <w:rPr>
          <w:rFonts w:ascii="Times New Roman" w:hAnsi="Times New Roman"/>
          <w:noProof/>
          <w:sz w:val="24"/>
          <w:szCs w:val="24"/>
        </w:rPr>
        <w:t xml:space="preserve">, the </w:t>
      </w:r>
      <w:r w:rsidR="003A348D" w:rsidRPr="00516F65">
        <w:rPr>
          <w:rFonts w:ascii="Times New Roman" w:hAnsi="Times New Roman"/>
          <w:noProof/>
          <w:sz w:val="24"/>
          <w:szCs w:val="24"/>
        </w:rPr>
        <w:t>decision</w:t>
      </w:r>
      <w:r w:rsidR="00B84FD2" w:rsidRPr="00516F65">
        <w:rPr>
          <w:rFonts w:ascii="Times New Roman" w:hAnsi="Times New Roman"/>
          <w:noProof/>
          <w:sz w:val="24"/>
          <w:szCs w:val="24"/>
          <w:vertAlign w:val="superscript"/>
        </w:rPr>
        <w:footnoteReference w:id="55"/>
      </w:r>
      <w:r w:rsidR="003A348D" w:rsidRPr="00516F65">
        <w:rPr>
          <w:rFonts w:ascii="Times New Roman" w:hAnsi="Times New Roman"/>
          <w:noProof/>
          <w:sz w:val="24"/>
          <w:szCs w:val="24"/>
        </w:rPr>
        <w:t xml:space="preserve"> to limit climate obligations only to flights within the EEA</w:t>
      </w:r>
      <w:r w:rsidRPr="00516F65">
        <w:rPr>
          <w:rFonts w:ascii="Times New Roman" w:hAnsi="Times New Roman"/>
          <w:noProof/>
          <w:sz w:val="24"/>
          <w:szCs w:val="24"/>
        </w:rPr>
        <w:t xml:space="preserve"> was adopted</w:t>
      </w:r>
      <w:r w:rsidR="003A348D" w:rsidRPr="00516F65">
        <w:rPr>
          <w:rFonts w:ascii="Times New Roman" w:hAnsi="Times New Roman"/>
          <w:noProof/>
          <w:sz w:val="24"/>
          <w:szCs w:val="24"/>
        </w:rPr>
        <w:t>.</w:t>
      </w:r>
      <w:r w:rsidR="003A348D">
        <w:rPr>
          <w:rFonts w:ascii="Times New Roman" w:hAnsi="Times New Roman"/>
          <w:noProof/>
          <w:sz w:val="24"/>
          <w:szCs w:val="24"/>
        </w:rPr>
        <w:t xml:space="preserve"> Compliance for the aviation sector was postponed for 2012 and 2013. The postponed 2012 volumes </w:t>
      </w:r>
      <w:r w:rsidR="001F1888">
        <w:rPr>
          <w:rFonts w:ascii="Times New Roman" w:hAnsi="Times New Roman"/>
          <w:noProof/>
          <w:sz w:val="24"/>
          <w:szCs w:val="24"/>
        </w:rPr>
        <w:t xml:space="preserve">of allowances </w:t>
      </w:r>
      <w:r w:rsidR="003A348D">
        <w:rPr>
          <w:rFonts w:ascii="Times New Roman" w:hAnsi="Times New Roman"/>
          <w:noProof/>
          <w:sz w:val="24"/>
          <w:szCs w:val="24"/>
        </w:rPr>
        <w:t>were thus auctioned in 2014, while compliance took place between January and April 2015 for aviation emissions from 2013 and 2014.</w:t>
      </w:r>
    </w:p>
    <w:p w14:paraId="0CC2B27E" w14:textId="77777777" w:rsidR="002D2BCA" w:rsidRDefault="00AE6522" w:rsidP="002D2BCA">
      <w:pPr>
        <w:jc w:val="both"/>
        <w:rPr>
          <w:rFonts w:ascii="Times New Roman" w:hAnsi="Times New Roman"/>
          <w:sz w:val="24"/>
          <w:szCs w:val="24"/>
        </w:rPr>
      </w:pPr>
      <w:r w:rsidRPr="004B4F5B">
        <w:rPr>
          <w:rFonts w:ascii="Times New Roman" w:hAnsi="Times New Roman"/>
          <w:sz w:val="24"/>
          <w:szCs w:val="24"/>
        </w:rPr>
        <w:t>In June 2018, the ICAO adopted the CORSIA Standards and Recommended Practices (SARPs)</w:t>
      </w:r>
      <w:r w:rsidR="00C84C9A">
        <w:rPr>
          <w:rStyle w:val="FootnoteReference"/>
          <w:rFonts w:ascii="Times New Roman" w:hAnsi="Times New Roman"/>
          <w:sz w:val="24"/>
          <w:szCs w:val="24"/>
        </w:rPr>
        <w:footnoteReference w:id="56"/>
      </w:r>
      <w:r w:rsidRPr="004B4F5B">
        <w:rPr>
          <w:rFonts w:ascii="Times New Roman" w:hAnsi="Times New Roman"/>
          <w:sz w:val="24"/>
          <w:szCs w:val="24"/>
        </w:rPr>
        <w:t>. These, together with the Implementation Elements, detail the functioning of CORSIA</w:t>
      </w:r>
      <w:r>
        <w:rPr>
          <w:rFonts w:ascii="Times New Roman" w:hAnsi="Times New Roman"/>
          <w:sz w:val="24"/>
          <w:szCs w:val="24"/>
        </w:rPr>
        <w:t>. Important implementation e</w:t>
      </w:r>
      <w:r w:rsidRPr="004B4F5B">
        <w:rPr>
          <w:rFonts w:ascii="Times New Roman" w:hAnsi="Times New Roman"/>
          <w:sz w:val="24"/>
          <w:szCs w:val="24"/>
        </w:rPr>
        <w:t>lements, such as the Eligible Units and the Framework for Alternative Fuels, have not been adopted yet. While acknowledging and supporting the formal adoption of the SARPs by ICAO, the EU and its Member States followed ICAO procedures to notify the existing differences</w:t>
      </w:r>
      <w:r w:rsidR="000E17BF">
        <w:rPr>
          <w:rStyle w:val="FootnoteReference"/>
          <w:rFonts w:ascii="Times New Roman" w:hAnsi="Times New Roman"/>
          <w:sz w:val="24"/>
          <w:szCs w:val="24"/>
        </w:rPr>
        <w:footnoteReference w:id="57"/>
      </w:r>
      <w:r w:rsidRPr="004B4F5B">
        <w:rPr>
          <w:rFonts w:ascii="Times New Roman" w:hAnsi="Times New Roman"/>
          <w:sz w:val="24"/>
          <w:szCs w:val="24"/>
        </w:rPr>
        <w:t xml:space="preserve"> between relevant EU legislation and CORSIA</w:t>
      </w:r>
      <w:r w:rsidR="000E17BF">
        <w:rPr>
          <w:rFonts w:ascii="Times New Roman" w:hAnsi="Times New Roman"/>
          <w:sz w:val="24"/>
          <w:szCs w:val="24"/>
        </w:rPr>
        <w:t>.</w:t>
      </w:r>
      <w:r w:rsidRPr="004B4F5B">
        <w:rPr>
          <w:rFonts w:ascii="Times New Roman" w:hAnsi="Times New Roman"/>
          <w:sz w:val="24"/>
          <w:szCs w:val="24"/>
        </w:rPr>
        <w:t xml:space="preserve"> </w:t>
      </w:r>
      <w:r w:rsidR="002D2BCA" w:rsidRPr="00516F65">
        <w:rPr>
          <w:rFonts w:ascii="Times New Roman" w:hAnsi="Times New Roman"/>
          <w:sz w:val="24"/>
          <w:szCs w:val="24"/>
        </w:rPr>
        <w:t>As of 1 January 2019, aircraft operators are required to monitor and report their emissions also for CORSIA. The monitoring, reporting and verification (MRV) framework under the EU ETS was revised to introduce a legally binding obligation to this effect</w:t>
      </w:r>
      <w:r w:rsidR="002B2B9A" w:rsidRPr="00516F65">
        <w:rPr>
          <w:rFonts w:ascii="Times New Roman" w:hAnsi="Times New Roman"/>
          <w:sz w:val="24"/>
          <w:szCs w:val="24"/>
        </w:rPr>
        <w:t xml:space="preserve"> (see chapte</w:t>
      </w:r>
      <w:r w:rsidR="00572D1B" w:rsidRPr="00516F65">
        <w:rPr>
          <w:rFonts w:ascii="Times New Roman" w:hAnsi="Times New Roman"/>
          <w:sz w:val="24"/>
          <w:szCs w:val="24"/>
        </w:rPr>
        <w:t xml:space="preserve">r 6.1). </w:t>
      </w:r>
      <w:r w:rsidR="002D2BCA" w:rsidRPr="00516F65">
        <w:rPr>
          <w:rFonts w:ascii="Times New Roman" w:hAnsi="Times New Roman"/>
          <w:sz w:val="24"/>
          <w:szCs w:val="24"/>
        </w:rPr>
        <w:t xml:space="preserve"> Such an integrated approach for both instruments ensures minimising the administrative burden.</w:t>
      </w:r>
    </w:p>
    <w:p w14:paraId="244649E4" w14:textId="77777777" w:rsidR="005F6BD0" w:rsidRDefault="00A52F4C">
      <w:pPr>
        <w:pStyle w:val="Heading1"/>
        <w:spacing w:before="0" w:after="200"/>
        <w:rPr>
          <w:noProof/>
        </w:rPr>
      </w:pPr>
      <w:bookmarkStart w:id="51" w:name="_Toc490850435"/>
      <w:bookmarkStart w:id="52" w:name="_Toc519009686"/>
      <w:bookmarkStart w:id="53" w:name="_Toc20217739"/>
      <w:r>
        <w:rPr>
          <w:noProof/>
        </w:rPr>
        <w:t>5</w:t>
      </w:r>
      <w:r w:rsidR="003A348D">
        <w:rPr>
          <w:noProof/>
        </w:rPr>
        <w:t>. MARKET OVERSIGHT</w:t>
      </w:r>
      <w:bookmarkEnd w:id="51"/>
      <w:bookmarkEnd w:id="52"/>
      <w:bookmarkEnd w:id="53"/>
    </w:p>
    <w:p w14:paraId="378D798F" w14:textId="77777777" w:rsidR="00E71363" w:rsidRDefault="00E71363" w:rsidP="00E71363">
      <w:pPr>
        <w:jc w:val="both"/>
        <w:rPr>
          <w:rFonts w:ascii="Times New Roman" w:hAnsi="Times New Roman"/>
          <w:sz w:val="24"/>
          <w:szCs w:val="24"/>
          <w:lang w:eastAsia="en-GB"/>
        </w:rPr>
      </w:pPr>
      <w:r w:rsidRPr="00E71363">
        <w:rPr>
          <w:rFonts w:ascii="Times New Roman" w:hAnsi="Times New Roman"/>
          <w:noProof/>
          <w:sz w:val="24"/>
          <w:szCs w:val="24"/>
          <w:lang w:eastAsia="en-GB"/>
        </w:rPr>
        <mc:AlternateContent>
          <mc:Choice Requires="wps">
            <w:drawing>
              <wp:inline distT="0" distB="0" distL="0" distR="0" wp14:anchorId="45945B53" wp14:editId="67804AC1">
                <wp:extent cx="5731510" cy="5675282"/>
                <wp:effectExtent l="0" t="0" r="21590" b="2095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75282"/>
                        </a:xfrm>
                        <a:prstGeom prst="rect">
                          <a:avLst/>
                        </a:prstGeom>
                        <a:solidFill>
                          <a:sysClr val="window" lastClr="FFFFFF">
                            <a:lumMod val="85000"/>
                          </a:sysClr>
                        </a:solidFill>
                        <a:ln w="12700">
                          <a:solidFill>
                            <a:srgbClr val="000000"/>
                          </a:solidFill>
                          <a:miter lim="800000"/>
                          <a:headEnd/>
                          <a:tailEnd/>
                        </a:ln>
                      </wps:spPr>
                      <wps:txbx>
                        <w:txbxContent>
                          <w:p w14:paraId="149792CA" w14:textId="2F69B695" w:rsidR="00516F65" w:rsidRDefault="00516F65" w:rsidP="00E71363">
                            <w:pPr>
                              <w:jc w:val="both"/>
                              <w:rPr>
                                <w:rFonts w:ascii="Times New Roman" w:hAnsi="Times New Roman"/>
                                <w:sz w:val="24"/>
                                <w:szCs w:val="24"/>
                                <w:lang w:eastAsia="en-GB"/>
                              </w:rPr>
                            </w:pPr>
                            <w:r>
                              <w:rPr>
                                <w:rFonts w:ascii="Times New Roman" w:hAnsi="Times New Roman"/>
                                <w:sz w:val="24"/>
                                <w:szCs w:val="24"/>
                                <w:lang w:eastAsia="en-GB"/>
                              </w:rPr>
                              <w:t xml:space="preserve">Under the </w:t>
                            </w:r>
                            <w:r w:rsidR="00D3027D">
                              <w:rPr>
                                <w:rFonts w:ascii="Times New Roman" w:hAnsi="Times New Roman"/>
                                <w:sz w:val="24"/>
                                <w:szCs w:val="24"/>
                                <w:lang w:eastAsia="en-GB"/>
                              </w:rPr>
                              <w:t>revised</w:t>
                            </w:r>
                            <w:r>
                              <w:rPr>
                                <w:rFonts w:ascii="Times New Roman" w:hAnsi="Times New Roman"/>
                                <w:sz w:val="24"/>
                                <w:szCs w:val="24"/>
                                <w:lang w:eastAsia="en-GB"/>
                              </w:rPr>
                              <w:t xml:space="preserve"> Directive on Markets in Financial Instruments* (MiFID2) emission allowances are classified as financial instruments as of 3 January 2018. This means that rules applicable to traditional financial markets (those including carbon derivatives trade on leading platforms or over-the-counter (OTC)) also apply to the spot segment of the secondary carbon market (transactions in emission allowances for immediate delivery in the secondary market). This segment is thus put on equal footing with the derivatives market in terms of transparency, investor protection and integrity. Oversight in the primary market continues to be covered by the Auctioning Regulation, other than issues related to market abuse.</w:t>
                            </w:r>
                          </w:p>
                          <w:p w14:paraId="15E713A5" w14:textId="77777777" w:rsidR="00516F65" w:rsidRDefault="00516F65" w:rsidP="00E71363">
                            <w:pPr>
                              <w:jc w:val="both"/>
                              <w:rPr>
                                <w:rFonts w:ascii="Times New Roman" w:hAnsi="Times New Roman"/>
                                <w:sz w:val="24"/>
                                <w:szCs w:val="24"/>
                              </w:rPr>
                            </w:pPr>
                            <w:r>
                              <w:rPr>
                                <w:rFonts w:ascii="Times New Roman" w:hAnsi="Times New Roman"/>
                                <w:sz w:val="24"/>
                                <w:szCs w:val="24"/>
                                <w:lang w:eastAsia="en-GB"/>
                              </w:rPr>
                              <w:t>By virtue of cross-references to MiFID2 definitions of financial instruments, other pieces of financial market legislation apply. This is in particular the case for the Market Abuse Regulation (MAR)**, which covers transactions and conduct involving emission allowances, on both primary and secondary markets. Similarly, a cross-reference to MiFID2 in the Anti-Money Laundering Directive*** will trigger a mandatory application of customer due diligence checks by MiFID-licensed carbon traders to their clients in the secondary spot market in emission allowances. ****</w:t>
                            </w:r>
                          </w:p>
                          <w:p w14:paraId="5CE966A0"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Directive 2014/65/EU of the European Parliament and of the Council of 15 May 2014 on markets in financial instruments and amending Directive 2002/92/EC and Directive 2011/61/EU </w:t>
                            </w:r>
                          </w:p>
                          <w:p w14:paraId="0112DF1F"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Regulation (EU) No 596/2014 of the European Parliament and of the Council of 16 April 2014 on market abuse (market abuse regulation) and repealing Directive 2003/6/EC of the European Parliament and of the Council and Commission Directives 2003/124/EC, 2003/125/EC and 2004/72/EC</w:t>
                            </w:r>
                          </w:p>
                          <w:p w14:paraId="4C065751" w14:textId="77777777" w:rsidR="00516F65" w:rsidRDefault="00516F65" w:rsidP="00E71363">
                            <w:pPr>
                              <w:jc w:val="both"/>
                              <w:rPr>
                                <w:rFonts w:ascii="Times New Roman" w:hAnsi="Times New Roman"/>
                                <w:sz w:val="18"/>
                                <w:szCs w:val="18"/>
                              </w:rPr>
                            </w:pPr>
                            <w:r>
                              <w:rPr>
                                <w:rFonts w:ascii="Times New Roman" w:hAnsi="Times New Roman"/>
                                <w:sz w:val="18"/>
                                <w:szCs w:val="18"/>
                              </w:rPr>
                              <w:t xml:space="preserve">*** 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w:t>
                            </w:r>
                          </w:p>
                          <w:p w14:paraId="2A509AF7" w14:textId="77777777" w:rsidR="00516F65" w:rsidRDefault="00516F65" w:rsidP="00E71363">
                            <w:pPr>
                              <w:jc w:val="both"/>
                              <w:rPr>
                                <w:rFonts w:ascii="Times New Roman" w:hAnsi="Times New Roman"/>
                                <w:sz w:val="18"/>
                                <w:szCs w:val="18"/>
                              </w:rPr>
                            </w:pPr>
                            <w:r>
                              <w:rPr>
                                <w:rFonts w:ascii="Times New Roman" w:hAnsi="Times New Roman"/>
                                <w:sz w:val="18"/>
                                <w:szCs w:val="18"/>
                              </w:rPr>
                              <w:t>****Due diligence checks are already mandatory in the primary market and in the secondary market in emission allowances' derivatives.</w:t>
                            </w:r>
                          </w:p>
                        </w:txbxContent>
                      </wps:txbx>
                      <wps:bodyPr rot="0" vert="horz" wrap="square" lIns="91440" tIns="45720" rIns="91440" bIns="45720" anchor="t" anchorCtr="0">
                        <a:noAutofit/>
                      </wps:bodyPr>
                    </wps:wsp>
                  </a:graphicData>
                </a:graphic>
              </wp:inline>
            </w:drawing>
          </mc:Choice>
          <mc:Fallback>
            <w:pict>
              <v:shape w14:anchorId="45945B53" id="_x0000_s1038" type="#_x0000_t202" style="width:451.3pt;height:4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" fillcolor="#d9d9d9" strokeweight="1pt">
                <v:textbox>
                  <w:txbxContent>
                    <w:p w14:paraId="149792CA" w14:textId="2F69B695" w:rsidR="00516F65" w:rsidRDefault="00516F65" w:rsidP="00E71363">
                      <w:pPr>
                        <w:jc w:val="both"/>
                        <w:rPr>
                          <w:rFonts w:ascii="Times New Roman" w:hAnsi="Times New Roman"/>
                          <w:sz w:val="24"/>
                          <w:szCs w:val="24"/>
                          <w:lang w:eastAsia="en-GB"/>
                        </w:rPr>
                      </w:pPr>
                      <w:r>
                        <w:rPr>
                          <w:rFonts w:ascii="Times New Roman" w:hAnsi="Times New Roman"/>
                          <w:sz w:val="24"/>
                          <w:szCs w:val="24"/>
                          <w:lang w:eastAsia="en-GB"/>
                        </w:rPr>
                        <w:t xml:space="preserve">Under the </w:t>
                      </w:r>
                      <w:r w:rsidR="00D3027D">
                        <w:rPr>
                          <w:rFonts w:ascii="Times New Roman" w:hAnsi="Times New Roman"/>
                          <w:sz w:val="24"/>
                          <w:szCs w:val="24"/>
                          <w:lang w:eastAsia="en-GB"/>
                        </w:rPr>
                        <w:t>revised</w:t>
                      </w:r>
                      <w:r>
                        <w:rPr>
                          <w:rFonts w:ascii="Times New Roman" w:hAnsi="Times New Roman"/>
                          <w:sz w:val="24"/>
                          <w:szCs w:val="24"/>
                          <w:lang w:eastAsia="en-GB"/>
                        </w:rPr>
                        <w:t xml:space="preserve"> Directive on Markets in Financial Instruments* (MiFID2) emission allowances are classified as financial instruments as of 3 January 2018. This means that rules applicable to traditional financial markets (those including carbon derivatives trade on leading platforms or over-the-counter (OTC)) also apply to the spot segment of the secondary carbon market (transactions in emission allowances for immediate delivery in the secondary market). This segment is thus put on equal footing with the derivatives market in terms of transparency, investor protection and integrity. Oversight in the primary market continues to be covered by the Auctioning Regulation, other than issues related to market abuse.</w:t>
                      </w:r>
                    </w:p>
                    <w:p w14:paraId="15E713A5" w14:textId="77777777" w:rsidR="00516F65" w:rsidRDefault="00516F65" w:rsidP="00E71363">
                      <w:pPr>
                        <w:jc w:val="both"/>
                        <w:rPr>
                          <w:rFonts w:ascii="Times New Roman" w:hAnsi="Times New Roman"/>
                          <w:sz w:val="24"/>
                          <w:szCs w:val="24"/>
                        </w:rPr>
                      </w:pPr>
                      <w:r>
                        <w:rPr>
                          <w:rFonts w:ascii="Times New Roman" w:hAnsi="Times New Roman"/>
                          <w:sz w:val="24"/>
                          <w:szCs w:val="24"/>
                          <w:lang w:eastAsia="en-GB"/>
                        </w:rPr>
                        <w:t>By virtue of cross-references to MiFID2 definitions of financial instruments, other pieces of financial market legislation apply. This is in particular the case for the Market Abuse Regulation (MAR)**, which covers transactions and conduct involving emission allowances, on both primary and secondary markets. Similarly, a cross-reference to MiFID2 in the Anti-Money Laundering Directive*** will trigger a mandatory application of customer due diligence checks by MiFID-licensed carbon traders to their clients in the secondary spot market in emission allowances. ****</w:t>
                      </w:r>
                    </w:p>
                    <w:p w14:paraId="5CE966A0"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 xml:space="preserve">Directive 2014/65/EU of the European Parliament and of the Council of 15 May 2014 on markets in financial instruments and amending Directive 2002/92/EC and Directive 2011/61/EU </w:t>
                      </w:r>
                    </w:p>
                    <w:p w14:paraId="0112DF1F" w14:textId="77777777" w:rsidR="00516F65" w:rsidRDefault="00516F65" w:rsidP="00E71363">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Regulation (EU) No 596/2014 of the European Parliament and of the Council of 16 April 2014 on market abuse (market abuse regulation) and repealing Directive 2003/6/EC of the European Parliament and of the Council and Commission Directives 2003/124/EC, 2003/125/EC and 2004/72/EC</w:t>
                      </w:r>
                    </w:p>
                    <w:p w14:paraId="4C065751" w14:textId="77777777" w:rsidR="00516F65" w:rsidRDefault="00516F65" w:rsidP="00E71363">
                      <w:pPr>
                        <w:jc w:val="both"/>
                        <w:rPr>
                          <w:rFonts w:ascii="Times New Roman" w:hAnsi="Times New Roman"/>
                          <w:sz w:val="18"/>
                          <w:szCs w:val="18"/>
                        </w:rPr>
                      </w:pPr>
                      <w:r>
                        <w:rPr>
                          <w:rFonts w:ascii="Times New Roman" w:hAnsi="Times New Roman"/>
                          <w:sz w:val="18"/>
                          <w:szCs w:val="18"/>
                        </w:rPr>
                        <w:t xml:space="preserve">*** 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w:t>
                      </w:r>
                    </w:p>
                    <w:p w14:paraId="2A509AF7" w14:textId="77777777" w:rsidR="00516F65" w:rsidRDefault="00516F65" w:rsidP="00E71363">
                      <w:pPr>
                        <w:jc w:val="both"/>
                        <w:rPr>
                          <w:rFonts w:ascii="Times New Roman" w:hAnsi="Times New Roman"/>
                          <w:sz w:val="18"/>
                          <w:szCs w:val="18"/>
                        </w:rPr>
                      </w:pPr>
                      <w:r>
                        <w:rPr>
                          <w:rFonts w:ascii="Times New Roman" w:hAnsi="Times New Roman"/>
                          <w:sz w:val="18"/>
                          <w:szCs w:val="18"/>
                        </w:rPr>
                        <w:t>****Due diligence checks are already mandatory in the primary market and in the secondary market in emission allowances' derivatives.</w:t>
                      </w:r>
                    </w:p>
                  </w:txbxContent>
                </v:textbox>
                <w10:anchorlock/>
              </v:shape>
            </w:pict>
          </mc:Fallback>
        </mc:AlternateContent>
      </w:r>
    </w:p>
    <w:p w14:paraId="497D3299" w14:textId="4A833F78" w:rsidR="00E71363" w:rsidRPr="00E71363" w:rsidRDefault="00D3027D" w:rsidP="00E71363">
      <w:pPr>
        <w:jc w:val="both"/>
        <w:rPr>
          <w:rFonts w:ascii="Times New Roman" w:hAnsi="Times New Roman"/>
          <w:sz w:val="24"/>
          <w:szCs w:val="24"/>
          <w:lang w:eastAsia="en-GB"/>
        </w:rPr>
      </w:pPr>
      <w:r>
        <w:rPr>
          <w:rFonts w:ascii="Times New Roman" w:hAnsi="Times New Roman"/>
          <w:sz w:val="24"/>
          <w:szCs w:val="24"/>
          <w:lang w:eastAsia="en-GB"/>
        </w:rPr>
        <w:t>Following the</w:t>
      </w:r>
      <w:r w:rsidR="00055907">
        <w:rPr>
          <w:rFonts w:ascii="Times New Roman" w:hAnsi="Times New Roman"/>
          <w:sz w:val="24"/>
          <w:szCs w:val="24"/>
          <w:lang w:eastAsia="en-GB"/>
        </w:rPr>
        <w:t xml:space="preserve"> </w:t>
      </w:r>
      <w:r w:rsidR="00E71363" w:rsidRPr="003F30A8">
        <w:rPr>
          <w:rFonts w:ascii="Times New Roman" w:hAnsi="Times New Roman"/>
          <w:sz w:val="24"/>
          <w:szCs w:val="24"/>
          <w:lang w:eastAsia="en-GB"/>
        </w:rPr>
        <w:t>reform of the EU ETS for phase 4</w:t>
      </w:r>
      <w:r>
        <w:rPr>
          <w:rFonts w:ascii="Times New Roman" w:hAnsi="Times New Roman"/>
          <w:sz w:val="24"/>
          <w:szCs w:val="24"/>
          <w:lang w:eastAsia="en-GB"/>
        </w:rPr>
        <w:t>, a number of</w:t>
      </w:r>
      <w:r w:rsidR="00E71363" w:rsidRPr="00AD3A74">
        <w:rPr>
          <w:rFonts w:ascii="Times New Roman" w:hAnsi="Times New Roman"/>
          <w:sz w:val="24"/>
          <w:szCs w:val="24"/>
          <w:lang w:eastAsia="en-GB"/>
        </w:rPr>
        <w:t xml:space="preserve"> marke</w:t>
      </w:r>
      <w:r w:rsidR="00E71363" w:rsidRPr="00240B9A">
        <w:rPr>
          <w:rFonts w:ascii="Times New Roman" w:hAnsi="Times New Roman"/>
          <w:sz w:val="24"/>
          <w:szCs w:val="24"/>
          <w:lang w:eastAsia="en-GB"/>
        </w:rPr>
        <w:t xml:space="preserve">t participants such as major financial players and brokers have re-joined the market. The number of participants eligible to bid in the auctions at the common auction platform increased from 73 (January 2018) to 79 (December 2018). </w:t>
      </w:r>
      <w:r w:rsidR="00E71363" w:rsidRPr="004611B0">
        <w:rPr>
          <w:rFonts w:ascii="Times New Roman" w:hAnsi="Times New Roman"/>
          <w:sz w:val="24"/>
          <w:szCs w:val="24"/>
          <w:lang w:eastAsia="en-GB"/>
        </w:rPr>
        <w:t>The vast majority of participants were operators (73%), while the remainder consisted of investment firms and credit institutions (19%), as well as persons exempt from MiFID requirements (8%).</w:t>
      </w:r>
      <w:r w:rsidR="00B508EC">
        <w:rPr>
          <w:rStyle w:val="FootnoteReference"/>
          <w:rFonts w:ascii="Times New Roman" w:hAnsi="Times New Roman"/>
          <w:sz w:val="24"/>
          <w:szCs w:val="24"/>
          <w:lang w:eastAsia="en-GB"/>
        </w:rPr>
        <w:footnoteReference w:id="58"/>
      </w:r>
      <w:r w:rsidR="00E71363" w:rsidRPr="00E71363">
        <w:rPr>
          <w:rFonts w:ascii="Times New Roman" w:hAnsi="Times New Roman"/>
          <w:sz w:val="24"/>
          <w:szCs w:val="24"/>
          <w:lang w:eastAsia="en-GB"/>
        </w:rPr>
        <w:t xml:space="preserve"> </w:t>
      </w:r>
      <w:r w:rsidR="00E71363" w:rsidRPr="00516F65">
        <w:rPr>
          <w:rFonts w:ascii="Times New Roman" w:hAnsi="Times New Roman"/>
          <w:sz w:val="24"/>
          <w:szCs w:val="24"/>
          <w:lang w:eastAsia="en-GB"/>
        </w:rPr>
        <w:t>In comparison, when auctions started in late 2012, there were 42 participants eligible to bid in the auctions, out of which 67% were operators, 26% investment firms and credit institutions</w:t>
      </w:r>
      <w:r w:rsidR="00B75E76">
        <w:rPr>
          <w:rFonts w:ascii="Times New Roman" w:hAnsi="Times New Roman"/>
          <w:sz w:val="24"/>
          <w:szCs w:val="24"/>
          <w:lang w:eastAsia="en-GB"/>
        </w:rPr>
        <w:t>,</w:t>
      </w:r>
      <w:r w:rsidR="00E71363" w:rsidRPr="00516F65">
        <w:rPr>
          <w:rFonts w:ascii="Times New Roman" w:hAnsi="Times New Roman"/>
          <w:sz w:val="24"/>
          <w:szCs w:val="24"/>
          <w:lang w:eastAsia="en-GB"/>
        </w:rPr>
        <w:t xml:space="preserve"> and 7% non-financial intermediaries</w:t>
      </w:r>
      <w:r w:rsidR="00E71363" w:rsidRPr="00516F65">
        <w:rPr>
          <w:rFonts w:ascii="Times New Roman" w:hAnsi="Times New Roman"/>
          <w:sz w:val="24"/>
          <w:szCs w:val="24"/>
          <w:vertAlign w:val="superscript"/>
          <w:lang w:eastAsia="en-GB"/>
        </w:rPr>
        <w:footnoteReference w:id="59"/>
      </w:r>
      <w:r w:rsidR="00E71363" w:rsidRPr="00516F65">
        <w:rPr>
          <w:rFonts w:ascii="Times New Roman" w:hAnsi="Times New Roman"/>
          <w:sz w:val="24"/>
          <w:szCs w:val="24"/>
          <w:lang w:eastAsia="en-GB"/>
        </w:rPr>
        <w:t>.</w:t>
      </w:r>
    </w:p>
    <w:p w14:paraId="630AF4A4" w14:textId="77777777" w:rsidR="00E71363" w:rsidRPr="004724FA" w:rsidRDefault="00E71363" w:rsidP="00E71363">
      <w:pPr>
        <w:jc w:val="both"/>
        <w:rPr>
          <w:rFonts w:ascii="Times New Roman" w:hAnsi="Times New Roman"/>
          <w:sz w:val="24"/>
          <w:szCs w:val="24"/>
          <w:lang w:eastAsia="en-GB"/>
        </w:rPr>
      </w:pPr>
      <w:r w:rsidRPr="004724FA">
        <w:rPr>
          <w:rFonts w:ascii="Times New Roman" w:hAnsi="Times New Roman"/>
          <w:sz w:val="24"/>
          <w:szCs w:val="24"/>
          <w:lang w:eastAsia="en-GB"/>
        </w:rPr>
        <w:t>Under the existing market abuse rules, the national competent authorities</w:t>
      </w:r>
      <w:r w:rsidRPr="004724FA">
        <w:rPr>
          <w:rFonts w:ascii="Times New Roman" w:hAnsi="Times New Roman"/>
          <w:sz w:val="24"/>
          <w:szCs w:val="24"/>
          <w:vertAlign w:val="superscript"/>
          <w:lang w:eastAsia="en-GB"/>
        </w:rPr>
        <w:footnoteReference w:id="60"/>
      </w:r>
      <w:r w:rsidRPr="004724FA">
        <w:rPr>
          <w:rFonts w:ascii="Times New Roman" w:hAnsi="Times New Roman"/>
          <w:sz w:val="24"/>
          <w:szCs w:val="24"/>
          <w:lang w:eastAsia="en-GB"/>
        </w:rPr>
        <w:t xml:space="preserve"> </w:t>
      </w:r>
      <w:r w:rsidRPr="00516F65">
        <w:rPr>
          <w:rFonts w:ascii="Times New Roman" w:hAnsi="Times New Roman"/>
          <w:sz w:val="24"/>
          <w:szCs w:val="24"/>
          <w:lang w:eastAsia="en-GB"/>
        </w:rPr>
        <w:t>are responsible for monitoring the market,</w:t>
      </w:r>
      <w:r w:rsidRPr="004724FA">
        <w:rPr>
          <w:rFonts w:ascii="Times New Roman" w:hAnsi="Times New Roman"/>
          <w:sz w:val="24"/>
          <w:szCs w:val="24"/>
          <w:lang w:eastAsia="en-GB"/>
        </w:rPr>
        <w:t xml:space="preserve"> both with respect to the auctions and the secondary market. At European level, their actions are coordinated by the European Securities and Markets Authority (ESMA), as is the case for other financial instruments. </w:t>
      </w:r>
    </w:p>
    <w:p w14:paraId="36582859" w14:textId="45636C6F" w:rsidR="00E71363" w:rsidRPr="003F30A8" w:rsidRDefault="00E71363" w:rsidP="00E71363">
      <w:pPr>
        <w:jc w:val="both"/>
        <w:rPr>
          <w:rFonts w:ascii="Times New Roman" w:hAnsi="Times New Roman"/>
          <w:sz w:val="24"/>
          <w:szCs w:val="24"/>
          <w:lang w:eastAsia="en-GB"/>
        </w:rPr>
      </w:pPr>
      <w:r w:rsidRPr="004724FA">
        <w:rPr>
          <w:rFonts w:ascii="Times New Roman" w:hAnsi="Times New Roman"/>
          <w:sz w:val="24"/>
          <w:szCs w:val="24"/>
          <w:lang w:eastAsia="en-GB"/>
        </w:rPr>
        <w:t xml:space="preserve">The national competent authorities </w:t>
      </w:r>
      <w:r w:rsidRPr="00516F65">
        <w:rPr>
          <w:rFonts w:ascii="Times New Roman" w:hAnsi="Times New Roman"/>
          <w:sz w:val="24"/>
          <w:szCs w:val="24"/>
          <w:lang w:eastAsia="en-GB"/>
        </w:rPr>
        <w:t>have the power to impose</w:t>
      </w:r>
      <w:r w:rsidRPr="004724FA">
        <w:rPr>
          <w:rFonts w:ascii="Times New Roman" w:hAnsi="Times New Roman"/>
          <w:sz w:val="24"/>
          <w:szCs w:val="24"/>
          <w:lang w:eastAsia="en-GB"/>
        </w:rPr>
        <w:t xml:space="preserve"> remedial action or sanctions when they decide that certain behaviours give rise to market abuse. In order for them to carry out their market monitoring task, </w:t>
      </w:r>
      <w:r w:rsidRPr="00516F65">
        <w:rPr>
          <w:rFonts w:ascii="Times New Roman" w:hAnsi="Times New Roman"/>
          <w:sz w:val="24"/>
          <w:szCs w:val="24"/>
          <w:lang w:eastAsia="en-GB"/>
        </w:rPr>
        <w:t>the financial markets legislation establishes a number of reporting and transparency requirements a</w:t>
      </w:r>
      <w:r w:rsidRPr="004724FA">
        <w:rPr>
          <w:rFonts w:ascii="Times New Roman" w:hAnsi="Times New Roman"/>
          <w:sz w:val="24"/>
          <w:szCs w:val="24"/>
          <w:lang w:eastAsia="en-GB"/>
        </w:rPr>
        <w:t xml:space="preserve">pplicable to trading venues and investment firms. </w:t>
      </w:r>
      <w:r w:rsidR="00B508EC" w:rsidRPr="003F30A8">
        <w:rPr>
          <w:rFonts w:ascii="Times New Roman" w:hAnsi="Times New Roman"/>
          <w:sz w:val="24"/>
          <w:szCs w:val="24"/>
          <w:lang w:eastAsia="en-GB"/>
        </w:rPr>
        <w:t xml:space="preserve">As part of the reporting </w:t>
      </w:r>
      <w:r w:rsidRPr="003F30A8">
        <w:rPr>
          <w:rFonts w:ascii="Times New Roman" w:hAnsi="Times New Roman"/>
          <w:sz w:val="24"/>
          <w:szCs w:val="24"/>
          <w:lang w:eastAsia="en-GB"/>
        </w:rPr>
        <w:t>requirement</w:t>
      </w:r>
      <w:r w:rsidR="00B508EC" w:rsidRPr="003F30A8">
        <w:rPr>
          <w:rFonts w:ascii="Times New Roman" w:hAnsi="Times New Roman"/>
          <w:sz w:val="24"/>
          <w:szCs w:val="24"/>
          <w:lang w:eastAsia="en-GB"/>
        </w:rPr>
        <w:t>s,</w:t>
      </w:r>
      <w:r w:rsidR="00A75105" w:rsidRPr="003F30A8">
        <w:rPr>
          <w:rFonts w:ascii="Times New Roman" w:hAnsi="Times New Roman"/>
          <w:sz w:val="24"/>
          <w:szCs w:val="24"/>
          <w:lang w:eastAsia="en-GB"/>
        </w:rPr>
        <w:t xml:space="preserve"> </w:t>
      </w:r>
      <w:r w:rsidRPr="003F30A8">
        <w:rPr>
          <w:rFonts w:ascii="Times New Roman" w:hAnsi="Times New Roman"/>
          <w:sz w:val="24"/>
          <w:szCs w:val="24"/>
          <w:lang w:eastAsia="en-GB"/>
        </w:rPr>
        <w:t>trading venues and investment firms</w:t>
      </w:r>
      <w:r w:rsidR="00B508EC" w:rsidRPr="003F30A8">
        <w:rPr>
          <w:rFonts w:ascii="Times New Roman" w:hAnsi="Times New Roman"/>
          <w:sz w:val="24"/>
          <w:szCs w:val="24"/>
          <w:lang w:eastAsia="en-GB"/>
        </w:rPr>
        <w:t xml:space="preserve"> have</w:t>
      </w:r>
      <w:r w:rsidRPr="003F30A8">
        <w:rPr>
          <w:rFonts w:ascii="Times New Roman" w:hAnsi="Times New Roman"/>
          <w:sz w:val="24"/>
          <w:szCs w:val="24"/>
          <w:lang w:eastAsia="en-GB"/>
        </w:rPr>
        <w:t xml:space="preserve"> to communicate to the competent authorities detailed data on transactions in emission allowances or derivatives thereof, carried out on the trading venues and over-the-counter (OTC)</w:t>
      </w:r>
      <w:r w:rsidRPr="003F30A8">
        <w:rPr>
          <w:rFonts w:ascii="Times New Roman" w:hAnsi="Times New Roman"/>
          <w:sz w:val="24"/>
          <w:szCs w:val="24"/>
          <w:vertAlign w:val="superscript"/>
          <w:lang w:eastAsia="en-GB"/>
        </w:rPr>
        <w:footnoteReference w:id="61"/>
      </w:r>
      <w:r w:rsidRPr="003F30A8">
        <w:rPr>
          <w:rFonts w:ascii="Times New Roman" w:hAnsi="Times New Roman"/>
          <w:sz w:val="24"/>
          <w:szCs w:val="24"/>
          <w:lang w:eastAsia="en-GB"/>
        </w:rPr>
        <w:t xml:space="preserve">. </w:t>
      </w:r>
      <w:r w:rsidR="00B508EC" w:rsidRPr="003F30A8">
        <w:rPr>
          <w:rFonts w:ascii="Times New Roman" w:hAnsi="Times New Roman"/>
          <w:sz w:val="24"/>
          <w:szCs w:val="24"/>
          <w:lang w:eastAsia="en-GB"/>
        </w:rPr>
        <w:t xml:space="preserve">The reporting requirements </w:t>
      </w:r>
      <w:r w:rsidRPr="003F30A8">
        <w:rPr>
          <w:rFonts w:ascii="Times New Roman" w:hAnsi="Times New Roman"/>
          <w:sz w:val="24"/>
          <w:szCs w:val="24"/>
          <w:lang w:eastAsia="en-GB"/>
        </w:rPr>
        <w:t>also include an obligation for trading venues and investment firms to provide the competent authorities with position data as regards emission allowances</w:t>
      </w:r>
      <w:r w:rsidRPr="003F30A8">
        <w:rPr>
          <w:rFonts w:ascii="Times New Roman" w:hAnsi="Times New Roman"/>
          <w:sz w:val="24"/>
          <w:szCs w:val="24"/>
          <w:vertAlign w:val="superscript"/>
          <w:lang w:eastAsia="en-GB"/>
        </w:rPr>
        <w:footnoteReference w:id="62"/>
      </w:r>
      <w:r w:rsidRPr="003F30A8">
        <w:rPr>
          <w:rFonts w:ascii="Times New Roman" w:hAnsi="Times New Roman"/>
          <w:sz w:val="24"/>
          <w:szCs w:val="24"/>
          <w:lang w:eastAsia="en-GB"/>
        </w:rPr>
        <w:t xml:space="preserve">. </w:t>
      </w:r>
      <w:r w:rsidR="00B508EC" w:rsidRPr="003F30A8">
        <w:rPr>
          <w:rFonts w:ascii="Times New Roman" w:hAnsi="Times New Roman"/>
          <w:sz w:val="24"/>
          <w:szCs w:val="24"/>
          <w:lang w:eastAsia="en-GB"/>
        </w:rPr>
        <w:t xml:space="preserve">As part of the transparency requirements, </w:t>
      </w:r>
      <w:r w:rsidRPr="003F30A8">
        <w:rPr>
          <w:rFonts w:ascii="Times New Roman" w:hAnsi="Times New Roman"/>
          <w:sz w:val="24"/>
          <w:szCs w:val="24"/>
          <w:lang w:eastAsia="en-GB"/>
        </w:rPr>
        <w:t>trade data</w:t>
      </w:r>
      <w:r w:rsidR="00B508EC" w:rsidRPr="003F30A8">
        <w:rPr>
          <w:rStyle w:val="FootnoteReference"/>
          <w:rFonts w:ascii="Times New Roman" w:hAnsi="Times New Roman"/>
          <w:sz w:val="24"/>
          <w:szCs w:val="24"/>
          <w:lang w:eastAsia="en-GB"/>
        </w:rPr>
        <w:footnoteReference w:id="63"/>
      </w:r>
      <w:r w:rsidRPr="003F30A8">
        <w:rPr>
          <w:rFonts w:ascii="Times New Roman" w:hAnsi="Times New Roman"/>
          <w:sz w:val="24"/>
          <w:szCs w:val="24"/>
          <w:lang w:eastAsia="en-GB"/>
        </w:rPr>
        <w:t xml:space="preserve"> and </w:t>
      </w:r>
      <w:r w:rsidR="00B508EC" w:rsidRPr="003F30A8">
        <w:rPr>
          <w:rFonts w:ascii="Times New Roman" w:hAnsi="Times New Roman"/>
          <w:sz w:val="24"/>
          <w:szCs w:val="24"/>
          <w:lang w:eastAsia="en-GB"/>
        </w:rPr>
        <w:t xml:space="preserve">weekly aggregated </w:t>
      </w:r>
      <w:r w:rsidRPr="003F30A8">
        <w:rPr>
          <w:rFonts w:ascii="Times New Roman" w:hAnsi="Times New Roman"/>
          <w:sz w:val="24"/>
          <w:szCs w:val="24"/>
          <w:lang w:eastAsia="en-GB"/>
        </w:rPr>
        <w:t>position data</w:t>
      </w:r>
      <w:r w:rsidRPr="003F30A8">
        <w:rPr>
          <w:rFonts w:ascii="Times New Roman" w:hAnsi="Times New Roman"/>
          <w:sz w:val="24"/>
          <w:szCs w:val="24"/>
          <w:vertAlign w:val="superscript"/>
          <w:lang w:eastAsia="en-GB"/>
        </w:rPr>
        <w:footnoteReference w:id="64"/>
      </w:r>
      <w:r w:rsidR="00B508EC" w:rsidRPr="003F30A8">
        <w:rPr>
          <w:rFonts w:ascii="Times New Roman" w:hAnsi="Times New Roman"/>
          <w:sz w:val="24"/>
          <w:szCs w:val="24"/>
          <w:lang w:eastAsia="en-GB"/>
        </w:rPr>
        <w:t xml:space="preserve"> are made public by trading venues and investment firms</w:t>
      </w:r>
      <w:r w:rsidRPr="003F30A8">
        <w:rPr>
          <w:rFonts w:ascii="Times New Roman" w:hAnsi="Times New Roman"/>
          <w:sz w:val="24"/>
          <w:szCs w:val="24"/>
          <w:lang w:eastAsia="en-GB"/>
        </w:rPr>
        <w:t>.</w:t>
      </w:r>
    </w:p>
    <w:p w14:paraId="6F109FF7" w14:textId="77777777" w:rsidR="00E71363" w:rsidRDefault="00E71363" w:rsidP="00E71363">
      <w:pPr>
        <w:jc w:val="both"/>
        <w:rPr>
          <w:rFonts w:ascii="Times New Roman" w:hAnsi="Times New Roman"/>
          <w:sz w:val="24"/>
          <w:szCs w:val="24"/>
          <w:lang w:eastAsia="en-GB"/>
        </w:rPr>
      </w:pPr>
    </w:p>
    <w:p w14:paraId="6BD5CB6D" w14:textId="77777777" w:rsidR="007F5B1E" w:rsidRDefault="007F5B1E" w:rsidP="00E71363">
      <w:pPr>
        <w:jc w:val="both"/>
        <w:rPr>
          <w:rFonts w:ascii="Times New Roman" w:hAnsi="Times New Roman"/>
          <w:sz w:val="24"/>
          <w:szCs w:val="24"/>
          <w:lang w:eastAsia="en-GB"/>
        </w:rPr>
      </w:pPr>
    </w:p>
    <w:p w14:paraId="03EA08D1" w14:textId="77777777" w:rsidR="007F5B1E" w:rsidRDefault="007F5B1E" w:rsidP="00E71363">
      <w:pPr>
        <w:jc w:val="both"/>
        <w:rPr>
          <w:rFonts w:ascii="Times New Roman" w:hAnsi="Times New Roman"/>
          <w:sz w:val="24"/>
          <w:szCs w:val="24"/>
          <w:lang w:eastAsia="en-GB"/>
        </w:rPr>
      </w:pPr>
    </w:p>
    <w:p w14:paraId="4460E2E9" w14:textId="77777777" w:rsidR="007F5B1E" w:rsidRPr="00E71363" w:rsidRDefault="007F5B1E" w:rsidP="00E71363">
      <w:pPr>
        <w:jc w:val="both"/>
        <w:rPr>
          <w:rFonts w:ascii="Times New Roman" w:hAnsi="Times New Roman"/>
          <w:sz w:val="24"/>
          <w:szCs w:val="24"/>
          <w:lang w:eastAsia="en-GB"/>
        </w:rPr>
      </w:pPr>
    </w:p>
    <w:p w14:paraId="53EDEC32" w14:textId="77777777" w:rsidR="005F6BD0" w:rsidRDefault="00A52F4C">
      <w:pPr>
        <w:pStyle w:val="Heading2"/>
        <w:spacing w:before="0" w:after="200"/>
        <w:rPr>
          <w:noProof/>
        </w:rPr>
      </w:pPr>
      <w:bookmarkStart w:id="54" w:name="_Toc490850436"/>
      <w:bookmarkStart w:id="55" w:name="_Toc519009687"/>
      <w:bookmarkStart w:id="56" w:name="_Toc20217740"/>
      <w:r>
        <w:rPr>
          <w:i w:val="0"/>
          <w:noProof/>
        </w:rPr>
        <w:t>5</w:t>
      </w:r>
      <w:r w:rsidR="003A348D">
        <w:rPr>
          <w:i w:val="0"/>
          <w:noProof/>
        </w:rPr>
        <w:t>.1. The legal nature and fiscal treatment of emission allowances</w:t>
      </w:r>
      <w:bookmarkEnd w:id="54"/>
      <w:bookmarkEnd w:id="55"/>
      <w:bookmarkEnd w:id="56"/>
    </w:p>
    <w:p w14:paraId="698B150D" w14:textId="77777777" w:rsidR="005F6BD0" w:rsidRDefault="003A348D">
      <w:pPr>
        <w:jc w:val="both"/>
        <w:rPr>
          <w:rFonts w:ascii="Times New Roman" w:hAnsi="Times New Roman"/>
          <w:noProof/>
          <w:sz w:val="24"/>
          <w:szCs w:val="24"/>
        </w:rPr>
      </w:pPr>
      <w:r>
        <w:rPr>
          <w:noProof/>
          <w:lang w:eastAsia="en-GB"/>
        </w:rPr>
        <mc:AlternateContent>
          <mc:Choice Requires="wps">
            <w:drawing>
              <wp:inline distT="0" distB="0" distL="0" distR="0" wp14:anchorId="3FC0B284" wp14:editId="5E8D5B13">
                <wp:extent cx="5705856" cy="1590261"/>
                <wp:effectExtent l="0" t="0" r="28575" b="101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590261"/>
                        </a:xfrm>
                        <a:prstGeom prst="rect">
                          <a:avLst/>
                        </a:prstGeom>
                        <a:solidFill>
                          <a:schemeClr val="bg1">
                            <a:lumMod val="85000"/>
                          </a:schemeClr>
                        </a:solidFill>
                        <a:ln w="12700">
                          <a:solidFill>
                            <a:srgbClr val="000000"/>
                          </a:solidFill>
                          <a:miter lim="800000"/>
                          <a:headEnd/>
                          <a:tailEnd/>
                        </a:ln>
                      </wps:spPr>
                      <wps:txbx>
                        <w:txbxContent>
                          <w:p w14:paraId="01E0FE8C" w14:textId="256E6143" w:rsidR="00516F65" w:rsidRDefault="00516F65">
                            <w:pPr>
                              <w:jc w:val="both"/>
                              <w:rPr>
                                <w:rFonts w:ascii="Times New Roman" w:hAnsi="Times New Roman"/>
                                <w:sz w:val="24"/>
                                <w:szCs w:val="24"/>
                              </w:rPr>
                            </w:pPr>
                            <w:r>
                              <w:rPr>
                                <w:rFonts w:ascii="Times New Roman" w:hAnsi="Times New Roman"/>
                                <w:sz w:val="24"/>
                                <w:szCs w:val="24"/>
                              </w:rPr>
                              <w:t xml:space="preserve">The legal nature and fiscal treatment of emission allowances vary across countries, since these two aspects are not defined in the ETS Directive. Countries are obliged to report annually on their national regimes related to the legal nature and fiscal treatment of allowances as part of their Article 21 reports. Despite </w:t>
                            </w:r>
                            <w:r w:rsidR="00143C3B">
                              <w:rPr>
                                <w:rFonts w:ascii="Times New Roman" w:hAnsi="Times New Roman"/>
                                <w:sz w:val="24"/>
                                <w:szCs w:val="24"/>
                              </w:rPr>
                              <w:t xml:space="preserve">the absence of </w:t>
                            </w:r>
                            <w:r>
                              <w:rPr>
                                <w:rFonts w:ascii="Times New Roman" w:hAnsi="Times New Roman"/>
                                <w:sz w:val="24"/>
                                <w:szCs w:val="24"/>
                              </w:rPr>
                              <w:t>harmonisation</w:t>
                            </w:r>
                            <w:r w:rsidR="00143C3B">
                              <w:rPr>
                                <w:rFonts w:ascii="Times New Roman" w:hAnsi="Times New Roman"/>
                                <w:sz w:val="24"/>
                                <w:szCs w:val="24"/>
                              </w:rPr>
                              <w:t xml:space="preserve"> in this respect</w:t>
                            </w:r>
                            <w:r>
                              <w:rPr>
                                <w:rFonts w:ascii="Times New Roman" w:hAnsi="Times New Roman"/>
                                <w:sz w:val="24"/>
                                <w:szCs w:val="24"/>
                              </w:rPr>
                              <w:t xml:space="preserve"> </w:t>
                            </w:r>
                            <w:r w:rsidR="00D3027D">
                              <w:rPr>
                                <w:rFonts w:ascii="Times New Roman" w:hAnsi="Times New Roman"/>
                                <w:sz w:val="24"/>
                                <w:szCs w:val="24"/>
                              </w:rPr>
                              <w:t>t</w:t>
                            </w:r>
                            <w:r>
                              <w:rPr>
                                <w:rFonts w:ascii="Times New Roman" w:hAnsi="Times New Roman"/>
                                <w:sz w:val="24"/>
                                <w:szCs w:val="24"/>
                              </w:rPr>
                              <w:t xml:space="preserve">he current regulatory framework provides the necessary legal underpinnings for a </w:t>
                            </w:r>
                            <w:r w:rsidR="00D3027D">
                              <w:rPr>
                                <w:rFonts w:ascii="Times New Roman" w:hAnsi="Times New Roman"/>
                                <w:sz w:val="24"/>
                                <w:szCs w:val="24"/>
                              </w:rPr>
                              <w:t xml:space="preserve">mature, </w:t>
                            </w:r>
                            <w:r>
                              <w:rPr>
                                <w:rFonts w:ascii="Times New Roman" w:hAnsi="Times New Roman"/>
                                <w:sz w:val="24"/>
                                <w:szCs w:val="24"/>
                              </w:rPr>
                              <w:t>transparent</w:t>
                            </w:r>
                            <w:r w:rsidR="00D3027D">
                              <w:rPr>
                                <w:rFonts w:ascii="Times New Roman" w:hAnsi="Times New Roman"/>
                                <w:sz w:val="24"/>
                                <w:szCs w:val="24"/>
                              </w:rPr>
                              <w:t>,</w:t>
                            </w:r>
                            <w:r>
                              <w:rPr>
                                <w:rFonts w:ascii="Times New Roman" w:hAnsi="Times New Roman"/>
                                <w:sz w:val="24"/>
                                <w:szCs w:val="24"/>
                              </w:rPr>
                              <w:t xml:space="preserve"> and liquid carbon market, whilst ensuring the market's stability and integrity.</w:t>
                            </w:r>
                          </w:p>
                        </w:txbxContent>
                      </wps:txbx>
                      <wps:bodyPr rot="0" vert="horz" wrap="square" lIns="91440" tIns="45720" rIns="91440" bIns="45720" anchor="t" anchorCtr="0">
                        <a:noAutofit/>
                      </wps:bodyPr>
                    </wps:wsp>
                  </a:graphicData>
                </a:graphic>
              </wp:inline>
            </w:drawing>
          </mc:Choice>
          <mc:Fallback>
            <w:pict>
              <v:shape w14:anchorId="3FC0B284" id="_x0000_s1039" type="#_x0000_t202" style="width:449.3pt;height:1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" fillcolor="#d8d8d8 [2732]" strokeweight="1pt">
                <v:textbox>
                  <w:txbxContent>
                    <w:p w14:paraId="01E0FE8C" w14:textId="256E6143" w:rsidR="00516F65" w:rsidRDefault="00516F65">
                      <w:pPr>
                        <w:jc w:val="both"/>
                        <w:rPr>
                          <w:rFonts w:ascii="Times New Roman" w:hAnsi="Times New Roman"/>
                          <w:sz w:val="24"/>
                          <w:szCs w:val="24"/>
                        </w:rPr>
                      </w:pPr>
                      <w:r>
                        <w:rPr>
                          <w:rFonts w:ascii="Times New Roman" w:hAnsi="Times New Roman"/>
                          <w:sz w:val="24"/>
                          <w:szCs w:val="24"/>
                        </w:rPr>
                        <w:t xml:space="preserve">The legal nature and fiscal treatment of emission allowances vary across countries, since these two aspects are not defined in the ETS Directive. Countries are obliged to report annually on their national regimes related to the legal nature and fiscal treatment of allowances as part of their Article 21 reports. Despite </w:t>
                      </w:r>
                      <w:r w:rsidR="00143C3B">
                        <w:rPr>
                          <w:rFonts w:ascii="Times New Roman" w:hAnsi="Times New Roman"/>
                          <w:sz w:val="24"/>
                          <w:szCs w:val="24"/>
                        </w:rPr>
                        <w:t xml:space="preserve">the absence of </w:t>
                      </w:r>
                      <w:r>
                        <w:rPr>
                          <w:rFonts w:ascii="Times New Roman" w:hAnsi="Times New Roman"/>
                          <w:sz w:val="24"/>
                          <w:szCs w:val="24"/>
                        </w:rPr>
                        <w:t>harmonisation</w:t>
                      </w:r>
                      <w:r w:rsidR="00143C3B">
                        <w:rPr>
                          <w:rFonts w:ascii="Times New Roman" w:hAnsi="Times New Roman"/>
                          <w:sz w:val="24"/>
                          <w:szCs w:val="24"/>
                        </w:rPr>
                        <w:t xml:space="preserve"> in this respect</w:t>
                      </w:r>
                      <w:r>
                        <w:rPr>
                          <w:rFonts w:ascii="Times New Roman" w:hAnsi="Times New Roman"/>
                          <w:sz w:val="24"/>
                          <w:szCs w:val="24"/>
                        </w:rPr>
                        <w:t xml:space="preserve"> </w:t>
                      </w:r>
                      <w:r w:rsidR="00D3027D">
                        <w:rPr>
                          <w:rFonts w:ascii="Times New Roman" w:hAnsi="Times New Roman"/>
                          <w:sz w:val="24"/>
                          <w:szCs w:val="24"/>
                        </w:rPr>
                        <w:t>t</w:t>
                      </w:r>
                      <w:r>
                        <w:rPr>
                          <w:rFonts w:ascii="Times New Roman" w:hAnsi="Times New Roman"/>
                          <w:sz w:val="24"/>
                          <w:szCs w:val="24"/>
                        </w:rPr>
                        <w:t xml:space="preserve">he current regulatory framework provides the necessary legal underpinnings for a </w:t>
                      </w:r>
                      <w:r w:rsidR="00D3027D">
                        <w:rPr>
                          <w:rFonts w:ascii="Times New Roman" w:hAnsi="Times New Roman"/>
                          <w:sz w:val="24"/>
                          <w:szCs w:val="24"/>
                        </w:rPr>
                        <w:t xml:space="preserve">mature, </w:t>
                      </w:r>
                      <w:r>
                        <w:rPr>
                          <w:rFonts w:ascii="Times New Roman" w:hAnsi="Times New Roman"/>
                          <w:sz w:val="24"/>
                          <w:szCs w:val="24"/>
                        </w:rPr>
                        <w:t>transparent</w:t>
                      </w:r>
                      <w:r w:rsidR="00D3027D">
                        <w:rPr>
                          <w:rFonts w:ascii="Times New Roman" w:hAnsi="Times New Roman"/>
                          <w:sz w:val="24"/>
                          <w:szCs w:val="24"/>
                        </w:rPr>
                        <w:t>,</w:t>
                      </w:r>
                      <w:r>
                        <w:rPr>
                          <w:rFonts w:ascii="Times New Roman" w:hAnsi="Times New Roman"/>
                          <w:sz w:val="24"/>
                          <w:szCs w:val="24"/>
                        </w:rPr>
                        <w:t xml:space="preserve"> and liquid carbon market, whilst ensuring the market's stability and integrity.</w:t>
                      </w:r>
                    </w:p>
                  </w:txbxContent>
                </v:textbox>
                <w10:anchorlock/>
              </v:shape>
            </w:pict>
          </mc:Fallback>
        </mc:AlternateContent>
      </w:r>
    </w:p>
    <w:p w14:paraId="17B37A3A" w14:textId="77777777" w:rsidR="006C7E2B" w:rsidRPr="006C7E2B" w:rsidRDefault="000836BF" w:rsidP="00E72EF9">
      <w:pPr>
        <w:jc w:val="both"/>
        <w:rPr>
          <w:rFonts w:ascii="Times New Roman" w:eastAsia="Times New Roman" w:hAnsi="Times New Roman"/>
          <w:bCs/>
          <w:sz w:val="24"/>
          <w:szCs w:val="24"/>
          <w:lang w:eastAsia="fr-FR"/>
        </w:rPr>
      </w:pPr>
      <w:r>
        <w:rPr>
          <w:rFonts w:ascii="Times New Roman" w:hAnsi="Times New Roman"/>
          <w:noProof/>
          <w:sz w:val="24"/>
          <w:szCs w:val="24"/>
        </w:rPr>
        <w:t>Following a</w:t>
      </w:r>
      <w:r w:rsidRPr="000836BF">
        <w:rPr>
          <w:rFonts w:ascii="Times New Roman" w:hAnsi="Times New Roman"/>
          <w:noProof/>
          <w:sz w:val="24"/>
          <w:szCs w:val="24"/>
        </w:rPr>
        <w:t xml:space="preserve"> recommendation of the European Court of Audi</w:t>
      </w:r>
      <w:r>
        <w:rPr>
          <w:rFonts w:ascii="Times New Roman" w:hAnsi="Times New Roman"/>
          <w:noProof/>
          <w:sz w:val="24"/>
          <w:szCs w:val="24"/>
        </w:rPr>
        <w:t xml:space="preserve">tors, in July 2019 the Commission </w:t>
      </w:r>
      <w:r w:rsidR="00D3027D">
        <w:rPr>
          <w:rFonts w:ascii="Times New Roman" w:hAnsi="Times New Roman"/>
          <w:noProof/>
          <w:sz w:val="24"/>
          <w:szCs w:val="24"/>
        </w:rPr>
        <w:t xml:space="preserve">published </w:t>
      </w:r>
      <w:r>
        <w:rPr>
          <w:rFonts w:ascii="Times New Roman" w:hAnsi="Times New Roman"/>
          <w:noProof/>
          <w:sz w:val="24"/>
          <w:szCs w:val="24"/>
        </w:rPr>
        <w:t xml:space="preserve"> a study</w:t>
      </w:r>
      <w:r>
        <w:rPr>
          <w:rStyle w:val="FootnoteReference"/>
          <w:rFonts w:ascii="Times New Roman" w:hAnsi="Times New Roman"/>
          <w:noProof/>
          <w:sz w:val="24"/>
          <w:szCs w:val="24"/>
        </w:rPr>
        <w:footnoteReference w:id="65"/>
      </w:r>
      <w:r>
        <w:rPr>
          <w:rFonts w:ascii="Times New Roman" w:hAnsi="Times New Roman"/>
          <w:noProof/>
          <w:sz w:val="24"/>
          <w:szCs w:val="24"/>
        </w:rPr>
        <w:t xml:space="preserve"> on the legal nature of allowances.</w:t>
      </w:r>
      <w:r w:rsidR="00267386">
        <w:rPr>
          <w:rFonts w:ascii="Times New Roman" w:hAnsi="Times New Roman"/>
          <w:noProof/>
          <w:sz w:val="24"/>
          <w:szCs w:val="24"/>
        </w:rPr>
        <w:t xml:space="preserve"> </w:t>
      </w:r>
      <w:r w:rsidR="006C7E2B" w:rsidRPr="00516F65">
        <w:rPr>
          <w:rFonts w:ascii="Times New Roman" w:eastAsia="Times New Roman" w:hAnsi="Times New Roman"/>
          <w:sz w:val="24"/>
          <w:szCs w:val="24"/>
          <w:lang w:eastAsia="fr-FR"/>
        </w:rPr>
        <w:t xml:space="preserve">The study, conducted by an independent consultant, </w:t>
      </w:r>
      <w:r w:rsidR="006C7E2B" w:rsidRPr="00516F65">
        <w:rPr>
          <w:rFonts w:ascii="Times New Roman" w:eastAsia="Times New Roman" w:hAnsi="Times New Roman"/>
          <w:bCs/>
          <w:sz w:val="24"/>
          <w:szCs w:val="24"/>
          <w:lang w:eastAsia="fr-FR"/>
        </w:rPr>
        <w:t>did not identify practical problems linked to the lack of definition of the legal nature of allowances. It concluded that a harmonised definition would not provide more legal certainty, nor would it necessarily have an impact on the liquidity of the</w:t>
      </w:r>
      <w:r w:rsidR="006C7E2B" w:rsidRPr="00516F65">
        <w:rPr>
          <w:rFonts w:ascii="Times New Roman" w:eastAsia="Times New Roman" w:hAnsi="Times New Roman"/>
          <w:b/>
          <w:bCs/>
          <w:sz w:val="24"/>
          <w:szCs w:val="24"/>
          <w:lang w:eastAsia="fr-FR"/>
        </w:rPr>
        <w:t xml:space="preserve"> </w:t>
      </w:r>
      <w:r w:rsidR="006C7E2B" w:rsidRPr="00516F65">
        <w:rPr>
          <w:rFonts w:ascii="Times New Roman" w:eastAsia="Times New Roman" w:hAnsi="Times New Roman"/>
          <w:bCs/>
          <w:sz w:val="24"/>
          <w:szCs w:val="24"/>
          <w:lang w:eastAsia="fr-FR"/>
        </w:rPr>
        <w:t>carbon market.</w:t>
      </w:r>
      <w:r w:rsidR="006A69C6" w:rsidRPr="00516F65">
        <w:rPr>
          <w:rFonts w:ascii="Times New Roman" w:eastAsia="Times New Roman" w:hAnsi="Times New Roman"/>
          <w:bCs/>
          <w:sz w:val="24"/>
          <w:szCs w:val="24"/>
          <w:lang w:eastAsia="fr-FR"/>
        </w:rPr>
        <w:t xml:space="preserve"> </w:t>
      </w:r>
      <w:r w:rsidR="006C7E2B" w:rsidRPr="00516F65">
        <w:rPr>
          <w:rFonts w:ascii="Times New Roman" w:eastAsia="Times New Roman" w:hAnsi="Times New Roman"/>
          <w:bCs/>
          <w:sz w:val="24"/>
          <w:szCs w:val="24"/>
          <w:lang w:eastAsia="fr-FR"/>
        </w:rPr>
        <w:t>While no legislative initiatives were recommended, the study suggested that information, advice, training and capacity-building should be provided to operators</w:t>
      </w:r>
      <w:r w:rsidR="006C7E2B" w:rsidRPr="00516F65">
        <w:rPr>
          <w:rFonts w:ascii="Times New Roman" w:eastAsia="Times New Roman" w:hAnsi="Times New Roman"/>
          <w:sz w:val="16"/>
          <w:szCs w:val="16"/>
          <w:lang w:eastAsia="en-GB"/>
        </w:rPr>
        <w:t xml:space="preserve"> </w:t>
      </w:r>
      <w:r w:rsidR="006C7E2B" w:rsidRPr="00516F65">
        <w:rPr>
          <w:rFonts w:ascii="Times New Roman" w:eastAsia="Times New Roman" w:hAnsi="Times New Roman"/>
          <w:sz w:val="24"/>
          <w:szCs w:val="24"/>
          <w:lang w:eastAsia="en-GB"/>
        </w:rPr>
        <w:t>f</w:t>
      </w:r>
      <w:r w:rsidR="006C7E2B" w:rsidRPr="00516F65">
        <w:rPr>
          <w:rFonts w:ascii="Times New Roman" w:eastAsia="Times New Roman" w:hAnsi="Times New Roman"/>
          <w:bCs/>
          <w:sz w:val="24"/>
          <w:szCs w:val="24"/>
          <w:lang w:eastAsia="fr-FR"/>
        </w:rPr>
        <w:t>ollowing the classification of allowances as financial instruments by MiFID</w:t>
      </w:r>
      <w:r w:rsidR="000A23BB" w:rsidRPr="00516F65">
        <w:rPr>
          <w:rFonts w:ascii="Times New Roman" w:eastAsia="Times New Roman" w:hAnsi="Times New Roman"/>
          <w:bCs/>
          <w:sz w:val="24"/>
          <w:szCs w:val="24"/>
          <w:lang w:eastAsia="fr-FR"/>
        </w:rPr>
        <w:t>2</w:t>
      </w:r>
      <w:r w:rsidR="006C7E2B" w:rsidRPr="00516F65">
        <w:rPr>
          <w:rFonts w:ascii="Times New Roman" w:eastAsia="Times New Roman" w:hAnsi="Times New Roman"/>
          <w:bCs/>
          <w:sz w:val="24"/>
          <w:szCs w:val="24"/>
          <w:vertAlign w:val="superscript"/>
          <w:lang w:eastAsia="fr-FR"/>
        </w:rPr>
        <w:footnoteReference w:id="66"/>
      </w:r>
      <w:r w:rsidR="006C7E2B" w:rsidRPr="00516F65">
        <w:rPr>
          <w:rFonts w:ascii="Times New Roman" w:eastAsia="Times New Roman" w:hAnsi="Times New Roman"/>
          <w:bCs/>
          <w:sz w:val="24"/>
          <w:szCs w:val="24"/>
          <w:lang w:eastAsia="fr-FR"/>
        </w:rPr>
        <w:t>.</w:t>
      </w:r>
      <w:r w:rsidR="006C7E2B" w:rsidRPr="006C7E2B">
        <w:rPr>
          <w:rFonts w:ascii="Times New Roman" w:eastAsia="Times New Roman" w:hAnsi="Times New Roman"/>
          <w:bCs/>
          <w:sz w:val="24"/>
          <w:szCs w:val="24"/>
          <w:lang w:eastAsia="fr-FR"/>
        </w:rPr>
        <w:t xml:space="preserve"> </w:t>
      </w:r>
    </w:p>
    <w:p w14:paraId="5B64C920" w14:textId="77777777" w:rsidR="005F6BD0" w:rsidRDefault="003A348D">
      <w:pPr>
        <w:jc w:val="both"/>
        <w:rPr>
          <w:rFonts w:ascii="Times New Roman" w:hAnsi="Times New Roman"/>
          <w:noProof/>
          <w:sz w:val="24"/>
          <w:szCs w:val="24"/>
        </w:rPr>
      </w:pPr>
      <w:r>
        <w:rPr>
          <w:rFonts w:ascii="Times New Roman" w:hAnsi="Times New Roman"/>
          <w:noProof/>
          <w:sz w:val="24"/>
          <w:szCs w:val="24"/>
        </w:rPr>
        <w:t xml:space="preserve">As regards the fiscal treatment of allowances, </w:t>
      </w:r>
      <w:r w:rsidR="00A97B86">
        <w:rPr>
          <w:rFonts w:ascii="Times New Roman" w:hAnsi="Times New Roman"/>
          <w:noProof/>
          <w:sz w:val="24"/>
          <w:szCs w:val="24"/>
        </w:rPr>
        <w:t>three</w:t>
      </w:r>
      <w:r>
        <w:rPr>
          <w:rFonts w:ascii="Times New Roman" w:hAnsi="Times New Roman"/>
          <w:noProof/>
          <w:sz w:val="24"/>
          <w:szCs w:val="24"/>
        </w:rPr>
        <w:t xml:space="preserve"> countries report that value added tax (VAT) applies to the issuance of emission allowances. In contrast, VAT is due on transaction of emission allowances on the secondary </w:t>
      </w:r>
      <w:r w:rsidRPr="00A75105">
        <w:rPr>
          <w:rFonts w:ascii="Times New Roman" w:hAnsi="Times New Roman"/>
          <w:noProof/>
          <w:sz w:val="24"/>
          <w:szCs w:val="24"/>
        </w:rPr>
        <w:t>market i</w:t>
      </w:r>
      <w:r w:rsidR="00430F7D" w:rsidRPr="00A75105">
        <w:rPr>
          <w:rFonts w:ascii="Times New Roman" w:hAnsi="Times New Roman"/>
          <w:noProof/>
          <w:sz w:val="24"/>
          <w:szCs w:val="24"/>
        </w:rPr>
        <w:t>n 27</w:t>
      </w:r>
      <w:r w:rsidR="00430F7D">
        <w:rPr>
          <w:rFonts w:ascii="Times New Roman" w:hAnsi="Times New Roman"/>
          <w:noProof/>
          <w:sz w:val="24"/>
          <w:szCs w:val="24"/>
        </w:rPr>
        <w:t xml:space="preserve"> </w:t>
      </w:r>
      <w:r>
        <w:rPr>
          <w:rFonts w:ascii="Times New Roman" w:hAnsi="Times New Roman"/>
          <w:noProof/>
          <w:sz w:val="24"/>
          <w:szCs w:val="24"/>
        </w:rPr>
        <w:t>participating countries</w:t>
      </w:r>
      <w:r w:rsidR="00375C63">
        <w:rPr>
          <w:rFonts w:ascii="Times New Roman" w:hAnsi="Times New Roman"/>
          <w:noProof/>
          <w:sz w:val="24"/>
          <w:szCs w:val="24"/>
        </w:rPr>
        <w:t>.</w:t>
      </w:r>
      <w:r w:rsidR="001179D2">
        <w:rPr>
          <w:rFonts w:ascii="Times New Roman" w:hAnsi="Times New Roman"/>
          <w:noProof/>
          <w:sz w:val="24"/>
          <w:szCs w:val="24"/>
        </w:rPr>
        <w:t xml:space="preserve"> </w:t>
      </w:r>
      <w:r>
        <w:rPr>
          <w:rFonts w:ascii="Times New Roman" w:hAnsi="Times New Roman"/>
          <w:noProof/>
          <w:sz w:val="24"/>
          <w:szCs w:val="24"/>
        </w:rPr>
        <w:t>The majority of countries</w:t>
      </w:r>
      <w:r w:rsidR="00267386">
        <w:rPr>
          <w:rFonts w:ascii="Times New Roman" w:hAnsi="Times New Roman"/>
          <w:noProof/>
          <w:sz w:val="24"/>
          <w:szCs w:val="24"/>
        </w:rPr>
        <w:t xml:space="preserve"> </w:t>
      </w:r>
      <w:r>
        <w:rPr>
          <w:rFonts w:ascii="Times New Roman" w:hAnsi="Times New Roman"/>
          <w:noProof/>
          <w:sz w:val="24"/>
          <w:szCs w:val="24"/>
        </w:rPr>
        <w:t xml:space="preserve">report that they apply the reverse-charge mechanism on domestic transactions involving emission allowances. The reverse charge derogation </w:t>
      </w:r>
      <w:r w:rsidR="00D3027D">
        <w:rPr>
          <w:rFonts w:ascii="Times New Roman" w:hAnsi="Times New Roman"/>
          <w:noProof/>
          <w:sz w:val="24"/>
          <w:szCs w:val="24"/>
        </w:rPr>
        <w:t>shifts</w:t>
      </w:r>
      <w:r>
        <w:rPr>
          <w:rFonts w:ascii="Times New Roman" w:hAnsi="Times New Roman"/>
          <w:noProof/>
          <w:sz w:val="24"/>
          <w:szCs w:val="24"/>
        </w:rPr>
        <w:t xml:space="preserve"> the responsibility for the payment of the VAT transaction from the seller to the buyer of a good or service and constitutes an effective safeguard against VAT fraud. In November 2018, </w:t>
      </w:r>
      <w:r w:rsidR="00C9568F">
        <w:rPr>
          <w:rFonts w:ascii="Times New Roman" w:hAnsi="Times New Roman"/>
          <w:noProof/>
          <w:sz w:val="24"/>
          <w:szCs w:val="24"/>
        </w:rPr>
        <w:t xml:space="preserve">the </w:t>
      </w:r>
      <w:r w:rsidR="00D3027D">
        <w:rPr>
          <w:rFonts w:ascii="Times New Roman" w:hAnsi="Times New Roman"/>
          <w:noProof/>
          <w:sz w:val="24"/>
          <w:szCs w:val="24"/>
        </w:rPr>
        <w:t>possibility for Member States to apply</w:t>
      </w:r>
      <w:r w:rsidR="00C9568F">
        <w:rPr>
          <w:rFonts w:ascii="Times New Roman" w:hAnsi="Times New Roman"/>
          <w:noProof/>
          <w:sz w:val="24"/>
          <w:szCs w:val="24"/>
        </w:rPr>
        <w:t xml:space="preserve"> the derogation was extended until 30 June 2022</w:t>
      </w:r>
      <w:r>
        <w:rPr>
          <w:rStyle w:val="FootnoteReference"/>
          <w:rFonts w:ascii="Times New Roman" w:hAnsi="Times New Roman"/>
          <w:noProof/>
          <w:sz w:val="24"/>
          <w:szCs w:val="24"/>
        </w:rPr>
        <w:footnoteReference w:id="67"/>
      </w:r>
      <w:r w:rsidR="00C9568F">
        <w:rPr>
          <w:rFonts w:ascii="Times New Roman" w:hAnsi="Times New Roman"/>
          <w:noProof/>
          <w:sz w:val="24"/>
          <w:szCs w:val="24"/>
        </w:rPr>
        <w:t>.</w:t>
      </w:r>
      <w:r>
        <w:rPr>
          <w:rFonts w:ascii="Times New Roman" w:hAnsi="Times New Roman"/>
          <w:noProof/>
          <w:sz w:val="24"/>
          <w:szCs w:val="24"/>
        </w:rPr>
        <w:t xml:space="preserve"> Member States are encouraged to keep applying the reverse charge mechanism in order to provide continued adequate protection to the carbon market.</w:t>
      </w:r>
    </w:p>
    <w:p w14:paraId="4484CA75" w14:textId="77777777" w:rsidR="00123B11" w:rsidRPr="00123B11" w:rsidRDefault="00A52F4C" w:rsidP="00E72EF9">
      <w:pPr>
        <w:pStyle w:val="Heading1"/>
        <w:spacing w:before="0" w:after="200"/>
        <w:rPr>
          <w:noProof/>
        </w:rPr>
      </w:pPr>
      <w:bookmarkStart w:id="57" w:name="_Toc490850437"/>
      <w:bookmarkStart w:id="58" w:name="_Toc519009688"/>
      <w:bookmarkStart w:id="59" w:name="_Toc20217741"/>
      <w:r>
        <w:rPr>
          <w:noProof/>
        </w:rPr>
        <w:t>6</w:t>
      </w:r>
      <w:r w:rsidR="003A348D">
        <w:rPr>
          <w:noProof/>
        </w:rPr>
        <w:t>. MONITORING, REPORTING AND VERIFICATION OF EMISSIONS</w:t>
      </w:r>
      <w:bookmarkEnd w:id="57"/>
      <w:bookmarkEnd w:id="58"/>
      <w:bookmarkEnd w:id="59"/>
    </w:p>
    <w:p w14:paraId="3557D1AE" w14:textId="77777777" w:rsidR="00123B11" w:rsidRPr="00123B11" w:rsidRDefault="00123B11" w:rsidP="00123B11">
      <w:pPr>
        <w:jc w:val="both"/>
        <w:rPr>
          <w:noProof/>
        </w:rPr>
      </w:pPr>
      <w:r w:rsidRPr="00123B11">
        <w:rPr>
          <w:noProof/>
          <w:lang w:eastAsia="en-GB"/>
        </w:rPr>
        <mc:AlternateContent>
          <mc:Choice Requires="wps">
            <w:drawing>
              <wp:inline distT="0" distB="0" distL="0" distR="0" wp14:anchorId="6FEBE208" wp14:editId="474B4FF5">
                <wp:extent cx="5731510" cy="5664054"/>
                <wp:effectExtent l="0" t="0" r="21590" b="133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664054"/>
                        </a:xfrm>
                        <a:prstGeom prst="rect">
                          <a:avLst/>
                        </a:prstGeom>
                        <a:solidFill>
                          <a:sysClr val="window" lastClr="FFFFFF">
                            <a:lumMod val="85000"/>
                          </a:sysClr>
                        </a:solidFill>
                        <a:ln w="12700">
                          <a:solidFill>
                            <a:srgbClr val="000000"/>
                          </a:solidFill>
                          <a:miter lim="800000"/>
                          <a:headEnd/>
                          <a:tailEnd/>
                        </a:ln>
                      </wps:spPr>
                      <wps:txbx>
                        <w:txbxContent>
                          <w:p w14:paraId="0B23F245"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reporting, verification and accreditation (MRVA) requirements of the EU ETS are harmonised in the Monitoring and Reporting Regulation (MRR)* and the Accreditation and Verification Regulation (AVR)**.</w:t>
                            </w:r>
                          </w:p>
                          <w:p w14:paraId="7D11E6D4"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system in the EU ETS is designed as a 'building block' approach which allows a high degree of flexibility for operators to ensure cost-efficiency, while at the same time achieving high reliability of the monitored emissions data. For this purpose, several monitoring methods ('calculation-based' or 'measurement-based', as well as by exception 'fall-back approaches') are allowed. Methods may be combined for individual parts of an installation. For aircraft operators, only calculation-based approaches are feasible, with fuel consumption being the central parameter to be determined for the flights covered by the EU ETS. The requirement for installations and aircraft operators to have a monitoring plan approved by the competent authority on the basis of the MRR prevents arbitrary selection of monitoring methods and temporal variations.</w:t>
                            </w:r>
                          </w:p>
                          <w:p w14:paraId="32D141D6" w14:textId="77777777" w:rsidR="00516F65" w:rsidRDefault="00516F65" w:rsidP="00123B11">
                            <w:pPr>
                              <w:jc w:val="both"/>
                              <w:rPr>
                                <w:rFonts w:ascii="Times New Roman" w:hAnsi="Times New Roman"/>
                                <w:sz w:val="24"/>
                                <w:szCs w:val="24"/>
                              </w:rPr>
                            </w:pPr>
                            <w:r>
                              <w:rPr>
                                <w:rFonts w:ascii="Times New Roman" w:hAnsi="Times New Roman"/>
                                <w:sz w:val="24"/>
                                <w:szCs w:val="24"/>
                              </w:rPr>
                              <w:t xml:space="preserve">With the AVR for phase 3 and beyond an EU-wide harmonised approach towards the accreditation of verifiers has been introduced. Verifiers who are a legal person or a legal entity must be accredited by a National Accreditation Body (NAB) in order to carry out verifications in compliance with the AVR. This uniform accreditation system allows verifiers to operate with mutual recognition across all participating countries, thereby taking full advantage of the internal market and helping to ensure sufficient availability overall. </w:t>
                            </w:r>
                          </w:p>
                          <w:p w14:paraId="20D77B19"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601/2012 of 21 June 2012 on the monitoring and reporting of greenhouse gas emissions pursuant to Directive 2003/87/EC of the European Parliament and of the Council, OJ L 181, 12.7.2012, p. 30.</w:t>
                            </w:r>
                          </w:p>
                          <w:p w14:paraId="059A2515"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600/2012 of 21 June 2012 on the verification of greenhouse gas emission reports and tonne-kilometre reports and the accreditation of verifiers pursuant to Directive 2003/87/EC of the European Parliament and of the Council, OJ L 181, 12.7.2012, p. 1.</w:t>
                            </w:r>
                          </w:p>
                          <w:p w14:paraId="058D568C" w14:textId="77777777" w:rsidR="00516F65" w:rsidRDefault="00516F65" w:rsidP="00123B11">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6FEBE208" id="_x0000_s1040" type="#_x0000_t202" style="width:451.3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" fillcolor="#d9d9d9" strokeweight="1pt">
                <v:textbox>
                  <w:txbxContent>
                    <w:p w14:paraId="0B23F245"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reporting, verification and accreditation (MRVA) requirements of the EU ETS are harmonised in the Monitoring and Reporting Regulation (MRR)* and the Accreditation and Verification Regulation (AVR)**.</w:t>
                      </w:r>
                    </w:p>
                    <w:p w14:paraId="7D11E6D4" w14:textId="77777777" w:rsidR="00516F65" w:rsidRDefault="00516F65" w:rsidP="00123B11">
                      <w:pPr>
                        <w:jc w:val="both"/>
                        <w:rPr>
                          <w:rFonts w:ascii="Times New Roman" w:hAnsi="Times New Roman"/>
                          <w:sz w:val="24"/>
                          <w:szCs w:val="24"/>
                        </w:rPr>
                      </w:pPr>
                      <w:r>
                        <w:rPr>
                          <w:rFonts w:ascii="Times New Roman" w:hAnsi="Times New Roman"/>
                          <w:sz w:val="24"/>
                          <w:szCs w:val="24"/>
                        </w:rPr>
                        <w:t>The monitoring system in the EU ETS is designed as a 'building block' approach which allows a high degree of flexibility for operators to ensure cost-efficiency, while at the same time achieving high reliability of the monitored emissions data. For this purpose, several monitoring methods ('calculation-based' or 'measurement-based', as well as by exception 'fall-back approaches') are allowed. Methods may be combined for individual parts of an installation. For aircraft operators, only calculation-based approaches are feasible, with fuel consumption being the central parameter to be determined for the flights covered by the EU ETS. The requirement for installations and aircraft operators to have a monitoring plan approved by the competent authority on the basis of the MRR prevents arbitrary selection of monitoring methods and temporal variations.</w:t>
                      </w:r>
                    </w:p>
                    <w:p w14:paraId="32D141D6" w14:textId="77777777" w:rsidR="00516F65" w:rsidRDefault="00516F65" w:rsidP="00123B11">
                      <w:pPr>
                        <w:jc w:val="both"/>
                        <w:rPr>
                          <w:rFonts w:ascii="Times New Roman" w:hAnsi="Times New Roman"/>
                          <w:sz w:val="24"/>
                          <w:szCs w:val="24"/>
                        </w:rPr>
                      </w:pPr>
                      <w:r>
                        <w:rPr>
                          <w:rFonts w:ascii="Times New Roman" w:hAnsi="Times New Roman"/>
                          <w:sz w:val="24"/>
                          <w:szCs w:val="24"/>
                        </w:rPr>
                        <w:t xml:space="preserve">With the AVR for phase 3 and beyond an EU-wide harmonised approach towards the accreditation of verifiers has been introduced. Verifiers who are a legal person or a legal entity must be accredited by a National Accreditation Body (NAB) in order to carry out verifications in compliance with the AVR. This uniform accreditation system allows verifiers to operate with mutual recognition across all participating countries, thereby taking full advantage of the internal market and helping to ensure sufficient availability overall. </w:t>
                      </w:r>
                    </w:p>
                    <w:p w14:paraId="20D77B19"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601/2012 of 21 June 2012 on the monitoring and reporting of greenhouse gas emissions pursuant to Directive 2003/87/EC of the European Parliament and of the Council, OJ L 181, 12.7.2012, p. 30.</w:t>
                      </w:r>
                    </w:p>
                    <w:p w14:paraId="059A2515" w14:textId="77777777" w:rsidR="00516F65" w:rsidRDefault="00516F65" w:rsidP="00123B11">
                      <w:pPr>
                        <w:rPr>
                          <w:rFonts w:ascii="Times New Roman" w:hAnsi="Times New Roman"/>
                          <w:sz w:val="20"/>
                          <w:szCs w:val="20"/>
                        </w:rPr>
                      </w:pPr>
                      <w:r>
                        <w:rPr>
                          <w:rFonts w:ascii="Times New Roman" w:hAnsi="Times New Roman"/>
                          <w:sz w:val="20"/>
                          <w:szCs w:val="20"/>
                        </w:rPr>
                        <w:t>**</w:t>
                      </w:r>
                      <w:r>
                        <w:rPr>
                          <w:sz w:val="20"/>
                          <w:szCs w:val="20"/>
                        </w:rPr>
                        <w:t xml:space="preserve"> </w:t>
                      </w:r>
                      <w:r>
                        <w:rPr>
                          <w:rFonts w:ascii="Times New Roman" w:hAnsi="Times New Roman"/>
                          <w:sz w:val="20"/>
                          <w:szCs w:val="20"/>
                        </w:rPr>
                        <w:t>Commission Regulation (EU) No 600/2012 of 21 June 2012 on the verification of greenhouse gas emission reports and tonne-kilometre reports and the accreditation of verifiers pursuant to Directive 2003/87/EC of the European Parliament and of the Council, OJ L 181, 12.7.2012, p. 1.</w:t>
                      </w:r>
                    </w:p>
                    <w:p w14:paraId="058D568C" w14:textId="77777777" w:rsidR="00516F65" w:rsidRDefault="00516F65" w:rsidP="00123B11">
                      <w:pPr>
                        <w:rPr>
                          <w:rFonts w:ascii="Times New Roman" w:hAnsi="Times New Roman"/>
                          <w:sz w:val="24"/>
                          <w:szCs w:val="24"/>
                        </w:rPr>
                      </w:pPr>
                    </w:p>
                  </w:txbxContent>
                </v:textbox>
                <w10:anchorlock/>
              </v:shape>
            </w:pict>
          </mc:Fallback>
        </mc:AlternateContent>
      </w:r>
    </w:p>
    <w:p w14:paraId="0513DEA0" w14:textId="77777777" w:rsidR="00123B11" w:rsidRPr="00123B11" w:rsidRDefault="00235970" w:rsidP="00123B11">
      <w:pPr>
        <w:rPr>
          <w:rFonts w:ascii="Times New Roman" w:hAnsi="Times New Roman"/>
          <w:b/>
          <w:bCs/>
          <w:iCs/>
          <w:noProof/>
          <w:sz w:val="24"/>
          <w:szCs w:val="24"/>
        </w:rPr>
      </w:pPr>
      <w:r>
        <w:rPr>
          <w:rFonts w:ascii="Times New Roman" w:hAnsi="Times New Roman"/>
          <w:b/>
          <w:bCs/>
          <w:iCs/>
          <w:noProof/>
          <w:sz w:val="24"/>
          <w:szCs w:val="24"/>
        </w:rPr>
        <w:t>6</w:t>
      </w:r>
      <w:r w:rsidR="00123B11" w:rsidRPr="00123B11">
        <w:rPr>
          <w:rFonts w:ascii="Times New Roman" w:hAnsi="Times New Roman"/>
          <w:b/>
          <w:bCs/>
          <w:iCs/>
          <w:noProof/>
          <w:sz w:val="24"/>
          <w:szCs w:val="24"/>
        </w:rPr>
        <w:t>.1.  General Developments</w:t>
      </w:r>
    </w:p>
    <w:p w14:paraId="66504E81" w14:textId="77777777" w:rsidR="00B13763"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 xml:space="preserve">Experience with the implementation of the MRR and the AVR has shown the need for further improvement, clarification and simplification of rules to further promote harmonisation, reduce administrative burden for the operators and participating countries, and </w:t>
      </w:r>
      <w:r w:rsidR="00B13763" w:rsidRPr="00516F65">
        <w:rPr>
          <w:rFonts w:ascii="Times New Roman" w:hAnsi="Times New Roman"/>
          <w:noProof/>
          <w:sz w:val="24"/>
          <w:szCs w:val="24"/>
        </w:rPr>
        <w:t xml:space="preserve">to </w:t>
      </w:r>
      <w:r w:rsidRPr="00516F65">
        <w:rPr>
          <w:rFonts w:ascii="Times New Roman" w:hAnsi="Times New Roman"/>
          <w:noProof/>
          <w:sz w:val="24"/>
          <w:szCs w:val="24"/>
        </w:rPr>
        <w:t xml:space="preserve">further enhance the efficiency of the system. </w:t>
      </w:r>
    </w:p>
    <w:p w14:paraId="31E0956A" w14:textId="77777777" w:rsidR="00123B11" w:rsidRPr="00516F65" w:rsidRDefault="00B13763" w:rsidP="00123B11">
      <w:pPr>
        <w:jc w:val="both"/>
        <w:rPr>
          <w:rFonts w:ascii="Times New Roman" w:hAnsi="Times New Roman"/>
          <w:noProof/>
          <w:sz w:val="24"/>
          <w:szCs w:val="24"/>
        </w:rPr>
      </w:pPr>
      <w:r w:rsidRPr="00516F65">
        <w:rPr>
          <w:rFonts w:ascii="Times New Roman" w:hAnsi="Times New Roman"/>
          <w:noProof/>
          <w:sz w:val="24"/>
          <w:szCs w:val="24"/>
        </w:rPr>
        <w:t xml:space="preserve">Starting in February 2017, participating countries have been consulted with a view to updating these two Regulations so as to prepare for phase 4 of the EU ETS, and to improve and simplify the MRVA processes. The first such update took place in 2018. </w:t>
      </w:r>
      <w:r w:rsidR="00123B11" w:rsidRPr="00516F65">
        <w:rPr>
          <w:rFonts w:ascii="Times New Roman" w:hAnsi="Times New Roman"/>
          <w:noProof/>
          <w:sz w:val="24"/>
          <w:szCs w:val="24"/>
        </w:rPr>
        <w:t>In order to have a verification system in place for the free allocation data collection in 2019 and an updated MRVA system before the start of the data collection for CORSIA</w:t>
      </w:r>
      <w:r w:rsidR="00605E73" w:rsidRPr="00516F65">
        <w:rPr>
          <w:rFonts w:ascii="Times New Roman" w:hAnsi="Times New Roman"/>
          <w:noProof/>
          <w:sz w:val="24"/>
          <w:szCs w:val="24"/>
        </w:rPr>
        <w:t xml:space="preserve"> (see chapter 4)</w:t>
      </w:r>
      <w:r w:rsidR="000453E7" w:rsidRPr="00516F65">
        <w:rPr>
          <w:rFonts w:ascii="Times New Roman" w:hAnsi="Times New Roman"/>
          <w:noProof/>
          <w:sz w:val="24"/>
          <w:szCs w:val="24"/>
        </w:rPr>
        <w:t>,</w:t>
      </w:r>
      <w:r w:rsidR="00123B11" w:rsidRPr="00516F65">
        <w:rPr>
          <w:rFonts w:ascii="Times New Roman" w:hAnsi="Times New Roman"/>
          <w:noProof/>
          <w:sz w:val="24"/>
          <w:szCs w:val="24"/>
        </w:rPr>
        <w:t xml:space="preserve"> revised versions of the MRR</w:t>
      </w:r>
      <w:r w:rsidR="00123B11" w:rsidRPr="00516F65">
        <w:rPr>
          <w:rFonts w:ascii="Times New Roman" w:hAnsi="Times New Roman"/>
          <w:noProof/>
          <w:sz w:val="24"/>
          <w:szCs w:val="24"/>
          <w:vertAlign w:val="superscript"/>
        </w:rPr>
        <w:footnoteReference w:id="68"/>
      </w:r>
      <w:r w:rsidR="00123B11" w:rsidRPr="00516F65">
        <w:rPr>
          <w:rFonts w:ascii="Times New Roman" w:hAnsi="Times New Roman"/>
          <w:noProof/>
          <w:sz w:val="24"/>
          <w:szCs w:val="24"/>
        </w:rPr>
        <w:t xml:space="preserve"> and AVR</w:t>
      </w:r>
      <w:r w:rsidR="00123B11" w:rsidRPr="00516F65">
        <w:rPr>
          <w:rFonts w:ascii="Times New Roman" w:hAnsi="Times New Roman"/>
          <w:noProof/>
          <w:sz w:val="24"/>
          <w:szCs w:val="24"/>
          <w:vertAlign w:val="superscript"/>
        </w:rPr>
        <w:footnoteReference w:id="69"/>
      </w:r>
      <w:r w:rsidR="00123B11" w:rsidRPr="00516F65">
        <w:rPr>
          <w:rFonts w:ascii="Times New Roman" w:hAnsi="Times New Roman"/>
          <w:noProof/>
          <w:sz w:val="24"/>
          <w:szCs w:val="24"/>
        </w:rPr>
        <w:t xml:space="preserve"> started to be applicable on 1 January 2019. Further work and consultations are ongoing to conclude the MRVA revision process sufficiently in advance of the beginning of phase 4.</w:t>
      </w:r>
    </w:p>
    <w:p w14:paraId="0FD0C23A" w14:textId="77777777" w:rsidR="00123B11" w:rsidRPr="00516F65" w:rsidRDefault="00A97B86" w:rsidP="00123B11">
      <w:pPr>
        <w:jc w:val="both"/>
        <w:rPr>
          <w:rFonts w:ascii="Times New Roman" w:hAnsi="Times New Roman"/>
          <w:noProof/>
          <w:sz w:val="24"/>
          <w:szCs w:val="24"/>
        </w:rPr>
      </w:pPr>
      <w:r w:rsidRPr="00516F65">
        <w:rPr>
          <w:rFonts w:ascii="Times New Roman" w:hAnsi="Times New Roman"/>
          <w:noProof/>
          <w:sz w:val="24"/>
          <w:szCs w:val="24"/>
        </w:rPr>
        <w:t>T</w:t>
      </w:r>
      <w:r w:rsidR="00123B11" w:rsidRPr="00516F65">
        <w:rPr>
          <w:rFonts w:ascii="Times New Roman" w:hAnsi="Times New Roman"/>
          <w:noProof/>
          <w:sz w:val="24"/>
          <w:szCs w:val="24"/>
        </w:rPr>
        <w:t>he efficiency of the compliance system has improved since the MRR allowed countries to make electronic reporting mandatory. In 2019, 17 participating countries reported the use of electronic templates or specific file formats for monitoring plans, emissions reports, verification reports and / or improvement reports based on the minimum requirements set by the Commission.</w:t>
      </w:r>
      <w:r w:rsidR="00B13763" w:rsidRPr="00516F65">
        <w:rPr>
          <w:rFonts w:ascii="Times New Roman" w:hAnsi="Times New Roman"/>
          <w:noProof/>
          <w:sz w:val="24"/>
          <w:szCs w:val="24"/>
        </w:rPr>
        <w:t xml:space="preserve"> </w:t>
      </w:r>
      <w:r w:rsidR="00123B11" w:rsidRPr="00516F65">
        <w:rPr>
          <w:rFonts w:ascii="Times New Roman" w:hAnsi="Times New Roman"/>
          <w:noProof/>
          <w:sz w:val="24"/>
          <w:szCs w:val="24"/>
        </w:rPr>
        <w:t>13 participating countries report</w:t>
      </w:r>
      <w:r w:rsidR="00880101">
        <w:rPr>
          <w:rFonts w:ascii="Times New Roman" w:hAnsi="Times New Roman"/>
          <w:noProof/>
          <w:sz w:val="24"/>
          <w:szCs w:val="24"/>
        </w:rPr>
        <w:t xml:space="preserve">ed </w:t>
      </w:r>
      <w:r w:rsidR="00123B11" w:rsidRPr="00516F65">
        <w:rPr>
          <w:rFonts w:ascii="Times New Roman" w:hAnsi="Times New Roman"/>
          <w:noProof/>
          <w:sz w:val="24"/>
          <w:szCs w:val="24"/>
        </w:rPr>
        <w:t>that they use some form of automated IT system for EU ETS reporting</w:t>
      </w:r>
      <w:r w:rsidR="00055907">
        <w:rPr>
          <w:rFonts w:ascii="Times New Roman" w:hAnsi="Times New Roman"/>
          <w:noProof/>
          <w:sz w:val="24"/>
          <w:szCs w:val="24"/>
        </w:rPr>
        <w:t>.</w:t>
      </w:r>
    </w:p>
    <w:p w14:paraId="56B7DFD2" w14:textId="77777777" w:rsidR="00123B11" w:rsidRPr="00516F65" w:rsidRDefault="00235970" w:rsidP="00123B11">
      <w:pPr>
        <w:jc w:val="both"/>
        <w:rPr>
          <w:rFonts w:ascii="Times New Roman" w:hAnsi="Times New Roman"/>
          <w:b/>
          <w:bCs/>
          <w:iCs/>
          <w:noProof/>
          <w:sz w:val="24"/>
          <w:szCs w:val="24"/>
        </w:rPr>
      </w:pPr>
      <w:r w:rsidRPr="00516F65">
        <w:rPr>
          <w:rFonts w:ascii="Times New Roman" w:hAnsi="Times New Roman"/>
          <w:b/>
          <w:bCs/>
          <w:iCs/>
          <w:noProof/>
          <w:sz w:val="24"/>
          <w:szCs w:val="24"/>
        </w:rPr>
        <w:t>6</w:t>
      </w:r>
      <w:r w:rsidR="00123B11" w:rsidRPr="00516F65">
        <w:rPr>
          <w:rFonts w:ascii="Times New Roman" w:hAnsi="Times New Roman"/>
          <w:b/>
          <w:bCs/>
          <w:iCs/>
          <w:noProof/>
          <w:sz w:val="24"/>
          <w:szCs w:val="24"/>
        </w:rPr>
        <w:t>.2. Monitoring applied</w:t>
      </w:r>
    </w:p>
    <w:p w14:paraId="67125055"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According to the Article 21 reports submitted in 2019, most installations use the calculation-based methodology</w:t>
      </w:r>
      <w:r w:rsidRPr="00516F65">
        <w:rPr>
          <w:rFonts w:ascii="Times New Roman" w:hAnsi="Times New Roman"/>
          <w:noProof/>
          <w:sz w:val="24"/>
          <w:szCs w:val="24"/>
          <w:vertAlign w:val="superscript"/>
        </w:rPr>
        <w:footnoteReference w:id="70"/>
      </w:r>
      <w:r w:rsidRPr="00516F65">
        <w:rPr>
          <w:rFonts w:ascii="Times New Roman" w:hAnsi="Times New Roman"/>
          <w:noProof/>
          <w:sz w:val="24"/>
          <w:szCs w:val="24"/>
        </w:rPr>
        <w:t xml:space="preserve">. Only 182 installations (1.7%) in 23 countries were reported to use continuous emissions measurement systems, most frequently in Germany, France, and the Czech Republic. While the number of countries is the same as last year, there are </w:t>
      </w:r>
      <w:r w:rsidR="00A97B86" w:rsidRPr="00516F65">
        <w:rPr>
          <w:rFonts w:ascii="Times New Roman" w:hAnsi="Times New Roman"/>
          <w:noProof/>
          <w:sz w:val="24"/>
          <w:szCs w:val="24"/>
        </w:rPr>
        <w:t>three</w:t>
      </w:r>
      <w:r w:rsidRPr="00516F65">
        <w:rPr>
          <w:rFonts w:ascii="Times New Roman" w:hAnsi="Times New Roman"/>
          <w:noProof/>
          <w:sz w:val="24"/>
          <w:szCs w:val="24"/>
        </w:rPr>
        <w:t xml:space="preserve"> more installations overall using this approach.</w:t>
      </w:r>
    </w:p>
    <w:p w14:paraId="44A0ACF0"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Only 11 countries reported the use of the fall-back approach by 38 installations, covering approximately 2.6 million tonnes CO</w:t>
      </w:r>
      <w:r w:rsidRPr="00516F65">
        <w:rPr>
          <w:rFonts w:ascii="Times New Roman" w:hAnsi="Times New Roman"/>
          <w:noProof/>
          <w:sz w:val="24"/>
          <w:szCs w:val="24"/>
          <w:vertAlign w:val="subscript"/>
        </w:rPr>
        <w:t>2e</w:t>
      </w:r>
      <w:r w:rsidRPr="00516F65">
        <w:rPr>
          <w:rFonts w:ascii="Times New Roman" w:hAnsi="Times New Roman"/>
          <w:noProof/>
          <w:sz w:val="24"/>
          <w:szCs w:val="24"/>
        </w:rPr>
        <w:t xml:space="preserve"> (compared to 3.4 million tonnes CO</w:t>
      </w:r>
      <w:r w:rsidRPr="00516F65">
        <w:rPr>
          <w:rFonts w:ascii="Times New Roman" w:hAnsi="Times New Roman"/>
          <w:noProof/>
          <w:sz w:val="24"/>
          <w:szCs w:val="24"/>
          <w:vertAlign w:val="subscript"/>
        </w:rPr>
        <w:t>2e</w:t>
      </w:r>
      <w:r w:rsidRPr="00516F65">
        <w:rPr>
          <w:rFonts w:ascii="Times New Roman" w:hAnsi="Times New Roman"/>
          <w:noProof/>
          <w:sz w:val="24"/>
          <w:szCs w:val="24"/>
        </w:rPr>
        <w:t xml:space="preserve"> the year before). One installation in the Netherlands is responsible for 31% of the overall emissions reported in relation to fall-back methodology.</w:t>
      </w:r>
    </w:p>
    <w:p w14:paraId="631747C8"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The minimum tier defaults</w:t>
      </w:r>
      <w:r w:rsidRPr="00516F65">
        <w:rPr>
          <w:rFonts w:ascii="Times New Roman" w:hAnsi="Times New Roman"/>
          <w:noProof/>
          <w:sz w:val="24"/>
          <w:szCs w:val="24"/>
          <w:vertAlign w:val="superscript"/>
        </w:rPr>
        <w:footnoteReference w:id="71"/>
      </w:r>
      <w:r w:rsidRPr="00516F65">
        <w:rPr>
          <w:rFonts w:ascii="Times New Roman" w:hAnsi="Times New Roman"/>
          <w:noProof/>
          <w:sz w:val="24"/>
          <w:szCs w:val="24"/>
        </w:rPr>
        <w:t xml:space="preserve"> of the MRR are met by the vast majority of installations. Only 97 category C installations (compared to 106 last year), that is 13.4%, were reported to deviate for at least one parameter from the requirement to apply the highest tiers for the major source streams. These deviations are only allowed where the operator demonstrates that the highest tier is technically not feasible or incurs unreasonable costs. Once these conditions no longer apply, the operator has to improve their monitoring system accordingly. In 2013, 16% of category C installations were reported as not meeting highest tiers in one way or another. Therefore, an improvement in category C installation highest tier compliance can be seen since the beginning of phase 3.</w:t>
      </w:r>
    </w:p>
    <w:p w14:paraId="0F29A045"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Similarly, reports from 22 participating countries indicate that overall 19% of category B installations are permitted with some form of deviation from the MRR default requirements, compared to 21% last year and 22% the year before, demonstrating a steady improvement in highest tier compliance.</w:t>
      </w:r>
    </w:p>
    <w:p w14:paraId="4AF63E06" w14:textId="77777777" w:rsidR="00123B11" w:rsidRPr="00171CDC" w:rsidRDefault="00235970" w:rsidP="00123B11">
      <w:pPr>
        <w:jc w:val="both"/>
        <w:rPr>
          <w:rFonts w:ascii="Times New Roman" w:hAnsi="Times New Roman"/>
          <w:b/>
          <w:bCs/>
          <w:iCs/>
          <w:noProof/>
          <w:sz w:val="24"/>
          <w:szCs w:val="24"/>
        </w:rPr>
      </w:pPr>
      <w:r w:rsidRPr="00171CDC">
        <w:rPr>
          <w:rFonts w:ascii="Times New Roman" w:hAnsi="Times New Roman"/>
          <w:b/>
          <w:bCs/>
          <w:iCs/>
          <w:noProof/>
          <w:sz w:val="24"/>
          <w:szCs w:val="24"/>
        </w:rPr>
        <w:t>6</w:t>
      </w:r>
      <w:r w:rsidR="00123B11" w:rsidRPr="00171CDC">
        <w:rPr>
          <w:rFonts w:ascii="Times New Roman" w:hAnsi="Times New Roman"/>
          <w:b/>
          <w:bCs/>
          <w:iCs/>
          <w:noProof/>
          <w:sz w:val="24"/>
          <w:szCs w:val="24"/>
        </w:rPr>
        <w:t>.3. Accredited verification</w:t>
      </w:r>
    </w:p>
    <w:p w14:paraId="63B6468B" w14:textId="77777777" w:rsidR="00123B11" w:rsidRPr="003F30A8" w:rsidRDefault="00123B11" w:rsidP="00123B11">
      <w:pPr>
        <w:jc w:val="both"/>
        <w:rPr>
          <w:rFonts w:ascii="Times New Roman" w:hAnsi="Times New Roman"/>
          <w:noProof/>
          <w:sz w:val="24"/>
          <w:szCs w:val="24"/>
        </w:rPr>
      </w:pPr>
      <w:r w:rsidRPr="003F30A8">
        <w:rPr>
          <w:rFonts w:ascii="Times New Roman" w:hAnsi="Times New Roman"/>
          <w:noProof/>
          <w:sz w:val="24"/>
          <w:szCs w:val="24"/>
        </w:rPr>
        <w:t>The total number of verifiers is not reported in Article 21 reports</w:t>
      </w:r>
      <w:r w:rsidR="00D90329" w:rsidRPr="003F30A8">
        <w:rPr>
          <w:rFonts w:ascii="Times New Roman" w:hAnsi="Times New Roman"/>
          <w:noProof/>
          <w:sz w:val="24"/>
          <w:szCs w:val="24"/>
        </w:rPr>
        <w:t>. However, t</w:t>
      </w:r>
      <w:r w:rsidRPr="003F30A8">
        <w:rPr>
          <w:rFonts w:ascii="Times New Roman" w:hAnsi="Times New Roman"/>
          <w:noProof/>
          <w:sz w:val="24"/>
          <w:szCs w:val="24"/>
        </w:rPr>
        <w:t>he European cooperation for Accreditation (EA) provides a central link to relevant National Accreditation Bodies (NABs) and their lists of EU ETS accredited verifiers</w:t>
      </w:r>
      <w:r w:rsidRPr="003F30A8">
        <w:rPr>
          <w:rFonts w:ascii="Times New Roman" w:hAnsi="Times New Roman"/>
          <w:noProof/>
          <w:sz w:val="24"/>
          <w:szCs w:val="24"/>
          <w:vertAlign w:val="superscript"/>
        </w:rPr>
        <w:footnoteReference w:id="72"/>
      </w:r>
      <w:r w:rsidRPr="003F30A8">
        <w:rPr>
          <w:rFonts w:ascii="Times New Roman" w:hAnsi="Times New Roman"/>
          <w:noProof/>
          <w:sz w:val="24"/>
          <w:szCs w:val="24"/>
        </w:rPr>
        <w:t xml:space="preserve">.       </w:t>
      </w:r>
    </w:p>
    <w:p w14:paraId="62BD1E95" w14:textId="77777777" w:rsidR="00123B11" w:rsidRPr="00516F65" w:rsidRDefault="00123B11" w:rsidP="00123B11">
      <w:pPr>
        <w:jc w:val="both"/>
        <w:rPr>
          <w:rFonts w:ascii="Times New Roman" w:hAnsi="Times New Roman"/>
          <w:noProof/>
          <w:sz w:val="24"/>
          <w:szCs w:val="24"/>
        </w:rPr>
      </w:pPr>
      <w:r w:rsidRPr="003F30A8">
        <w:rPr>
          <w:rFonts w:ascii="Times New Roman" w:hAnsi="Times New Roman"/>
          <w:noProof/>
          <w:sz w:val="24"/>
          <w:szCs w:val="24"/>
        </w:rPr>
        <w:t>The mutual recognition of verifiers among participating countries is working successfully: 24 countries reported that at least one foreign verifier is active in their territory.</w:t>
      </w:r>
    </w:p>
    <w:p w14:paraId="0C4B1D0A" w14:textId="77777777" w:rsidR="00123B11"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 xml:space="preserve">Compliance of verifiers with the AVR is found to be high. Poland reported a suspension of one verifier, while no country reported withdrawals of accreditation in 2018. This compares to one suspension and three withdrawals for 2017. Germany, France and Poland reported a reduction made in the scope of respectively </w:t>
      </w:r>
      <w:r w:rsidR="00F50389" w:rsidRPr="00516F65">
        <w:rPr>
          <w:rFonts w:ascii="Times New Roman" w:hAnsi="Times New Roman"/>
          <w:noProof/>
          <w:sz w:val="24"/>
          <w:szCs w:val="24"/>
        </w:rPr>
        <w:t>two</w:t>
      </w:r>
      <w:r w:rsidRPr="00516F65">
        <w:rPr>
          <w:rFonts w:ascii="Times New Roman" w:hAnsi="Times New Roman"/>
          <w:noProof/>
          <w:sz w:val="24"/>
          <w:szCs w:val="24"/>
        </w:rPr>
        <w:t xml:space="preserve">, </w:t>
      </w:r>
      <w:r w:rsidR="00F50389" w:rsidRPr="00516F65">
        <w:rPr>
          <w:rFonts w:ascii="Times New Roman" w:hAnsi="Times New Roman"/>
          <w:noProof/>
          <w:sz w:val="24"/>
          <w:szCs w:val="24"/>
        </w:rPr>
        <w:t>one</w:t>
      </w:r>
      <w:r w:rsidRPr="00516F65">
        <w:rPr>
          <w:rFonts w:ascii="Times New Roman" w:hAnsi="Times New Roman"/>
          <w:noProof/>
          <w:sz w:val="24"/>
          <w:szCs w:val="24"/>
        </w:rPr>
        <w:t xml:space="preserve"> and </w:t>
      </w:r>
      <w:r w:rsidR="00F50389" w:rsidRPr="00516F65">
        <w:rPr>
          <w:rFonts w:ascii="Times New Roman" w:hAnsi="Times New Roman"/>
          <w:noProof/>
          <w:sz w:val="24"/>
          <w:szCs w:val="24"/>
        </w:rPr>
        <w:t>three</w:t>
      </w:r>
      <w:r w:rsidRPr="00516F65">
        <w:rPr>
          <w:rFonts w:ascii="Times New Roman" w:hAnsi="Times New Roman"/>
          <w:noProof/>
          <w:sz w:val="24"/>
          <w:szCs w:val="24"/>
        </w:rPr>
        <w:t xml:space="preserve"> verifiers' accreditation for 2018, compared to reductions for </w:t>
      </w:r>
      <w:r w:rsidR="00F50389" w:rsidRPr="00516F65">
        <w:rPr>
          <w:rFonts w:ascii="Times New Roman" w:hAnsi="Times New Roman"/>
          <w:noProof/>
          <w:sz w:val="24"/>
          <w:szCs w:val="24"/>
        </w:rPr>
        <w:t>two</w:t>
      </w:r>
      <w:r w:rsidRPr="00516F65">
        <w:rPr>
          <w:rFonts w:ascii="Times New Roman" w:hAnsi="Times New Roman"/>
          <w:noProof/>
          <w:sz w:val="24"/>
          <w:szCs w:val="24"/>
        </w:rPr>
        <w:t xml:space="preserve"> verifiers from Poland in 2017. </w:t>
      </w:r>
    </w:p>
    <w:p w14:paraId="38A5B31E" w14:textId="77777777" w:rsidR="00997359" w:rsidRPr="00516F65" w:rsidRDefault="00123B11" w:rsidP="00123B11">
      <w:pPr>
        <w:jc w:val="both"/>
        <w:rPr>
          <w:rFonts w:ascii="Times New Roman" w:hAnsi="Times New Roman"/>
          <w:noProof/>
          <w:sz w:val="24"/>
          <w:szCs w:val="24"/>
        </w:rPr>
      </w:pPr>
      <w:r w:rsidRPr="00516F65">
        <w:rPr>
          <w:rFonts w:ascii="Times New Roman" w:hAnsi="Times New Roman"/>
          <w:noProof/>
          <w:sz w:val="24"/>
          <w:szCs w:val="24"/>
        </w:rPr>
        <w:t xml:space="preserve">Ten countries reported complaints received about verifiers this year (one more than last year). The overall number of complaints (71) is however 14% lower. </w:t>
      </w:r>
      <w:r w:rsidR="00DC781B">
        <w:rPr>
          <w:rFonts w:ascii="Times New Roman" w:hAnsi="Times New Roman"/>
          <w:noProof/>
          <w:sz w:val="24"/>
          <w:szCs w:val="24"/>
        </w:rPr>
        <w:t>9</w:t>
      </w:r>
      <w:r w:rsidRPr="00516F65">
        <w:rPr>
          <w:rFonts w:ascii="Times New Roman" w:hAnsi="Times New Roman"/>
          <w:noProof/>
          <w:sz w:val="24"/>
          <w:szCs w:val="24"/>
        </w:rPr>
        <w:t>3% of the complaints received are reported as resolved (last year</w:t>
      </w:r>
      <w:r w:rsidR="00F16486" w:rsidRPr="00516F65">
        <w:rPr>
          <w:rFonts w:ascii="Times New Roman" w:hAnsi="Times New Roman"/>
          <w:noProof/>
          <w:sz w:val="24"/>
          <w:szCs w:val="24"/>
        </w:rPr>
        <w:t xml:space="preserve"> </w:t>
      </w:r>
      <w:r w:rsidRPr="00516F65">
        <w:rPr>
          <w:rFonts w:ascii="Times New Roman" w:hAnsi="Times New Roman"/>
          <w:noProof/>
          <w:sz w:val="24"/>
          <w:szCs w:val="24"/>
        </w:rPr>
        <w:t>this rate was 95%). Ten countries reported identification of verifier non-conformities as part of the information exchange process between NABs and competent authorities (compared to twelve last year).</w:t>
      </w:r>
    </w:p>
    <w:p w14:paraId="47D55F5D" w14:textId="77777777" w:rsidR="00310AEE" w:rsidRDefault="00235970" w:rsidP="00310AEE">
      <w:pPr>
        <w:pStyle w:val="Heading1"/>
        <w:spacing w:before="0" w:after="200"/>
        <w:rPr>
          <w:noProof/>
          <w:lang w:val="en"/>
        </w:rPr>
      </w:pPr>
      <w:bookmarkStart w:id="60" w:name="_Toc523331486"/>
      <w:bookmarkStart w:id="61" w:name="_Toc20217742"/>
      <w:r w:rsidRPr="00516F65">
        <w:rPr>
          <w:noProof/>
          <w:lang w:val="en"/>
        </w:rPr>
        <w:t>7</w:t>
      </w:r>
      <w:r w:rsidR="00310AEE" w:rsidRPr="00516F65">
        <w:rPr>
          <w:noProof/>
          <w:lang w:val="en"/>
        </w:rPr>
        <w:t>. OVERVIEW OF ADMINISTRATIVE ARRANGEMENTS</w:t>
      </w:r>
      <w:bookmarkEnd w:id="60"/>
      <w:bookmarkEnd w:id="61"/>
      <w:r w:rsidR="00310AEE">
        <w:rPr>
          <w:noProof/>
          <w:lang w:val="en"/>
        </w:rPr>
        <w:t xml:space="preserve"> </w:t>
      </w:r>
    </w:p>
    <w:p w14:paraId="5FB847FA" w14:textId="77777777" w:rsidR="00310AEE" w:rsidRDefault="00310AEE" w:rsidP="00310AEE">
      <w:pPr>
        <w:rPr>
          <w:noProof/>
          <w:lang w:val="en"/>
        </w:rPr>
      </w:pPr>
      <w:r>
        <w:rPr>
          <w:noProof/>
          <w:lang w:eastAsia="en-GB"/>
        </w:rPr>
        <mc:AlternateContent>
          <mc:Choice Requires="wps">
            <w:drawing>
              <wp:inline distT="0" distB="0" distL="0" distR="0" wp14:anchorId="2F473801" wp14:editId="5A3C5B93">
                <wp:extent cx="5731510" cy="752420"/>
                <wp:effectExtent l="0" t="0" r="21590" b="1016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52420"/>
                        </a:xfrm>
                        <a:prstGeom prst="rect">
                          <a:avLst/>
                        </a:prstGeom>
                        <a:solidFill>
                          <a:sysClr val="window" lastClr="FFFFFF">
                            <a:lumMod val="85000"/>
                          </a:sysClr>
                        </a:solidFill>
                        <a:ln w="12700">
                          <a:solidFill>
                            <a:srgbClr val="000000"/>
                          </a:solidFill>
                          <a:miter lim="800000"/>
                          <a:headEnd/>
                          <a:tailEnd/>
                        </a:ln>
                      </wps:spPr>
                      <wps:txbx>
                        <w:txbxContent>
                          <w:p w14:paraId="544754EC" w14:textId="77777777" w:rsidR="00516F65" w:rsidRDefault="00516F65" w:rsidP="00310AEE">
                            <w:pPr>
                              <w:jc w:val="both"/>
                              <w:rPr>
                                <w:rFonts w:ascii="Times New Roman" w:hAnsi="Times New Roman"/>
                                <w:sz w:val="24"/>
                                <w:szCs w:val="24"/>
                              </w:rPr>
                            </w:pPr>
                            <w:r>
                              <w:rPr>
                                <w:rFonts w:ascii="Times New Roman" w:hAnsi="Times New Roman"/>
                                <w:sz w:val="24"/>
                                <w:szCs w:val="24"/>
                              </w:rPr>
                              <w:t xml:space="preserve">Countries participating in the EU ETS use different approaches regarding the competent authorities in charge of its implementation. In some countries several local authorities are involved, while in others the approach is much more centralised. </w:t>
                            </w:r>
                          </w:p>
                          <w:p w14:paraId="4F91C7C9" w14:textId="77777777" w:rsidR="00516F65" w:rsidRDefault="00516F65" w:rsidP="00310AEE">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2F473801" id="_x0000_s1041" type="#_x0000_t202" style="width:451.3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" fillcolor="#d9d9d9" strokeweight="1pt">
                <v:textbox>
                  <w:txbxContent>
                    <w:p w14:paraId="544754EC" w14:textId="77777777" w:rsidR="00516F65" w:rsidRDefault="00516F65" w:rsidP="00310AEE">
                      <w:pPr>
                        <w:jc w:val="both"/>
                        <w:rPr>
                          <w:rFonts w:ascii="Times New Roman" w:hAnsi="Times New Roman"/>
                          <w:sz w:val="24"/>
                          <w:szCs w:val="24"/>
                        </w:rPr>
                      </w:pPr>
                      <w:r>
                        <w:rPr>
                          <w:rFonts w:ascii="Times New Roman" w:hAnsi="Times New Roman"/>
                          <w:sz w:val="24"/>
                          <w:szCs w:val="24"/>
                        </w:rPr>
                        <w:t xml:space="preserve">Countries participating in the EU ETS use different approaches regarding the competent authorities in charge of its implementation. In some countries several local authorities are involved, while in others the approach is much more centralised. </w:t>
                      </w:r>
                    </w:p>
                    <w:p w14:paraId="4F91C7C9" w14:textId="77777777" w:rsidR="00516F65" w:rsidRDefault="00516F65" w:rsidP="00310AEE">
                      <w:pPr>
                        <w:jc w:val="both"/>
                        <w:rPr>
                          <w:rFonts w:ascii="Times New Roman" w:hAnsi="Times New Roman"/>
                          <w:sz w:val="24"/>
                          <w:szCs w:val="24"/>
                        </w:rPr>
                      </w:pPr>
                    </w:p>
                  </w:txbxContent>
                </v:textbox>
                <w10:anchorlock/>
              </v:shape>
            </w:pict>
          </mc:Fallback>
        </mc:AlternateContent>
      </w:r>
    </w:p>
    <w:p w14:paraId="3BAE2FD1" w14:textId="77777777" w:rsidR="00310AEE" w:rsidRPr="00516F65" w:rsidRDefault="00310AEE" w:rsidP="00310AEE">
      <w:pPr>
        <w:jc w:val="both"/>
        <w:rPr>
          <w:rFonts w:ascii="Times New Roman" w:hAnsi="Times New Roman"/>
          <w:noProof/>
          <w:sz w:val="24"/>
          <w:szCs w:val="24"/>
        </w:rPr>
      </w:pPr>
      <w:r>
        <w:rPr>
          <w:rFonts w:ascii="Times New Roman" w:hAnsi="Times New Roman"/>
          <w:noProof/>
          <w:sz w:val="24"/>
          <w:szCs w:val="24"/>
          <w:lang w:val="en"/>
        </w:rPr>
        <w:t>According to Article 21 submissions in 2019,</w:t>
      </w:r>
      <w:r>
        <w:rPr>
          <w:rFonts w:ascii="Times New Roman" w:hAnsi="Times New Roman"/>
          <w:noProof/>
          <w:sz w:val="24"/>
          <w:szCs w:val="24"/>
        </w:rPr>
        <w:t xml:space="preserve"> there were, on average, </w:t>
      </w:r>
      <w:r w:rsidR="00F50389">
        <w:rPr>
          <w:rFonts w:ascii="Times New Roman" w:hAnsi="Times New Roman"/>
          <w:noProof/>
          <w:sz w:val="24"/>
          <w:szCs w:val="24"/>
        </w:rPr>
        <w:t>five</w:t>
      </w:r>
      <w:r>
        <w:rPr>
          <w:rFonts w:ascii="Times New Roman" w:hAnsi="Times New Roman"/>
          <w:noProof/>
          <w:sz w:val="24"/>
          <w:szCs w:val="24"/>
        </w:rPr>
        <w:t xml:space="preserve"> competent authorities involved in EU ETS implementation per country.</w:t>
      </w:r>
      <w:r>
        <w:rPr>
          <w:rFonts w:ascii="Times New Roman" w:hAnsi="Times New Roman"/>
          <w:noProof/>
          <w:sz w:val="24"/>
          <w:szCs w:val="24"/>
          <w:vertAlign w:val="superscript"/>
        </w:rPr>
        <w:footnoteReference w:id="73"/>
      </w:r>
      <w:r>
        <w:rPr>
          <w:rFonts w:ascii="Times New Roman" w:hAnsi="Times New Roman"/>
          <w:noProof/>
          <w:sz w:val="24"/>
          <w:szCs w:val="24"/>
        </w:rPr>
        <w:t xml:space="preserve"> With regard to the </w:t>
      </w:r>
      <w:r w:rsidRPr="004724FA">
        <w:rPr>
          <w:rFonts w:ascii="Times New Roman" w:hAnsi="Times New Roman"/>
          <w:noProof/>
          <w:sz w:val="24"/>
          <w:szCs w:val="24"/>
        </w:rPr>
        <w:t xml:space="preserve">coordination between </w:t>
      </w:r>
      <w:r w:rsidRPr="00516F65">
        <w:rPr>
          <w:rFonts w:ascii="Times New Roman" w:hAnsi="Times New Roman"/>
          <w:noProof/>
          <w:sz w:val="24"/>
          <w:szCs w:val="24"/>
        </w:rPr>
        <w:t xml:space="preserve">authorities, different tools were reported, such as legislative instruments for central management of monitoring plans (in 14 countries), binding instructions and guidance by a central competent authority to local authorities (in 10 countries), and regular working groups or meetings between authorities (in 15 countries), among others. </w:t>
      </w:r>
      <w:r w:rsidRPr="003F30A8">
        <w:rPr>
          <w:rFonts w:ascii="Times New Roman" w:hAnsi="Times New Roman"/>
          <w:noProof/>
          <w:sz w:val="24"/>
          <w:szCs w:val="24"/>
        </w:rPr>
        <w:t>Seven countries indicated that no such tools are in place.</w:t>
      </w:r>
      <w:r w:rsidRPr="00516F65">
        <w:rPr>
          <w:rFonts w:ascii="Times New Roman" w:hAnsi="Times New Roman"/>
          <w:noProof/>
          <w:sz w:val="24"/>
          <w:szCs w:val="24"/>
        </w:rPr>
        <w:t xml:space="preserve"> </w:t>
      </w:r>
    </w:p>
    <w:p w14:paraId="246D3148" w14:textId="77777777" w:rsidR="00310AEE" w:rsidRPr="00516F65" w:rsidRDefault="00310AEE" w:rsidP="00310AEE">
      <w:pPr>
        <w:jc w:val="both"/>
        <w:rPr>
          <w:rFonts w:ascii="Times New Roman" w:hAnsi="Times New Roman"/>
          <w:noProof/>
          <w:sz w:val="24"/>
          <w:szCs w:val="24"/>
        </w:rPr>
      </w:pPr>
      <w:r w:rsidRPr="00516F65">
        <w:rPr>
          <w:rFonts w:ascii="Times New Roman" w:hAnsi="Times New Roman"/>
          <w:noProof/>
          <w:sz w:val="24"/>
          <w:szCs w:val="24"/>
        </w:rPr>
        <w:t>On administrative fees charged in relation to permitting and approved monitoring plans, 13 countries reported in 2019 that they do not charge any fees to installation operators (CY, DE, EE, EL, IE, LI, LT, LU, LV, MT, NL, SE, SK), one less than last year. With no difference to last year, aircraft operators in 15 countries do not pay fees (BE, CY, CZ, DE, EE, ES, EL, LI, LT, LU, LV, MT, NL, SE, SK). Charges vary significantly a</w:t>
      </w:r>
      <w:r w:rsidR="00F50389" w:rsidRPr="00516F65">
        <w:rPr>
          <w:rFonts w:ascii="Times New Roman" w:hAnsi="Times New Roman"/>
          <w:noProof/>
          <w:sz w:val="24"/>
          <w:szCs w:val="24"/>
        </w:rPr>
        <w:t>cross</w:t>
      </w:r>
      <w:r w:rsidRPr="00516F65">
        <w:rPr>
          <w:rFonts w:ascii="Times New Roman" w:hAnsi="Times New Roman"/>
          <w:noProof/>
          <w:sz w:val="24"/>
          <w:szCs w:val="24"/>
        </w:rPr>
        <w:t xml:space="preserve"> countries and types of services, ranging from EUR 5 to EUR 6913.31 for permit and monitoring plan approval for installations and from EUR 5 to EUR 2400 for the same service for aviation operators.</w:t>
      </w:r>
    </w:p>
    <w:p w14:paraId="0C084E28" w14:textId="49182CD6" w:rsidR="00997359" w:rsidRPr="00997359" w:rsidRDefault="00310AEE" w:rsidP="00310AEE">
      <w:pPr>
        <w:jc w:val="both"/>
        <w:rPr>
          <w:rFonts w:ascii="Times New Roman" w:hAnsi="Times New Roman"/>
          <w:noProof/>
          <w:sz w:val="24"/>
          <w:szCs w:val="24"/>
        </w:rPr>
      </w:pPr>
      <w:r w:rsidRPr="00516F65">
        <w:rPr>
          <w:rFonts w:ascii="Times New Roman" w:hAnsi="Times New Roman"/>
          <w:noProof/>
          <w:sz w:val="24"/>
          <w:szCs w:val="24"/>
        </w:rPr>
        <w:t xml:space="preserve">Overall, participating countries' ETS administrative organisation is largely effective. Communication and the sharing of best practices, including via the activities of the EU ETS Compliance Forum and the annual EU ETS Compliance Conference, should continue to be reinforced and encouraged. </w:t>
      </w:r>
    </w:p>
    <w:p w14:paraId="35AB1472" w14:textId="77777777" w:rsidR="00310AEE" w:rsidRPr="00A75105" w:rsidRDefault="00235970" w:rsidP="00310AEE">
      <w:pPr>
        <w:pStyle w:val="Heading1"/>
        <w:spacing w:before="0" w:after="200"/>
        <w:rPr>
          <w:noProof/>
        </w:rPr>
      </w:pPr>
      <w:bookmarkStart w:id="62" w:name="_Toc523331487"/>
      <w:bookmarkStart w:id="63" w:name="_Toc20217743"/>
      <w:r>
        <w:rPr>
          <w:noProof/>
        </w:rPr>
        <w:t>8</w:t>
      </w:r>
      <w:r w:rsidR="00310AEE">
        <w:rPr>
          <w:noProof/>
        </w:rPr>
        <w:t xml:space="preserve">. </w:t>
      </w:r>
      <w:r w:rsidR="00310AEE" w:rsidRPr="00A75105">
        <w:rPr>
          <w:noProof/>
        </w:rPr>
        <w:t>COMPLIANCE AND ENFORCEMENT</w:t>
      </w:r>
      <w:bookmarkEnd w:id="62"/>
      <w:bookmarkEnd w:id="63"/>
      <w:r w:rsidR="00310AEE" w:rsidRPr="00A75105">
        <w:rPr>
          <w:noProof/>
        </w:rPr>
        <w:t xml:space="preserve"> </w:t>
      </w:r>
    </w:p>
    <w:p w14:paraId="7F3C30ED" w14:textId="77777777" w:rsidR="00310AEE" w:rsidRPr="00A75105" w:rsidRDefault="00310AEE" w:rsidP="00310AEE">
      <w:pPr>
        <w:rPr>
          <w:noProof/>
        </w:rPr>
      </w:pPr>
      <w:r w:rsidRPr="00A75105">
        <w:rPr>
          <w:noProof/>
          <w:lang w:eastAsia="en-GB"/>
        </w:rPr>
        <mc:AlternateContent>
          <mc:Choice Requires="wps">
            <w:drawing>
              <wp:inline distT="0" distB="0" distL="0" distR="0" wp14:anchorId="5891EEBE" wp14:editId="7180CEC7">
                <wp:extent cx="5731510" cy="950976"/>
                <wp:effectExtent l="0" t="0" r="21590" b="2095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50976"/>
                        </a:xfrm>
                        <a:prstGeom prst="rect">
                          <a:avLst/>
                        </a:prstGeom>
                        <a:solidFill>
                          <a:sysClr val="window" lastClr="FFFFFF">
                            <a:lumMod val="85000"/>
                          </a:sysClr>
                        </a:solidFill>
                        <a:ln w="12700">
                          <a:solidFill>
                            <a:srgbClr val="000000"/>
                          </a:solidFill>
                          <a:miter lim="800000"/>
                          <a:headEnd/>
                          <a:tailEnd/>
                        </a:ln>
                      </wps:spPr>
                      <wps:txbx>
                        <w:txbxContent>
                          <w:p w14:paraId="6F3EC678" w14:textId="77777777" w:rsidR="00516F65" w:rsidRDefault="00516F65" w:rsidP="00310AEE">
                            <w:pPr>
                              <w:jc w:val="both"/>
                              <w:rPr>
                                <w:rFonts w:ascii="Times New Roman" w:hAnsi="Times New Roman"/>
                                <w:sz w:val="24"/>
                                <w:szCs w:val="24"/>
                              </w:rPr>
                            </w:pPr>
                            <w:r>
                              <w:rPr>
                                <w:rFonts w:ascii="Times New Roman" w:hAnsi="Times New Roman"/>
                                <w:sz w:val="24"/>
                                <w:szCs w:val="24"/>
                              </w:rPr>
                              <w:t>The EU ETS Directive provides for an excess emissions penalty in the form of EUR 100 (indexed) for each tonne of CO</w:t>
                            </w:r>
                            <w:r>
                              <w:rPr>
                                <w:rFonts w:ascii="Times New Roman" w:hAnsi="Times New Roman"/>
                                <w:sz w:val="24"/>
                                <w:szCs w:val="24"/>
                                <w:vertAlign w:val="subscript"/>
                              </w:rPr>
                              <w:t>2</w:t>
                            </w:r>
                            <w:r>
                              <w:rPr>
                                <w:rFonts w:ascii="Times New Roman" w:hAnsi="Times New Roman"/>
                                <w:sz w:val="24"/>
                                <w:szCs w:val="24"/>
                              </w:rPr>
                              <w:t xml:space="preserve"> emitted for which no allowance has been surrendered in due time. Other penalties applicable to infringements in implementation of EU ETS are according to the national provisions set by the concerned country.</w:t>
                            </w:r>
                          </w:p>
                          <w:p w14:paraId="5650CE85" w14:textId="77777777" w:rsidR="00516F65" w:rsidRDefault="00516F65" w:rsidP="00310AEE">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5891EEBE" id="_x0000_s1042" type="#_x0000_t202" style="width:451.3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" fillcolor="#d9d9d9" strokeweight="1pt">
                <v:textbox>
                  <w:txbxContent>
                    <w:p w14:paraId="6F3EC678" w14:textId="77777777" w:rsidR="00516F65" w:rsidRDefault="00516F65" w:rsidP="00310AEE">
                      <w:pPr>
                        <w:jc w:val="both"/>
                        <w:rPr>
                          <w:rFonts w:ascii="Times New Roman" w:hAnsi="Times New Roman"/>
                          <w:sz w:val="24"/>
                          <w:szCs w:val="24"/>
                        </w:rPr>
                      </w:pPr>
                      <w:r>
                        <w:rPr>
                          <w:rFonts w:ascii="Times New Roman" w:hAnsi="Times New Roman"/>
                          <w:sz w:val="24"/>
                          <w:szCs w:val="24"/>
                        </w:rPr>
                        <w:t>The EU ETS Directive provides for an excess emissions penalty in the form of EUR 100 (indexed) for each tonne of CO</w:t>
                      </w:r>
                      <w:r>
                        <w:rPr>
                          <w:rFonts w:ascii="Times New Roman" w:hAnsi="Times New Roman"/>
                          <w:sz w:val="24"/>
                          <w:szCs w:val="24"/>
                          <w:vertAlign w:val="subscript"/>
                        </w:rPr>
                        <w:t>2</w:t>
                      </w:r>
                      <w:r>
                        <w:rPr>
                          <w:rFonts w:ascii="Times New Roman" w:hAnsi="Times New Roman"/>
                          <w:sz w:val="24"/>
                          <w:szCs w:val="24"/>
                        </w:rPr>
                        <w:t xml:space="preserve"> emitted for which no allowance has been surrendered in due time. Other penalties applicable to infringements in implementation of EU ETS are according to the national provisions set by the concerned country.</w:t>
                      </w:r>
                    </w:p>
                    <w:p w14:paraId="5650CE85" w14:textId="77777777" w:rsidR="00516F65" w:rsidRDefault="00516F65" w:rsidP="00310AEE">
                      <w:pPr>
                        <w:jc w:val="both"/>
                        <w:rPr>
                          <w:rFonts w:ascii="Times New Roman" w:hAnsi="Times New Roman"/>
                          <w:sz w:val="24"/>
                          <w:szCs w:val="24"/>
                        </w:rPr>
                      </w:pPr>
                    </w:p>
                  </w:txbxContent>
                </v:textbox>
                <w10:anchorlock/>
              </v:shape>
            </w:pict>
          </mc:Fallback>
        </mc:AlternateContent>
      </w:r>
    </w:p>
    <w:p w14:paraId="432DFA4B" w14:textId="77777777" w:rsidR="00310AEE" w:rsidRPr="00A75105" w:rsidRDefault="00310AEE" w:rsidP="00310AEE">
      <w:pPr>
        <w:spacing w:after="120"/>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The EU ETS has a very high compliance rate: each year around 99% of the emissions are covered by the required number of allowances on time. In 2018, less than</w:t>
      </w:r>
      <w:r w:rsidRPr="00A75105">
        <w:rPr>
          <w:rFonts w:ascii="Times New Roman" w:eastAsia="Times New Roman" w:hAnsi="Times New Roman"/>
          <w:noProof/>
          <w:sz w:val="24"/>
          <w:szCs w:val="24"/>
          <w:lang w:val="en" w:eastAsia="de-DE"/>
        </w:rPr>
        <w:t xml:space="preserve"> 0.5% of the installations reporting emissions did not surrender allowances covering all their emissions by the deadline of 30 April 2019. </w:t>
      </w:r>
      <w:r w:rsidRPr="00A75105">
        <w:rPr>
          <w:rFonts w:ascii="Times New Roman" w:eastAsia="Times New Roman" w:hAnsi="Times New Roman"/>
          <w:noProof/>
          <w:sz w:val="24"/>
          <w:szCs w:val="24"/>
          <w:lang w:eastAsia="de-DE"/>
        </w:rPr>
        <w:t>In the aviation sector, aircraft operators responsible for 99.1% of EU ETS aviation emissions complied. Non-compliant operators were typically small or ceased operating in 2018.</w:t>
      </w:r>
    </w:p>
    <w:p w14:paraId="55E7F55F" w14:textId="77777777" w:rsidR="00310AEE" w:rsidRPr="00A7510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The competent authorities continue to carry out different compliance checks on the annual emissions reports. Based on</w:t>
      </w:r>
      <w:r w:rsidR="00F50389" w:rsidRPr="00A75105">
        <w:rPr>
          <w:rFonts w:ascii="Times New Roman" w:eastAsia="Times New Roman" w:hAnsi="Times New Roman"/>
          <w:noProof/>
          <w:sz w:val="24"/>
          <w:szCs w:val="24"/>
          <w:lang w:eastAsia="de-DE"/>
        </w:rPr>
        <w:t xml:space="preserve"> </w:t>
      </w:r>
      <w:r w:rsidRPr="00A75105">
        <w:rPr>
          <w:rFonts w:ascii="Times New Roman" w:eastAsia="Times New Roman" w:hAnsi="Times New Roman"/>
          <w:noProof/>
          <w:sz w:val="24"/>
          <w:szCs w:val="24"/>
          <w:lang w:eastAsia="de-DE"/>
        </w:rPr>
        <w:t>Article 21 submissions in 2019, all participating countries check annual emission reports for completeness (100% of reports except BE 31%, ES 95%, FR 99%, and SE 1%). The reports further indicate that on average countries check close to 80% of reports for consistency against monitoring plans (all except HR) and close to 75% against allocation data (all countries except FI, HR</w:t>
      </w:r>
      <w:r w:rsidR="00C34412" w:rsidRPr="00A75105">
        <w:rPr>
          <w:rFonts w:ascii="Times New Roman" w:eastAsia="Times New Roman" w:hAnsi="Times New Roman"/>
          <w:noProof/>
          <w:sz w:val="24"/>
          <w:szCs w:val="24"/>
          <w:lang w:eastAsia="de-DE"/>
        </w:rPr>
        <w:t>, MT, NO, and SE). Twenty-</w:t>
      </w:r>
      <w:r w:rsidRPr="00A75105">
        <w:rPr>
          <w:rFonts w:ascii="Times New Roman" w:eastAsia="Times New Roman" w:hAnsi="Times New Roman"/>
          <w:noProof/>
          <w:sz w:val="24"/>
          <w:szCs w:val="24"/>
          <w:lang w:eastAsia="de-DE"/>
        </w:rPr>
        <w:t xml:space="preserve">four countries reported that they also carry out cross-checks against other data. </w:t>
      </w:r>
    </w:p>
    <w:p w14:paraId="3EBD2D74" w14:textId="77777777" w:rsidR="00310AEE" w:rsidRPr="00A7510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C</w:t>
      </w:r>
      <w:r w:rsidR="00C34412" w:rsidRPr="00A75105">
        <w:rPr>
          <w:rFonts w:ascii="Times New Roman" w:eastAsia="Times New Roman" w:hAnsi="Times New Roman"/>
          <w:noProof/>
          <w:sz w:val="24"/>
          <w:szCs w:val="24"/>
          <w:lang w:eastAsia="de-DE"/>
        </w:rPr>
        <w:t xml:space="preserve">ompetent authorities in 12 </w:t>
      </w:r>
      <w:r w:rsidRPr="00A75105">
        <w:rPr>
          <w:rFonts w:ascii="Times New Roman" w:eastAsia="Times New Roman" w:hAnsi="Times New Roman"/>
          <w:noProof/>
          <w:sz w:val="24"/>
          <w:szCs w:val="24"/>
          <w:lang w:eastAsia="de-DE"/>
        </w:rPr>
        <w:t xml:space="preserve">countries carried out conservative estimates regarding missing data in the case of </w:t>
      </w:r>
      <w:r w:rsidR="00C062A7" w:rsidRPr="00A75105">
        <w:rPr>
          <w:rFonts w:ascii="Times New Roman" w:eastAsia="Times New Roman" w:hAnsi="Times New Roman"/>
          <w:noProof/>
          <w:sz w:val="24"/>
          <w:szCs w:val="24"/>
          <w:lang w:eastAsia="de-DE"/>
        </w:rPr>
        <w:t>57</w:t>
      </w:r>
      <w:r w:rsidRPr="00A75105">
        <w:rPr>
          <w:rFonts w:ascii="Times New Roman" w:eastAsia="Times New Roman" w:hAnsi="Times New Roman"/>
          <w:noProof/>
          <w:sz w:val="24"/>
          <w:szCs w:val="24"/>
          <w:lang w:eastAsia="de-DE"/>
        </w:rPr>
        <w:t xml:space="preserve"> installations (approximately 0.</w:t>
      </w:r>
      <w:r w:rsidR="00C062A7" w:rsidRPr="00A75105">
        <w:rPr>
          <w:rFonts w:ascii="Times New Roman" w:eastAsia="Times New Roman" w:hAnsi="Times New Roman"/>
          <w:noProof/>
          <w:sz w:val="24"/>
          <w:szCs w:val="24"/>
          <w:lang w:eastAsia="de-DE"/>
        </w:rPr>
        <w:t>5</w:t>
      </w:r>
      <w:r w:rsidRPr="00A75105">
        <w:rPr>
          <w:rFonts w:ascii="Times New Roman" w:eastAsia="Times New Roman" w:hAnsi="Times New Roman"/>
          <w:noProof/>
          <w:sz w:val="24"/>
          <w:szCs w:val="24"/>
          <w:lang w:eastAsia="de-DE"/>
        </w:rPr>
        <w:t>% of installations overall),</w:t>
      </w:r>
      <w:r w:rsidR="00C062A7" w:rsidRPr="00A75105">
        <w:rPr>
          <w:rFonts w:ascii="Times New Roman" w:eastAsia="Times New Roman" w:hAnsi="Times New Roman"/>
          <w:noProof/>
          <w:sz w:val="24"/>
          <w:szCs w:val="24"/>
          <w:lang w:eastAsia="de-DE"/>
        </w:rPr>
        <w:t xml:space="preserve"> similar to</w:t>
      </w:r>
      <w:r w:rsidRPr="00A75105">
        <w:rPr>
          <w:rFonts w:ascii="Times New Roman" w:eastAsia="Times New Roman" w:hAnsi="Times New Roman"/>
          <w:noProof/>
          <w:sz w:val="24"/>
          <w:szCs w:val="24"/>
          <w:lang w:eastAsia="de-DE"/>
        </w:rPr>
        <w:t xml:space="preserve"> 52 installations (0.5%) for 2017 and 57 (0.5%) for 2016. The reported quantity of affected 2018 emissions was 11.2 million tonnes CO</w:t>
      </w:r>
      <w:r w:rsidRPr="00A75105">
        <w:rPr>
          <w:rFonts w:ascii="Times New Roman" w:eastAsia="Times New Roman" w:hAnsi="Times New Roman"/>
          <w:noProof/>
          <w:sz w:val="24"/>
          <w:szCs w:val="24"/>
          <w:vertAlign w:val="subscript"/>
          <w:lang w:eastAsia="de-DE"/>
        </w:rPr>
        <w:t xml:space="preserve">2 </w:t>
      </w:r>
      <w:r w:rsidRPr="00A75105">
        <w:rPr>
          <w:rFonts w:ascii="Times New Roman" w:eastAsia="Times New Roman" w:hAnsi="Times New Roman"/>
          <w:noProof/>
          <w:sz w:val="24"/>
          <w:szCs w:val="24"/>
          <w:lang w:eastAsia="de-DE"/>
        </w:rPr>
        <w:t>(compared to 2.8 million tonnes CO</w:t>
      </w:r>
      <w:r w:rsidRPr="00A75105">
        <w:rPr>
          <w:rFonts w:ascii="Times New Roman" w:eastAsia="Times New Roman" w:hAnsi="Times New Roman"/>
          <w:noProof/>
          <w:sz w:val="24"/>
          <w:szCs w:val="24"/>
          <w:vertAlign w:val="subscript"/>
          <w:lang w:eastAsia="de-DE"/>
        </w:rPr>
        <w:t>2</w:t>
      </w:r>
      <w:r w:rsidRPr="00A75105">
        <w:rPr>
          <w:rFonts w:ascii="Times New Roman" w:eastAsia="Times New Roman" w:hAnsi="Times New Roman"/>
          <w:noProof/>
          <w:sz w:val="24"/>
          <w:szCs w:val="24"/>
          <w:lang w:eastAsia="de-DE"/>
        </w:rPr>
        <w:t xml:space="preserve"> in 2017</w:t>
      </w:r>
      <w:r w:rsidR="00C062A7" w:rsidRPr="00A75105">
        <w:rPr>
          <w:rFonts w:ascii="Times New Roman" w:eastAsia="Times New Roman" w:hAnsi="Times New Roman"/>
          <w:noProof/>
          <w:sz w:val="24"/>
          <w:szCs w:val="24"/>
          <w:lang w:eastAsia="de-DE"/>
        </w:rPr>
        <w:t>)</w:t>
      </w:r>
      <w:r w:rsidRPr="00A75105">
        <w:rPr>
          <w:rFonts w:ascii="Times New Roman" w:eastAsia="Times New Roman" w:hAnsi="Times New Roman"/>
          <w:noProof/>
          <w:sz w:val="24"/>
          <w:szCs w:val="24"/>
          <w:lang w:eastAsia="de-DE"/>
        </w:rPr>
        <w:t xml:space="preserve">, </w:t>
      </w:r>
      <w:r w:rsidRPr="001B4818">
        <w:rPr>
          <w:rFonts w:ascii="Times New Roman" w:eastAsia="Times New Roman" w:hAnsi="Times New Roman"/>
          <w:noProof/>
          <w:sz w:val="24"/>
          <w:szCs w:val="24"/>
          <w:lang w:eastAsia="de-DE"/>
        </w:rPr>
        <w:t>approximately 0.</w:t>
      </w:r>
      <w:r w:rsidR="006A1212" w:rsidRPr="001B4818">
        <w:rPr>
          <w:rFonts w:ascii="Times New Roman" w:eastAsia="Times New Roman" w:hAnsi="Times New Roman"/>
          <w:noProof/>
          <w:sz w:val="24"/>
          <w:szCs w:val="24"/>
          <w:lang w:eastAsia="de-DE"/>
        </w:rPr>
        <w:t>7</w:t>
      </w:r>
      <w:r w:rsidRPr="001B4818">
        <w:rPr>
          <w:rFonts w:ascii="Times New Roman" w:eastAsia="Times New Roman" w:hAnsi="Times New Roman"/>
          <w:noProof/>
          <w:sz w:val="24"/>
          <w:szCs w:val="24"/>
          <w:lang w:eastAsia="de-DE"/>
        </w:rPr>
        <w:t>% of overall</w:t>
      </w:r>
      <w:r w:rsidRPr="00A75105">
        <w:rPr>
          <w:rFonts w:ascii="Times New Roman" w:eastAsia="Times New Roman" w:hAnsi="Times New Roman"/>
          <w:noProof/>
          <w:sz w:val="24"/>
          <w:szCs w:val="24"/>
          <w:lang w:eastAsia="de-DE"/>
        </w:rPr>
        <w:t xml:space="preserve"> emissions</w:t>
      </w:r>
      <w:r w:rsidR="00C062A7" w:rsidRPr="00A75105">
        <w:rPr>
          <w:rFonts w:ascii="Times New Roman" w:eastAsia="Times New Roman" w:hAnsi="Times New Roman"/>
          <w:noProof/>
          <w:sz w:val="24"/>
          <w:szCs w:val="24"/>
          <w:lang w:eastAsia="de-DE"/>
        </w:rPr>
        <w:t xml:space="preserve"> (compared to 0.2% in 2017).</w:t>
      </w:r>
      <w:r w:rsidRPr="00A75105">
        <w:rPr>
          <w:rFonts w:ascii="Times New Roman" w:eastAsia="Times New Roman" w:hAnsi="Times New Roman"/>
          <w:noProof/>
          <w:sz w:val="24"/>
          <w:szCs w:val="24"/>
          <w:lang w:eastAsia="de-DE"/>
        </w:rPr>
        <w:t xml:space="preserve"> The most common reasons given for making conservative estimates were </w:t>
      </w:r>
      <w:r w:rsidRPr="00A75105">
        <w:rPr>
          <w:rFonts w:ascii="Times New Roman" w:eastAsia="Times New Roman" w:hAnsi="Times New Roman"/>
          <w:noProof/>
          <w:sz w:val="24"/>
          <w:szCs w:val="24"/>
          <w:lang w:val="en" w:eastAsia="de-DE"/>
        </w:rPr>
        <w:t>the absence of an emission report by 31 March or emission reports that were not fully in line with MRR/AVR requirements</w:t>
      </w:r>
      <w:r w:rsidRPr="00A75105">
        <w:rPr>
          <w:rFonts w:ascii="Times New Roman" w:eastAsia="Times New Roman" w:hAnsi="Times New Roman"/>
          <w:noProof/>
          <w:color w:val="444444"/>
          <w:sz w:val="24"/>
          <w:szCs w:val="24"/>
          <w:lang w:val="en" w:eastAsia="de-DE"/>
        </w:rPr>
        <w:t>.</w:t>
      </w:r>
    </w:p>
    <w:p w14:paraId="7A85A336" w14:textId="77777777" w:rsidR="00310AEE" w:rsidRPr="00A7510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 xml:space="preserve">Conservative estimates regarding missing data for aviation were reported by </w:t>
      </w:r>
      <w:r w:rsidR="00F50389" w:rsidRPr="00A75105">
        <w:rPr>
          <w:rFonts w:ascii="Times New Roman" w:eastAsia="Times New Roman" w:hAnsi="Times New Roman"/>
          <w:noProof/>
          <w:sz w:val="24"/>
          <w:szCs w:val="24"/>
          <w:lang w:eastAsia="de-DE"/>
        </w:rPr>
        <w:t>seven</w:t>
      </w:r>
      <w:r w:rsidRPr="00A75105">
        <w:rPr>
          <w:rFonts w:ascii="Times New Roman" w:eastAsia="Times New Roman" w:hAnsi="Times New Roman"/>
          <w:noProof/>
          <w:sz w:val="24"/>
          <w:szCs w:val="24"/>
          <w:lang w:eastAsia="de-DE"/>
        </w:rPr>
        <w:t xml:space="preserve"> countries concerning 31 aircraft operators (4.7% of the total), and 4.7% of aviation emissions. </w:t>
      </w:r>
    </w:p>
    <w:p w14:paraId="73D35A48" w14:textId="77777777" w:rsidR="00310AEE" w:rsidRPr="00516F65" w:rsidRDefault="00310AEE" w:rsidP="00310AEE">
      <w:pPr>
        <w:jc w:val="both"/>
        <w:rPr>
          <w:rFonts w:ascii="Times New Roman" w:eastAsia="Times New Roman" w:hAnsi="Times New Roman"/>
          <w:noProof/>
          <w:sz w:val="24"/>
          <w:szCs w:val="24"/>
          <w:lang w:eastAsia="de-DE"/>
        </w:rPr>
      </w:pPr>
      <w:r w:rsidRPr="00A75105">
        <w:rPr>
          <w:rFonts w:ascii="Times New Roman" w:eastAsia="Times New Roman" w:hAnsi="Times New Roman"/>
          <w:noProof/>
          <w:sz w:val="24"/>
          <w:szCs w:val="24"/>
          <w:lang w:eastAsia="de-DE"/>
        </w:rPr>
        <w:t>Competent authorities' checks also</w:t>
      </w:r>
      <w:r w:rsidRPr="00516F65">
        <w:rPr>
          <w:rFonts w:ascii="Times New Roman" w:eastAsia="Times New Roman" w:hAnsi="Times New Roman"/>
          <w:noProof/>
          <w:sz w:val="24"/>
          <w:szCs w:val="24"/>
          <w:lang w:eastAsia="de-DE"/>
        </w:rPr>
        <w:t xml:space="preserve"> remain important to supplement the verifier’s work. For 2018, all countries confirmed that they carry out further checks in the case of installations. Most countries reported a similar approach regarding aircraft operators (all except CY, EE, EL, IT, and LI). Most countries (all except EL, IT, LU and MT) reported that they carried out spot checks at installations in 2018.</w:t>
      </w:r>
    </w:p>
    <w:p w14:paraId="0E3B6C2D" w14:textId="77777777" w:rsidR="00310AEE" w:rsidRPr="00516F65" w:rsidRDefault="00310AEE" w:rsidP="00310AEE">
      <w:pPr>
        <w:spacing w:after="120"/>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For 2018, the application of excess emissions penalty was reported for 36 installations by </w:t>
      </w:r>
      <w:r w:rsidR="00F50389" w:rsidRPr="00516F65">
        <w:rPr>
          <w:rFonts w:ascii="Times New Roman" w:eastAsia="Times New Roman" w:hAnsi="Times New Roman"/>
          <w:noProof/>
          <w:sz w:val="24"/>
          <w:szCs w:val="24"/>
          <w:lang w:eastAsia="de-DE"/>
        </w:rPr>
        <w:t>ten</w:t>
      </w:r>
      <w:r w:rsidRPr="00516F65">
        <w:rPr>
          <w:rFonts w:ascii="Times New Roman" w:eastAsia="Times New Roman" w:hAnsi="Times New Roman"/>
          <w:noProof/>
          <w:sz w:val="24"/>
          <w:szCs w:val="24"/>
          <w:lang w:eastAsia="de-DE"/>
        </w:rPr>
        <w:t xml:space="preserve"> countries (BG 1, CZ 2, FR 1, IE 2, IT 5, NL 1, PL 2, PT 7, RO 4, UK 11). For aviation, excess emission penalties were reported for 26 aircraft operators (DE 2,  FR 1, IT 9, LT 1, NL 1, PT 8, SI 1, and UK 3). </w:t>
      </w:r>
    </w:p>
    <w:p w14:paraId="18B1C31B" w14:textId="77777777" w:rsidR="00310AEE" w:rsidRPr="003B73EF" w:rsidRDefault="00310AEE" w:rsidP="00310AEE">
      <w:pPr>
        <w:spacing w:after="120"/>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Twelve countries confirmed issue of penalties (other than excess emissions penalties) in 2018. No imprisonments were reported, but fines, formal notices, and final warning letters concerning </w:t>
      </w:r>
      <w:r w:rsidRPr="003B73EF">
        <w:rPr>
          <w:rFonts w:ascii="Times New Roman" w:eastAsia="Times New Roman" w:hAnsi="Times New Roman"/>
          <w:noProof/>
          <w:sz w:val="24"/>
          <w:szCs w:val="24"/>
          <w:lang w:eastAsia="de-DE"/>
        </w:rPr>
        <w:t>3</w:t>
      </w:r>
      <w:r w:rsidR="002028F1" w:rsidRPr="003B73EF">
        <w:rPr>
          <w:rFonts w:ascii="Times New Roman" w:eastAsia="Times New Roman" w:hAnsi="Times New Roman"/>
          <w:noProof/>
          <w:sz w:val="24"/>
          <w:szCs w:val="24"/>
          <w:lang w:eastAsia="de-DE"/>
        </w:rPr>
        <w:t>6</w:t>
      </w:r>
      <w:r w:rsidRPr="003B73EF">
        <w:rPr>
          <w:rFonts w:ascii="Times New Roman" w:eastAsia="Times New Roman" w:hAnsi="Times New Roman"/>
          <w:noProof/>
          <w:sz w:val="24"/>
          <w:szCs w:val="24"/>
          <w:lang w:eastAsia="de-DE"/>
        </w:rPr>
        <w:t xml:space="preserve"> installations and </w:t>
      </w:r>
      <w:r w:rsidR="002028F1" w:rsidRPr="003B73EF">
        <w:rPr>
          <w:rFonts w:ascii="Times New Roman" w:eastAsia="Times New Roman" w:hAnsi="Times New Roman"/>
          <w:noProof/>
          <w:sz w:val="24"/>
          <w:szCs w:val="24"/>
          <w:lang w:eastAsia="de-DE"/>
        </w:rPr>
        <w:t>26</w:t>
      </w:r>
      <w:r w:rsidRPr="003B73EF">
        <w:rPr>
          <w:rFonts w:ascii="Times New Roman" w:eastAsia="Times New Roman" w:hAnsi="Times New Roman"/>
          <w:noProof/>
          <w:sz w:val="24"/>
          <w:szCs w:val="24"/>
          <w:lang w:eastAsia="de-DE"/>
        </w:rPr>
        <w:t xml:space="preserve"> aircraft operators were noted amounting to a total financial value of EUR 5,</w:t>
      </w:r>
      <w:r w:rsidR="002028F1" w:rsidRPr="003B73EF">
        <w:rPr>
          <w:rFonts w:ascii="Times New Roman" w:eastAsia="Times New Roman" w:hAnsi="Times New Roman"/>
          <w:noProof/>
          <w:sz w:val="24"/>
          <w:szCs w:val="24"/>
          <w:lang w:eastAsia="de-DE"/>
        </w:rPr>
        <w:t>4</w:t>
      </w:r>
      <w:r w:rsidRPr="003B73EF">
        <w:rPr>
          <w:rFonts w:ascii="Times New Roman" w:eastAsia="Times New Roman" w:hAnsi="Times New Roman"/>
          <w:noProof/>
          <w:sz w:val="24"/>
          <w:szCs w:val="24"/>
          <w:lang w:eastAsia="de-DE"/>
        </w:rPr>
        <w:t xml:space="preserve"> million.</w:t>
      </w:r>
      <w:r w:rsidRPr="003B73EF">
        <w:rPr>
          <w:rStyle w:val="FootnoteReference"/>
          <w:rFonts w:ascii="Times New Roman" w:eastAsia="Times New Roman" w:hAnsi="Times New Roman"/>
          <w:noProof/>
          <w:sz w:val="24"/>
          <w:szCs w:val="24"/>
          <w:lang w:eastAsia="de-DE"/>
        </w:rPr>
        <w:footnoteReference w:id="74"/>
      </w:r>
      <w:r w:rsidRPr="003B73EF">
        <w:rPr>
          <w:rFonts w:ascii="Times New Roman" w:eastAsia="Times New Roman" w:hAnsi="Times New Roman"/>
          <w:noProof/>
          <w:sz w:val="24"/>
          <w:szCs w:val="24"/>
          <w:lang w:eastAsia="de-DE"/>
        </w:rPr>
        <w:t xml:space="preserve"> </w:t>
      </w:r>
    </w:p>
    <w:p w14:paraId="7696A498" w14:textId="77777777" w:rsidR="00310AEE" w:rsidRPr="00516F65" w:rsidRDefault="00310AEE" w:rsidP="00310AEE">
      <w:pPr>
        <w:spacing w:after="120"/>
        <w:jc w:val="both"/>
        <w:rPr>
          <w:rFonts w:ascii="Times New Roman" w:eastAsia="Times New Roman" w:hAnsi="Times New Roman"/>
          <w:noProof/>
          <w:sz w:val="24"/>
          <w:szCs w:val="24"/>
          <w:lang w:eastAsia="de-DE"/>
        </w:rPr>
      </w:pPr>
      <w:r w:rsidRPr="003B73EF">
        <w:rPr>
          <w:rFonts w:ascii="Times New Roman" w:eastAsia="Times New Roman" w:hAnsi="Times New Roman"/>
          <w:noProof/>
          <w:sz w:val="24"/>
          <w:szCs w:val="24"/>
          <w:lang w:eastAsia="de-DE"/>
        </w:rPr>
        <w:t xml:space="preserve">The most common </w:t>
      </w:r>
      <w:r w:rsidR="00F50389" w:rsidRPr="003B73EF">
        <w:rPr>
          <w:rFonts w:ascii="Times New Roman" w:eastAsia="Times New Roman" w:hAnsi="Times New Roman"/>
          <w:noProof/>
          <w:sz w:val="24"/>
          <w:szCs w:val="24"/>
          <w:lang w:eastAsia="de-DE"/>
        </w:rPr>
        <w:t>violations</w:t>
      </w:r>
      <w:r w:rsidRPr="00516F65">
        <w:rPr>
          <w:rFonts w:ascii="Times New Roman" w:eastAsia="Times New Roman" w:hAnsi="Times New Roman"/>
          <w:noProof/>
          <w:sz w:val="24"/>
          <w:szCs w:val="24"/>
          <w:lang w:eastAsia="de-DE"/>
        </w:rPr>
        <w:t xml:space="preserve"> reported for 2018 were failure to hold a duly approved monitoring plan (9), operation without a permit (8), failure to comply with the conditions of the permit (6), and failure </w:t>
      </w:r>
      <w:r w:rsidR="00F50389" w:rsidRPr="00516F65">
        <w:rPr>
          <w:rFonts w:ascii="Times New Roman" w:eastAsia="Times New Roman" w:hAnsi="Times New Roman"/>
          <w:noProof/>
          <w:sz w:val="24"/>
          <w:szCs w:val="24"/>
          <w:lang w:eastAsia="de-DE"/>
        </w:rPr>
        <w:t>to</w:t>
      </w:r>
      <w:r w:rsidRPr="00516F65">
        <w:rPr>
          <w:rFonts w:ascii="Times New Roman" w:eastAsia="Times New Roman" w:hAnsi="Times New Roman"/>
          <w:noProof/>
          <w:sz w:val="24"/>
          <w:szCs w:val="24"/>
          <w:lang w:eastAsia="de-DE"/>
        </w:rPr>
        <w:t xml:space="preserve"> submit verified annual emission reports by the due deadline (5 cases)</w:t>
      </w:r>
      <w:r w:rsidR="00F50389" w:rsidRPr="00516F65">
        <w:rPr>
          <w:rFonts w:ascii="Times New Roman" w:eastAsia="Times New Roman" w:hAnsi="Times New Roman"/>
          <w:noProof/>
          <w:sz w:val="24"/>
          <w:szCs w:val="24"/>
          <w:lang w:eastAsia="de-DE"/>
        </w:rPr>
        <w:t>.</w:t>
      </w:r>
      <w:r w:rsidRPr="00516F65">
        <w:rPr>
          <w:rFonts w:ascii="Times New Roman" w:eastAsia="Times New Roman" w:hAnsi="Times New Roman"/>
          <w:noProof/>
          <w:sz w:val="24"/>
          <w:szCs w:val="24"/>
          <w:lang w:eastAsia="de-DE"/>
        </w:rPr>
        <w:t xml:space="preserve"> </w:t>
      </w:r>
    </w:p>
    <w:p w14:paraId="0C35477E" w14:textId="77777777" w:rsidR="00310AEE" w:rsidRPr="004724FA" w:rsidRDefault="00310AEE" w:rsidP="00310AEE">
      <w:pPr>
        <w:spacing w:after="120"/>
        <w:jc w:val="both"/>
        <w:rPr>
          <w:rFonts w:ascii="Times New Roman" w:eastAsia="Times New Roman" w:hAnsi="Times New Roman"/>
          <w:noProof/>
          <w:sz w:val="24"/>
          <w:szCs w:val="24"/>
          <w:lang w:eastAsia="de-DE"/>
        </w:rPr>
      </w:pPr>
      <w:r w:rsidRPr="00516F65">
        <w:rPr>
          <w:rFonts w:ascii="Times New Roman" w:eastAsia="Times New Roman" w:hAnsi="Times New Roman"/>
          <w:noProof/>
          <w:sz w:val="24"/>
          <w:szCs w:val="24"/>
          <w:lang w:eastAsia="de-DE"/>
        </w:rPr>
        <w:t xml:space="preserve">As reported last year, a fifth EU ETS compliance cycle evaluation has started at the beginning of 2018, with the aim to identify EU ETS compliance issues at the level of participating countries and support them in improving their implementation of the EU ETS. The evaluation will be concluded </w:t>
      </w:r>
      <w:r w:rsidR="00F50389" w:rsidRPr="00516F65">
        <w:rPr>
          <w:rFonts w:ascii="Times New Roman" w:eastAsia="Times New Roman" w:hAnsi="Times New Roman"/>
          <w:noProof/>
          <w:sz w:val="24"/>
          <w:szCs w:val="24"/>
          <w:lang w:eastAsia="de-DE"/>
        </w:rPr>
        <w:t>in late</w:t>
      </w:r>
      <w:r w:rsidRPr="00516F65">
        <w:rPr>
          <w:rFonts w:ascii="Times New Roman" w:eastAsia="Times New Roman" w:hAnsi="Times New Roman"/>
          <w:noProof/>
          <w:sz w:val="24"/>
          <w:szCs w:val="24"/>
          <w:lang w:eastAsia="de-DE"/>
        </w:rPr>
        <w:t xml:space="preserve"> 2019</w:t>
      </w:r>
      <w:r w:rsidRPr="004724FA">
        <w:rPr>
          <w:rFonts w:ascii="Times New Roman" w:eastAsia="Times New Roman" w:hAnsi="Times New Roman"/>
          <w:noProof/>
          <w:sz w:val="24"/>
          <w:szCs w:val="24"/>
          <w:lang w:eastAsia="de-DE"/>
        </w:rPr>
        <w:t>.</w:t>
      </w:r>
    </w:p>
    <w:p w14:paraId="73047261" w14:textId="77777777" w:rsidR="009E2F76" w:rsidRPr="004724FA" w:rsidRDefault="009E2F76" w:rsidP="00310AEE">
      <w:pPr>
        <w:spacing w:after="120"/>
        <w:jc w:val="both"/>
        <w:rPr>
          <w:rFonts w:ascii="Times New Roman" w:eastAsia="Times New Roman" w:hAnsi="Times New Roman"/>
          <w:noProof/>
          <w:sz w:val="24"/>
          <w:szCs w:val="24"/>
          <w:lang w:eastAsia="de-DE"/>
        </w:rPr>
      </w:pPr>
    </w:p>
    <w:p w14:paraId="0CA4E9A1" w14:textId="77777777" w:rsidR="005F6BD0" w:rsidRPr="004724FA" w:rsidRDefault="00A52F4C">
      <w:pPr>
        <w:pStyle w:val="Heading1"/>
        <w:spacing w:before="0" w:after="200"/>
        <w:rPr>
          <w:noProof/>
        </w:rPr>
      </w:pPr>
      <w:bookmarkStart w:id="64" w:name="_Toc490850440"/>
      <w:bookmarkStart w:id="65" w:name="_Toc519009691"/>
      <w:bookmarkStart w:id="66" w:name="_Toc20217744"/>
      <w:r w:rsidRPr="004724FA">
        <w:rPr>
          <w:noProof/>
        </w:rPr>
        <w:t>9</w:t>
      </w:r>
      <w:r w:rsidR="003A348D" w:rsidRPr="004724FA">
        <w:rPr>
          <w:noProof/>
        </w:rPr>
        <w:t>. CONCLUSIONS AND OUTLOOK</w:t>
      </w:r>
      <w:bookmarkEnd w:id="64"/>
      <w:bookmarkEnd w:id="65"/>
      <w:bookmarkEnd w:id="66"/>
      <w:r w:rsidR="003A348D" w:rsidRPr="004724FA">
        <w:rPr>
          <w:noProof/>
        </w:rPr>
        <w:t xml:space="preserve"> </w:t>
      </w:r>
    </w:p>
    <w:p w14:paraId="2DA378AA" w14:textId="77777777" w:rsidR="00AA6C77" w:rsidRPr="00516F65" w:rsidRDefault="00430B6B" w:rsidP="00AA6C77">
      <w:pPr>
        <w:spacing w:after="0"/>
        <w:jc w:val="both"/>
        <w:rPr>
          <w:rFonts w:ascii="Times New Roman" w:hAnsi="Times New Roman"/>
          <w:noProof/>
          <w:sz w:val="24"/>
          <w:szCs w:val="24"/>
        </w:rPr>
      </w:pPr>
      <w:bookmarkStart w:id="67" w:name="_Toc490850441"/>
      <w:r w:rsidRPr="00171CDC">
        <w:rPr>
          <w:rFonts w:ascii="Times New Roman" w:hAnsi="Times New Roman"/>
          <w:noProof/>
          <w:sz w:val="24"/>
          <w:szCs w:val="24"/>
        </w:rPr>
        <w:t xml:space="preserve">2018 was marked by significant progress in the adoption of the implementing provisions for phase 4 of the EU ETS. </w:t>
      </w:r>
      <w:r w:rsidR="004724FA" w:rsidRPr="003F30A8">
        <w:rPr>
          <w:rFonts w:ascii="Times New Roman" w:hAnsi="Times New Roman"/>
          <w:noProof/>
          <w:sz w:val="24"/>
          <w:szCs w:val="24"/>
        </w:rPr>
        <w:t>Provisions</w:t>
      </w:r>
      <w:r w:rsidRPr="003F30A8">
        <w:rPr>
          <w:rFonts w:ascii="Times New Roman" w:hAnsi="Times New Roman"/>
          <w:noProof/>
          <w:sz w:val="24"/>
          <w:szCs w:val="24"/>
        </w:rPr>
        <w:t xml:space="preserve"> on carbon leakage, free allocation, auctioning, the establishment of the Innovation Fund, and monitoring, reporting and verification w</w:t>
      </w:r>
      <w:r w:rsidR="00970B92" w:rsidRPr="003F30A8">
        <w:rPr>
          <w:rFonts w:ascii="Times New Roman" w:hAnsi="Times New Roman"/>
          <w:noProof/>
          <w:sz w:val="24"/>
          <w:szCs w:val="24"/>
        </w:rPr>
        <w:t>ere</w:t>
      </w:r>
      <w:r w:rsidRPr="003F30A8">
        <w:rPr>
          <w:rFonts w:ascii="Times New Roman" w:hAnsi="Times New Roman"/>
          <w:noProof/>
          <w:sz w:val="24"/>
          <w:szCs w:val="24"/>
        </w:rPr>
        <w:t xml:space="preserve"> adopted over the course of the past year. The remaining implementing </w:t>
      </w:r>
      <w:r w:rsidR="00970B92" w:rsidRPr="003F30A8">
        <w:rPr>
          <w:rFonts w:ascii="Times New Roman" w:hAnsi="Times New Roman"/>
          <w:noProof/>
          <w:sz w:val="24"/>
          <w:szCs w:val="24"/>
        </w:rPr>
        <w:t>rules</w:t>
      </w:r>
      <w:r w:rsidR="004724FA" w:rsidRPr="003F30A8">
        <w:rPr>
          <w:rFonts w:ascii="Times New Roman" w:hAnsi="Times New Roman"/>
          <w:noProof/>
          <w:sz w:val="24"/>
          <w:szCs w:val="24"/>
        </w:rPr>
        <w:t xml:space="preserve"> </w:t>
      </w:r>
      <w:r w:rsidRPr="003F30A8">
        <w:rPr>
          <w:rFonts w:ascii="Times New Roman" w:hAnsi="Times New Roman"/>
          <w:noProof/>
          <w:sz w:val="24"/>
          <w:szCs w:val="24"/>
        </w:rPr>
        <w:t>are bei</w:t>
      </w:r>
      <w:r w:rsidR="001D30E4">
        <w:rPr>
          <w:rFonts w:ascii="Times New Roman" w:hAnsi="Times New Roman"/>
          <w:noProof/>
          <w:sz w:val="24"/>
          <w:szCs w:val="24"/>
        </w:rPr>
        <w:t>ng swiftly finalised and are envisaged to be</w:t>
      </w:r>
      <w:r w:rsidRPr="003F30A8">
        <w:rPr>
          <w:rFonts w:ascii="Times New Roman" w:hAnsi="Times New Roman"/>
          <w:noProof/>
          <w:sz w:val="24"/>
          <w:szCs w:val="24"/>
        </w:rPr>
        <w:t xml:space="preserve"> adopted before the start of the new trading period in January</w:t>
      </w:r>
      <w:r w:rsidRPr="00171CDC">
        <w:rPr>
          <w:rFonts w:ascii="Times New Roman" w:hAnsi="Times New Roman"/>
          <w:noProof/>
          <w:sz w:val="24"/>
          <w:szCs w:val="24"/>
        </w:rPr>
        <w:t xml:space="preserve"> 2021.</w:t>
      </w:r>
      <w:r w:rsidRPr="00516F65">
        <w:rPr>
          <w:rFonts w:ascii="Times New Roman" w:hAnsi="Times New Roman"/>
          <w:noProof/>
          <w:sz w:val="24"/>
          <w:szCs w:val="24"/>
        </w:rPr>
        <w:t xml:space="preserve"> </w:t>
      </w:r>
    </w:p>
    <w:p w14:paraId="7358EDEB" w14:textId="77777777" w:rsidR="00430B6B" w:rsidRPr="00516F65" w:rsidRDefault="00430B6B" w:rsidP="00430B6B">
      <w:pPr>
        <w:spacing w:after="0"/>
        <w:jc w:val="both"/>
        <w:rPr>
          <w:rFonts w:ascii="Times New Roman" w:hAnsi="Times New Roman"/>
          <w:noProof/>
          <w:sz w:val="24"/>
          <w:szCs w:val="24"/>
        </w:rPr>
      </w:pPr>
    </w:p>
    <w:p w14:paraId="35AC3A3F" w14:textId="77777777" w:rsidR="00430B6B" w:rsidRPr="004724FA" w:rsidRDefault="009D0411" w:rsidP="00430B6B">
      <w:pPr>
        <w:spacing w:after="0"/>
        <w:jc w:val="both"/>
        <w:rPr>
          <w:rFonts w:ascii="Times New Roman" w:hAnsi="Times New Roman"/>
          <w:noProof/>
          <w:sz w:val="24"/>
          <w:szCs w:val="24"/>
        </w:rPr>
      </w:pPr>
      <w:r w:rsidRPr="00516F65">
        <w:rPr>
          <w:rFonts w:ascii="Times New Roman" w:hAnsi="Times New Roman"/>
          <w:noProof/>
          <w:sz w:val="24"/>
          <w:szCs w:val="24"/>
        </w:rPr>
        <w:t xml:space="preserve">The year was also marked by a substantial fall in emissions from EU ETS-covered installations. The decrease of </w:t>
      </w:r>
      <w:r w:rsidR="00430B6B" w:rsidRPr="00516F65">
        <w:rPr>
          <w:rFonts w:ascii="Times New Roman" w:hAnsi="Times New Roman"/>
          <w:noProof/>
          <w:sz w:val="24"/>
          <w:szCs w:val="24"/>
        </w:rPr>
        <w:t>4.1</w:t>
      </w:r>
      <w:r w:rsidRPr="00516F65">
        <w:rPr>
          <w:rFonts w:ascii="Times New Roman" w:hAnsi="Times New Roman"/>
          <w:noProof/>
          <w:sz w:val="24"/>
          <w:szCs w:val="24"/>
        </w:rPr>
        <w:t xml:space="preserve">% compared to 2017 </w:t>
      </w:r>
      <w:r w:rsidR="00430B6B" w:rsidRPr="00516F65">
        <w:rPr>
          <w:rFonts w:ascii="Times New Roman" w:hAnsi="Times New Roman"/>
          <w:noProof/>
          <w:sz w:val="24"/>
          <w:szCs w:val="24"/>
        </w:rPr>
        <w:t xml:space="preserve">was mainly driven by </w:t>
      </w:r>
      <w:r w:rsidR="008E46B6">
        <w:rPr>
          <w:rFonts w:ascii="Times New Roman" w:hAnsi="Times New Roman"/>
          <w:noProof/>
          <w:sz w:val="24"/>
          <w:szCs w:val="24"/>
        </w:rPr>
        <w:t>electricity and heat production</w:t>
      </w:r>
      <w:r w:rsidR="008A5D9B" w:rsidRPr="00516F65">
        <w:rPr>
          <w:rFonts w:ascii="Times New Roman" w:hAnsi="Times New Roman"/>
          <w:noProof/>
          <w:sz w:val="24"/>
          <w:szCs w:val="24"/>
        </w:rPr>
        <w:t>, with</w:t>
      </w:r>
      <w:r w:rsidR="00430B6B" w:rsidRPr="00516F65">
        <w:rPr>
          <w:rFonts w:ascii="Times New Roman" w:hAnsi="Times New Roman"/>
          <w:noProof/>
          <w:sz w:val="24"/>
          <w:szCs w:val="24"/>
        </w:rPr>
        <w:t xml:space="preserve"> emissions from indus</w:t>
      </w:r>
      <w:r w:rsidR="008A5D9B" w:rsidRPr="00516F65">
        <w:rPr>
          <w:rFonts w:ascii="Times New Roman" w:hAnsi="Times New Roman"/>
          <w:noProof/>
          <w:sz w:val="24"/>
          <w:szCs w:val="24"/>
        </w:rPr>
        <w:t>try falling</w:t>
      </w:r>
      <w:r w:rsidRPr="00516F65">
        <w:rPr>
          <w:rFonts w:ascii="Times New Roman" w:hAnsi="Times New Roman"/>
          <w:noProof/>
          <w:sz w:val="24"/>
          <w:szCs w:val="24"/>
        </w:rPr>
        <w:t xml:space="preserve"> only slightly</w:t>
      </w:r>
      <w:r w:rsidR="00430B6B" w:rsidRPr="00516F65">
        <w:rPr>
          <w:rFonts w:ascii="Times New Roman" w:hAnsi="Times New Roman"/>
          <w:noProof/>
          <w:sz w:val="24"/>
          <w:szCs w:val="24"/>
        </w:rPr>
        <w:t xml:space="preserve">. </w:t>
      </w:r>
      <w:r w:rsidRPr="00516F65">
        <w:rPr>
          <w:rFonts w:ascii="Times New Roman" w:hAnsi="Times New Roman"/>
          <w:noProof/>
          <w:sz w:val="24"/>
          <w:szCs w:val="24"/>
        </w:rPr>
        <w:t>However, v</w:t>
      </w:r>
      <w:r w:rsidR="00430B6B" w:rsidRPr="00516F65">
        <w:rPr>
          <w:rFonts w:ascii="Times New Roman" w:hAnsi="Times New Roman"/>
          <w:noProof/>
          <w:sz w:val="24"/>
          <w:szCs w:val="24"/>
        </w:rPr>
        <w:t>erified aviation emissions continu</w:t>
      </w:r>
      <w:r w:rsidRPr="00516F65">
        <w:rPr>
          <w:rFonts w:ascii="Times New Roman" w:hAnsi="Times New Roman"/>
          <w:noProof/>
          <w:sz w:val="24"/>
          <w:szCs w:val="24"/>
        </w:rPr>
        <w:t xml:space="preserve">ed to grow in 2018, increasing by </w:t>
      </w:r>
      <w:r w:rsidR="00430B6B" w:rsidRPr="00516F65">
        <w:rPr>
          <w:rFonts w:ascii="Times New Roman" w:hAnsi="Times New Roman"/>
          <w:noProof/>
          <w:sz w:val="24"/>
          <w:szCs w:val="24"/>
        </w:rPr>
        <w:t>3.9% compared to 2017.</w:t>
      </w:r>
      <w:r w:rsidR="00430B6B" w:rsidRPr="004724FA">
        <w:rPr>
          <w:rFonts w:ascii="Times New Roman" w:hAnsi="Times New Roman"/>
          <w:noProof/>
          <w:sz w:val="24"/>
          <w:szCs w:val="24"/>
        </w:rPr>
        <w:t xml:space="preserve">   </w:t>
      </w:r>
    </w:p>
    <w:p w14:paraId="2B434FB1" w14:textId="77777777" w:rsidR="007C478C" w:rsidRPr="004724FA" w:rsidRDefault="007C478C" w:rsidP="00430B6B">
      <w:pPr>
        <w:spacing w:after="0"/>
        <w:jc w:val="both"/>
        <w:rPr>
          <w:rFonts w:ascii="Times New Roman" w:hAnsi="Times New Roman"/>
          <w:noProof/>
          <w:sz w:val="24"/>
          <w:szCs w:val="24"/>
        </w:rPr>
      </w:pPr>
    </w:p>
    <w:p w14:paraId="5054F3BF" w14:textId="77777777" w:rsidR="00513F37" w:rsidRPr="00516F65" w:rsidRDefault="00AA6C77" w:rsidP="00AA6C77">
      <w:pPr>
        <w:spacing w:after="0"/>
        <w:jc w:val="both"/>
        <w:rPr>
          <w:rFonts w:ascii="Times New Roman" w:hAnsi="Times New Roman"/>
          <w:noProof/>
          <w:sz w:val="24"/>
          <w:szCs w:val="24"/>
        </w:rPr>
      </w:pPr>
      <w:r w:rsidRPr="00516F65">
        <w:rPr>
          <w:rFonts w:ascii="Times New Roman" w:hAnsi="Times New Roman"/>
          <w:noProof/>
          <w:sz w:val="24"/>
          <w:szCs w:val="24"/>
        </w:rPr>
        <w:t>The legislative changes agreed in recent years to address the surplus of allowan</w:t>
      </w:r>
      <w:r w:rsidR="008A5D9B" w:rsidRPr="00516F65">
        <w:rPr>
          <w:rFonts w:ascii="Times New Roman" w:hAnsi="Times New Roman"/>
          <w:noProof/>
          <w:sz w:val="24"/>
          <w:szCs w:val="24"/>
        </w:rPr>
        <w:t>ces continue</w:t>
      </w:r>
      <w:r w:rsidR="007C478C" w:rsidRPr="00516F65">
        <w:rPr>
          <w:rFonts w:ascii="Times New Roman" w:hAnsi="Times New Roman"/>
          <w:noProof/>
          <w:sz w:val="24"/>
          <w:szCs w:val="24"/>
        </w:rPr>
        <w:t xml:space="preserve"> to show</w:t>
      </w:r>
      <w:r w:rsidR="0099667F" w:rsidRPr="00516F65">
        <w:rPr>
          <w:rFonts w:ascii="Times New Roman" w:hAnsi="Times New Roman"/>
          <w:noProof/>
          <w:sz w:val="24"/>
          <w:szCs w:val="24"/>
        </w:rPr>
        <w:t xml:space="preserve"> marked</w:t>
      </w:r>
      <w:r w:rsidR="007C478C" w:rsidRPr="00516F65">
        <w:rPr>
          <w:rFonts w:ascii="Times New Roman" w:hAnsi="Times New Roman"/>
          <w:noProof/>
          <w:sz w:val="24"/>
          <w:szCs w:val="24"/>
        </w:rPr>
        <w:t xml:space="preserve"> results</w:t>
      </w:r>
      <w:r w:rsidR="00C67962" w:rsidRPr="00516F65">
        <w:rPr>
          <w:rFonts w:ascii="Times New Roman" w:hAnsi="Times New Roman"/>
          <w:noProof/>
          <w:sz w:val="24"/>
          <w:szCs w:val="24"/>
        </w:rPr>
        <w:t>.</w:t>
      </w:r>
      <w:r w:rsidRPr="00516F65">
        <w:rPr>
          <w:rFonts w:ascii="Times New Roman" w:hAnsi="Times New Roman"/>
          <w:noProof/>
          <w:sz w:val="24"/>
          <w:szCs w:val="24"/>
        </w:rPr>
        <w:t xml:space="preserve"> </w:t>
      </w:r>
      <w:r w:rsidR="007C478C" w:rsidRPr="00516F65">
        <w:rPr>
          <w:rFonts w:ascii="Times New Roman" w:hAnsi="Times New Roman"/>
          <w:noProof/>
          <w:sz w:val="24"/>
          <w:szCs w:val="24"/>
        </w:rPr>
        <w:t xml:space="preserve">The Market Stability </w:t>
      </w:r>
      <w:r w:rsidR="008A5D9B" w:rsidRPr="00516F65">
        <w:rPr>
          <w:rFonts w:ascii="Times New Roman" w:hAnsi="Times New Roman"/>
          <w:noProof/>
          <w:sz w:val="24"/>
          <w:szCs w:val="24"/>
        </w:rPr>
        <w:t>Reserve surplus indicator was</w:t>
      </w:r>
      <w:r w:rsidR="00513F37" w:rsidRPr="00516F65">
        <w:rPr>
          <w:rFonts w:ascii="Times New Roman" w:hAnsi="Times New Roman"/>
          <w:noProof/>
          <w:sz w:val="24"/>
          <w:szCs w:val="24"/>
        </w:rPr>
        <w:t xml:space="preserve"> published </w:t>
      </w:r>
      <w:r w:rsidR="007C478C" w:rsidRPr="00516F65">
        <w:rPr>
          <w:rFonts w:ascii="Times New Roman" w:hAnsi="Times New Roman"/>
          <w:noProof/>
          <w:sz w:val="24"/>
          <w:szCs w:val="24"/>
        </w:rPr>
        <w:t xml:space="preserve">for the third time in </w:t>
      </w:r>
      <w:r w:rsidR="0099667F" w:rsidRPr="00516F65">
        <w:rPr>
          <w:rFonts w:ascii="Times New Roman" w:hAnsi="Times New Roman"/>
          <w:noProof/>
          <w:sz w:val="24"/>
          <w:szCs w:val="24"/>
        </w:rPr>
        <w:t>2019</w:t>
      </w:r>
      <w:r w:rsidR="007C478C" w:rsidRPr="00516F65">
        <w:rPr>
          <w:rFonts w:ascii="Times New Roman" w:hAnsi="Times New Roman"/>
          <w:noProof/>
          <w:sz w:val="24"/>
          <w:szCs w:val="24"/>
        </w:rPr>
        <w:t xml:space="preserve">, </w:t>
      </w:r>
      <w:r w:rsidR="00513F37" w:rsidRPr="00516F65">
        <w:rPr>
          <w:rFonts w:ascii="Times New Roman" w:hAnsi="Times New Roman"/>
          <w:noProof/>
          <w:sz w:val="24"/>
          <w:szCs w:val="24"/>
        </w:rPr>
        <w:t>and together with the 201</w:t>
      </w:r>
      <w:r w:rsidR="008A5D9B" w:rsidRPr="00516F65">
        <w:rPr>
          <w:rFonts w:ascii="Times New Roman" w:hAnsi="Times New Roman"/>
          <w:noProof/>
          <w:sz w:val="24"/>
          <w:szCs w:val="24"/>
        </w:rPr>
        <w:t xml:space="preserve">7 indicator, </w:t>
      </w:r>
      <w:r w:rsidR="00513F37" w:rsidRPr="00516F65">
        <w:rPr>
          <w:rFonts w:ascii="Times New Roman" w:hAnsi="Times New Roman"/>
          <w:noProof/>
          <w:sz w:val="24"/>
          <w:szCs w:val="24"/>
        </w:rPr>
        <w:t>led</w:t>
      </w:r>
      <w:r w:rsidR="007C478C" w:rsidRPr="00516F65">
        <w:rPr>
          <w:rFonts w:ascii="Times New Roman" w:hAnsi="Times New Roman"/>
          <w:noProof/>
          <w:sz w:val="24"/>
          <w:szCs w:val="24"/>
        </w:rPr>
        <w:t xml:space="preserve"> to a reduction in auction </w:t>
      </w:r>
      <w:r w:rsidR="00513F37" w:rsidRPr="00516F65">
        <w:rPr>
          <w:rFonts w:ascii="Times New Roman" w:hAnsi="Times New Roman"/>
          <w:noProof/>
          <w:sz w:val="24"/>
          <w:szCs w:val="24"/>
        </w:rPr>
        <w:t xml:space="preserve">volumes </w:t>
      </w:r>
      <w:r w:rsidR="00513F37" w:rsidRPr="003F30A8">
        <w:rPr>
          <w:rFonts w:ascii="Times New Roman" w:hAnsi="Times New Roman"/>
          <w:noProof/>
          <w:sz w:val="24"/>
          <w:szCs w:val="24"/>
        </w:rPr>
        <w:t xml:space="preserve">by </w:t>
      </w:r>
      <w:r w:rsidR="00FA3C63" w:rsidRPr="003F30A8">
        <w:rPr>
          <w:rFonts w:ascii="Times New Roman" w:hAnsi="Times New Roman"/>
          <w:noProof/>
          <w:sz w:val="24"/>
          <w:szCs w:val="24"/>
        </w:rPr>
        <w:t xml:space="preserve">nearly 40%, or </w:t>
      </w:r>
      <w:r w:rsidR="00513F37" w:rsidRPr="003F30A8">
        <w:rPr>
          <w:rFonts w:ascii="Times New Roman" w:hAnsi="Times New Roman"/>
          <w:noProof/>
          <w:sz w:val="24"/>
          <w:szCs w:val="24"/>
        </w:rPr>
        <w:t>close to 397 million allowances</w:t>
      </w:r>
      <w:r w:rsidR="00513F37" w:rsidRPr="00171CDC">
        <w:rPr>
          <w:rFonts w:ascii="Times New Roman" w:hAnsi="Times New Roman"/>
          <w:noProof/>
          <w:sz w:val="24"/>
          <w:szCs w:val="24"/>
        </w:rPr>
        <w:t xml:space="preserve"> in</w:t>
      </w:r>
      <w:r w:rsidR="00513F37" w:rsidRPr="00516F65">
        <w:rPr>
          <w:rFonts w:ascii="Times New Roman" w:hAnsi="Times New Roman"/>
          <w:noProof/>
          <w:sz w:val="24"/>
          <w:szCs w:val="24"/>
        </w:rPr>
        <w:t xml:space="preserve"> 2019. As a result, some 30% fewer </w:t>
      </w:r>
      <w:r w:rsidR="00513F37" w:rsidRPr="00171CDC">
        <w:rPr>
          <w:rFonts w:ascii="Times New Roman" w:hAnsi="Times New Roman"/>
          <w:noProof/>
          <w:sz w:val="24"/>
          <w:szCs w:val="24"/>
        </w:rPr>
        <w:t>allowances will be auctioned in 2019 than in 2018.</w:t>
      </w:r>
      <w:r w:rsidR="00513F37" w:rsidRPr="00516F65">
        <w:rPr>
          <w:rFonts w:ascii="Times New Roman" w:hAnsi="Times New Roman"/>
          <w:noProof/>
          <w:sz w:val="24"/>
          <w:szCs w:val="24"/>
        </w:rPr>
        <w:t xml:space="preserve"> </w:t>
      </w:r>
    </w:p>
    <w:p w14:paraId="6617B3EF" w14:textId="77777777" w:rsidR="00513F37" w:rsidRPr="00516F65" w:rsidRDefault="00513F37" w:rsidP="00AA6C77">
      <w:pPr>
        <w:spacing w:after="0"/>
        <w:jc w:val="both"/>
        <w:rPr>
          <w:rFonts w:ascii="Times New Roman" w:hAnsi="Times New Roman"/>
          <w:noProof/>
          <w:sz w:val="24"/>
          <w:szCs w:val="24"/>
        </w:rPr>
      </w:pPr>
    </w:p>
    <w:p w14:paraId="365ED7F4" w14:textId="77777777" w:rsidR="00AA6C77" w:rsidRPr="003F30A8" w:rsidRDefault="00513F37" w:rsidP="00AA6C77">
      <w:pPr>
        <w:spacing w:after="0"/>
        <w:jc w:val="both"/>
        <w:rPr>
          <w:rFonts w:ascii="Times New Roman" w:hAnsi="Times New Roman"/>
          <w:noProof/>
          <w:sz w:val="24"/>
          <w:szCs w:val="24"/>
        </w:rPr>
      </w:pPr>
      <w:r w:rsidRPr="00516F65">
        <w:rPr>
          <w:rFonts w:ascii="Times New Roman" w:hAnsi="Times New Roman"/>
          <w:noProof/>
          <w:sz w:val="24"/>
          <w:szCs w:val="24"/>
        </w:rPr>
        <w:t>Positive developments on</w:t>
      </w:r>
      <w:r w:rsidR="008A5D9B" w:rsidRPr="00516F65">
        <w:rPr>
          <w:rFonts w:ascii="Times New Roman" w:hAnsi="Times New Roman"/>
          <w:noProof/>
          <w:sz w:val="24"/>
          <w:szCs w:val="24"/>
        </w:rPr>
        <w:t xml:space="preserve"> these fronts have</w:t>
      </w:r>
      <w:r w:rsidR="00AA6C77" w:rsidRPr="00516F65">
        <w:rPr>
          <w:rFonts w:ascii="Times New Roman" w:hAnsi="Times New Roman"/>
          <w:noProof/>
          <w:sz w:val="24"/>
          <w:szCs w:val="24"/>
        </w:rPr>
        <w:t xml:space="preserve"> translated into increased confidence by market </w:t>
      </w:r>
      <w:r w:rsidR="00AA6C77" w:rsidRPr="00171CDC">
        <w:rPr>
          <w:rFonts w:ascii="Times New Roman" w:hAnsi="Times New Roman"/>
          <w:noProof/>
          <w:sz w:val="24"/>
          <w:szCs w:val="24"/>
        </w:rPr>
        <w:t>pa</w:t>
      </w:r>
      <w:r w:rsidR="008A5D9B" w:rsidRPr="00171CDC">
        <w:rPr>
          <w:rFonts w:ascii="Times New Roman" w:hAnsi="Times New Roman"/>
          <w:noProof/>
          <w:sz w:val="24"/>
          <w:szCs w:val="24"/>
        </w:rPr>
        <w:t xml:space="preserve">rticipants and </w:t>
      </w:r>
      <w:r w:rsidR="0099667F" w:rsidRPr="00171CDC">
        <w:rPr>
          <w:rFonts w:ascii="Times New Roman" w:hAnsi="Times New Roman"/>
          <w:noProof/>
          <w:sz w:val="24"/>
          <w:szCs w:val="24"/>
        </w:rPr>
        <w:t>continued to</w:t>
      </w:r>
      <w:r w:rsidR="00AA6C77" w:rsidRPr="00171CDC">
        <w:rPr>
          <w:rFonts w:ascii="Times New Roman" w:hAnsi="Times New Roman"/>
          <w:noProof/>
          <w:sz w:val="24"/>
          <w:szCs w:val="24"/>
        </w:rPr>
        <w:t xml:space="preserve"> reinforce </w:t>
      </w:r>
      <w:r w:rsidR="0099667F" w:rsidRPr="00171CDC">
        <w:rPr>
          <w:rFonts w:ascii="Times New Roman" w:hAnsi="Times New Roman"/>
          <w:noProof/>
          <w:sz w:val="24"/>
          <w:szCs w:val="24"/>
        </w:rPr>
        <w:t xml:space="preserve">the </w:t>
      </w:r>
      <w:r w:rsidR="00AA6C77" w:rsidRPr="00171CDC">
        <w:rPr>
          <w:rFonts w:ascii="Times New Roman" w:hAnsi="Times New Roman"/>
          <w:noProof/>
          <w:sz w:val="24"/>
          <w:szCs w:val="24"/>
        </w:rPr>
        <w:t xml:space="preserve">carbon </w:t>
      </w:r>
      <w:r w:rsidRPr="00171CDC">
        <w:rPr>
          <w:rFonts w:ascii="Times New Roman" w:hAnsi="Times New Roman"/>
          <w:noProof/>
          <w:sz w:val="24"/>
          <w:szCs w:val="24"/>
        </w:rPr>
        <w:t>price signal. The higher price of emission</w:t>
      </w:r>
      <w:r w:rsidRPr="00516F65">
        <w:rPr>
          <w:rFonts w:ascii="Times New Roman" w:hAnsi="Times New Roman"/>
          <w:noProof/>
          <w:sz w:val="24"/>
          <w:szCs w:val="24"/>
        </w:rPr>
        <w:t xml:space="preserve"> allowances </w:t>
      </w:r>
      <w:r w:rsidR="008A5D9B" w:rsidRPr="00516F65">
        <w:rPr>
          <w:rFonts w:ascii="Times New Roman" w:hAnsi="Times New Roman"/>
          <w:noProof/>
          <w:sz w:val="24"/>
          <w:szCs w:val="24"/>
        </w:rPr>
        <w:t xml:space="preserve">led </w:t>
      </w:r>
      <w:r w:rsidRPr="00516F65">
        <w:rPr>
          <w:rFonts w:ascii="Times New Roman" w:hAnsi="Times New Roman"/>
          <w:noProof/>
          <w:sz w:val="24"/>
          <w:szCs w:val="24"/>
        </w:rPr>
        <w:t xml:space="preserve">to a substantial increase in the total </w:t>
      </w:r>
      <w:r w:rsidR="0099667F" w:rsidRPr="00516F65">
        <w:rPr>
          <w:rFonts w:ascii="Times New Roman" w:hAnsi="Times New Roman"/>
          <w:noProof/>
          <w:sz w:val="24"/>
          <w:szCs w:val="24"/>
        </w:rPr>
        <w:t xml:space="preserve">auction </w:t>
      </w:r>
      <w:r w:rsidRPr="00516F65">
        <w:rPr>
          <w:rFonts w:ascii="Times New Roman" w:hAnsi="Times New Roman"/>
          <w:noProof/>
          <w:sz w:val="24"/>
          <w:szCs w:val="24"/>
        </w:rPr>
        <w:t xml:space="preserve">revenues generated by Member </w:t>
      </w:r>
      <w:r w:rsidR="008A5D9B" w:rsidRPr="00171CDC">
        <w:rPr>
          <w:rFonts w:ascii="Times New Roman" w:hAnsi="Times New Roman"/>
          <w:noProof/>
          <w:sz w:val="24"/>
          <w:szCs w:val="24"/>
        </w:rPr>
        <w:t xml:space="preserve">States - in 2018, the </w:t>
      </w:r>
      <w:r w:rsidRPr="00171CDC">
        <w:rPr>
          <w:rFonts w:ascii="Times New Roman" w:hAnsi="Times New Roman"/>
          <w:noProof/>
          <w:sz w:val="24"/>
          <w:szCs w:val="24"/>
        </w:rPr>
        <w:t xml:space="preserve">total revenues were more than two times higher than the revenues generated in 2017. </w:t>
      </w:r>
    </w:p>
    <w:p w14:paraId="6F8F7657" w14:textId="77777777" w:rsidR="00513F37" w:rsidRPr="003F30A8" w:rsidRDefault="00513F37" w:rsidP="00AA6C77">
      <w:pPr>
        <w:spacing w:after="0"/>
        <w:jc w:val="both"/>
        <w:rPr>
          <w:rFonts w:ascii="Times New Roman" w:hAnsi="Times New Roman"/>
          <w:noProof/>
          <w:sz w:val="24"/>
          <w:szCs w:val="24"/>
        </w:rPr>
      </w:pPr>
    </w:p>
    <w:p w14:paraId="6DBBEB7A" w14:textId="77777777" w:rsidR="00AA6C77" w:rsidRPr="003F30A8" w:rsidRDefault="008A5D9B" w:rsidP="00AA6C77">
      <w:pPr>
        <w:spacing w:after="0"/>
        <w:jc w:val="both"/>
        <w:rPr>
          <w:rFonts w:ascii="Times New Roman" w:hAnsi="Times New Roman"/>
          <w:noProof/>
          <w:sz w:val="24"/>
          <w:szCs w:val="24"/>
        </w:rPr>
      </w:pPr>
      <w:r w:rsidRPr="003F30A8">
        <w:rPr>
          <w:rFonts w:ascii="Times New Roman" w:hAnsi="Times New Roman"/>
          <w:noProof/>
          <w:sz w:val="24"/>
          <w:szCs w:val="24"/>
        </w:rPr>
        <w:t xml:space="preserve">In </w:t>
      </w:r>
      <w:r w:rsidR="004724FA" w:rsidRPr="003F30A8">
        <w:rPr>
          <w:rFonts w:ascii="Times New Roman" w:hAnsi="Times New Roman"/>
          <w:noProof/>
          <w:sz w:val="24"/>
          <w:szCs w:val="24"/>
        </w:rPr>
        <w:t>2018</w:t>
      </w:r>
      <w:r w:rsidR="00AA6C77" w:rsidRPr="003F30A8">
        <w:rPr>
          <w:rFonts w:ascii="Times New Roman" w:hAnsi="Times New Roman"/>
          <w:noProof/>
          <w:sz w:val="24"/>
          <w:szCs w:val="24"/>
        </w:rPr>
        <w:t xml:space="preserve">, </w:t>
      </w:r>
      <w:r w:rsidR="00CC705C" w:rsidRPr="003F30A8">
        <w:rPr>
          <w:rFonts w:ascii="Times New Roman" w:hAnsi="Times New Roman"/>
          <w:noProof/>
          <w:sz w:val="24"/>
          <w:szCs w:val="24"/>
        </w:rPr>
        <w:t>EU ETS complianc</w:t>
      </w:r>
      <w:r w:rsidR="00A9462E" w:rsidRPr="003F30A8">
        <w:rPr>
          <w:rFonts w:ascii="Times New Roman" w:hAnsi="Times New Roman"/>
          <w:noProof/>
          <w:sz w:val="24"/>
          <w:szCs w:val="24"/>
        </w:rPr>
        <w:t>e has remained very high - the compliance rate exceeded</w:t>
      </w:r>
      <w:r w:rsidR="00CC705C" w:rsidRPr="003F30A8">
        <w:rPr>
          <w:rFonts w:ascii="Times New Roman" w:hAnsi="Times New Roman"/>
          <w:noProof/>
          <w:sz w:val="24"/>
          <w:szCs w:val="24"/>
        </w:rPr>
        <w:t xml:space="preserve"> 99% for both stationary installations and aircraft operators. The </w:t>
      </w:r>
      <w:r w:rsidR="00AA6C77" w:rsidRPr="003F30A8">
        <w:rPr>
          <w:rFonts w:ascii="Times New Roman" w:hAnsi="Times New Roman"/>
          <w:noProof/>
          <w:sz w:val="24"/>
          <w:szCs w:val="24"/>
        </w:rPr>
        <w:t xml:space="preserve">EU ETS architecture has remained robust and the administrative organisation across Member States has proven to be effective. </w:t>
      </w:r>
    </w:p>
    <w:p w14:paraId="5D459B88" w14:textId="77777777" w:rsidR="00FA3C63" w:rsidRPr="003F30A8" w:rsidRDefault="00FA3C63" w:rsidP="00FA3C63">
      <w:pPr>
        <w:spacing w:after="0"/>
        <w:jc w:val="both"/>
        <w:rPr>
          <w:rFonts w:ascii="Times New Roman" w:hAnsi="Times New Roman"/>
          <w:noProof/>
          <w:sz w:val="24"/>
          <w:szCs w:val="24"/>
        </w:rPr>
      </w:pPr>
    </w:p>
    <w:p w14:paraId="526CA61E" w14:textId="77777777" w:rsidR="00AA6C77" w:rsidRPr="00AA6C77" w:rsidRDefault="00AA6C77" w:rsidP="00AA6C77">
      <w:pPr>
        <w:spacing w:after="0"/>
        <w:jc w:val="both"/>
        <w:rPr>
          <w:rFonts w:ascii="Times New Roman" w:hAnsi="Times New Roman"/>
          <w:noProof/>
          <w:sz w:val="24"/>
          <w:szCs w:val="24"/>
        </w:rPr>
      </w:pPr>
      <w:r w:rsidRPr="00516F65">
        <w:rPr>
          <w:rFonts w:ascii="Times New Roman" w:hAnsi="Times New Roman"/>
          <w:noProof/>
          <w:sz w:val="24"/>
          <w:szCs w:val="24"/>
        </w:rPr>
        <w:t>The Commission will continue to monitor the European carbon market and prov</w:t>
      </w:r>
      <w:r w:rsidR="00CC705C" w:rsidRPr="00516F65">
        <w:rPr>
          <w:rFonts w:ascii="Times New Roman" w:hAnsi="Times New Roman"/>
          <w:noProof/>
          <w:sz w:val="24"/>
          <w:szCs w:val="24"/>
        </w:rPr>
        <w:t>ide the next report in late 2020</w:t>
      </w:r>
      <w:r w:rsidRPr="00516F65">
        <w:rPr>
          <w:rFonts w:ascii="Times New Roman" w:hAnsi="Times New Roman"/>
          <w:noProof/>
          <w:sz w:val="24"/>
          <w:szCs w:val="24"/>
        </w:rPr>
        <w:t>.</w:t>
      </w:r>
    </w:p>
    <w:p w14:paraId="2D2DB473" w14:textId="77777777" w:rsidR="005F6BD0" w:rsidRDefault="005F6BD0">
      <w:pPr>
        <w:spacing w:after="0"/>
        <w:jc w:val="both"/>
        <w:rPr>
          <w:rFonts w:ascii="Times New Roman" w:hAnsi="Times New Roman"/>
          <w:noProof/>
          <w:sz w:val="24"/>
          <w:szCs w:val="24"/>
        </w:rPr>
      </w:pPr>
    </w:p>
    <w:p w14:paraId="4D707AAA" w14:textId="77777777" w:rsidR="005F6BD0" w:rsidRDefault="005F6BD0">
      <w:pPr>
        <w:spacing w:after="0"/>
        <w:jc w:val="both"/>
        <w:rPr>
          <w:rFonts w:ascii="Times New Roman" w:hAnsi="Times New Roman"/>
          <w:noProof/>
          <w:sz w:val="24"/>
          <w:szCs w:val="24"/>
        </w:rPr>
      </w:pPr>
    </w:p>
    <w:p w14:paraId="6F1EB242" w14:textId="77777777" w:rsidR="005F6BD0" w:rsidRDefault="005F6BD0">
      <w:pPr>
        <w:spacing w:after="0"/>
        <w:jc w:val="both"/>
        <w:rPr>
          <w:rFonts w:ascii="Times New Roman" w:hAnsi="Times New Roman"/>
          <w:noProof/>
          <w:sz w:val="24"/>
          <w:szCs w:val="24"/>
        </w:rPr>
      </w:pPr>
    </w:p>
    <w:p w14:paraId="07A97A67" w14:textId="77777777" w:rsidR="005F6BD0" w:rsidRDefault="005F6BD0">
      <w:pPr>
        <w:spacing w:after="0"/>
        <w:jc w:val="both"/>
        <w:rPr>
          <w:rFonts w:ascii="Times New Roman" w:hAnsi="Times New Roman"/>
          <w:noProof/>
          <w:sz w:val="24"/>
          <w:szCs w:val="24"/>
        </w:rPr>
      </w:pPr>
    </w:p>
    <w:p w14:paraId="0BC96E9A" w14:textId="77777777" w:rsidR="005F6BD0" w:rsidRDefault="005F6BD0">
      <w:pPr>
        <w:spacing w:after="0"/>
        <w:jc w:val="both"/>
        <w:rPr>
          <w:rFonts w:ascii="Times New Roman" w:hAnsi="Times New Roman"/>
          <w:noProof/>
          <w:sz w:val="24"/>
          <w:szCs w:val="24"/>
        </w:rPr>
      </w:pPr>
    </w:p>
    <w:p w14:paraId="49A4D1BA" w14:textId="77777777" w:rsidR="005F6BD0" w:rsidRDefault="005F6BD0">
      <w:pPr>
        <w:spacing w:after="0"/>
        <w:jc w:val="both"/>
        <w:rPr>
          <w:rFonts w:ascii="Times New Roman" w:hAnsi="Times New Roman"/>
          <w:noProof/>
          <w:sz w:val="24"/>
          <w:szCs w:val="24"/>
        </w:rPr>
      </w:pPr>
    </w:p>
    <w:p w14:paraId="530EA6DC" w14:textId="77777777" w:rsidR="005F6BD0" w:rsidRDefault="005F6BD0">
      <w:pPr>
        <w:spacing w:after="0"/>
        <w:jc w:val="both"/>
        <w:rPr>
          <w:rFonts w:ascii="Times New Roman" w:hAnsi="Times New Roman"/>
          <w:noProof/>
          <w:sz w:val="24"/>
          <w:szCs w:val="24"/>
        </w:rPr>
      </w:pPr>
    </w:p>
    <w:p w14:paraId="74241B0A" w14:textId="77777777" w:rsidR="005F6BD0" w:rsidRDefault="005F6BD0">
      <w:pPr>
        <w:spacing w:after="0"/>
        <w:jc w:val="both"/>
        <w:rPr>
          <w:rFonts w:ascii="Times New Roman" w:hAnsi="Times New Roman"/>
          <w:noProof/>
          <w:sz w:val="24"/>
          <w:szCs w:val="24"/>
        </w:rPr>
      </w:pPr>
    </w:p>
    <w:p w14:paraId="282E35A9" w14:textId="77777777" w:rsidR="005F6BD0" w:rsidRDefault="005F6BD0">
      <w:pPr>
        <w:spacing w:after="0"/>
        <w:jc w:val="both"/>
        <w:rPr>
          <w:rFonts w:ascii="Times New Roman" w:hAnsi="Times New Roman"/>
          <w:noProof/>
          <w:sz w:val="24"/>
          <w:szCs w:val="24"/>
        </w:rPr>
      </w:pPr>
    </w:p>
    <w:p w14:paraId="0FCD64F2" w14:textId="77777777" w:rsidR="005F6BD0" w:rsidRDefault="005F6BD0">
      <w:pPr>
        <w:spacing w:after="0"/>
        <w:jc w:val="both"/>
        <w:rPr>
          <w:rFonts w:ascii="Times New Roman" w:hAnsi="Times New Roman"/>
          <w:noProof/>
          <w:sz w:val="24"/>
          <w:szCs w:val="24"/>
        </w:rPr>
      </w:pPr>
    </w:p>
    <w:p w14:paraId="55A65581" w14:textId="77777777" w:rsidR="005F6BD0" w:rsidRDefault="005F6BD0">
      <w:pPr>
        <w:spacing w:after="0"/>
        <w:jc w:val="both"/>
        <w:rPr>
          <w:rFonts w:ascii="Times New Roman" w:hAnsi="Times New Roman"/>
          <w:noProof/>
          <w:sz w:val="24"/>
          <w:szCs w:val="24"/>
        </w:rPr>
      </w:pPr>
    </w:p>
    <w:p w14:paraId="692B1B8A" w14:textId="77777777" w:rsidR="005F6BD0" w:rsidRDefault="005F6BD0">
      <w:pPr>
        <w:spacing w:after="0"/>
        <w:jc w:val="both"/>
        <w:rPr>
          <w:rFonts w:ascii="Times New Roman" w:hAnsi="Times New Roman"/>
          <w:noProof/>
          <w:sz w:val="24"/>
          <w:szCs w:val="24"/>
        </w:rPr>
      </w:pPr>
    </w:p>
    <w:p w14:paraId="35CC69A1" w14:textId="77777777" w:rsidR="005F6BD0" w:rsidRDefault="005F6BD0">
      <w:pPr>
        <w:spacing w:after="0"/>
        <w:jc w:val="both"/>
        <w:rPr>
          <w:rFonts w:ascii="Times New Roman" w:hAnsi="Times New Roman"/>
          <w:noProof/>
          <w:sz w:val="24"/>
          <w:szCs w:val="24"/>
        </w:rPr>
      </w:pPr>
    </w:p>
    <w:p w14:paraId="7DFD1FEC" w14:textId="77777777" w:rsidR="002802C4" w:rsidRDefault="002802C4">
      <w:pPr>
        <w:spacing w:after="0"/>
        <w:jc w:val="both"/>
        <w:rPr>
          <w:rStyle w:val="Heading1Char"/>
          <w:rFonts w:eastAsia="Calibri"/>
          <w:noProof/>
        </w:rPr>
      </w:pPr>
    </w:p>
    <w:p w14:paraId="72BEAA26" w14:textId="77777777" w:rsidR="002802C4" w:rsidRDefault="002802C4">
      <w:pPr>
        <w:spacing w:after="0"/>
        <w:jc w:val="both"/>
        <w:rPr>
          <w:rFonts w:ascii="Times New Roman" w:hAnsi="Times New Roman"/>
          <w:noProof/>
          <w:sz w:val="24"/>
          <w:szCs w:val="24"/>
        </w:rPr>
      </w:pPr>
    </w:p>
    <w:p w14:paraId="1792791B" w14:textId="77777777" w:rsidR="00A12A60" w:rsidRDefault="00A12A60">
      <w:pPr>
        <w:jc w:val="both"/>
        <w:rPr>
          <w:rStyle w:val="Heading1Char"/>
          <w:rFonts w:eastAsia="Calibri"/>
          <w:noProof/>
        </w:rPr>
      </w:pPr>
      <w:bookmarkStart w:id="68" w:name="_Toc519009692"/>
    </w:p>
    <w:p w14:paraId="693CB9AD" w14:textId="77777777" w:rsidR="00970B92" w:rsidRDefault="00970B92">
      <w:pPr>
        <w:jc w:val="both"/>
        <w:rPr>
          <w:rStyle w:val="Heading1Char"/>
          <w:rFonts w:eastAsia="Calibri"/>
          <w:noProof/>
        </w:rPr>
      </w:pPr>
    </w:p>
    <w:p w14:paraId="59AC1CE1" w14:textId="77777777" w:rsidR="00970B92" w:rsidRDefault="00970B92">
      <w:pPr>
        <w:jc w:val="both"/>
        <w:rPr>
          <w:rStyle w:val="Heading1Char"/>
          <w:rFonts w:eastAsia="Calibri"/>
          <w:noProof/>
        </w:rPr>
      </w:pPr>
    </w:p>
    <w:p w14:paraId="3ADCC752" w14:textId="77777777" w:rsidR="00970B92" w:rsidRDefault="00970B92">
      <w:pPr>
        <w:jc w:val="both"/>
        <w:rPr>
          <w:rStyle w:val="Heading1Char"/>
          <w:rFonts w:eastAsia="Calibri"/>
          <w:noProof/>
        </w:rPr>
      </w:pPr>
    </w:p>
    <w:p w14:paraId="42D757A0" w14:textId="77777777" w:rsidR="003B73EF" w:rsidRDefault="003B73EF">
      <w:pPr>
        <w:jc w:val="both"/>
        <w:rPr>
          <w:rStyle w:val="Heading1Char"/>
          <w:rFonts w:eastAsia="Calibri"/>
          <w:noProof/>
        </w:rPr>
      </w:pPr>
    </w:p>
    <w:p w14:paraId="5A496FDD" w14:textId="77777777" w:rsidR="003B73EF" w:rsidRDefault="003B73EF">
      <w:pPr>
        <w:jc w:val="both"/>
        <w:rPr>
          <w:rStyle w:val="Heading1Char"/>
          <w:rFonts w:eastAsia="Calibri"/>
          <w:noProof/>
        </w:rPr>
      </w:pPr>
    </w:p>
    <w:p w14:paraId="4E5549DA" w14:textId="77777777" w:rsidR="007F5B1E" w:rsidRDefault="007F5B1E">
      <w:pPr>
        <w:jc w:val="both"/>
        <w:rPr>
          <w:rStyle w:val="Heading1Char"/>
          <w:rFonts w:eastAsia="Calibri"/>
          <w:noProof/>
        </w:rPr>
      </w:pPr>
    </w:p>
    <w:p w14:paraId="38FEFE7F" w14:textId="77777777" w:rsidR="009F7A8D" w:rsidRDefault="009F7A8D">
      <w:pPr>
        <w:jc w:val="both"/>
        <w:rPr>
          <w:rStyle w:val="Heading1Char"/>
          <w:rFonts w:eastAsia="Calibri"/>
          <w:noProof/>
        </w:rPr>
      </w:pPr>
      <w:bookmarkStart w:id="69" w:name="_Toc20217745"/>
    </w:p>
    <w:p w14:paraId="297620DC" w14:textId="77777777" w:rsidR="009F7A8D" w:rsidRDefault="009F7A8D">
      <w:pPr>
        <w:jc w:val="both"/>
        <w:rPr>
          <w:rStyle w:val="Heading1Char"/>
          <w:rFonts w:eastAsia="Calibri"/>
          <w:noProof/>
        </w:rPr>
      </w:pPr>
    </w:p>
    <w:p w14:paraId="33D75FC7" w14:textId="77777777" w:rsidR="005F6BD0" w:rsidRDefault="003A348D">
      <w:pPr>
        <w:jc w:val="both"/>
        <w:rPr>
          <w:rFonts w:ascii="Times New Roman" w:hAnsi="Times New Roman"/>
          <w:b/>
          <w:bCs/>
          <w:noProof/>
          <w:kern w:val="32"/>
          <w:sz w:val="24"/>
          <w:szCs w:val="32"/>
        </w:rPr>
      </w:pPr>
      <w:r>
        <w:rPr>
          <w:rStyle w:val="Heading1Char"/>
          <w:rFonts w:eastAsia="Calibri"/>
          <w:noProof/>
        </w:rPr>
        <w:t>ANNEX</w:t>
      </w:r>
      <w:bookmarkEnd w:id="67"/>
      <w:bookmarkEnd w:id="68"/>
      <w:bookmarkEnd w:id="69"/>
      <w:r>
        <w:rPr>
          <w:rFonts w:ascii="Times New Roman" w:hAnsi="Times New Roman"/>
          <w:noProof/>
          <w:sz w:val="24"/>
          <w:szCs w:val="24"/>
        </w:rPr>
        <w:t xml:space="preserve"> </w:t>
      </w:r>
    </w:p>
    <w:p w14:paraId="6882368C" w14:textId="77777777" w:rsidR="005F6BD0" w:rsidRDefault="003A348D">
      <w:pPr>
        <w:rPr>
          <w:rFonts w:ascii="Times New Roman" w:hAnsi="Times New Roman"/>
          <w:b/>
          <w:noProof/>
        </w:rPr>
      </w:pPr>
      <w:r>
        <w:rPr>
          <w:rFonts w:ascii="Times New Roman" w:hAnsi="Times New Roman"/>
          <w:b/>
          <w:noProof/>
        </w:rPr>
        <w:t>Appendix 1</w:t>
      </w:r>
    </w:p>
    <w:p w14:paraId="66739038" w14:textId="77777777" w:rsidR="005F6BD0" w:rsidRDefault="003A348D">
      <w:pPr>
        <w:keepNext/>
        <w:rPr>
          <w:rFonts w:ascii="Times New Roman" w:hAnsi="Times New Roman"/>
          <w:b/>
          <w:bCs/>
          <w:noProof/>
          <w:sz w:val="20"/>
          <w:szCs w:val="20"/>
        </w:rPr>
      </w:pPr>
      <w:r>
        <w:rPr>
          <w:rFonts w:ascii="Times New Roman" w:hAnsi="Times New Roman"/>
          <w:b/>
          <w:bCs/>
          <w:noProof/>
          <w:sz w:val="20"/>
          <w:szCs w:val="20"/>
        </w:rPr>
        <w:t>Table 1</w:t>
      </w:r>
      <w:r w:rsidR="00365008">
        <w:rPr>
          <w:rFonts w:ascii="Times New Roman" w:hAnsi="Times New Roman"/>
          <w:b/>
          <w:bCs/>
          <w:noProof/>
          <w:sz w:val="20"/>
          <w:szCs w:val="20"/>
        </w:rPr>
        <w:t>.1</w:t>
      </w:r>
      <w:r>
        <w:rPr>
          <w:rFonts w:ascii="Times New Roman" w:hAnsi="Times New Roman"/>
          <w:b/>
          <w:bCs/>
          <w:noProof/>
          <w:sz w:val="20"/>
          <w:szCs w:val="20"/>
        </w:rPr>
        <w:t xml:space="preserve">: Number of free allowances allocated for modernising the electricity sector </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rsidR="001D7CEB" w14:paraId="63294F16" w14:textId="77777777" w:rsidTr="002802C4">
        <w:trPr>
          <w:trHeight w:val="373"/>
          <w:jc w:val="center"/>
        </w:trPr>
        <w:tc>
          <w:tcPr>
            <w:tcW w:w="957" w:type="dxa"/>
            <w:shd w:val="clear" w:color="auto" w:fill="FFFFFF" w:themeFill="background1"/>
            <w:noWrap/>
          </w:tcPr>
          <w:p w14:paraId="7A709BBE" w14:textId="77777777" w:rsidR="001D7CEB" w:rsidRDefault="001D7CEB">
            <w:pPr>
              <w:spacing w:after="0"/>
              <w:jc w:val="center"/>
              <w:rPr>
                <w:rFonts w:ascii="Times New Roman" w:hAnsi="Times New Roman"/>
                <w:b/>
                <w:noProof/>
                <w:sz w:val="20"/>
                <w:szCs w:val="20"/>
              </w:rPr>
            </w:pPr>
          </w:p>
        </w:tc>
        <w:tc>
          <w:tcPr>
            <w:tcW w:w="8284" w:type="dxa"/>
            <w:gridSpan w:val="6"/>
            <w:shd w:val="clear" w:color="auto" w:fill="FFFFFF" w:themeFill="background1"/>
            <w:noWrap/>
          </w:tcPr>
          <w:p w14:paraId="4D13BB56" w14:textId="77777777" w:rsidR="001D7CEB" w:rsidRDefault="001D7CEB">
            <w:pPr>
              <w:spacing w:after="0"/>
              <w:jc w:val="center"/>
              <w:rPr>
                <w:rFonts w:ascii="Times New Roman" w:hAnsi="Times New Roman"/>
                <w:b/>
                <w:noProof/>
                <w:sz w:val="20"/>
                <w:szCs w:val="20"/>
              </w:rPr>
            </w:pPr>
          </w:p>
          <w:p w14:paraId="0906C111" w14:textId="77777777" w:rsidR="001D7CEB" w:rsidRDefault="001D7CEB">
            <w:pPr>
              <w:spacing w:after="0"/>
              <w:jc w:val="center"/>
              <w:rPr>
                <w:rFonts w:ascii="Times New Roman" w:hAnsi="Times New Roman"/>
                <w:b/>
                <w:noProof/>
                <w:sz w:val="20"/>
                <w:szCs w:val="20"/>
              </w:rPr>
            </w:pPr>
            <w:r>
              <w:rPr>
                <w:rFonts w:ascii="Times New Roman" w:hAnsi="Times New Roman"/>
                <w:b/>
                <w:noProof/>
                <w:sz w:val="20"/>
                <w:szCs w:val="20"/>
              </w:rPr>
              <w:t>Number of free allowances requested by Member State pursuant to Article 10c</w:t>
            </w:r>
          </w:p>
        </w:tc>
      </w:tr>
      <w:tr w:rsidR="001D7CEB" w14:paraId="6D341873" w14:textId="77777777" w:rsidTr="002802C4">
        <w:trPr>
          <w:trHeight w:val="273"/>
          <w:jc w:val="center"/>
        </w:trPr>
        <w:tc>
          <w:tcPr>
            <w:tcW w:w="957" w:type="dxa"/>
            <w:shd w:val="clear" w:color="auto" w:fill="FFFFFF" w:themeFill="background1"/>
            <w:noWrap/>
            <w:hideMark/>
          </w:tcPr>
          <w:p w14:paraId="42CBFBBF"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Member State</w:t>
            </w:r>
          </w:p>
        </w:tc>
        <w:tc>
          <w:tcPr>
            <w:tcW w:w="1339" w:type="dxa"/>
            <w:shd w:val="clear" w:color="auto" w:fill="FFFFFF" w:themeFill="background1"/>
            <w:noWrap/>
            <w:hideMark/>
          </w:tcPr>
          <w:p w14:paraId="2685B8C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2013</w:t>
            </w:r>
          </w:p>
        </w:tc>
        <w:tc>
          <w:tcPr>
            <w:tcW w:w="1458" w:type="dxa"/>
            <w:shd w:val="clear" w:color="auto" w:fill="FFFFFF" w:themeFill="background1"/>
          </w:tcPr>
          <w:p w14:paraId="730ECE2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2014</w:t>
            </w:r>
          </w:p>
        </w:tc>
        <w:tc>
          <w:tcPr>
            <w:tcW w:w="1458" w:type="dxa"/>
            <w:shd w:val="clear" w:color="auto" w:fill="FFFFFF" w:themeFill="background1"/>
          </w:tcPr>
          <w:p w14:paraId="1A07DE41" w14:textId="77777777" w:rsidR="001D7CEB" w:rsidRPr="008C2194" w:rsidRDefault="001D7CEB">
            <w:pPr>
              <w:spacing w:after="0"/>
              <w:jc w:val="center"/>
              <w:rPr>
                <w:rFonts w:ascii="Times New Roman" w:hAnsi="Times New Roman"/>
                <w:b/>
                <w:noProof/>
                <w:sz w:val="14"/>
                <w:szCs w:val="14"/>
              </w:rPr>
            </w:pPr>
            <w:r w:rsidRPr="008C2194">
              <w:rPr>
                <w:rFonts w:ascii="Times New Roman" w:hAnsi="Times New Roman"/>
                <w:b/>
                <w:noProof/>
                <w:sz w:val="14"/>
                <w:szCs w:val="14"/>
              </w:rPr>
              <w:t>2015</w:t>
            </w:r>
          </w:p>
        </w:tc>
        <w:tc>
          <w:tcPr>
            <w:tcW w:w="1339" w:type="dxa"/>
            <w:shd w:val="clear" w:color="auto" w:fill="FFFFFF" w:themeFill="background1"/>
          </w:tcPr>
          <w:p w14:paraId="3AE611B2" w14:textId="77777777" w:rsidR="001D7CEB" w:rsidRPr="0055008A" w:rsidRDefault="001D7CEB">
            <w:pPr>
              <w:spacing w:after="0"/>
              <w:jc w:val="center"/>
              <w:rPr>
                <w:rFonts w:ascii="Times New Roman" w:hAnsi="Times New Roman"/>
                <w:b/>
                <w:noProof/>
                <w:sz w:val="14"/>
                <w:szCs w:val="14"/>
              </w:rPr>
            </w:pPr>
            <w:r w:rsidRPr="0055008A">
              <w:rPr>
                <w:rFonts w:ascii="Times New Roman" w:hAnsi="Times New Roman"/>
                <w:b/>
                <w:noProof/>
                <w:sz w:val="14"/>
                <w:szCs w:val="14"/>
              </w:rPr>
              <w:t>2016</w:t>
            </w:r>
          </w:p>
        </w:tc>
        <w:tc>
          <w:tcPr>
            <w:tcW w:w="1342" w:type="dxa"/>
            <w:shd w:val="clear" w:color="auto" w:fill="FFFFFF" w:themeFill="background1"/>
          </w:tcPr>
          <w:p w14:paraId="2741A857" w14:textId="77777777" w:rsidR="001D7CEB" w:rsidRPr="0055008A" w:rsidRDefault="001D7CEB">
            <w:pPr>
              <w:spacing w:after="0"/>
              <w:jc w:val="center"/>
              <w:rPr>
                <w:rFonts w:ascii="Times New Roman" w:hAnsi="Times New Roman"/>
                <w:b/>
                <w:noProof/>
                <w:sz w:val="14"/>
                <w:szCs w:val="14"/>
              </w:rPr>
            </w:pPr>
            <w:r w:rsidRPr="0055008A">
              <w:rPr>
                <w:rFonts w:ascii="Times New Roman" w:hAnsi="Times New Roman"/>
                <w:b/>
                <w:noProof/>
                <w:sz w:val="14"/>
                <w:szCs w:val="14"/>
              </w:rPr>
              <w:t>2017</w:t>
            </w:r>
          </w:p>
        </w:tc>
        <w:tc>
          <w:tcPr>
            <w:tcW w:w="1344" w:type="dxa"/>
            <w:shd w:val="clear" w:color="auto" w:fill="FFFFFF" w:themeFill="background1"/>
          </w:tcPr>
          <w:p w14:paraId="1CE3E0CF" w14:textId="77777777" w:rsidR="001D7CEB" w:rsidRPr="0055008A" w:rsidRDefault="001D7CEB">
            <w:pPr>
              <w:spacing w:after="0"/>
              <w:jc w:val="center"/>
              <w:rPr>
                <w:rFonts w:ascii="Times New Roman" w:hAnsi="Times New Roman"/>
                <w:b/>
                <w:noProof/>
                <w:sz w:val="14"/>
                <w:szCs w:val="14"/>
              </w:rPr>
            </w:pPr>
            <w:r w:rsidRPr="0055008A">
              <w:rPr>
                <w:rFonts w:ascii="Times New Roman" w:hAnsi="Times New Roman"/>
                <w:b/>
                <w:noProof/>
                <w:sz w:val="14"/>
                <w:szCs w:val="14"/>
              </w:rPr>
              <w:t>2018</w:t>
            </w:r>
          </w:p>
        </w:tc>
      </w:tr>
      <w:tr w:rsidR="001D7CEB" w14:paraId="7517D06C" w14:textId="77777777" w:rsidTr="002802C4">
        <w:trPr>
          <w:trHeight w:val="241"/>
          <w:jc w:val="center"/>
        </w:trPr>
        <w:tc>
          <w:tcPr>
            <w:tcW w:w="957" w:type="dxa"/>
            <w:shd w:val="clear" w:color="auto" w:fill="FFFFFF" w:themeFill="background1"/>
            <w:noWrap/>
            <w:hideMark/>
          </w:tcPr>
          <w:p w14:paraId="029AD6E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BG</w:t>
            </w:r>
          </w:p>
        </w:tc>
        <w:tc>
          <w:tcPr>
            <w:tcW w:w="1339" w:type="dxa"/>
            <w:shd w:val="clear" w:color="auto" w:fill="FFFFFF" w:themeFill="background1"/>
            <w:noWrap/>
            <w:hideMark/>
          </w:tcPr>
          <w:p w14:paraId="0933681D"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11 009 416</w:t>
            </w:r>
          </w:p>
        </w:tc>
        <w:tc>
          <w:tcPr>
            <w:tcW w:w="1458" w:type="dxa"/>
            <w:tcBorders>
              <w:bottom w:val="single" w:sz="4" w:space="0" w:color="auto"/>
            </w:tcBorders>
            <w:shd w:val="clear" w:color="auto" w:fill="FFFFFF" w:themeFill="background1"/>
          </w:tcPr>
          <w:p w14:paraId="142DCE3F"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9 779 243</w:t>
            </w:r>
          </w:p>
        </w:tc>
        <w:tc>
          <w:tcPr>
            <w:tcW w:w="1458" w:type="dxa"/>
            <w:shd w:val="clear" w:color="auto" w:fill="FFFFFF" w:themeFill="background1"/>
          </w:tcPr>
          <w:p w14:paraId="3C4E09B7"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8 259 680</w:t>
            </w:r>
          </w:p>
        </w:tc>
        <w:tc>
          <w:tcPr>
            <w:tcW w:w="1339" w:type="dxa"/>
            <w:shd w:val="clear" w:color="auto" w:fill="FFFFFF" w:themeFill="background1"/>
            <w:vAlign w:val="bottom"/>
          </w:tcPr>
          <w:p w14:paraId="18D77CF9"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6 593 238</w:t>
            </w:r>
          </w:p>
        </w:tc>
        <w:tc>
          <w:tcPr>
            <w:tcW w:w="1342" w:type="dxa"/>
            <w:shd w:val="clear" w:color="auto" w:fill="FFFFFF" w:themeFill="background1"/>
          </w:tcPr>
          <w:p w14:paraId="1DE22331"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3 812 436</w:t>
            </w:r>
          </w:p>
        </w:tc>
        <w:tc>
          <w:tcPr>
            <w:tcW w:w="1344" w:type="dxa"/>
            <w:shd w:val="clear" w:color="auto" w:fill="FFFFFF" w:themeFill="background1"/>
          </w:tcPr>
          <w:p w14:paraId="076CD443"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2</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471 297</w:t>
            </w:r>
          </w:p>
        </w:tc>
      </w:tr>
      <w:tr w:rsidR="001D7CEB" w14:paraId="34919F87" w14:textId="77777777" w:rsidTr="002802C4">
        <w:trPr>
          <w:trHeight w:val="185"/>
          <w:jc w:val="center"/>
        </w:trPr>
        <w:tc>
          <w:tcPr>
            <w:tcW w:w="957" w:type="dxa"/>
            <w:shd w:val="clear" w:color="auto" w:fill="FFFFFF" w:themeFill="background1"/>
            <w:noWrap/>
            <w:hideMark/>
          </w:tcPr>
          <w:p w14:paraId="2DA3C761"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CY</w:t>
            </w:r>
          </w:p>
        </w:tc>
        <w:tc>
          <w:tcPr>
            <w:tcW w:w="1339" w:type="dxa"/>
            <w:tcBorders>
              <w:right w:val="single" w:sz="4" w:space="0" w:color="auto"/>
            </w:tcBorders>
            <w:shd w:val="clear" w:color="auto" w:fill="FFFFFF" w:themeFill="background1"/>
            <w:noWrap/>
            <w:hideMark/>
          </w:tcPr>
          <w:p w14:paraId="7F24AFB9"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4418"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2 195 195</w:t>
            </w:r>
          </w:p>
        </w:tc>
        <w:tc>
          <w:tcPr>
            <w:tcW w:w="1458" w:type="dxa"/>
            <w:tcBorders>
              <w:left w:val="single" w:sz="4" w:space="0" w:color="auto"/>
            </w:tcBorders>
            <w:shd w:val="clear" w:color="auto" w:fill="FFFFFF" w:themeFill="background1"/>
          </w:tcPr>
          <w:p w14:paraId="7D1F182B"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1 907 302</w:t>
            </w:r>
          </w:p>
        </w:tc>
        <w:tc>
          <w:tcPr>
            <w:tcW w:w="1339" w:type="dxa"/>
            <w:shd w:val="clear" w:color="auto" w:fill="FFFFFF" w:themeFill="background1"/>
            <w:vAlign w:val="bottom"/>
          </w:tcPr>
          <w:p w14:paraId="2CEF2674"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1 583 420</w:t>
            </w:r>
          </w:p>
        </w:tc>
        <w:tc>
          <w:tcPr>
            <w:tcW w:w="1342" w:type="dxa"/>
            <w:shd w:val="clear" w:color="auto" w:fill="FFFFFF" w:themeFill="background1"/>
          </w:tcPr>
          <w:p w14:paraId="6DA2FB4B"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1 259 538</w:t>
            </w:r>
          </w:p>
        </w:tc>
        <w:tc>
          <w:tcPr>
            <w:tcW w:w="1344" w:type="dxa"/>
            <w:shd w:val="clear" w:color="auto" w:fill="FFFFFF" w:themeFill="background1"/>
          </w:tcPr>
          <w:p w14:paraId="208F4D35" w14:textId="77777777" w:rsidR="001D7CEB" w:rsidRPr="00A40886"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93</w:t>
            </w:r>
            <w:r w:rsidRPr="00A37088">
              <w:rPr>
                <w:rFonts w:ascii="Times New Roman" w:hAnsi="Times New Roman"/>
                <w:noProof/>
                <w:color w:val="000000"/>
                <w:sz w:val="14"/>
                <w:szCs w:val="14"/>
              </w:rPr>
              <w:t>5</w:t>
            </w:r>
            <w:r w:rsidRPr="00A40886">
              <w:rPr>
                <w:rFonts w:ascii="Times New Roman" w:hAnsi="Times New Roman"/>
                <w:noProof/>
                <w:color w:val="000000"/>
                <w:sz w:val="14"/>
                <w:szCs w:val="14"/>
              </w:rPr>
              <w:t xml:space="preserve"> 657</w:t>
            </w:r>
          </w:p>
        </w:tc>
      </w:tr>
      <w:tr w:rsidR="001D7CEB" w14:paraId="1E702A0D" w14:textId="77777777" w:rsidTr="002802C4">
        <w:trPr>
          <w:trHeight w:val="185"/>
          <w:jc w:val="center"/>
        </w:trPr>
        <w:tc>
          <w:tcPr>
            <w:tcW w:w="957" w:type="dxa"/>
            <w:shd w:val="clear" w:color="auto" w:fill="FFFFFF" w:themeFill="background1"/>
            <w:noWrap/>
            <w:hideMark/>
          </w:tcPr>
          <w:p w14:paraId="51A1DD80"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CZ</w:t>
            </w:r>
          </w:p>
        </w:tc>
        <w:tc>
          <w:tcPr>
            <w:tcW w:w="1339" w:type="dxa"/>
            <w:shd w:val="clear" w:color="auto" w:fill="FFFFFF" w:themeFill="background1"/>
            <w:noWrap/>
            <w:hideMark/>
          </w:tcPr>
          <w:p w14:paraId="49BB6113"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25 285 353</w:t>
            </w:r>
          </w:p>
        </w:tc>
        <w:tc>
          <w:tcPr>
            <w:tcW w:w="1458" w:type="dxa"/>
            <w:tcBorders>
              <w:top w:val="single" w:sz="4" w:space="0" w:color="auto"/>
            </w:tcBorders>
            <w:shd w:val="clear" w:color="auto" w:fill="FFFFFF" w:themeFill="background1"/>
          </w:tcPr>
          <w:p w14:paraId="3487ED1F"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22 383 398</w:t>
            </w:r>
          </w:p>
        </w:tc>
        <w:tc>
          <w:tcPr>
            <w:tcW w:w="1458" w:type="dxa"/>
            <w:shd w:val="clear" w:color="auto" w:fill="FFFFFF" w:themeFill="background1"/>
          </w:tcPr>
          <w:p w14:paraId="5DA08238"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20 623 005</w:t>
            </w:r>
          </w:p>
        </w:tc>
        <w:tc>
          <w:tcPr>
            <w:tcW w:w="1339" w:type="dxa"/>
            <w:shd w:val="clear" w:color="auto" w:fill="FFFFFF" w:themeFill="background1"/>
            <w:vAlign w:val="bottom"/>
          </w:tcPr>
          <w:p w14:paraId="71B094E1"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15 831 329</w:t>
            </w:r>
          </w:p>
        </w:tc>
        <w:tc>
          <w:tcPr>
            <w:tcW w:w="1342" w:type="dxa"/>
            <w:shd w:val="clear" w:color="auto" w:fill="FFFFFF" w:themeFill="background1"/>
          </w:tcPr>
          <w:p w14:paraId="1E4C6337"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11 681 994</w:t>
            </w:r>
          </w:p>
        </w:tc>
        <w:tc>
          <w:tcPr>
            <w:tcW w:w="1344" w:type="dxa"/>
            <w:shd w:val="clear" w:color="auto" w:fill="FFFFFF" w:themeFill="background1"/>
          </w:tcPr>
          <w:p w14:paraId="738708F9"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7</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661 840</w:t>
            </w:r>
          </w:p>
        </w:tc>
      </w:tr>
      <w:tr w:rsidR="001D7CEB" w14:paraId="5D6AF422" w14:textId="77777777" w:rsidTr="002802C4">
        <w:trPr>
          <w:trHeight w:val="185"/>
          <w:jc w:val="center"/>
        </w:trPr>
        <w:tc>
          <w:tcPr>
            <w:tcW w:w="957" w:type="dxa"/>
            <w:shd w:val="clear" w:color="auto" w:fill="FFFFFF" w:themeFill="background1"/>
            <w:noWrap/>
            <w:hideMark/>
          </w:tcPr>
          <w:p w14:paraId="5009F649"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EE</w:t>
            </w:r>
          </w:p>
        </w:tc>
        <w:tc>
          <w:tcPr>
            <w:tcW w:w="1339" w:type="dxa"/>
            <w:shd w:val="clear" w:color="auto" w:fill="FFFFFF" w:themeFill="background1"/>
            <w:noWrap/>
            <w:hideMark/>
          </w:tcPr>
          <w:p w14:paraId="293A25E3"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5 135 166</w:t>
            </w:r>
          </w:p>
        </w:tc>
        <w:tc>
          <w:tcPr>
            <w:tcW w:w="1458" w:type="dxa"/>
            <w:shd w:val="clear" w:color="auto" w:fill="FFFFFF" w:themeFill="background1"/>
          </w:tcPr>
          <w:p w14:paraId="36CC475D"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4 401 568</w:t>
            </w:r>
          </w:p>
        </w:tc>
        <w:tc>
          <w:tcPr>
            <w:tcW w:w="1458" w:type="dxa"/>
            <w:shd w:val="clear" w:color="auto" w:fill="FFFFFF" w:themeFill="background1"/>
          </w:tcPr>
          <w:p w14:paraId="55DA82B7"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3 667 975</w:t>
            </w:r>
          </w:p>
        </w:tc>
        <w:tc>
          <w:tcPr>
            <w:tcW w:w="1339" w:type="dxa"/>
            <w:shd w:val="clear" w:color="auto" w:fill="FFFFFF" w:themeFill="background1"/>
            <w:vAlign w:val="bottom"/>
          </w:tcPr>
          <w:p w14:paraId="3AD58EB5"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2 934 380</w:t>
            </w:r>
          </w:p>
        </w:tc>
        <w:tc>
          <w:tcPr>
            <w:tcW w:w="1342" w:type="dxa"/>
            <w:shd w:val="clear" w:color="auto" w:fill="FFFFFF" w:themeFill="background1"/>
          </w:tcPr>
          <w:p w14:paraId="2DD082A2"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2 055 614</w:t>
            </w:r>
          </w:p>
        </w:tc>
        <w:tc>
          <w:tcPr>
            <w:tcW w:w="1344" w:type="dxa"/>
            <w:shd w:val="clear" w:color="auto" w:fill="FFFFFF" w:themeFill="background1"/>
          </w:tcPr>
          <w:p w14:paraId="33304244" w14:textId="77777777" w:rsidR="001D7CEB" w:rsidRPr="00A40886"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38</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939</w:t>
            </w:r>
          </w:p>
        </w:tc>
      </w:tr>
      <w:tr w:rsidR="001D7CEB" w14:paraId="2375AF4D" w14:textId="77777777" w:rsidTr="002802C4">
        <w:trPr>
          <w:trHeight w:val="223"/>
          <w:jc w:val="center"/>
        </w:trPr>
        <w:tc>
          <w:tcPr>
            <w:tcW w:w="957" w:type="dxa"/>
            <w:shd w:val="clear" w:color="auto" w:fill="FFFFFF" w:themeFill="background1"/>
            <w:noWrap/>
            <w:hideMark/>
          </w:tcPr>
          <w:p w14:paraId="6B24967D"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HU</w:t>
            </w:r>
          </w:p>
        </w:tc>
        <w:tc>
          <w:tcPr>
            <w:tcW w:w="1339" w:type="dxa"/>
            <w:shd w:val="clear" w:color="auto" w:fill="FFFFFF" w:themeFill="background1"/>
            <w:noWrap/>
            <w:hideMark/>
          </w:tcPr>
          <w:p w14:paraId="75AE26F4"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7 047 255</w:t>
            </w:r>
            <w:r w:rsidRPr="00A341C7">
              <w:rPr>
                <w:rFonts w:ascii="Times New Roman" w:hAnsi="Times New Roman"/>
                <w:noProof/>
                <w:sz w:val="14"/>
                <w:szCs w:val="14"/>
                <w:vertAlign w:val="superscript"/>
              </w:rPr>
              <w:footnoteReference w:id="75"/>
            </w:r>
          </w:p>
        </w:tc>
        <w:tc>
          <w:tcPr>
            <w:tcW w:w="1458" w:type="dxa"/>
            <w:shd w:val="clear" w:color="auto" w:fill="FFFFFF" w:themeFill="background1"/>
          </w:tcPr>
          <w:p w14:paraId="35194E0F"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n.a.</w:t>
            </w:r>
          </w:p>
        </w:tc>
        <w:tc>
          <w:tcPr>
            <w:tcW w:w="1458" w:type="dxa"/>
            <w:shd w:val="clear" w:color="auto" w:fill="FFFFFF" w:themeFill="background1"/>
          </w:tcPr>
          <w:p w14:paraId="26D47330" w14:textId="77777777" w:rsidR="001D7CEB" w:rsidRPr="00A341C7" w:rsidRDefault="001D7CEB">
            <w:pPr>
              <w:jc w:val="center"/>
              <w:rPr>
                <w:rFonts w:ascii="Times New Roman" w:hAnsi="Times New Roman"/>
                <w:noProof/>
                <w:sz w:val="14"/>
                <w:szCs w:val="14"/>
              </w:rPr>
            </w:pPr>
            <w:r w:rsidRPr="00A341C7">
              <w:rPr>
                <w:rFonts w:ascii="Times New Roman" w:hAnsi="Times New Roman"/>
                <w:noProof/>
                <w:sz w:val="14"/>
                <w:szCs w:val="14"/>
              </w:rPr>
              <w:t>n.a.</w:t>
            </w:r>
          </w:p>
        </w:tc>
        <w:tc>
          <w:tcPr>
            <w:tcW w:w="1339" w:type="dxa"/>
            <w:shd w:val="clear" w:color="auto" w:fill="FFFFFF" w:themeFill="background1"/>
            <w:vAlign w:val="bottom"/>
          </w:tcPr>
          <w:p w14:paraId="3F53B4D4" w14:textId="77777777" w:rsidR="001D7CEB" w:rsidRPr="0055008A" w:rsidRDefault="001D7CEB">
            <w:pPr>
              <w:jc w:val="center"/>
              <w:rPr>
                <w:rFonts w:ascii="Times New Roman" w:hAnsi="Times New Roman"/>
                <w:noProof/>
                <w:sz w:val="14"/>
                <w:szCs w:val="14"/>
              </w:rPr>
            </w:pPr>
            <w:r w:rsidRPr="008C2194">
              <w:rPr>
                <w:rFonts w:ascii="Times New Roman" w:hAnsi="Times New Roman"/>
                <w:noProof/>
                <w:color w:val="000000"/>
                <w:sz w:val="14"/>
                <w:szCs w:val="14"/>
              </w:rPr>
              <w:t>n.a.</w:t>
            </w:r>
          </w:p>
        </w:tc>
        <w:tc>
          <w:tcPr>
            <w:tcW w:w="1342" w:type="dxa"/>
            <w:shd w:val="clear" w:color="auto" w:fill="FFFFFF" w:themeFill="background1"/>
          </w:tcPr>
          <w:p w14:paraId="094D124B"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n.a.</w:t>
            </w:r>
          </w:p>
        </w:tc>
        <w:tc>
          <w:tcPr>
            <w:tcW w:w="1344" w:type="dxa"/>
            <w:shd w:val="clear" w:color="auto" w:fill="FFFFFF" w:themeFill="background1"/>
          </w:tcPr>
          <w:p w14:paraId="6CC38296"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n.a.</w:t>
            </w:r>
          </w:p>
        </w:tc>
      </w:tr>
      <w:tr w:rsidR="001D7CEB" w14:paraId="6D2529A9" w14:textId="77777777" w:rsidTr="002802C4">
        <w:trPr>
          <w:trHeight w:val="185"/>
          <w:jc w:val="center"/>
        </w:trPr>
        <w:tc>
          <w:tcPr>
            <w:tcW w:w="957" w:type="dxa"/>
            <w:shd w:val="clear" w:color="auto" w:fill="FFFFFF" w:themeFill="background1"/>
            <w:noWrap/>
            <w:hideMark/>
          </w:tcPr>
          <w:p w14:paraId="74D2EBB8"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LT</w:t>
            </w:r>
          </w:p>
        </w:tc>
        <w:tc>
          <w:tcPr>
            <w:tcW w:w="1339" w:type="dxa"/>
            <w:shd w:val="clear" w:color="auto" w:fill="FFFFFF" w:themeFill="background1"/>
            <w:noWrap/>
            <w:hideMark/>
          </w:tcPr>
          <w:p w14:paraId="5AA9EE60"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322 449</w:t>
            </w:r>
          </w:p>
        </w:tc>
        <w:tc>
          <w:tcPr>
            <w:tcW w:w="1458" w:type="dxa"/>
            <w:shd w:val="clear" w:color="auto" w:fill="FFFFFF" w:themeFill="background1"/>
          </w:tcPr>
          <w:p w14:paraId="442AAE85"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297 113</w:t>
            </w:r>
          </w:p>
        </w:tc>
        <w:tc>
          <w:tcPr>
            <w:tcW w:w="1458" w:type="dxa"/>
            <w:shd w:val="clear" w:color="auto" w:fill="FFFFFF" w:themeFill="background1"/>
          </w:tcPr>
          <w:p w14:paraId="3475EF65"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269 475</w:t>
            </w:r>
          </w:p>
        </w:tc>
        <w:tc>
          <w:tcPr>
            <w:tcW w:w="1339" w:type="dxa"/>
            <w:shd w:val="clear" w:color="auto" w:fill="FFFFFF" w:themeFill="background1"/>
            <w:vAlign w:val="bottom"/>
          </w:tcPr>
          <w:p w14:paraId="2B6DCFAF"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237 230</w:t>
            </w:r>
          </w:p>
        </w:tc>
        <w:tc>
          <w:tcPr>
            <w:tcW w:w="1342" w:type="dxa"/>
            <w:shd w:val="clear" w:color="auto" w:fill="FFFFFF" w:themeFill="background1"/>
          </w:tcPr>
          <w:p w14:paraId="2EC525D2"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200 379</w:t>
            </w:r>
          </w:p>
        </w:tc>
        <w:tc>
          <w:tcPr>
            <w:tcW w:w="1344" w:type="dxa"/>
            <w:shd w:val="clear" w:color="auto" w:fill="FFFFFF" w:themeFill="background1"/>
          </w:tcPr>
          <w:p w14:paraId="5C48BA6F" w14:textId="77777777" w:rsidR="001D7CEB" w:rsidRPr="00A40886"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158</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922</w:t>
            </w:r>
          </w:p>
        </w:tc>
      </w:tr>
      <w:tr w:rsidR="001D7CEB" w14:paraId="41284CCC" w14:textId="77777777" w:rsidTr="002802C4">
        <w:trPr>
          <w:trHeight w:val="185"/>
          <w:jc w:val="center"/>
        </w:trPr>
        <w:tc>
          <w:tcPr>
            <w:tcW w:w="957" w:type="dxa"/>
            <w:shd w:val="clear" w:color="auto" w:fill="FFFFFF" w:themeFill="background1"/>
            <w:noWrap/>
            <w:hideMark/>
          </w:tcPr>
          <w:p w14:paraId="45BC2378"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PL</w:t>
            </w:r>
          </w:p>
        </w:tc>
        <w:tc>
          <w:tcPr>
            <w:tcW w:w="1339" w:type="dxa"/>
            <w:shd w:val="clear" w:color="auto" w:fill="FFFFFF" w:themeFill="background1"/>
            <w:noWrap/>
            <w:hideMark/>
          </w:tcPr>
          <w:p w14:paraId="5DA97BCC"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65 992 703</w:t>
            </w:r>
          </w:p>
        </w:tc>
        <w:tc>
          <w:tcPr>
            <w:tcW w:w="1458" w:type="dxa"/>
            <w:shd w:val="clear" w:color="auto" w:fill="FFFFFF" w:themeFill="background1"/>
          </w:tcPr>
          <w:p w14:paraId="49FF2CB5"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52 920 889</w:t>
            </w:r>
          </w:p>
        </w:tc>
        <w:tc>
          <w:tcPr>
            <w:tcW w:w="1458" w:type="dxa"/>
            <w:shd w:val="clear" w:color="auto" w:fill="FFFFFF" w:themeFill="background1"/>
          </w:tcPr>
          <w:p w14:paraId="5D62EF4C" w14:textId="77777777" w:rsidR="001D7CEB" w:rsidRPr="0055008A" w:rsidRDefault="001D7CEB">
            <w:pPr>
              <w:jc w:val="center"/>
              <w:rPr>
                <w:rFonts w:ascii="Times New Roman" w:hAnsi="Times New Roman"/>
                <w:noProof/>
                <w:sz w:val="14"/>
                <w:szCs w:val="14"/>
              </w:rPr>
            </w:pPr>
            <w:r w:rsidRPr="008C2194">
              <w:rPr>
                <w:rFonts w:ascii="Times New Roman" w:hAnsi="Times New Roman"/>
                <w:noProof/>
                <w:sz w:val="14"/>
                <w:szCs w:val="14"/>
              </w:rPr>
              <w:t>43</w:t>
            </w:r>
            <w:r w:rsidRPr="0055008A">
              <w:rPr>
                <w:rFonts w:ascii="Times New Roman" w:hAnsi="Times New Roman"/>
                <w:noProof/>
                <w:sz w:val="14"/>
                <w:szCs w:val="14"/>
              </w:rPr>
              <w:t xml:space="preserve"> 594 320</w:t>
            </w:r>
          </w:p>
        </w:tc>
        <w:tc>
          <w:tcPr>
            <w:tcW w:w="1339" w:type="dxa"/>
            <w:shd w:val="clear" w:color="auto" w:fill="FFFFFF" w:themeFill="background1"/>
            <w:vAlign w:val="bottom"/>
          </w:tcPr>
          <w:p w14:paraId="378324C1"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31 621 148</w:t>
            </w:r>
          </w:p>
        </w:tc>
        <w:tc>
          <w:tcPr>
            <w:tcW w:w="1342" w:type="dxa"/>
            <w:shd w:val="clear" w:color="auto" w:fill="FFFFFF" w:themeFill="background1"/>
          </w:tcPr>
          <w:p w14:paraId="3D25DA67"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21 752 908</w:t>
            </w:r>
          </w:p>
        </w:tc>
        <w:tc>
          <w:tcPr>
            <w:tcW w:w="1344" w:type="dxa"/>
            <w:shd w:val="clear" w:color="auto" w:fill="FFFFFF" w:themeFill="background1"/>
          </w:tcPr>
          <w:p w14:paraId="70387689"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31</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942 281</w:t>
            </w:r>
          </w:p>
        </w:tc>
      </w:tr>
      <w:tr w:rsidR="001D7CEB" w14:paraId="587678EA" w14:textId="77777777" w:rsidTr="002802C4">
        <w:trPr>
          <w:trHeight w:val="312"/>
          <w:jc w:val="center"/>
        </w:trPr>
        <w:tc>
          <w:tcPr>
            <w:tcW w:w="957" w:type="dxa"/>
            <w:shd w:val="clear" w:color="auto" w:fill="FFFFFF" w:themeFill="background1"/>
            <w:noWrap/>
            <w:hideMark/>
          </w:tcPr>
          <w:p w14:paraId="4216FEA8"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RO</w:t>
            </w:r>
          </w:p>
        </w:tc>
        <w:tc>
          <w:tcPr>
            <w:tcW w:w="1339" w:type="dxa"/>
            <w:shd w:val="clear" w:color="auto" w:fill="FFFFFF" w:themeFill="background1"/>
            <w:noWrap/>
            <w:hideMark/>
          </w:tcPr>
          <w:p w14:paraId="073456FD"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15 748 011</w:t>
            </w:r>
          </w:p>
        </w:tc>
        <w:tc>
          <w:tcPr>
            <w:tcW w:w="1458" w:type="dxa"/>
            <w:shd w:val="clear" w:color="auto" w:fill="FFFFFF" w:themeFill="background1"/>
          </w:tcPr>
          <w:p w14:paraId="7DF9E739"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8 591 461</w:t>
            </w:r>
          </w:p>
        </w:tc>
        <w:tc>
          <w:tcPr>
            <w:tcW w:w="1458" w:type="dxa"/>
            <w:shd w:val="clear" w:color="auto" w:fill="FFFFFF" w:themeFill="background1"/>
          </w:tcPr>
          <w:p w14:paraId="77286233" w14:textId="77777777" w:rsidR="001D7CEB" w:rsidRPr="008C2194" w:rsidRDefault="001D7CEB">
            <w:pPr>
              <w:jc w:val="center"/>
              <w:rPr>
                <w:rFonts w:ascii="Times New Roman" w:hAnsi="Times New Roman"/>
                <w:noProof/>
                <w:sz w:val="14"/>
                <w:szCs w:val="14"/>
              </w:rPr>
            </w:pPr>
            <w:r w:rsidRPr="008C2194">
              <w:rPr>
                <w:rFonts w:ascii="Times New Roman" w:hAnsi="Times New Roman"/>
                <w:noProof/>
                <w:sz w:val="14"/>
                <w:szCs w:val="14"/>
              </w:rPr>
              <w:t>9 210 797</w:t>
            </w:r>
          </w:p>
        </w:tc>
        <w:tc>
          <w:tcPr>
            <w:tcW w:w="1339" w:type="dxa"/>
            <w:shd w:val="clear" w:color="auto" w:fill="FFFFFF" w:themeFill="background1"/>
            <w:vAlign w:val="bottom"/>
          </w:tcPr>
          <w:p w14:paraId="634C3F54" w14:textId="77777777" w:rsidR="001D7CEB" w:rsidRPr="0055008A" w:rsidRDefault="001D7CEB">
            <w:pPr>
              <w:jc w:val="center"/>
              <w:rPr>
                <w:rFonts w:ascii="Times New Roman" w:hAnsi="Times New Roman"/>
                <w:noProof/>
                <w:sz w:val="14"/>
                <w:szCs w:val="14"/>
              </w:rPr>
            </w:pPr>
            <w:r w:rsidRPr="0055008A">
              <w:rPr>
                <w:rFonts w:ascii="Times New Roman" w:hAnsi="Times New Roman"/>
                <w:noProof/>
                <w:color w:val="000000"/>
                <w:sz w:val="14"/>
                <w:szCs w:val="14"/>
              </w:rPr>
              <w:t>7 189 961</w:t>
            </w:r>
          </w:p>
        </w:tc>
        <w:tc>
          <w:tcPr>
            <w:tcW w:w="1342" w:type="dxa"/>
            <w:shd w:val="clear" w:color="auto" w:fill="FFFFFF" w:themeFill="background1"/>
          </w:tcPr>
          <w:p w14:paraId="7F265CA4" w14:textId="77777777" w:rsidR="001D7CEB" w:rsidRPr="0055008A" w:rsidRDefault="001D7CEB">
            <w:pPr>
              <w:jc w:val="center"/>
              <w:rPr>
                <w:rFonts w:ascii="Times New Roman" w:hAnsi="Times New Roman"/>
                <w:noProof/>
                <w:color w:val="000000"/>
                <w:sz w:val="14"/>
                <w:szCs w:val="14"/>
              </w:rPr>
            </w:pPr>
            <w:r w:rsidRPr="0055008A">
              <w:rPr>
                <w:rFonts w:ascii="Times New Roman" w:hAnsi="Times New Roman"/>
                <w:noProof/>
                <w:color w:val="000000"/>
                <w:sz w:val="14"/>
                <w:szCs w:val="14"/>
              </w:rPr>
              <w:t>6 222 255</w:t>
            </w:r>
          </w:p>
        </w:tc>
        <w:tc>
          <w:tcPr>
            <w:tcW w:w="1344" w:type="dxa"/>
            <w:shd w:val="clear" w:color="auto" w:fill="FFFFFF" w:themeFill="background1"/>
          </w:tcPr>
          <w:p w14:paraId="7DBD0BB1" w14:textId="77777777" w:rsidR="001D7CEB" w:rsidRPr="00973D0E" w:rsidRDefault="001D7CEB">
            <w:pPr>
              <w:jc w:val="center"/>
              <w:rPr>
                <w:rFonts w:ascii="Times New Roman" w:hAnsi="Times New Roman"/>
                <w:noProof/>
                <w:color w:val="000000"/>
                <w:sz w:val="14"/>
                <w:szCs w:val="14"/>
              </w:rPr>
            </w:pPr>
            <w:r w:rsidRPr="00964AD1">
              <w:rPr>
                <w:rFonts w:ascii="Times New Roman" w:hAnsi="Times New Roman"/>
                <w:noProof/>
                <w:color w:val="000000"/>
                <w:sz w:val="14"/>
                <w:szCs w:val="14"/>
              </w:rPr>
              <w:t>3</w:t>
            </w:r>
            <w:r w:rsidRPr="00A37088">
              <w:rPr>
                <w:rFonts w:ascii="Times New Roman" w:hAnsi="Times New Roman"/>
                <w:noProof/>
                <w:color w:val="000000"/>
                <w:sz w:val="14"/>
                <w:szCs w:val="14"/>
              </w:rPr>
              <w:t xml:space="preserve"> </w:t>
            </w:r>
            <w:r w:rsidRPr="00A40886">
              <w:rPr>
                <w:rFonts w:ascii="Times New Roman" w:hAnsi="Times New Roman"/>
                <w:noProof/>
                <w:color w:val="000000"/>
                <w:sz w:val="14"/>
                <w:szCs w:val="14"/>
              </w:rPr>
              <w:t>778 439</w:t>
            </w:r>
          </w:p>
        </w:tc>
      </w:tr>
      <w:tr w:rsidR="001D7CEB" w14:paraId="5A3000D7" w14:textId="77777777" w:rsidTr="002802C4">
        <w:trPr>
          <w:trHeight w:val="257"/>
          <w:jc w:val="center"/>
        </w:trPr>
        <w:tc>
          <w:tcPr>
            <w:tcW w:w="957" w:type="dxa"/>
            <w:shd w:val="clear" w:color="auto" w:fill="FFFFFF" w:themeFill="background1"/>
            <w:noWrap/>
          </w:tcPr>
          <w:p w14:paraId="54098D56" w14:textId="77777777" w:rsidR="001D7CEB" w:rsidRPr="00A341C7" w:rsidRDefault="001D7CEB">
            <w:pPr>
              <w:spacing w:after="0"/>
              <w:jc w:val="center"/>
              <w:rPr>
                <w:rFonts w:ascii="Times New Roman" w:hAnsi="Times New Roman"/>
                <w:b/>
                <w:noProof/>
                <w:sz w:val="14"/>
                <w:szCs w:val="14"/>
              </w:rPr>
            </w:pPr>
            <w:r w:rsidRPr="00A341C7">
              <w:rPr>
                <w:rFonts w:ascii="Times New Roman" w:hAnsi="Times New Roman"/>
                <w:b/>
                <w:noProof/>
                <w:sz w:val="14"/>
                <w:szCs w:val="14"/>
              </w:rPr>
              <w:t>Total</w:t>
            </w:r>
          </w:p>
        </w:tc>
        <w:tc>
          <w:tcPr>
            <w:tcW w:w="1339" w:type="dxa"/>
            <w:shd w:val="clear" w:color="auto" w:fill="FFFFFF" w:themeFill="background1"/>
            <w:noWrap/>
          </w:tcPr>
          <w:p w14:paraId="0D7FFE67" w14:textId="77777777" w:rsidR="001D7CEB" w:rsidRPr="00A341C7" w:rsidRDefault="001D7CEB">
            <w:pPr>
              <w:spacing w:after="0"/>
              <w:jc w:val="center"/>
              <w:rPr>
                <w:rFonts w:ascii="Times New Roman" w:hAnsi="Times New Roman"/>
                <w:noProof/>
                <w:sz w:val="14"/>
                <w:szCs w:val="14"/>
              </w:rPr>
            </w:pPr>
            <w:r w:rsidRPr="00A341C7">
              <w:rPr>
                <w:rFonts w:ascii="Times New Roman" w:hAnsi="Times New Roman"/>
                <w:noProof/>
                <w:sz w:val="14"/>
                <w:szCs w:val="14"/>
              </w:rPr>
              <w:t>133 059 430</w:t>
            </w:r>
          </w:p>
          <w:p w14:paraId="024F66F3" w14:textId="77777777" w:rsidR="001D7CEB" w:rsidRPr="008C2194" w:rsidRDefault="001D7CEB">
            <w:pPr>
              <w:spacing w:after="0"/>
              <w:jc w:val="center"/>
              <w:rPr>
                <w:rFonts w:ascii="Times New Roman" w:hAnsi="Times New Roman"/>
                <w:noProof/>
                <w:sz w:val="14"/>
                <w:szCs w:val="14"/>
              </w:rPr>
            </w:pPr>
          </w:p>
        </w:tc>
        <w:tc>
          <w:tcPr>
            <w:tcW w:w="1458" w:type="dxa"/>
            <w:shd w:val="clear" w:color="auto" w:fill="FFFFFF" w:themeFill="background1"/>
          </w:tcPr>
          <w:p w14:paraId="3B2D2E3A" w14:textId="77777777" w:rsidR="001D7CEB" w:rsidRPr="0055008A" w:rsidRDefault="001D7CEB">
            <w:pPr>
              <w:spacing w:after="0"/>
              <w:jc w:val="center"/>
              <w:rPr>
                <w:rFonts w:ascii="Times New Roman" w:hAnsi="Times New Roman"/>
                <w:noProof/>
                <w:sz w:val="14"/>
                <w:szCs w:val="14"/>
              </w:rPr>
            </w:pPr>
            <w:r w:rsidRPr="0055008A">
              <w:rPr>
                <w:rFonts w:ascii="Times New Roman" w:hAnsi="Times New Roman"/>
                <w:noProof/>
                <w:sz w:val="14"/>
                <w:szCs w:val="14"/>
              </w:rPr>
              <w:t>100 568 867</w:t>
            </w:r>
          </w:p>
        </w:tc>
        <w:tc>
          <w:tcPr>
            <w:tcW w:w="1458" w:type="dxa"/>
            <w:shd w:val="clear" w:color="auto" w:fill="FFFFFF" w:themeFill="background1"/>
          </w:tcPr>
          <w:p w14:paraId="4F533885" w14:textId="77777777" w:rsidR="001D7CEB" w:rsidRPr="0055008A" w:rsidRDefault="001D7CEB">
            <w:pPr>
              <w:spacing w:after="0"/>
              <w:jc w:val="center"/>
              <w:rPr>
                <w:rFonts w:ascii="Times New Roman" w:hAnsi="Times New Roman"/>
                <w:noProof/>
                <w:sz w:val="14"/>
                <w:szCs w:val="14"/>
              </w:rPr>
            </w:pPr>
            <w:r w:rsidRPr="0055008A">
              <w:rPr>
                <w:rFonts w:ascii="Times New Roman" w:hAnsi="Times New Roman"/>
                <w:noProof/>
                <w:sz w:val="14"/>
                <w:szCs w:val="14"/>
              </w:rPr>
              <w:t>87 532 554</w:t>
            </w:r>
          </w:p>
        </w:tc>
        <w:tc>
          <w:tcPr>
            <w:tcW w:w="1339" w:type="dxa"/>
            <w:shd w:val="clear" w:color="auto" w:fill="FFFFFF" w:themeFill="background1"/>
          </w:tcPr>
          <w:p w14:paraId="46AC21CE" w14:textId="77777777" w:rsidR="001D7CEB" w:rsidRPr="0055008A" w:rsidRDefault="001D7CEB">
            <w:pPr>
              <w:spacing w:after="0"/>
              <w:jc w:val="center"/>
              <w:rPr>
                <w:rFonts w:ascii="Times New Roman" w:hAnsi="Times New Roman"/>
                <w:noProof/>
                <w:sz w:val="14"/>
                <w:szCs w:val="14"/>
              </w:rPr>
            </w:pPr>
            <w:r w:rsidRPr="0055008A">
              <w:rPr>
                <w:rFonts w:ascii="Times New Roman" w:hAnsi="Times New Roman"/>
                <w:noProof/>
                <w:sz w:val="14"/>
                <w:szCs w:val="14"/>
              </w:rPr>
              <w:t>65 990 706</w:t>
            </w:r>
          </w:p>
        </w:tc>
        <w:tc>
          <w:tcPr>
            <w:tcW w:w="1342" w:type="dxa"/>
            <w:shd w:val="clear" w:color="auto" w:fill="FFFFFF" w:themeFill="background1"/>
          </w:tcPr>
          <w:p w14:paraId="5499AD5B" w14:textId="77777777" w:rsidR="001D7CEB" w:rsidRPr="00964AD1" w:rsidRDefault="001D7CEB">
            <w:pPr>
              <w:spacing w:after="0"/>
              <w:jc w:val="center"/>
              <w:rPr>
                <w:rFonts w:ascii="Times New Roman" w:hAnsi="Times New Roman"/>
                <w:noProof/>
                <w:sz w:val="14"/>
                <w:szCs w:val="14"/>
              </w:rPr>
            </w:pPr>
            <w:r w:rsidRPr="00964AD1">
              <w:rPr>
                <w:rFonts w:ascii="Times New Roman" w:hAnsi="Times New Roman"/>
                <w:noProof/>
                <w:sz w:val="14"/>
                <w:szCs w:val="14"/>
              </w:rPr>
              <w:t>46 985 124</w:t>
            </w:r>
          </w:p>
        </w:tc>
        <w:tc>
          <w:tcPr>
            <w:tcW w:w="1344" w:type="dxa"/>
            <w:shd w:val="clear" w:color="auto" w:fill="FFFFFF" w:themeFill="background1"/>
          </w:tcPr>
          <w:p w14:paraId="269C6DE0" w14:textId="77777777" w:rsidR="001D7CEB" w:rsidRPr="00A40886" w:rsidRDefault="00A67F00">
            <w:pPr>
              <w:spacing w:after="0"/>
              <w:jc w:val="center"/>
              <w:rPr>
                <w:rFonts w:ascii="Times New Roman" w:hAnsi="Times New Roman"/>
                <w:noProof/>
                <w:sz w:val="14"/>
                <w:szCs w:val="14"/>
              </w:rPr>
            </w:pPr>
            <w:r w:rsidRPr="00A37088">
              <w:rPr>
                <w:rFonts w:ascii="Times New Roman" w:hAnsi="Times New Roman"/>
                <w:noProof/>
                <w:sz w:val="14"/>
                <w:szCs w:val="14"/>
              </w:rPr>
              <w:t>46 987 375</w:t>
            </w:r>
          </w:p>
        </w:tc>
      </w:tr>
    </w:tbl>
    <w:p w14:paraId="7E9D2978" w14:textId="77777777" w:rsidR="005F6BD0" w:rsidRDefault="00526348" w:rsidP="00276918">
      <w:pPr>
        <w:spacing w:line="240" w:lineRule="auto"/>
        <w:contextualSpacing/>
        <w:jc w:val="both"/>
        <w:rPr>
          <w:rFonts w:ascii="Times New Roman" w:hAnsi="Times New Roman"/>
          <w:noProof/>
          <w:sz w:val="18"/>
          <w:szCs w:val="18"/>
        </w:rPr>
      </w:pPr>
      <w:r w:rsidRPr="00526348">
        <w:rPr>
          <w:rFonts w:ascii="Times New Roman" w:hAnsi="Times New Roman"/>
          <w:noProof/>
          <w:sz w:val="18"/>
          <w:szCs w:val="18"/>
        </w:rPr>
        <w:t>Source: DG CLIMA</w:t>
      </w:r>
    </w:p>
    <w:p w14:paraId="6E4CD9FA" w14:textId="77777777" w:rsidR="00526348" w:rsidRPr="00526348" w:rsidRDefault="00526348" w:rsidP="00276918">
      <w:pPr>
        <w:spacing w:line="240" w:lineRule="auto"/>
        <w:contextualSpacing/>
        <w:jc w:val="both"/>
        <w:rPr>
          <w:rFonts w:ascii="Times New Roman" w:hAnsi="Times New Roman"/>
          <w:noProof/>
          <w:sz w:val="18"/>
          <w:szCs w:val="18"/>
        </w:rPr>
      </w:pPr>
    </w:p>
    <w:p w14:paraId="15532F8E" w14:textId="77777777" w:rsidR="005F6BD0" w:rsidRDefault="003A348D" w:rsidP="00276918">
      <w:pPr>
        <w:spacing w:line="240" w:lineRule="auto"/>
        <w:jc w:val="both"/>
        <w:rPr>
          <w:rFonts w:ascii="Times New Roman" w:hAnsi="Times New Roman"/>
          <w:b/>
          <w:noProof/>
          <w:sz w:val="20"/>
          <w:szCs w:val="20"/>
        </w:rPr>
      </w:pPr>
      <w:r>
        <w:rPr>
          <w:rFonts w:ascii="Times New Roman" w:hAnsi="Times New Roman"/>
          <w:b/>
          <w:noProof/>
          <w:sz w:val="20"/>
          <w:szCs w:val="20"/>
        </w:rPr>
        <w:t xml:space="preserve">Table </w:t>
      </w:r>
      <w:r w:rsidR="00365008">
        <w:rPr>
          <w:rFonts w:ascii="Times New Roman" w:hAnsi="Times New Roman"/>
          <w:b/>
          <w:noProof/>
          <w:sz w:val="20"/>
          <w:szCs w:val="20"/>
        </w:rPr>
        <w:t>1.</w:t>
      </w:r>
      <w:r>
        <w:rPr>
          <w:rFonts w:ascii="Times New Roman" w:hAnsi="Times New Roman"/>
          <w:b/>
          <w:noProof/>
          <w:sz w:val="20"/>
          <w:szCs w:val="20"/>
        </w:rPr>
        <w:t xml:space="preserve">2: Maximum number of free allowances per year under the derogation from full auctioning for </w:t>
      </w:r>
      <w:r w:rsidR="008E46B6">
        <w:rPr>
          <w:rFonts w:ascii="Times New Roman" w:hAnsi="Times New Roman"/>
          <w:b/>
          <w:noProof/>
          <w:sz w:val="20"/>
          <w:szCs w:val="20"/>
        </w:rPr>
        <w:t>electricity and heat production</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rsidR="005F6BD0" w14:paraId="4E23C48E" w14:textId="77777777" w:rsidTr="002802C4">
        <w:trPr>
          <w:trHeight w:val="610"/>
          <w:jc w:val="center"/>
        </w:trPr>
        <w:tc>
          <w:tcPr>
            <w:tcW w:w="1086" w:type="dxa"/>
            <w:vMerge w:val="restart"/>
          </w:tcPr>
          <w:p w14:paraId="33540512"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Member State</w:t>
            </w:r>
          </w:p>
        </w:tc>
        <w:tc>
          <w:tcPr>
            <w:tcW w:w="8227" w:type="dxa"/>
            <w:gridSpan w:val="9"/>
          </w:tcPr>
          <w:p w14:paraId="39535D01" w14:textId="77777777" w:rsidR="005F6BD0" w:rsidRDefault="003A348D">
            <w:pPr>
              <w:spacing w:after="0"/>
              <w:jc w:val="center"/>
              <w:rPr>
                <w:rFonts w:ascii="Times New Roman" w:hAnsi="Times New Roman"/>
                <w:b/>
                <w:noProof/>
                <w:sz w:val="20"/>
                <w:szCs w:val="20"/>
              </w:rPr>
            </w:pPr>
            <w:r>
              <w:rPr>
                <w:rFonts w:ascii="Times New Roman" w:hAnsi="Times New Roman"/>
                <w:b/>
                <w:noProof/>
                <w:sz w:val="20"/>
                <w:szCs w:val="20"/>
              </w:rPr>
              <w:t>Maximum number of allowances per year</w:t>
            </w:r>
          </w:p>
        </w:tc>
      </w:tr>
      <w:tr w:rsidR="005F6BD0" w14:paraId="05BD9ECA" w14:textId="77777777" w:rsidTr="002802C4">
        <w:trPr>
          <w:gridAfter w:val="1"/>
          <w:wAfter w:w="11" w:type="dxa"/>
          <w:trHeight w:val="446"/>
          <w:jc w:val="center"/>
        </w:trPr>
        <w:tc>
          <w:tcPr>
            <w:tcW w:w="1086" w:type="dxa"/>
            <w:vMerge/>
          </w:tcPr>
          <w:p w14:paraId="4D386995" w14:textId="77777777" w:rsidR="005F6BD0" w:rsidRDefault="005F6BD0">
            <w:pPr>
              <w:spacing w:after="0"/>
              <w:jc w:val="center"/>
              <w:rPr>
                <w:rFonts w:ascii="Times New Roman" w:hAnsi="Times New Roman"/>
                <w:b/>
                <w:noProof/>
                <w:sz w:val="14"/>
                <w:szCs w:val="18"/>
              </w:rPr>
            </w:pPr>
          </w:p>
        </w:tc>
        <w:tc>
          <w:tcPr>
            <w:tcW w:w="1123" w:type="dxa"/>
          </w:tcPr>
          <w:p w14:paraId="0837457C"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2013</w:t>
            </w:r>
          </w:p>
        </w:tc>
        <w:tc>
          <w:tcPr>
            <w:tcW w:w="997" w:type="dxa"/>
          </w:tcPr>
          <w:p w14:paraId="4B715D0B"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2014</w:t>
            </w:r>
          </w:p>
        </w:tc>
        <w:tc>
          <w:tcPr>
            <w:tcW w:w="997" w:type="dxa"/>
          </w:tcPr>
          <w:p w14:paraId="570B5546"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2015</w:t>
            </w:r>
          </w:p>
        </w:tc>
        <w:tc>
          <w:tcPr>
            <w:tcW w:w="997" w:type="dxa"/>
          </w:tcPr>
          <w:p w14:paraId="68D335F2"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2016</w:t>
            </w:r>
          </w:p>
        </w:tc>
        <w:tc>
          <w:tcPr>
            <w:tcW w:w="997" w:type="dxa"/>
          </w:tcPr>
          <w:p w14:paraId="09C964C0"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2017</w:t>
            </w:r>
          </w:p>
        </w:tc>
        <w:tc>
          <w:tcPr>
            <w:tcW w:w="997" w:type="dxa"/>
          </w:tcPr>
          <w:p w14:paraId="0E2AD971" w14:textId="77777777" w:rsidR="005F6BD0" w:rsidRDefault="003A348D">
            <w:pPr>
              <w:spacing w:after="0"/>
              <w:ind w:right="317"/>
              <w:jc w:val="center"/>
              <w:rPr>
                <w:rFonts w:ascii="Times New Roman" w:hAnsi="Times New Roman"/>
                <w:b/>
                <w:noProof/>
                <w:sz w:val="14"/>
                <w:szCs w:val="18"/>
              </w:rPr>
            </w:pPr>
            <w:r>
              <w:rPr>
                <w:rFonts w:ascii="Times New Roman" w:hAnsi="Times New Roman"/>
                <w:b/>
                <w:noProof/>
                <w:sz w:val="14"/>
                <w:szCs w:val="18"/>
              </w:rPr>
              <w:t>2018</w:t>
            </w:r>
          </w:p>
        </w:tc>
        <w:tc>
          <w:tcPr>
            <w:tcW w:w="997" w:type="dxa"/>
          </w:tcPr>
          <w:p w14:paraId="1CE486AA"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2019</w:t>
            </w:r>
          </w:p>
        </w:tc>
        <w:tc>
          <w:tcPr>
            <w:tcW w:w="1111" w:type="dxa"/>
          </w:tcPr>
          <w:p w14:paraId="060EED98" w14:textId="77777777" w:rsidR="005F6BD0" w:rsidRDefault="003A348D">
            <w:pPr>
              <w:spacing w:after="0"/>
              <w:jc w:val="center"/>
              <w:rPr>
                <w:rFonts w:ascii="Times New Roman" w:hAnsi="Times New Roman"/>
                <w:b/>
                <w:noProof/>
                <w:sz w:val="14"/>
                <w:szCs w:val="18"/>
              </w:rPr>
            </w:pPr>
            <w:r>
              <w:rPr>
                <w:rFonts w:ascii="Times New Roman" w:hAnsi="Times New Roman"/>
                <w:b/>
                <w:noProof/>
                <w:sz w:val="14"/>
                <w:szCs w:val="18"/>
              </w:rPr>
              <w:t>Total</w:t>
            </w:r>
          </w:p>
        </w:tc>
      </w:tr>
      <w:tr w:rsidR="005F6BD0" w14:paraId="43F649E7" w14:textId="77777777" w:rsidTr="002802C4">
        <w:trPr>
          <w:gridAfter w:val="1"/>
          <w:wAfter w:w="11" w:type="dxa"/>
          <w:trHeight w:val="304"/>
          <w:jc w:val="center"/>
        </w:trPr>
        <w:tc>
          <w:tcPr>
            <w:tcW w:w="1086" w:type="dxa"/>
          </w:tcPr>
          <w:p w14:paraId="5681523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BG</w:t>
            </w:r>
          </w:p>
        </w:tc>
        <w:tc>
          <w:tcPr>
            <w:tcW w:w="1123" w:type="dxa"/>
          </w:tcPr>
          <w:p w14:paraId="3A3B257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13 542 000</w:t>
            </w:r>
          </w:p>
        </w:tc>
        <w:tc>
          <w:tcPr>
            <w:tcW w:w="997" w:type="dxa"/>
          </w:tcPr>
          <w:p w14:paraId="0A188C1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11 607 428</w:t>
            </w:r>
          </w:p>
        </w:tc>
        <w:tc>
          <w:tcPr>
            <w:tcW w:w="997" w:type="dxa"/>
          </w:tcPr>
          <w:p w14:paraId="6AC303A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9 672 857</w:t>
            </w:r>
          </w:p>
        </w:tc>
        <w:tc>
          <w:tcPr>
            <w:tcW w:w="997" w:type="dxa"/>
          </w:tcPr>
          <w:p w14:paraId="566F16F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7 738 286</w:t>
            </w:r>
          </w:p>
        </w:tc>
        <w:tc>
          <w:tcPr>
            <w:tcW w:w="997" w:type="dxa"/>
          </w:tcPr>
          <w:p w14:paraId="7ED02B7C"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5 803 714</w:t>
            </w:r>
          </w:p>
        </w:tc>
        <w:tc>
          <w:tcPr>
            <w:tcW w:w="997" w:type="dxa"/>
          </w:tcPr>
          <w:p w14:paraId="132131A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3 869 143</w:t>
            </w:r>
          </w:p>
        </w:tc>
        <w:tc>
          <w:tcPr>
            <w:tcW w:w="997" w:type="dxa"/>
          </w:tcPr>
          <w:p w14:paraId="7B79B17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1 934 571</w:t>
            </w:r>
          </w:p>
        </w:tc>
        <w:tc>
          <w:tcPr>
            <w:tcW w:w="1111" w:type="dxa"/>
          </w:tcPr>
          <w:p w14:paraId="069958F4"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54 167 999</w:t>
            </w:r>
          </w:p>
        </w:tc>
      </w:tr>
      <w:tr w:rsidR="005F6BD0" w14:paraId="486A666C" w14:textId="77777777" w:rsidTr="002802C4">
        <w:trPr>
          <w:gridAfter w:val="1"/>
          <w:wAfter w:w="11" w:type="dxa"/>
          <w:trHeight w:val="304"/>
          <w:jc w:val="center"/>
        </w:trPr>
        <w:tc>
          <w:tcPr>
            <w:tcW w:w="1086" w:type="dxa"/>
          </w:tcPr>
          <w:p w14:paraId="5A7E04C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CY</w:t>
            </w:r>
          </w:p>
        </w:tc>
        <w:tc>
          <w:tcPr>
            <w:tcW w:w="1123" w:type="dxa"/>
          </w:tcPr>
          <w:p w14:paraId="2F8A025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2 519 077</w:t>
            </w:r>
          </w:p>
        </w:tc>
        <w:tc>
          <w:tcPr>
            <w:tcW w:w="997" w:type="dxa"/>
          </w:tcPr>
          <w:p w14:paraId="5C877D7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2 195 195</w:t>
            </w:r>
          </w:p>
        </w:tc>
        <w:tc>
          <w:tcPr>
            <w:tcW w:w="997" w:type="dxa"/>
          </w:tcPr>
          <w:p w14:paraId="54E6411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1 907 302</w:t>
            </w:r>
          </w:p>
        </w:tc>
        <w:tc>
          <w:tcPr>
            <w:tcW w:w="997" w:type="dxa"/>
          </w:tcPr>
          <w:p w14:paraId="205BBB9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1 583 420</w:t>
            </w:r>
          </w:p>
        </w:tc>
        <w:tc>
          <w:tcPr>
            <w:tcW w:w="997" w:type="dxa"/>
          </w:tcPr>
          <w:p w14:paraId="7A37639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1 259 538</w:t>
            </w:r>
          </w:p>
        </w:tc>
        <w:tc>
          <w:tcPr>
            <w:tcW w:w="997" w:type="dxa"/>
          </w:tcPr>
          <w:p w14:paraId="39F4A7B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935 657</w:t>
            </w:r>
          </w:p>
        </w:tc>
        <w:tc>
          <w:tcPr>
            <w:tcW w:w="997" w:type="dxa"/>
          </w:tcPr>
          <w:p w14:paraId="79D30E1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575 789</w:t>
            </w:r>
          </w:p>
        </w:tc>
        <w:tc>
          <w:tcPr>
            <w:tcW w:w="1111" w:type="dxa"/>
          </w:tcPr>
          <w:p w14:paraId="30D076C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10 975 978</w:t>
            </w:r>
          </w:p>
        </w:tc>
      </w:tr>
      <w:tr w:rsidR="005F6BD0" w14:paraId="41ED66FD" w14:textId="77777777" w:rsidTr="002802C4">
        <w:trPr>
          <w:gridAfter w:val="1"/>
          <w:wAfter w:w="11" w:type="dxa"/>
          <w:trHeight w:val="304"/>
          <w:jc w:val="center"/>
        </w:trPr>
        <w:tc>
          <w:tcPr>
            <w:tcW w:w="1086" w:type="dxa"/>
          </w:tcPr>
          <w:p w14:paraId="34E80FC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CZ</w:t>
            </w:r>
          </w:p>
        </w:tc>
        <w:tc>
          <w:tcPr>
            <w:tcW w:w="1123" w:type="dxa"/>
          </w:tcPr>
          <w:p w14:paraId="45B3321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26 916 667</w:t>
            </w:r>
          </w:p>
        </w:tc>
        <w:tc>
          <w:tcPr>
            <w:tcW w:w="997" w:type="dxa"/>
          </w:tcPr>
          <w:p w14:paraId="0696926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23 071 429</w:t>
            </w:r>
          </w:p>
        </w:tc>
        <w:tc>
          <w:tcPr>
            <w:tcW w:w="997" w:type="dxa"/>
          </w:tcPr>
          <w:p w14:paraId="597B234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19 226 191</w:t>
            </w:r>
          </w:p>
        </w:tc>
        <w:tc>
          <w:tcPr>
            <w:tcW w:w="997" w:type="dxa"/>
          </w:tcPr>
          <w:p w14:paraId="64062F6A"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15 380 953</w:t>
            </w:r>
          </w:p>
        </w:tc>
        <w:tc>
          <w:tcPr>
            <w:tcW w:w="997" w:type="dxa"/>
          </w:tcPr>
          <w:p w14:paraId="5C55EBAB"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11 535 714</w:t>
            </w:r>
          </w:p>
        </w:tc>
        <w:tc>
          <w:tcPr>
            <w:tcW w:w="997" w:type="dxa"/>
          </w:tcPr>
          <w:p w14:paraId="673EEA1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7 690 476</w:t>
            </w:r>
          </w:p>
        </w:tc>
        <w:tc>
          <w:tcPr>
            <w:tcW w:w="997" w:type="dxa"/>
          </w:tcPr>
          <w:p w14:paraId="73A8696C"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3 845 238</w:t>
            </w:r>
          </w:p>
        </w:tc>
        <w:tc>
          <w:tcPr>
            <w:tcW w:w="1111" w:type="dxa"/>
          </w:tcPr>
          <w:p w14:paraId="1EE13CF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107 666 668</w:t>
            </w:r>
          </w:p>
        </w:tc>
      </w:tr>
      <w:tr w:rsidR="005F6BD0" w14:paraId="36B5AD73" w14:textId="77777777" w:rsidTr="002802C4">
        <w:trPr>
          <w:gridAfter w:val="1"/>
          <w:wAfter w:w="11" w:type="dxa"/>
          <w:trHeight w:val="304"/>
          <w:jc w:val="center"/>
        </w:trPr>
        <w:tc>
          <w:tcPr>
            <w:tcW w:w="1086" w:type="dxa"/>
          </w:tcPr>
          <w:p w14:paraId="4B94D0C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EE</w:t>
            </w:r>
          </w:p>
        </w:tc>
        <w:tc>
          <w:tcPr>
            <w:tcW w:w="1123" w:type="dxa"/>
          </w:tcPr>
          <w:p w14:paraId="271A261B"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5 288 827</w:t>
            </w:r>
          </w:p>
        </w:tc>
        <w:tc>
          <w:tcPr>
            <w:tcW w:w="997" w:type="dxa"/>
          </w:tcPr>
          <w:p w14:paraId="31349C0C"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4 533 280</w:t>
            </w:r>
          </w:p>
        </w:tc>
        <w:tc>
          <w:tcPr>
            <w:tcW w:w="997" w:type="dxa"/>
          </w:tcPr>
          <w:p w14:paraId="4A5341B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3 777 733</w:t>
            </w:r>
          </w:p>
        </w:tc>
        <w:tc>
          <w:tcPr>
            <w:tcW w:w="997" w:type="dxa"/>
          </w:tcPr>
          <w:p w14:paraId="770CDCA6"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3 022 187</w:t>
            </w:r>
          </w:p>
        </w:tc>
        <w:tc>
          <w:tcPr>
            <w:tcW w:w="997" w:type="dxa"/>
          </w:tcPr>
          <w:p w14:paraId="4379BDF9"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2 266 640</w:t>
            </w:r>
          </w:p>
        </w:tc>
        <w:tc>
          <w:tcPr>
            <w:tcW w:w="997" w:type="dxa"/>
          </w:tcPr>
          <w:p w14:paraId="3079C21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1 511 093</w:t>
            </w:r>
          </w:p>
        </w:tc>
        <w:tc>
          <w:tcPr>
            <w:tcW w:w="997" w:type="dxa"/>
          </w:tcPr>
          <w:p w14:paraId="4A16BA0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755 547</w:t>
            </w:r>
          </w:p>
        </w:tc>
        <w:tc>
          <w:tcPr>
            <w:tcW w:w="1111" w:type="dxa"/>
          </w:tcPr>
          <w:p w14:paraId="64EB6CB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21 155 307</w:t>
            </w:r>
          </w:p>
        </w:tc>
      </w:tr>
      <w:tr w:rsidR="005F6BD0" w14:paraId="6F551BC8" w14:textId="77777777" w:rsidTr="002802C4">
        <w:trPr>
          <w:gridAfter w:val="1"/>
          <w:wAfter w:w="11" w:type="dxa"/>
          <w:trHeight w:val="304"/>
          <w:jc w:val="center"/>
        </w:trPr>
        <w:tc>
          <w:tcPr>
            <w:tcW w:w="1086" w:type="dxa"/>
          </w:tcPr>
          <w:p w14:paraId="72CBE4DF"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HU</w:t>
            </w:r>
          </w:p>
        </w:tc>
        <w:tc>
          <w:tcPr>
            <w:tcW w:w="1123" w:type="dxa"/>
          </w:tcPr>
          <w:p w14:paraId="131845E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7 047 255</w:t>
            </w:r>
          </w:p>
        </w:tc>
        <w:tc>
          <w:tcPr>
            <w:tcW w:w="997" w:type="dxa"/>
          </w:tcPr>
          <w:p w14:paraId="253DC725"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4E0D9A5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7AE651B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70D9EB7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732A219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997" w:type="dxa"/>
          </w:tcPr>
          <w:p w14:paraId="3257B27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0</w:t>
            </w:r>
          </w:p>
        </w:tc>
        <w:tc>
          <w:tcPr>
            <w:tcW w:w="1111" w:type="dxa"/>
          </w:tcPr>
          <w:p w14:paraId="69655404"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7 047 255</w:t>
            </w:r>
          </w:p>
        </w:tc>
      </w:tr>
      <w:tr w:rsidR="005F6BD0" w14:paraId="2E3622AE" w14:textId="77777777" w:rsidTr="002802C4">
        <w:trPr>
          <w:gridAfter w:val="1"/>
          <w:wAfter w:w="11" w:type="dxa"/>
          <w:trHeight w:val="304"/>
          <w:jc w:val="center"/>
        </w:trPr>
        <w:tc>
          <w:tcPr>
            <w:tcW w:w="1086" w:type="dxa"/>
          </w:tcPr>
          <w:p w14:paraId="2F17AAF0"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LT</w:t>
            </w:r>
          </w:p>
        </w:tc>
        <w:tc>
          <w:tcPr>
            <w:tcW w:w="1123" w:type="dxa"/>
          </w:tcPr>
          <w:p w14:paraId="3A058697"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582 373</w:t>
            </w:r>
          </w:p>
        </w:tc>
        <w:tc>
          <w:tcPr>
            <w:tcW w:w="997" w:type="dxa"/>
          </w:tcPr>
          <w:p w14:paraId="01091AB0"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536 615</w:t>
            </w:r>
          </w:p>
        </w:tc>
        <w:tc>
          <w:tcPr>
            <w:tcW w:w="997" w:type="dxa"/>
          </w:tcPr>
          <w:p w14:paraId="55517E85"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486 698</w:t>
            </w:r>
          </w:p>
        </w:tc>
        <w:tc>
          <w:tcPr>
            <w:tcW w:w="997" w:type="dxa"/>
          </w:tcPr>
          <w:p w14:paraId="326F9114"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428 460</w:t>
            </w:r>
          </w:p>
        </w:tc>
        <w:tc>
          <w:tcPr>
            <w:tcW w:w="997" w:type="dxa"/>
          </w:tcPr>
          <w:p w14:paraId="7D1D8C9F"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361 903</w:t>
            </w:r>
          </w:p>
        </w:tc>
        <w:tc>
          <w:tcPr>
            <w:tcW w:w="997" w:type="dxa"/>
          </w:tcPr>
          <w:p w14:paraId="71A8A03A"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287 027</w:t>
            </w:r>
          </w:p>
        </w:tc>
        <w:tc>
          <w:tcPr>
            <w:tcW w:w="997" w:type="dxa"/>
          </w:tcPr>
          <w:p w14:paraId="6D17C3A2"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170 552</w:t>
            </w:r>
          </w:p>
        </w:tc>
        <w:tc>
          <w:tcPr>
            <w:tcW w:w="1111" w:type="dxa"/>
          </w:tcPr>
          <w:p w14:paraId="43B913B7"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2 853 628</w:t>
            </w:r>
          </w:p>
        </w:tc>
      </w:tr>
      <w:tr w:rsidR="005F6BD0" w14:paraId="689262B3" w14:textId="77777777" w:rsidTr="002802C4">
        <w:trPr>
          <w:gridAfter w:val="1"/>
          <w:wAfter w:w="11" w:type="dxa"/>
          <w:trHeight w:val="304"/>
          <w:jc w:val="center"/>
        </w:trPr>
        <w:tc>
          <w:tcPr>
            <w:tcW w:w="1086" w:type="dxa"/>
          </w:tcPr>
          <w:p w14:paraId="6DDD46D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PL</w:t>
            </w:r>
          </w:p>
        </w:tc>
        <w:tc>
          <w:tcPr>
            <w:tcW w:w="1123" w:type="dxa"/>
          </w:tcPr>
          <w:p w14:paraId="5CF2EFC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77 816 756</w:t>
            </w:r>
          </w:p>
        </w:tc>
        <w:tc>
          <w:tcPr>
            <w:tcW w:w="997" w:type="dxa"/>
          </w:tcPr>
          <w:p w14:paraId="6EE5B17B"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72 258 416</w:t>
            </w:r>
          </w:p>
        </w:tc>
        <w:tc>
          <w:tcPr>
            <w:tcW w:w="997" w:type="dxa"/>
          </w:tcPr>
          <w:p w14:paraId="7CD6B61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66 700 076</w:t>
            </w:r>
          </w:p>
        </w:tc>
        <w:tc>
          <w:tcPr>
            <w:tcW w:w="997" w:type="dxa"/>
          </w:tcPr>
          <w:p w14:paraId="54156F3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60 030 069</w:t>
            </w:r>
          </w:p>
        </w:tc>
        <w:tc>
          <w:tcPr>
            <w:tcW w:w="997" w:type="dxa"/>
          </w:tcPr>
          <w:p w14:paraId="55598F57"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52 248 393</w:t>
            </w:r>
          </w:p>
        </w:tc>
        <w:tc>
          <w:tcPr>
            <w:tcW w:w="997" w:type="dxa"/>
          </w:tcPr>
          <w:p w14:paraId="67DCD31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43 355 049</w:t>
            </w:r>
          </w:p>
        </w:tc>
        <w:tc>
          <w:tcPr>
            <w:tcW w:w="997" w:type="dxa"/>
          </w:tcPr>
          <w:p w14:paraId="1D9A4AE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32 238 370</w:t>
            </w:r>
          </w:p>
        </w:tc>
        <w:tc>
          <w:tcPr>
            <w:tcW w:w="1111" w:type="dxa"/>
          </w:tcPr>
          <w:p w14:paraId="4338794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404 647 129</w:t>
            </w:r>
          </w:p>
        </w:tc>
      </w:tr>
      <w:tr w:rsidR="005F6BD0" w14:paraId="4CF10CF6" w14:textId="77777777" w:rsidTr="002802C4">
        <w:trPr>
          <w:gridAfter w:val="1"/>
          <w:wAfter w:w="11" w:type="dxa"/>
          <w:trHeight w:val="304"/>
          <w:jc w:val="center"/>
        </w:trPr>
        <w:tc>
          <w:tcPr>
            <w:tcW w:w="1086" w:type="dxa"/>
          </w:tcPr>
          <w:p w14:paraId="52E1642A"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RO</w:t>
            </w:r>
          </w:p>
        </w:tc>
        <w:tc>
          <w:tcPr>
            <w:tcW w:w="1123" w:type="dxa"/>
          </w:tcPr>
          <w:p w14:paraId="2BCC71C1"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17 852 479</w:t>
            </w:r>
          </w:p>
        </w:tc>
        <w:tc>
          <w:tcPr>
            <w:tcW w:w="997" w:type="dxa"/>
          </w:tcPr>
          <w:p w14:paraId="5D34D26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15 302 125</w:t>
            </w:r>
          </w:p>
        </w:tc>
        <w:tc>
          <w:tcPr>
            <w:tcW w:w="997" w:type="dxa"/>
          </w:tcPr>
          <w:p w14:paraId="4E798D3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12 751 771</w:t>
            </w:r>
          </w:p>
        </w:tc>
        <w:tc>
          <w:tcPr>
            <w:tcW w:w="997" w:type="dxa"/>
          </w:tcPr>
          <w:p w14:paraId="282B6D38"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10 201 417</w:t>
            </w:r>
          </w:p>
        </w:tc>
        <w:tc>
          <w:tcPr>
            <w:tcW w:w="997" w:type="dxa"/>
          </w:tcPr>
          <w:p w14:paraId="2509C8F3"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7 651 063</w:t>
            </w:r>
          </w:p>
        </w:tc>
        <w:tc>
          <w:tcPr>
            <w:tcW w:w="997" w:type="dxa"/>
          </w:tcPr>
          <w:p w14:paraId="036ED052"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5 100 708</w:t>
            </w:r>
          </w:p>
        </w:tc>
        <w:tc>
          <w:tcPr>
            <w:tcW w:w="997" w:type="dxa"/>
          </w:tcPr>
          <w:p w14:paraId="4D3A9C8D"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2 550 354</w:t>
            </w:r>
          </w:p>
        </w:tc>
        <w:tc>
          <w:tcPr>
            <w:tcW w:w="1111" w:type="dxa"/>
          </w:tcPr>
          <w:p w14:paraId="5C94A0FE" w14:textId="77777777" w:rsidR="005F6BD0" w:rsidRDefault="003A348D">
            <w:pPr>
              <w:spacing w:after="0"/>
              <w:jc w:val="center"/>
              <w:rPr>
                <w:rFonts w:ascii="Times New Roman" w:hAnsi="Times New Roman"/>
                <w:noProof/>
                <w:sz w:val="14"/>
                <w:szCs w:val="18"/>
              </w:rPr>
            </w:pPr>
            <w:r>
              <w:rPr>
                <w:rFonts w:ascii="Times New Roman" w:hAnsi="Times New Roman"/>
                <w:noProof/>
                <w:sz w:val="14"/>
                <w:szCs w:val="18"/>
              </w:rPr>
              <w:t>71 409 917</w:t>
            </w:r>
          </w:p>
        </w:tc>
      </w:tr>
      <w:tr w:rsidR="005F6BD0" w14:paraId="45F12DF7" w14:textId="77777777" w:rsidTr="002802C4">
        <w:trPr>
          <w:gridAfter w:val="1"/>
          <w:wAfter w:w="11" w:type="dxa"/>
          <w:trHeight w:val="432"/>
          <w:jc w:val="center"/>
        </w:trPr>
        <w:tc>
          <w:tcPr>
            <w:tcW w:w="1086" w:type="dxa"/>
          </w:tcPr>
          <w:p w14:paraId="568B074B" w14:textId="77777777" w:rsidR="005F6BD0" w:rsidRDefault="003A348D">
            <w:pPr>
              <w:spacing w:after="0"/>
              <w:jc w:val="center"/>
              <w:rPr>
                <w:rFonts w:ascii="Times New Roman" w:hAnsi="Times New Roman"/>
                <w:b/>
                <w:noProof/>
                <w:sz w:val="14"/>
                <w:szCs w:val="18"/>
                <w:u w:val="single"/>
              </w:rPr>
            </w:pPr>
            <w:r>
              <w:rPr>
                <w:rFonts w:ascii="Times New Roman" w:hAnsi="Times New Roman"/>
                <w:b/>
                <w:noProof/>
                <w:sz w:val="14"/>
                <w:szCs w:val="18"/>
                <w:u w:val="single"/>
              </w:rPr>
              <w:t>Total</w:t>
            </w:r>
          </w:p>
        </w:tc>
        <w:tc>
          <w:tcPr>
            <w:tcW w:w="1123" w:type="dxa"/>
          </w:tcPr>
          <w:p w14:paraId="2EA39E7D"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151 565 434</w:t>
            </w:r>
          </w:p>
        </w:tc>
        <w:tc>
          <w:tcPr>
            <w:tcW w:w="997" w:type="dxa"/>
          </w:tcPr>
          <w:p w14:paraId="5603FDDF"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129 504 488</w:t>
            </w:r>
          </w:p>
        </w:tc>
        <w:tc>
          <w:tcPr>
            <w:tcW w:w="997" w:type="dxa"/>
          </w:tcPr>
          <w:p w14:paraId="722F3365"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114 522 628</w:t>
            </w:r>
          </w:p>
        </w:tc>
        <w:tc>
          <w:tcPr>
            <w:tcW w:w="997" w:type="dxa"/>
          </w:tcPr>
          <w:p w14:paraId="17D38C4D"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98 384 792</w:t>
            </w:r>
          </w:p>
        </w:tc>
        <w:tc>
          <w:tcPr>
            <w:tcW w:w="997" w:type="dxa"/>
          </w:tcPr>
          <w:p w14:paraId="29BA1AF3"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81 126 965</w:t>
            </w:r>
          </w:p>
        </w:tc>
        <w:tc>
          <w:tcPr>
            <w:tcW w:w="997" w:type="dxa"/>
          </w:tcPr>
          <w:p w14:paraId="63A89FDC"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62 749 153</w:t>
            </w:r>
          </w:p>
        </w:tc>
        <w:tc>
          <w:tcPr>
            <w:tcW w:w="997" w:type="dxa"/>
          </w:tcPr>
          <w:p w14:paraId="5709B4FB"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42 070 421</w:t>
            </w:r>
          </w:p>
        </w:tc>
        <w:tc>
          <w:tcPr>
            <w:tcW w:w="1111" w:type="dxa"/>
          </w:tcPr>
          <w:p w14:paraId="2A70D6E7" w14:textId="77777777" w:rsidR="005F6BD0" w:rsidRDefault="003A348D">
            <w:pPr>
              <w:spacing w:after="0"/>
              <w:jc w:val="center"/>
              <w:rPr>
                <w:rFonts w:ascii="Times New Roman" w:hAnsi="Times New Roman"/>
                <w:noProof/>
                <w:sz w:val="14"/>
                <w:szCs w:val="18"/>
                <w:highlight w:val="yellow"/>
              </w:rPr>
            </w:pPr>
            <w:r>
              <w:rPr>
                <w:rFonts w:ascii="Times New Roman" w:hAnsi="Times New Roman"/>
                <w:noProof/>
                <w:sz w:val="14"/>
                <w:szCs w:val="18"/>
              </w:rPr>
              <w:t>679 923 881</w:t>
            </w:r>
          </w:p>
        </w:tc>
      </w:tr>
    </w:tbl>
    <w:p w14:paraId="507D3299" w14:textId="77777777" w:rsidR="002802C4" w:rsidRPr="007F5B1E" w:rsidRDefault="00526348">
      <w:pPr>
        <w:rPr>
          <w:rFonts w:ascii="Times New Roman" w:hAnsi="Times New Roman"/>
          <w:noProof/>
          <w:sz w:val="18"/>
          <w:szCs w:val="18"/>
        </w:rPr>
      </w:pPr>
      <w:r w:rsidRPr="007F5B1E">
        <w:rPr>
          <w:rFonts w:ascii="Times New Roman" w:hAnsi="Times New Roman"/>
          <w:noProof/>
          <w:sz w:val="18"/>
          <w:szCs w:val="18"/>
        </w:rPr>
        <w:t>Source: DG CLIMA</w:t>
      </w:r>
    </w:p>
    <w:p w14:paraId="6E0AF790" w14:textId="77777777" w:rsidR="002802C4" w:rsidRDefault="002802C4">
      <w:pPr>
        <w:rPr>
          <w:rFonts w:ascii="Times New Roman" w:hAnsi="Times New Roman"/>
          <w:b/>
          <w:noProof/>
          <w:sz w:val="20"/>
          <w:szCs w:val="20"/>
        </w:rPr>
      </w:pPr>
    </w:p>
    <w:p w14:paraId="35C8434D" w14:textId="77777777" w:rsidR="002802C4" w:rsidRDefault="002802C4">
      <w:pPr>
        <w:rPr>
          <w:rFonts w:ascii="Times New Roman" w:hAnsi="Times New Roman"/>
          <w:b/>
          <w:noProof/>
          <w:sz w:val="20"/>
          <w:szCs w:val="20"/>
        </w:rPr>
      </w:pPr>
    </w:p>
    <w:p w14:paraId="5ECAC1B4" w14:textId="77777777" w:rsidR="00F20DF9" w:rsidRDefault="00F20DF9">
      <w:pPr>
        <w:rPr>
          <w:rFonts w:ascii="Times New Roman" w:hAnsi="Times New Roman"/>
          <w:b/>
          <w:noProof/>
          <w:sz w:val="20"/>
          <w:szCs w:val="20"/>
        </w:rPr>
      </w:pPr>
    </w:p>
    <w:p w14:paraId="23760357" w14:textId="77777777" w:rsidR="005F6BD0" w:rsidRPr="00516F65" w:rsidRDefault="007708E7">
      <w:pPr>
        <w:rPr>
          <w:rFonts w:ascii="Times New Roman" w:hAnsi="Times New Roman"/>
          <w:b/>
          <w:noProof/>
          <w:sz w:val="20"/>
          <w:szCs w:val="20"/>
        </w:rPr>
      </w:pPr>
      <w:r w:rsidRPr="00516F65">
        <w:rPr>
          <w:rFonts w:ascii="Times New Roman" w:hAnsi="Times New Roman"/>
          <w:b/>
          <w:noProof/>
          <w:sz w:val="20"/>
          <w:szCs w:val="20"/>
        </w:rPr>
        <w:t xml:space="preserve">Table </w:t>
      </w:r>
      <w:r w:rsidR="00365008" w:rsidRPr="00516F65">
        <w:rPr>
          <w:rFonts w:ascii="Times New Roman" w:hAnsi="Times New Roman"/>
          <w:b/>
          <w:noProof/>
          <w:sz w:val="20"/>
          <w:szCs w:val="20"/>
        </w:rPr>
        <w:t>1.</w:t>
      </w:r>
      <w:r w:rsidRPr="00516F65">
        <w:rPr>
          <w:rFonts w:ascii="Times New Roman" w:hAnsi="Times New Roman"/>
          <w:b/>
          <w:noProof/>
          <w:sz w:val="20"/>
          <w:szCs w:val="20"/>
        </w:rPr>
        <w:t xml:space="preserve">3: </w:t>
      </w:r>
      <w:r w:rsidR="002802C4" w:rsidRPr="00516F65">
        <w:rPr>
          <w:rFonts w:ascii="Times New Roman" w:hAnsi="Times New Roman"/>
          <w:b/>
          <w:noProof/>
          <w:sz w:val="20"/>
          <w:szCs w:val="20"/>
        </w:rPr>
        <w:t>Number of u</w:t>
      </w:r>
      <w:r w:rsidRPr="00516F65">
        <w:rPr>
          <w:rFonts w:ascii="Times New Roman" w:hAnsi="Times New Roman"/>
          <w:b/>
          <w:noProof/>
          <w:sz w:val="20"/>
          <w:szCs w:val="20"/>
        </w:rPr>
        <w:t xml:space="preserve">nused </w:t>
      </w:r>
      <w:r w:rsidR="002802C4" w:rsidRPr="00516F65">
        <w:rPr>
          <w:rFonts w:ascii="Times New Roman" w:hAnsi="Times New Roman"/>
          <w:b/>
          <w:noProof/>
          <w:sz w:val="20"/>
          <w:szCs w:val="20"/>
        </w:rPr>
        <w:t>free a</w:t>
      </w:r>
      <w:r w:rsidRPr="00516F65">
        <w:rPr>
          <w:rFonts w:ascii="Times New Roman" w:hAnsi="Times New Roman"/>
          <w:b/>
          <w:noProof/>
          <w:sz w:val="20"/>
          <w:szCs w:val="20"/>
        </w:rPr>
        <w:t xml:space="preserve">llowances </w:t>
      </w:r>
      <w:r w:rsidR="002802C4" w:rsidRPr="009D6C7E">
        <w:rPr>
          <w:rFonts w:ascii="Times New Roman" w:hAnsi="Times New Roman"/>
          <w:b/>
          <w:noProof/>
          <w:sz w:val="20"/>
          <w:szCs w:val="20"/>
        </w:rPr>
        <w:t>under</w:t>
      </w:r>
      <w:r w:rsidR="002802C4" w:rsidRPr="002802C4">
        <w:rPr>
          <w:rFonts w:ascii="Times New Roman" w:hAnsi="Times New Roman"/>
          <w:b/>
          <w:noProof/>
          <w:sz w:val="20"/>
          <w:szCs w:val="20"/>
        </w:rPr>
        <w:t xml:space="preserve"> the derogation from full auctioning for</w:t>
      </w:r>
      <w:r w:rsidR="008E46B6">
        <w:rPr>
          <w:rFonts w:ascii="Times New Roman" w:hAnsi="Times New Roman"/>
          <w:b/>
          <w:noProof/>
          <w:sz w:val="20"/>
          <w:szCs w:val="20"/>
        </w:rPr>
        <w:t xml:space="preserve"> electricity and heat production</w:t>
      </w:r>
      <w:r w:rsidR="002802C4">
        <w:rPr>
          <w:rFonts w:ascii="Times New Roman" w:hAnsi="Times New Roman"/>
          <w:b/>
          <w:noProof/>
          <w:sz w:val="20"/>
          <w:szCs w:val="20"/>
        </w:rPr>
        <w:t xml:space="preserve"> </w:t>
      </w:r>
      <w:r w:rsidR="002802C4" w:rsidRPr="009D6C7E">
        <w:rPr>
          <w:rFonts w:ascii="Times New Roman" w:hAnsi="Times New Roman"/>
          <w:b/>
          <w:noProof/>
          <w:sz w:val="20"/>
          <w:szCs w:val="20"/>
        </w:rPr>
        <w:t xml:space="preserve">which have been </w:t>
      </w:r>
      <w:r w:rsidRPr="00516F65">
        <w:rPr>
          <w:rFonts w:ascii="Times New Roman" w:hAnsi="Times New Roman"/>
          <w:b/>
          <w:noProof/>
          <w:sz w:val="20"/>
          <w:szCs w:val="20"/>
        </w:rPr>
        <w:t>aucti</w:t>
      </w:r>
      <w:r w:rsidR="002802C4" w:rsidRPr="00516F65">
        <w:rPr>
          <w:rFonts w:ascii="Times New Roman" w:hAnsi="Times New Roman"/>
          <w:b/>
          <w:noProof/>
          <w:sz w:val="20"/>
          <w:szCs w:val="20"/>
        </w:rPr>
        <w:t>o</w:t>
      </w:r>
      <w:r w:rsidRPr="00516F65">
        <w:rPr>
          <w:rFonts w:ascii="Times New Roman" w:hAnsi="Times New Roman"/>
          <w:b/>
          <w:noProof/>
          <w:sz w:val="20"/>
          <w:szCs w:val="20"/>
        </w:rPr>
        <w:t xml:space="preserve">ned or </w:t>
      </w:r>
      <w:r w:rsidR="002802C4" w:rsidRPr="00516F65">
        <w:rPr>
          <w:rFonts w:ascii="Times New Roman" w:hAnsi="Times New Roman"/>
          <w:b/>
          <w:noProof/>
          <w:sz w:val="20"/>
          <w:szCs w:val="20"/>
        </w:rPr>
        <w:t xml:space="preserve">are </w:t>
      </w:r>
      <w:r w:rsidRPr="00516F65">
        <w:rPr>
          <w:rFonts w:ascii="Times New Roman" w:hAnsi="Times New Roman"/>
          <w:b/>
          <w:noProof/>
          <w:sz w:val="20"/>
          <w:szCs w:val="20"/>
        </w:rPr>
        <w:t xml:space="preserve">planned </w:t>
      </w:r>
      <w:r w:rsidR="002802C4" w:rsidRPr="00516F65">
        <w:rPr>
          <w:rFonts w:ascii="Times New Roman" w:hAnsi="Times New Roman"/>
          <w:b/>
          <w:noProof/>
          <w:sz w:val="20"/>
          <w:szCs w:val="20"/>
        </w:rPr>
        <w:t xml:space="preserve">for auctioning </w:t>
      </w:r>
      <w:r w:rsidRPr="00516F65">
        <w:rPr>
          <w:rFonts w:ascii="Times New Roman" w:hAnsi="Times New Roman"/>
          <w:b/>
          <w:noProof/>
          <w:sz w:val="20"/>
          <w:szCs w:val="20"/>
        </w:rPr>
        <w:t>in 2013-2020</w:t>
      </w:r>
      <w:r w:rsidRPr="00516F65">
        <w:rPr>
          <w:rStyle w:val="FootnoteReference"/>
          <w:rFonts w:ascii="Times New Roman" w:hAnsi="Times New Roman"/>
          <w:b/>
          <w:noProof/>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rsidR="007708E7" w:rsidRPr="009D6C7E" w14:paraId="7AF23450" w14:textId="77777777" w:rsidTr="007708E7">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6AD822"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 xml:space="preserve">Unused Article 10c allowances auctioned </w:t>
            </w:r>
          </w:p>
        </w:tc>
      </w:tr>
      <w:tr w:rsidR="007708E7" w:rsidRPr="009D6C7E" w14:paraId="3CCBB46A"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8CDE876"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Member State</w:t>
            </w:r>
          </w:p>
        </w:tc>
        <w:tc>
          <w:tcPr>
            <w:tcW w:w="1135" w:type="dxa"/>
            <w:tcBorders>
              <w:top w:val="nil"/>
              <w:left w:val="nil"/>
              <w:bottom w:val="double" w:sz="6" w:space="0" w:color="auto"/>
              <w:right w:val="double" w:sz="6" w:space="0" w:color="auto"/>
            </w:tcBorders>
            <w:shd w:val="clear" w:color="auto" w:fill="auto"/>
            <w:noWrap/>
            <w:vAlign w:val="center"/>
            <w:hideMark/>
          </w:tcPr>
          <w:p w14:paraId="4E5BBE93"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2015</w:t>
            </w:r>
          </w:p>
        </w:tc>
        <w:tc>
          <w:tcPr>
            <w:tcW w:w="1135" w:type="dxa"/>
            <w:tcBorders>
              <w:top w:val="nil"/>
              <w:left w:val="nil"/>
              <w:bottom w:val="double" w:sz="6" w:space="0" w:color="auto"/>
              <w:right w:val="double" w:sz="6" w:space="0" w:color="auto"/>
            </w:tcBorders>
            <w:shd w:val="clear" w:color="auto" w:fill="auto"/>
            <w:noWrap/>
            <w:vAlign w:val="center"/>
            <w:hideMark/>
          </w:tcPr>
          <w:p w14:paraId="30AAE0B9"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2016</w:t>
            </w:r>
          </w:p>
        </w:tc>
        <w:tc>
          <w:tcPr>
            <w:tcW w:w="1135" w:type="dxa"/>
            <w:tcBorders>
              <w:top w:val="nil"/>
              <w:left w:val="nil"/>
              <w:bottom w:val="double" w:sz="6" w:space="0" w:color="auto"/>
              <w:right w:val="double" w:sz="6" w:space="0" w:color="auto"/>
            </w:tcBorders>
            <w:shd w:val="clear" w:color="auto" w:fill="auto"/>
            <w:noWrap/>
            <w:vAlign w:val="center"/>
            <w:hideMark/>
          </w:tcPr>
          <w:p w14:paraId="267BF273"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2017</w:t>
            </w:r>
          </w:p>
        </w:tc>
        <w:tc>
          <w:tcPr>
            <w:tcW w:w="1135" w:type="dxa"/>
            <w:tcBorders>
              <w:top w:val="nil"/>
              <w:left w:val="nil"/>
              <w:bottom w:val="double" w:sz="6" w:space="0" w:color="auto"/>
              <w:right w:val="double" w:sz="6" w:space="0" w:color="auto"/>
            </w:tcBorders>
            <w:shd w:val="clear" w:color="auto" w:fill="auto"/>
            <w:noWrap/>
            <w:vAlign w:val="center"/>
            <w:hideMark/>
          </w:tcPr>
          <w:p w14:paraId="7C10E610"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2018</w:t>
            </w:r>
          </w:p>
        </w:tc>
        <w:tc>
          <w:tcPr>
            <w:tcW w:w="1288" w:type="dxa"/>
            <w:tcBorders>
              <w:top w:val="nil"/>
              <w:left w:val="nil"/>
              <w:bottom w:val="double" w:sz="6" w:space="0" w:color="auto"/>
              <w:right w:val="double" w:sz="6" w:space="0" w:color="auto"/>
            </w:tcBorders>
            <w:shd w:val="clear" w:color="auto" w:fill="auto"/>
            <w:noWrap/>
            <w:vAlign w:val="center"/>
            <w:hideMark/>
          </w:tcPr>
          <w:p w14:paraId="2F56EE2C"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2019</w:t>
            </w:r>
          </w:p>
        </w:tc>
        <w:tc>
          <w:tcPr>
            <w:tcW w:w="1288" w:type="dxa"/>
            <w:tcBorders>
              <w:top w:val="nil"/>
              <w:left w:val="nil"/>
              <w:bottom w:val="double" w:sz="6" w:space="0" w:color="auto"/>
              <w:right w:val="double" w:sz="6" w:space="0" w:color="auto"/>
            </w:tcBorders>
            <w:shd w:val="clear" w:color="auto" w:fill="auto"/>
            <w:noWrap/>
            <w:vAlign w:val="center"/>
            <w:hideMark/>
          </w:tcPr>
          <w:p w14:paraId="34FBD94A"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2020</w:t>
            </w:r>
          </w:p>
        </w:tc>
      </w:tr>
      <w:tr w:rsidR="007708E7" w:rsidRPr="009D6C7E" w14:paraId="5250604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DD519C0"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BG</w:t>
            </w:r>
          </w:p>
        </w:tc>
        <w:tc>
          <w:tcPr>
            <w:tcW w:w="1135" w:type="dxa"/>
            <w:tcBorders>
              <w:top w:val="nil"/>
              <w:left w:val="nil"/>
              <w:bottom w:val="double" w:sz="6" w:space="0" w:color="auto"/>
              <w:right w:val="double" w:sz="6" w:space="0" w:color="auto"/>
            </w:tcBorders>
            <w:shd w:val="clear" w:color="auto" w:fill="auto"/>
            <w:noWrap/>
            <w:vAlign w:val="center"/>
            <w:hideMark/>
          </w:tcPr>
          <w:p w14:paraId="2349D363"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444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169</w:t>
            </w:r>
          </w:p>
        </w:tc>
        <w:tc>
          <w:tcPr>
            <w:tcW w:w="1135" w:type="dxa"/>
            <w:tcBorders>
              <w:top w:val="nil"/>
              <w:left w:val="nil"/>
              <w:bottom w:val="double" w:sz="6" w:space="0" w:color="auto"/>
              <w:right w:val="double" w:sz="6" w:space="0" w:color="auto"/>
            </w:tcBorders>
            <w:shd w:val="clear" w:color="auto" w:fill="auto"/>
            <w:noWrap/>
            <w:vAlign w:val="center"/>
            <w:hideMark/>
          </w:tcPr>
          <w:p w14:paraId="623F418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461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360</w:t>
            </w:r>
          </w:p>
        </w:tc>
        <w:tc>
          <w:tcPr>
            <w:tcW w:w="1135" w:type="dxa"/>
            <w:tcBorders>
              <w:top w:val="nil"/>
              <w:left w:val="nil"/>
              <w:bottom w:val="double" w:sz="6" w:space="0" w:color="auto"/>
              <w:right w:val="double" w:sz="6" w:space="0" w:color="auto"/>
            </w:tcBorders>
            <w:shd w:val="clear" w:color="auto" w:fill="auto"/>
            <w:noWrap/>
            <w:vAlign w:val="center"/>
            <w:hideMark/>
          </w:tcPr>
          <w:p w14:paraId="2FC1933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920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823</w:t>
            </w:r>
          </w:p>
        </w:tc>
        <w:tc>
          <w:tcPr>
            <w:tcW w:w="1135" w:type="dxa"/>
            <w:tcBorders>
              <w:top w:val="nil"/>
              <w:left w:val="nil"/>
              <w:bottom w:val="double" w:sz="6" w:space="0" w:color="auto"/>
              <w:right w:val="double" w:sz="6" w:space="0" w:color="auto"/>
            </w:tcBorders>
            <w:shd w:val="clear" w:color="auto" w:fill="auto"/>
            <w:noWrap/>
            <w:vAlign w:val="center"/>
            <w:hideMark/>
          </w:tcPr>
          <w:p w14:paraId="303A51AB"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604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908</w:t>
            </w:r>
          </w:p>
        </w:tc>
        <w:tc>
          <w:tcPr>
            <w:tcW w:w="1288" w:type="dxa"/>
            <w:tcBorders>
              <w:top w:val="nil"/>
              <w:left w:val="nil"/>
              <w:bottom w:val="double" w:sz="6" w:space="0" w:color="auto"/>
              <w:right w:val="double" w:sz="6" w:space="0" w:color="auto"/>
            </w:tcBorders>
            <w:shd w:val="clear" w:color="auto" w:fill="auto"/>
            <w:noWrap/>
            <w:vAlign w:val="center"/>
            <w:hideMark/>
          </w:tcPr>
          <w:p w14:paraId="485BE40A"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386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372</w:t>
            </w:r>
          </w:p>
        </w:tc>
        <w:tc>
          <w:tcPr>
            <w:tcW w:w="1288" w:type="dxa"/>
            <w:tcBorders>
              <w:top w:val="nil"/>
              <w:left w:val="nil"/>
              <w:bottom w:val="double" w:sz="6" w:space="0" w:color="auto"/>
              <w:right w:val="double" w:sz="6" w:space="0" w:color="auto"/>
            </w:tcBorders>
            <w:shd w:val="clear" w:color="auto" w:fill="auto"/>
            <w:noWrap/>
            <w:vAlign w:val="center"/>
            <w:hideMark/>
          </w:tcPr>
          <w:p w14:paraId="0848221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r w:rsidR="007708E7" w:rsidRPr="009D6C7E" w14:paraId="49CDF87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08AB67F"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CY</w:t>
            </w:r>
          </w:p>
        </w:tc>
        <w:tc>
          <w:tcPr>
            <w:tcW w:w="1135" w:type="dxa"/>
            <w:tcBorders>
              <w:top w:val="nil"/>
              <w:left w:val="nil"/>
              <w:bottom w:val="double" w:sz="6" w:space="0" w:color="auto"/>
              <w:right w:val="double" w:sz="6" w:space="0" w:color="auto"/>
            </w:tcBorders>
            <w:shd w:val="clear" w:color="auto" w:fill="auto"/>
            <w:noWrap/>
            <w:vAlign w:val="center"/>
            <w:hideMark/>
          </w:tcPr>
          <w:p w14:paraId="1488082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41AD3D6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2E19303F"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175CB19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5A15930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08B6044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r w:rsidR="007708E7" w:rsidRPr="009D6C7E" w14:paraId="25CEBD87"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DC2F387"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CZ</w:t>
            </w:r>
          </w:p>
        </w:tc>
        <w:tc>
          <w:tcPr>
            <w:tcW w:w="1135" w:type="dxa"/>
            <w:tcBorders>
              <w:top w:val="nil"/>
              <w:left w:val="nil"/>
              <w:bottom w:val="double" w:sz="6" w:space="0" w:color="auto"/>
              <w:right w:val="double" w:sz="6" w:space="0" w:color="auto"/>
            </w:tcBorders>
            <w:shd w:val="clear" w:color="auto" w:fill="auto"/>
            <w:noWrap/>
            <w:vAlign w:val="center"/>
            <w:hideMark/>
          </w:tcPr>
          <w:p w14:paraId="3B05889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5E56D190"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90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694</w:t>
            </w:r>
          </w:p>
        </w:tc>
        <w:tc>
          <w:tcPr>
            <w:tcW w:w="1135" w:type="dxa"/>
            <w:tcBorders>
              <w:top w:val="nil"/>
              <w:left w:val="nil"/>
              <w:bottom w:val="double" w:sz="6" w:space="0" w:color="auto"/>
              <w:right w:val="double" w:sz="6" w:space="0" w:color="auto"/>
            </w:tcBorders>
            <w:shd w:val="clear" w:color="auto" w:fill="auto"/>
            <w:noWrap/>
            <w:vAlign w:val="center"/>
            <w:hideMark/>
          </w:tcPr>
          <w:p w14:paraId="43B27C0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77</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741</w:t>
            </w:r>
          </w:p>
        </w:tc>
        <w:tc>
          <w:tcPr>
            <w:tcW w:w="1135" w:type="dxa"/>
            <w:tcBorders>
              <w:top w:val="nil"/>
              <w:left w:val="nil"/>
              <w:bottom w:val="double" w:sz="6" w:space="0" w:color="auto"/>
              <w:right w:val="double" w:sz="6" w:space="0" w:color="auto"/>
            </w:tcBorders>
            <w:shd w:val="clear" w:color="auto" w:fill="auto"/>
            <w:noWrap/>
            <w:vAlign w:val="center"/>
            <w:hideMark/>
          </w:tcPr>
          <w:p w14:paraId="314DA01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66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740</w:t>
            </w:r>
          </w:p>
        </w:tc>
        <w:tc>
          <w:tcPr>
            <w:tcW w:w="1288" w:type="dxa"/>
            <w:tcBorders>
              <w:top w:val="nil"/>
              <w:left w:val="nil"/>
              <w:bottom w:val="double" w:sz="6" w:space="0" w:color="auto"/>
              <w:right w:val="double" w:sz="6" w:space="0" w:color="auto"/>
            </w:tcBorders>
            <w:shd w:val="clear" w:color="auto" w:fill="auto"/>
            <w:noWrap/>
            <w:vAlign w:val="center"/>
            <w:hideMark/>
          </w:tcPr>
          <w:p w14:paraId="0A027F80"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550</w:t>
            </w:r>
          </w:p>
        </w:tc>
        <w:tc>
          <w:tcPr>
            <w:tcW w:w="1288" w:type="dxa"/>
            <w:tcBorders>
              <w:top w:val="nil"/>
              <w:left w:val="nil"/>
              <w:bottom w:val="double" w:sz="6" w:space="0" w:color="auto"/>
              <w:right w:val="double" w:sz="6" w:space="0" w:color="auto"/>
            </w:tcBorders>
            <w:shd w:val="clear" w:color="auto" w:fill="auto"/>
            <w:noWrap/>
            <w:vAlign w:val="center"/>
            <w:hideMark/>
          </w:tcPr>
          <w:p w14:paraId="1CE2046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80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295</w:t>
            </w:r>
          </w:p>
        </w:tc>
      </w:tr>
      <w:tr w:rsidR="007708E7" w:rsidRPr="009D6C7E" w14:paraId="7F676F58"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749B80B"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EE</w:t>
            </w:r>
          </w:p>
        </w:tc>
        <w:tc>
          <w:tcPr>
            <w:tcW w:w="1135" w:type="dxa"/>
            <w:tcBorders>
              <w:top w:val="nil"/>
              <w:left w:val="nil"/>
              <w:bottom w:val="double" w:sz="6" w:space="0" w:color="auto"/>
              <w:right w:val="double" w:sz="6" w:space="0" w:color="auto"/>
            </w:tcBorders>
            <w:shd w:val="clear" w:color="auto" w:fill="auto"/>
            <w:noWrap/>
            <w:vAlign w:val="center"/>
            <w:hideMark/>
          </w:tcPr>
          <w:p w14:paraId="322622D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7C1439D8"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188</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682</w:t>
            </w:r>
          </w:p>
        </w:tc>
        <w:tc>
          <w:tcPr>
            <w:tcW w:w="1135" w:type="dxa"/>
            <w:tcBorders>
              <w:top w:val="nil"/>
              <w:left w:val="nil"/>
              <w:bottom w:val="double" w:sz="6" w:space="0" w:color="auto"/>
              <w:right w:val="double" w:sz="6" w:space="0" w:color="auto"/>
            </w:tcBorders>
            <w:shd w:val="clear" w:color="auto" w:fill="auto"/>
            <w:noWrap/>
            <w:vAlign w:val="center"/>
            <w:hideMark/>
          </w:tcPr>
          <w:p w14:paraId="2EFC1133"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134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897</w:t>
            </w:r>
          </w:p>
        </w:tc>
        <w:tc>
          <w:tcPr>
            <w:tcW w:w="1135" w:type="dxa"/>
            <w:tcBorders>
              <w:top w:val="nil"/>
              <w:left w:val="nil"/>
              <w:bottom w:val="double" w:sz="6" w:space="0" w:color="auto"/>
              <w:right w:val="double" w:sz="6" w:space="0" w:color="auto"/>
            </w:tcBorders>
            <w:shd w:val="clear" w:color="auto" w:fill="auto"/>
            <w:noWrap/>
            <w:vAlign w:val="center"/>
            <w:hideMark/>
          </w:tcPr>
          <w:p w14:paraId="172CA394"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767</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499</w:t>
            </w:r>
          </w:p>
        </w:tc>
        <w:tc>
          <w:tcPr>
            <w:tcW w:w="1288" w:type="dxa"/>
            <w:tcBorders>
              <w:top w:val="nil"/>
              <w:left w:val="nil"/>
              <w:bottom w:val="double" w:sz="6" w:space="0" w:color="auto"/>
              <w:right w:val="double" w:sz="6" w:space="0" w:color="auto"/>
            </w:tcBorders>
            <w:shd w:val="clear" w:color="auto" w:fill="auto"/>
            <w:noWrap/>
            <w:vAlign w:val="center"/>
            <w:hideMark/>
          </w:tcPr>
          <w:p w14:paraId="268C144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761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088</w:t>
            </w:r>
          </w:p>
        </w:tc>
        <w:tc>
          <w:tcPr>
            <w:tcW w:w="1288" w:type="dxa"/>
            <w:tcBorders>
              <w:top w:val="nil"/>
              <w:left w:val="nil"/>
              <w:bottom w:val="double" w:sz="6" w:space="0" w:color="auto"/>
              <w:right w:val="double" w:sz="6" w:space="0" w:color="auto"/>
            </w:tcBorders>
            <w:shd w:val="clear" w:color="auto" w:fill="auto"/>
            <w:noWrap/>
            <w:vAlign w:val="center"/>
            <w:hideMark/>
          </w:tcPr>
          <w:p w14:paraId="66F27B0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026</w:t>
            </w:r>
          </w:p>
        </w:tc>
      </w:tr>
      <w:tr w:rsidR="007708E7" w:rsidRPr="009D6C7E" w14:paraId="3B5F691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E278A11"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LT</w:t>
            </w:r>
          </w:p>
        </w:tc>
        <w:tc>
          <w:tcPr>
            <w:tcW w:w="1135" w:type="dxa"/>
            <w:tcBorders>
              <w:top w:val="nil"/>
              <w:left w:val="nil"/>
              <w:bottom w:val="double" w:sz="6" w:space="0" w:color="auto"/>
              <w:right w:val="double" w:sz="6" w:space="0" w:color="auto"/>
            </w:tcBorders>
            <w:shd w:val="clear" w:color="auto" w:fill="auto"/>
            <w:noWrap/>
            <w:vAlign w:val="center"/>
            <w:hideMark/>
          </w:tcPr>
          <w:p w14:paraId="0DE874D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259</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924</w:t>
            </w:r>
          </w:p>
        </w:tc>
        <w:tc>
          <w:tcPr>
            <w:tcW w:w="1135" w:type="dxa"/>
            <w:tcBorders>
              <w:top w:val="nil"/>
              <w:left w:val="nil"/>
              <w:bottom w:val="double" w:sz="6" w:space="0" w:color="auto"/>
              <w:right w:val="double" w:sz="6" w:space="0" w:color="auto"/>
            </w:tcBorders>
            <w:shd w:val="clear" w:color="auto" w:fill="auto"/>
            <w:noWrap/>
            <w:vAlign w:val="center"/>
            <w:hideMark/>
          </w:tcPr>
          <w:p w14:paraId="29D6F43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6646801"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456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725</w:t>
            </w:r>
          </w:p>
        </w:tc>
        <w:tc>
          <w:tcPr>
            <w:tcW w:w="1135" w:type="dxa"/>
            <w:tcBorders>
              <w:top w:val="nil"/>
              <w:left w:val="nil"/>
              <w:bottom w:val="double" w:sz="6" w:space="0" w:color="auto"/>
              <w:right w:val="double" w:sz="6" w:space="0" w:color="auto"/>
            </w:tcBorders>
            <w:shd w:val="clear" w:color="auto" w:fill="auto"/>
            <w:noWrap/>
            <w:vAlign w:val="center"/>
            <w:hideMark/>
          </w:tcPr>
          <w:p w14:paraId="44F6CFC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191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229</w:t>
            </w:r>
          </w:p>
        </w:tc>
        <w:tc>
          <w:tcPr>
            <w:tcW w:w="1288" w:type="dxa"/>
            <w:tcBorders>
              <w:top w:val="nil"/>
              <w:left w:val="nil"/>
              <w:bottom w:val="double" w:sz="6" w:space="0" w:color="auto"/>
              <w:right w:val="double" w:sz="6" w:space="0" w:color="auto"/>
            </w:tcBorders>
            <w:shd w:val="clear" w:color="auto" w:fill="auto"/>
            <w:noWrap/>
            <w:vAlign w:val="center"/>
            <w:hideMark/>
          </w:tcPr>
          <w:p w14:paraId="4B8D9780"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161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522</w:t>
            </w:r>
          </w:p>
        </w:tc>
        <w:tc>
          <w:tcPr>
            <w:tcW w:w="1288" w:type="dxa"/>
            <w:tcBorders>
              <w:top w:val="nil"/>
              <w:left w:val="nil"/>
              <w:bottom w:val="double" w:sz="6" w:space="0" w:color="auto"/>
              <w:right w:val="double" w:sz="6" w:space="0" w:color="auto"/>
            </w:tcBorders>
            <w:shd w:val="clear" w:color="auto" w:fill="auto"/>
            <w:noWrap/>
            <w:vAlign w:val="center"/>
            <w:hideMark/>
          </w:tcPr>
          <w:p w14:paraId="11F9E8A9"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128</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105</w:t>
            </w:r>
          </w:p>
        </w:tc>
      </w:tr>
      <w:tr w:rsidR="007708E7" w:rsidRPr="009D6C7E" w14:paraId="6E5D041C" w14:textId="77777777" w:rsidTr="007708E7">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564FA56B"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PL</w:t>
            </w:r>
          </w:p>
        </w:tc>
        <w:tc>
          <w:tcPr>
            <w:tcW w:w="1135" w:type="dxa"/>
            <w:tcBorders>
              <w:top w:val="nil"/>
              <w:left w:val="nil"/>
              <w:bottom w:val="double" w:sz="6" w:space="0" w:color="auto"/>
              <w:right w:val="double" w:sz="6" w:space="0" w:color="auto"/>
            </w:tcBorders>
            <w:shd w:val="clear" w:color="auto" w:fill="auto"/>
            <w:noWrap/>
            <w:vAlign w:val="center"/>
            <w:hideMark/>
          </w:tcPr>
          <w:p w14:paraId="4889E2B2"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196</w:t>
            </w:r>
          </w:p>
        </w:tc>
        <w:tc>
          <w:tcPr>
            <w:tcW w:w="1135" w:type="dxa"/>
            <w:tcBorders>
              <w:top w:val="nil"/>
              <w:left w:val="nil"/>
              <w:bottom w:val="double" w:sz="6" w:space="0" w:color="auto"/>
              <w:right w:val="double" w:sz="6" w:space="0" w:color="auto"/>
            </w:tcBorders>
            <w:shd w:val="clear" w:color="auto" w:fill="auto"/>
            <w:noWrap/>
            <w:vAlign w:val="center"/>
            <w:hideMark/>
          </w:tcPr>
          <w:p w14:paraId="6CCAA4E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525DEE8"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7</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491</w:t>
            </w:r>
          </w:p>
        </w:tc>
        <w:tc>
          <w:tcPr>
            <w:tcW w:w="1135" w:type="dxa"/>
            <w:tcBorders>
              <w:top w:val="nil"/>
              <w:left w:val="nil"/>
              <w:bottom w:val="double" w:sz="6" w:space="0" w:color="auto"/>
              <w:right w:val="double" w:sz="6" w:space="0" w:color="auto"/>
            </w:tcBorders>
            <w:shd w:val="clear" w:color="auto" w:fill="auto"/>
            <w:noWrap/>
            <w:vAlign w:val="center"/>
            <w:hideMark/>
          </w:tcPr>
          <w:p w14:paraId="08E536C9"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5C7381F4"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55</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800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000</w:t>
            </w:r>
          </w:p>
        </w:tc>
        <w:tc>
          <w:tcPr>
            <w:tcW w:w="1288" w:type="dxa"/>
            <w:tcBorders>
              <w:top w:val="nil"/>
              <w:left w:val="nil"/>
              <w:bottom w:val="double" w:sz="6" w:space="0" w:color="auto"/>
              <w:right w:val="double" w:sz="6" w:space="0" w:color="auto"/>
            </w:tcBorders>
            <w:shd w:val="clear" w:color="auto" w:fill="auto"/>
            <w:noWrap/>
            <w:vAlign w:val="center"/>
            <w:hideMark/>
          </w:tcPr>
          <w:p w14:paraId="564D4BAD"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49</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520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000</w:t>
            </w:r>
          </w:p>
        </w:tc>
      </w:tr>
      <w:tr w:rsidR="007708E7" w:rsidRPr="009D6C7E" w14:paraId="0F2435B6"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173A554"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RO</w:t>
            </w:r>
          </w:p>
        </w:tc>
        <w:tc>
          <w:tcPr>
            <w:tcW w:w="1135" w:type="dxa"/>
            <w:tcBorders>
              <w:top w:val="nil"/>
              <w:left w:val="nil"/>
              <w:bottom w:val="double" w:sz="6" w:space="0" w:color="auto"/>
              <w:right w:val="double" w:sz="6" w:space="0" w:color="auto"/>
            </w:tcBorders>
            <w:shd w:val="clear" w:color="auto" w:fill="auto"/>
            <w:noWrap/>
            <w:vAlign w:val="center"/>
            <w:hideMark/>
          </w:tcPr>
          <w:p w14:paraId="4C9A446F"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2</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104</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468</w:t>
            </w:r>
          </w:p>
        </w:tc>
        <w:tc>
          <w:tcPr>
            <w:tcW w:w="1135" w:type="dxa"/>
            <w:tcBorders>
              <w:top w:val="nil"/>
              <w:left w:val="nil"/>
              <w:bottom w:val="double" w:sz="6" w:space="0" w:color="auto"/>
              <w:right w:val="double" w:sz="6" w:space="0" w:color="auto"/>
            </w:tcBorders>
            <w:shd w:val="clear" w:color="auto" w:fill="auto"/>
            <w:noWrap/>
            <w:vAlign w:val="center"/>
            <w:hideMark/>
          </w:tcPr>
          <w:p w14:paraId="554023A7"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6</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710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664</w:t>
            </w:r>
          </w:p>
        </w:tc>
        <w:tc>
          <w:tcPr>
            <w:tcW w:w="1135" w:type="dxa"/>
            <w:tcBorders>
              <w:top w:val="nil"/>
              <w:left w:val="nil"/>
              <w:bottom w:val="double" w:sz="6" w:space="0" w:color="auto"/>
              <w:right w:val="double" w:sz="6" w:space="0" w:color="auto"/>
            </w:tcBorders>
            <w:shd w:val="clear" w:color="auto" w:fill="auto"/>
            <w:noWrap/>
            <w:vAlign w:val="center"/>
            <w:hideMark/>
          </w:tcPr>
          <w:p w14:paraId="18A48DFE"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3</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540</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974</w:t>
            </w:r>
          </w:p>
        </w:tc>
        <w:tc>
          <w:tcPr>
            <w:tcW w:w="1135" w:type="dxa"/>
            <w:tcBorders>
              <w:top w:val="nil"/>
              <w:left w:val="nil"/>
              <w:bottom w:val="double" w:sz="6" w:space="0" w:color="auto"/>
              <w:right w:val="double" w:sz="6" w:space="0" w:color="auto"/>
            </w:tcBorders>
            <w:shd w:val="clear" w:color="auto" w:fill="auto"/>
            <w:noWrap/>
            <w:vAlign w:val="center"/>
            <w:hideMark/>
          </w:tcPr>
          <w:p w14:paraId="7BE81852"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3</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011</w:t>
            </w:r>
            <w:r w:rsidR="008C2194" w:rsidRPr="00516F65">
              <w:rPr>
                <w:rFonts w:ascii="Times New Roman" w:eastAsia="Times New Roman" w:hAnsi="Times New Roman"/>
                <w:color w:val="000000"/>
                <w:sz w:val="20"/>
                <w:szCs w:val="20"/>
                <w:lang w:eastAsia="en-GB"/>
              </w:rPr>
              <w:t xml:space="preserve"> </w:t>
            </w:r>
            <w:r w:rsidRPr="00516F65">
              <w:rPr>
                <w:rFonts w:ascii="Times New Roman" w:eastAsia="Times New Roman" w:hAnsi="Times New Roman"/>
                <w:color w:val="000000"/>
                <w:sz w:val="20"/>
                <w:szCs w:val="20"/>
                <w:lang w:eastAsia="en-GB"/>
              </w:rPr>
              <w:t>456</w:t>
            </w:r>
          </w:p>
        </w:tc>
        <w:tc>
          <w:tcPr>
            <w:tcW w:w="1288" w:type="dxa"/>
            <w:tcBorders>
              <w:top w:val="nil"/>
              <w:left w:val="nil"/>
              <w:bottom w:val="double" w:sz="6" w:space="0" w:color="auto"/>
              <w:right w:val="double" w:sz="6" w:space="0" w:color="auto"/>
            </w:tcBorders>
            <w:shd w:val="clear" w:color="auto" w:fill="auto"/>
            <w:noWrap/>
            <w:vAlign w:val="center"/>
            <w:hideMark/>
          </w:tcPr>
          <w:p w14:paraId="11F9F3D5"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3D0BF78A"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r w:rsidR="007708E7" w:rsidRPr="00F20DF9" w14:paraId="23B118C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B2D5304" w14:textId="77777777" w:rsidR="007708E7" w:rsidRPr="00516F65" w:rsidRDefault="007708E7" w:rsidP="007708E7">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HU</w:t>
            </w:r>
          </w:p>
        </w:tc>
        <w:tc>
          <w:tcPr>
            <w:tcW w:w="1135" w:type="dxa"/>
            <w:tcBorders>
              <w:top w:val="nil"/>
              <w:left w:val="nil"/>
              <w:bottom w:val="double" w:sz="6" w:space="0" w:color="auto"/>
              <w:right w:val="double" w:sz="6" w:space="0" w:color="auto"/>
            </w:tcBorders>
            <w:shd w:val="clear" w:color="auto" w:fill="auto"/>
            <w:noWrap/>
            <w:vAlign w:val="center"/>
            <w:hideMark/>
          </w:tcPr>
          <w:p w14:paraId="14D6C0B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0DAC9E94"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4C42AC"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A68F16"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3ACC0739" w14:textId="77777777" w:rsidR="007708E7" w:rsidRPr="00516F65"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c>
          <w:tcPr>
            <w:tcW w:w="1288" w:type="dxa"/>
            <w:tcBorders>
              <w:top w:val="nil"/>
              <w:left w:val="nil"/>
              <w:bottom w:val="double" w:sz="6" w:space="0" w:color="auto"/>
              <w:right w:val="double" w:sz="6" w:space="0" w:color="auto"/>
            </w:tcBorders>
            <w:shd w:val="clear" w:color="auto" w:fill="auto"/>
            <w:noWrap/>
            <w:vAlign w:val="center"/>
            <w:hideMark/>
          </w:tcPr>
          <w:p w14:paraId="403DF371" w14:textId="77777777" w:rsidR="007708E7" w:rsidRPr="002802C4" w:rsidRDefault="007708E7" w:rsidP="007708E7">
            <w:pPr>
              <w:spacing w:after="0" w:line="240" w:lineRule="auto"/>
              <w:jc w:val="center"/>
              <w:rPr>
                <w:rFonts w:ascii="Times New Roman" w:eastAsia="Times New Roman" w:hAnsi="Times New Roman"/>
                <w:color w:val="000000"/>
                <w:sz w:val="20"/>
                <w:szCs w:val="20"/>
                <w:lang w:eastAsia="en-GB"/>
              </w:rPr>
            </w:pPr>
            <w:r w:rsidRPr="00516F65">
              <w:rPr>
                <w:rFonts w:ascii="Times New Roman" w:eastAsia="Times New Roman" w:hAnsi="Times New Roman"/>
                <w:color w:val="000000"/>
                <w:sz w:val="20"/>
                <w:szCs w:val="20"/>
                <w:lang w:eastAsia="en-GB"/>
              </w:rPr>
              <w:t>0</w:t>
            </w:r>
          </w:p>
        </w:tc>
      </w:tr>
    </w:tbl>
    <w:p w14:paraId="5C11801C" w14:textId="77777777" w:rsidR="005F6BD0" w:rsidRPr="007F5B1E" w:rsidRDefault="00526348">
      <w:pPr>
        <w:rPr>
          <w:rFonts w:ascii="Times New Roman" w:hAnsi="Times New Roman"/>
          <w:noProof/>
          <w:sz w:val="18"/>
          <w:szCs w:val="18"/>
        </w:rPr>
      </w:pPr>
      <w:r w:rsidRPr="007F5B1E">
        <w:rPr>
          <w:rFonts w:ascii="Times New Roman" w:hAnsi="Times New Roman"/>
          <w:noProof/>
          <w:sz w:val="18"/>
          <w:szCs w:val="18"/>
        </w:rPr>
        <w:t>Source: DG CLIMA</w:t>
      </w:r>
    </w:p>
    <w:p w14:paraId="266C93E1" w14:textId="77777777" w:rsidR="007F5B1E" w:rsidRDefault="007F5B1E">
      <w:pPr>
        <w:rPr>
          <w:rFonts w:ascii="Times New Roman" w:hAnsi="Times New Roman"/>
          <w:b/>
          <w:noProof/>
        </w:rPr>
      </w:pPr>
    </w:p>
    <w:p w14:paraId="2E71F32F" w14:textId="77777777" w:rsidR="005F6BD0" w:rsidRPr="00516F65" w:rsidRDefault="003A348D">
      <w:pPr>
        <w:rPr>
          <w:rFonts w:ascii="Times New Roman" w:hAnsi="Times New Roman"/>
          <w:b/>
          <w:noProof/>
        </w:rPr>
      </w:pPr>
      <w:r w:rsidRPr="00516F65">
        <w:rPr>
          <w:rFonts w:ascii="Times New Roman" w:hAnsi="Times New Roman"/>
          <w:b/>
          <w:noProof/>
        </w:rPr>
        <w:t>Appendix 2</w:t>
      </w:r>
    </w:p>
    <w:p w14:paraId="648B20BF" w14:textId="77777777" w:rsidR="006E0EB4" w:rsidRPr="007F5B1E" w:rsidRDefault="003A348D" w:rsidP="006E0EB4">
      <w:pPr>
        <w:rPr>
          <w:rFonts w:ascii="Times New Roman" w:hAnsi="Times New Roman"/>
          <w:b/>
          <w:noProof/>
          <w:sz w:val="20"/>
          <w:szCs w:val="20"/>
        </w:rPr>
      </w:pPr>
      <w:r w:rsidRPr="00516F65">
        <w:rPr>
          <w:rFonts w:ascii="Times New Roman" w:hAnsi="Times New Roman"/>
          <w:b/>
          <w:noProof/>
          <w:sz w:val="20"/>
          <w:szCs w:val="20"/>
        </w:rPr>
        <w:t xml:space="preserve">Figure </w:t>
      </w:r>
      <w:r w:rsidR="00A4186B" w:rsidRPr="00516F65">
        <w:rPr>
          <w:rFonts w:ascii="Times New Roman" w:hAnsi="Times New Roman"/>
          <w:b/>
          <w:noProof/>
          <w:sz w:val="20"/>
          <w:szCs w:val="20"/>
        </w:rPr>
        <w:t>2.</w:t>
      </w:r>
      <w:r w:rsidRPr="00516F65">
        <w:rPr>
          <w:rFonts w:ascii="Times New Roman" w:hAnsi="Times New Roman"/>
          <w:b/>
          <w:noProof/>
          <w:sz w:val="20"/>
          <w:szCs w:val="20"/>
        </w:rPr>
        <w:t>1</w:t>
      </w:r>
      <w:r w:rsidRPr="00264CAF">
        <w:rPr>
          <w:rFonts w:ascii="Times New Roman" w:hAnsi="Times New Roman"/>
          <w:b/>
          <w:noProof/>
          <w:sz w:val="20"/>
          <w:szCs w:val="20"/>
        </w:rPr>
        <w:t xml:space="preserve">: </w:t>
      </w:r>
      <w:r w:rsidR="00626D3C" w:rsidRPr="00264CAF">
        <w:rPr>
          <w:rFonts w:ascii="Times New Roman" w:hAnsi="Times New Roman"/>
          <w:b/>
          <w:noProof/>
          <w:sz w:val="20"/>
          <w:szCs w:val="20"/>
        </w:rPr>
        <w:t>Number of bidders in</w:t>
      </w:r>
      <w:r w:rsidRPr="00264CAF">
        <w:rPr>
          <w:rFonts w:ascii="Times New Roman" w:hAnsi="Times New Roman"/>
          <w:b/>
          <w:noProof/>
          <w:sz w:val="20"/>
          <w:szCs w:val="20"/>
        </w:rPr>
        <w:t xml:space="preserve"> general allowances auctions from 2013 to 30 June 201</w:t>
      </w:r>
      <w:r w:rsidR="006E0EB4" w:rsidRPr="00264CAF">
        <w:rPr>
          <w:rFonts w:ascii="Times New Roman" w:hAnsi="Times New Roman"/>
          <w:b/>
          <w:noProof/>
          <w:sz w:val="20"/>
          <w:szCs w:val="20"/>
        </w:rPr>
        <w:t>9</w:t>
      </w:r>
    </w:p>
    <w:p w14:paraId="487434F3" w14:textId="77777777" w:rsidR="006E0EB4" w:rsidRDefault="006E0EB4" w:rsidP="00276918">
      <w:pPr>
        <w:spacing w:after="0"/>
        <w:rPr>
          <w:b/>
          <w:noProof/>
          <w:color w:val="00B050"/>
          <w:sz w:val="24"/>
          <w:szCs w:val="24"/>
        </w:rPr>
      </w:pPr>
      <w:r w:rsidRPr="00516F65">
        <w:rPr>
          <w:b/>
          <w:noProof/>
          <w:color w:val="00B050"/>
          <w:sz w:val="24"/>
          <w:szCs w:val="24"/>
          <w:lang w:eastAsia="en-GB"/>
        </w:rPr>
        <w:drawing>
          <wp:inline distT="0" distB="0" distL="0" distR="0" wp14:anchorId="7589ADBD" wp14:editId="3DDB18D5">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14:paraId="2D2027E5" w14:textId="77777777" w:rsidR="00626D3C" w:rsidRPr="007F5B1E" w:rsidRDefault="00626D3C" w:rsidP="00276918">
      <w:pPr>
        <w:spacing w:after="0"/>
        <w:rPr>
          <w:rFonts w:ascii="Times New Roman" w:hAnsi="Times New Roman"/>
          <w:noProof/>
          <w:color w:val="000000" w:themeColor="text1"/>
          <w:sz w:val="18"/>
          <w:szCs w:val="18"/>
        </w:rPr>
      </w:pPr>
      <w:r w:rsidRPr="007F5B1E">
        <w:rPr>
          <w:rFonts w:ascii="Times New Roman" w:hAnsi="Times New Roman"/>
          <w:noProof/>
          <w:color w:val="000000" w:themeColor="text1"/>
          <w:sz w:val="18"/>
          <w:szCs w:val="18"/>
        </w:rPr>
        <w:t>Source: EEX</w:t>
      </w:r>
    </w:p>
    <w:p w14:paraId="45A738F5" w14:textId="77777777" w:rsidR="006E0EB4" w:rsidRDefault="002A6473">
      <w:pPr>
        <w:rPr>
          <w:b/>
          <w:noProof/>
        </w:rPr>
      </w:pPr>
      <w:r w:rsidRPr="00516F65">
        <w:rPr>
          <w:b/>
          <w:noProof/>
          <w:sz w:val="32"/>
          <w:szCs w:val="32"/>
        </w:rPr>
        <w:t>.</w:t>
      </w:r>
      <w:r w:rsidR="002802C4" w:rsidRPr="00516F65">
        <w:rPr>
          <w:rFonts w:ascii="Times New Roman" w:hAnsi="Times New Roman"/>
          <w:b/>
          <w:noProof/>
          <w:sz w:val="20"/>
          <w:szCs w:val="20"/>
        </w:rPr>
        <w:t xml:space="preserve">  </w:t>
      </w:r>
      <w:r w:rsidRPr="00516F65">
        <w:rPr>
          <w:rFonts w:ascii="Times New Roman" w:hAnsi="Times New Roman"/>
          <w:noProof/>
          <w:sz w:val="20"/>
          <w:szCs w:val="20"/>
        </w:rPr>
        <w:t>Number of bidders</w:t>
      </w:r>
      <w:r w:rsidRPr="00516F65">
        <w:rPr>
          <w:b/>
          <w:noProof/>
        </w:rPr>
        <w:t xml:space="preserve"> </w:t>
      </w:r>
    </w:p>
    <w:p w14:paraId="3B40F4C2" w14:textId="77777777" w:rsidR="00626D3C" w:rsidRPr="00516F65" w:rsidRDefault="00626D3C">
      <w:pPr>
        <w:rPr>
          <w:b/>
          <w:noProof/>
        </w:rPr>
      </w:pPr>
    </w:p>
    <w:p w14:paraId="45FA8394" w14:textId="77777777" w:rsidR="00CA734B" w:rsidRPr="00E72EF9" w:rsidRDefault="00CA734B">
      <w:pPr>
        <w:rPr>
          <w:rFonts w:ascii="Times New Roman" w:hAnsi="Times New Roman"/>
          <w:b/>
          <w:noProof/>
          <w:sz w:val="20"/>
          <w:szCs w:val="20"/>
          <w:highlight w:val="yellow"/>
        </w:rPr>
      </w:pPr>
      <w:r w:rsidRPr="00E72EF9">
        <w:rPr>
          <w:rFonts w:ascii="Times New Roman" w:hAnsi="Times New Roman"/>
          <w:b/>
          <w:noProof/>
          <w:sz w:val="20"/>
          <w:szCs w:val="20"/>
          <w:highlight w:val="yellow"/>
        </w:rPr>
        <w:br w:type="page"/>
      </w:r>
    </w:p>
    <w:p w14:paraId="36969B15" w14:textId="77777777" w:rsidR="00CA734B" w:rsidRPr="00E72EF9" w:rsidRDefault="00CA734B">
      <w:pPr>
        <w:rPr>
          <w:rFonts w:ascii="Times New Roman" w:hAnsi="Times New Roman"/>
          <w:b/>
          <w:noProof/>
          <w:sz w:val="20"/>
          <w:szCs w:val="20"/>
          <w:highlight w:val="yellow"/>
        </w:rPr>
        <w:sectPr w:rsidR="00CA734B" w:rsidRPr="00E72EF9" w:rsidSect="0069589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docGrid w:linePitch="360"/>
        </w:sectPr>
      </w:pPr>
    </w:p>
    <w:p w14:paraId="4AC8580F" w14:textId="77777777" w:rsidR="005F6BD0" w:rsidRPr="00516F65" w:rsidRDefault="00750C8E">
      <w:pPr>
        <w:rPr>
          <w:rFonts w:ascii="Times New Roman" w:hAnsi="Times New Roman"/>
          <w:b/>
          <w:noProof/>
          <w:sz w:val="20"/>
          <w:szCs w:val="20"/>
        </w:rPr>
      </w:pPr>
      <w:r w:rsidRPr="00516F65">
        <w:rPr>
          <w:rFonts w:ascii="Times New Roman" w:hAnsi="Times New Roman"/>
          <w:b/>
          <w:noProof/>
          <w:sz w:val="20"/>
          <w:szCs w:val="20"/>
        </w:rPr>
        <w:t xml:space="preserve">Table </w:t>
      </w:r>
      <w:r w:rsidR="00A4186B" w:rsidRPr="00516F65">
        <w:rPr>
          <w:rFonts w:ascii="Times New Roman" w:hAnsi="Times New Roman"/>
          <w:b/>
          <w:noProof/>
          <w:sz w:val="20"/>
          <w:szCs w:val="20"/>
        </w:rPr>
        <w:t>2.</w:t>
      </w:r>
      <w:r w:rsidRPr="00516F65">
        <w:rPr>
          <w:rFonts w:ascii="Times New Roman" w:hAnsi="Times New Roman"/>
          <w:b/>
          <w:noProof/>
          <w:sz w:val="20"/>
          <w:szCs w:val="20"/>
        </w:rPr>
        <w:t>1</w:t>
      </w:r>
      <w:r w:rsidR="000A5510" w:rsidRPr="00516F65">
        <w:rPr>
          <w:rFonts w:ascii="Times New Roman" w:hAnsi="Times New Roman"/>
          <w:b/>
          <w:noProof/>
          <w:sz w:val="20"/>
          <w:szCs w:val="20"/>
        </w:rPr>
        <w:t>: Revenues generated from auctionin</w:t>
      </w:r>
      <w:r w:rsidR="00D3027D">
        <w:rPr>
          <w:rFonts w:ascii="Times New Roman" w:hAnsi="Times New Roman"/>
          <w:b/>
          <w:noProof/>
          <w:sz w:val="20"/>
          <w:szCs w:val="20"/>
        </w:rPr>
        <w:t>g by Member States</w:t>
      </w:r>
      <w:r w:rsidR="000A5510" w:rsidRPr="00516F65">
        <w:rPr>
          <w:rFonts w:ascii="Times New Roman" w:hAnsi="Times New Roman"/>
          <w:b/>
          <w:noProof/>
          <w:sz w:val="20"/>
          <w:szCs w:val="20"/>
        </w:rPr>
        <w:t xml:space="preserve"> </w:t>
      </w:r>
      <w:r w:rsidR="00D3027D">
        <w:rPr>
          <w:rFonts w:ascii="Times New Roman" w:hAnsi="Times New Roman"/>
          <w:b/>
          <w:noProof/>
          <w:sz w:val="20"/>
          <w:szCs w:val="20"/>
        </w:rPr>
        <w:t>in the period</w:t>
      </w:r>
      <w:r w:rsidRPr="00516F65">
        <w:rPr>
          <w:rFonts w:ascii="Times New Roman" w:hAnsi="Times New Roman"/>
          <w:b/>
          <w:noProof/>
          <w:sz w:val="20"/>
          <w:szCs w:val="20"/>
        </w:rPr>
        <w:t xml:space="preserve"> 201</w:t>
      </w:r>
      <w:r w:rsidR="009743AF">
        <w:rPr>
          <w:rFonts w:ascii="Times New Roman" w:hAnsi="Times New Roman"/>
          <w:b/>
          <w:noProof/>
          <w:sz w:val="20"/>
          <w:szCs w:val="20"/>
        </w:rPr>
        <w:t>2</w:t>
      </w:r>
      <w:r w:rsidRPr="00516F65">
        <w:rPr>
          <w:rFonts w:ascii="Times New Roman" w:hAnsi="Times New Roman"/>
          <w:b/>
          <w:noProof/>
          <w:sz w:val="20"/>
          <w:szCs w:val="20"/>
        </w:rPr>
        <w:t>-2018</w:t>
      </w:r>
      <w:r w:rsidR="00526348">
        <w:rPr>
          <w:rStyle w:val="FootnoteReference"/>
          <w:rFonts w:ascii="Times New Roman" w:hAnsi="Times New Roman"/>
          <w:b/>
          <w:noProof/>
          <w:sz w:val="20"/>
          <w:szCs w:val="20"/>
        </w:rPr>
        <w:footnoteReference w:id="77"/>
      </w:r>
    </w:p>
    <w:tbl>
      <w:tblPr>
        <w:tblW w:w="14055" w:type="dxa"/>
        <w:tblInd w:w="-459" w:type="dxa"/>
        <w:tblLook w:val="04A0" w:firstRow="1" w:lastRow="0" w:firstColumn="1" w:lastColumn="0" w:noHBand="0" w:noVBand="1"/>
      </w:tblPr>
      <w:tblGrid>
        <w:gridCol w:w="917"/>
        <w:gridCol w:w="1093"/>
        <w:gridCol w:w="1036"/>
        <w:gridCol w:w="892"/>
        <w:gridCol w:w="925"/>
        <w:gridCol w:w="892"/>
        <w:gridCol w:w="925"/>
        <w:gridCol w:w="910"/>
        <w:gridCol w:w="924"/>
        <w:gridCol w:w="892"/>
        <w:gridCol w:w="925"/>
        <w:gridCol w:w="910"/>
        <w:gridCol w:w="924"/>
        <w:gridCol w:w="966"/>
        <w:gridCol w:w="924"/>
      </w:tblGrid>
      <w:tr w:rsidR="00696C1E" w:rsidRPr="003F30A8" w14:paraId="3C749DE7" w14:textId="77777777" w:rsidTr="00516F65">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2E712B7" w14:textId="77777777" w:rsidR="00696C1E" w:rsidRPr="00171CDC" w:rsidRDefault="00696C1E" w:rsidP="001379D6">
            <w:pPr>
              <w:spacing w:after="0" w:line="240" w:lineRule="auto"/>
              <w:jc w:val="center"/>
              <w:rPr>
                <w:rFonts w:ascii="Times New Roman" w:eastAsia="Times New Roman" w:hAnsi="Times New Roman"/>
                <w:b/>
                <w:bCs/>
                <w:color w:val="000000"/>
                <w:sz w:val="20"/>
                <w:szCs w:val="20"/>
                <w:lang w:eastAsia="en-GB"/>
              </w:rPr>
            </w:pPr>
            <w:r w:rsidRPr="00516F65">
              <w:rPr>
                <w:rFonts w:ascii="Times New Roman" w:eastAsia="Times New Roman" w:hAnsi="Times New Roman"/>
                <w:b/>
                <w:bCs/>
                <w:color w:val="000000"/>
                <w:sz w:val="20"/>
                <w:szCs w:val="20"/>
                <w:lang w:eastAsia="en-GB"/>
              </w:rPr>
              <w:t xml:space="preserve">                                        </w:t>
            </w:r>
            <w:r w:rsidRPr="00171CDC">
              <w:rPr>
                <w:rFonts w:ascii="Times New Roman" w:eastAsia="Times New Roman" w:hAnsi="Times New Roman"/>
                <w:b/>
                <w:bCs/>
                <w:color w:val="000000"/>
                <w:sz w:val="20"/>
                <w:szCs w:val="20"/>
                <w:lang w:eastAsia="en-GB"/>
              </w:rPr>
              <w:t xml:space="preserve">Revenues from </w:t>
            </w:r>
            <w:r w:rsidR="000A5510" w:rsidRPr="00171CDC">
              <w:rPr>
                <w:rFonts w:ascii="Times New Roman" w:eastAsia="Times New Roman" w:hAnsi="Times New Roman"/>
                <w:b/>
                <w:bCs/>
                <w:color w:val="000000"/>
                <w:sz w:val="20"/>
                <w:szCs w:val="20"/>
                <w:lang w:eastAsia="en-GB"/>
              </w:rPr>
              <w:t xml:space="preserve">the </w:t>
            </w:r>
            <w:r w:rsidRPr="00171CDC">
              <w:rPr>
                <w:rFonts w:ascii="Times New Roman" w:eastAsia="Times New Roman" w:hAnsi="Times New Roman"/>
                <w:b/>
                <w:bCs/>
                <w:color w:val="000000"/>
                <w:sz w:val="20"/>
                <w:szCs w:val="20"/>
                <w:lang w:eastAsia="en-GB"/>
              </w:rPr>
              <w:t>auctioning of emission allowances 2012-2018 (in millions EUR)</w:t>
            </w:r>
          </w:p>
          <w:p w14:paraId="75C5B318" w14:textId="77777777" w:rsidR="00696C1E" w:rsidRPr="003F30A8" w:rsidRDefault="00696C1E" w:rsidP="001379D6">
            <w:pPr>
              <w:spacing w:after="0" w:line="240" w:lineRule="auto"/>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 </w:t>
            </w:r>
          </w:p>
        </w:tc>
      </w:tr>
      <w:tr w:rsidR="001379D6" w:rsidRPr="003F30A8" w14:paraId="324B4796" w14:textId="77777777" w:rsidTr="00516F65">
        <w:trPr>
          <w:trHeight w:val="315"/>
        </w:trPr>
        <w:tc>
          <w:tcPr>
            <w:tcW w:w="917" w:type="dxa"/>
            <w:tcBorders>
              <w:top w:val="nil"/>
              <w:left w:val="double" w:sz="6" w:space="0" w:color="auto"/>
              <w:bottom w:val="nil"/>
              <w:right w:val="double" w:sz="6" w:space="0" w:color="auto"/>
            </w:tcBorders>
            <w:shd w:val="clear" w:color="auto" w:fill="auto"/>
            <w:noWrap/>
            <w:vAlign w:val="bottom"/>
            <w:hideMark/>
          </w:tcPr>
          <w:p w14:paraId="60DA6CF9"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693864B"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2012</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493AC0F"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2013</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03C99DC"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2014</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FE761AA"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2015</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1A9AA14F"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2016</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92B1291"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2017</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474075D" w14:textId="77777777" w:rsidR="001379D6" w:rsidRPr="003F30A8" w:rsidRDefault="001379D6" w:rsidP="001379D6">
            <w:pPr>
              <w:spacing w:after="0" w:line="240" w:lineRule="auto"/>
              <w:jc w:val="center"/>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2018</w:t>
            </w:r>
          </w:p>
        </w:tc>
      </w:tr>
      <w:tr w:rsidR="001379D6" w:rsidRPr="003F30A8" w14:paraId="429B0FF4" w14:textId="77777777" w:rsidTr="00516F65">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D06264E"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 </w:t>
            </w:r>
          </w:p>
        </w:tc>
        <w:tc>
          <w:tcPr>
            <w:tcW w:w="1093" w:type="dxa"/>
            <w:tcBorders>
              <w:top w:val="nil"/>
              <w:left w:val="nil"/>
              <w:bottom w:val="double" w:sz="6" w:space="0" w:color="auto"/>
              <w:right w:val="double" w:sz="6" w:space="0" w:color="auto"/>
            </w:tcBorders>
            <w:shd w:val="clear" w:color="auto" w:fill="auto"/>
            <w:vAlign w:val="bottom"/>
            <w:hideMark/>
          </w:tcPr>
          <w:p w14:paraId="3FF82586"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 (early auctions)</w:t>
            </w:r>
          </w:p>
        </w:tc>
        <w:tc>
          <w:tcPr>
            <w:tcW w:w="1036" w:type="dxa"/>
            <w:tcBorders>
              <w:top w:val="nil"/>
              <w:left w:val="nil"/>
              <w:bottom w:val="double" w:sz="6" w:space="0" w:color="auto"/>
              <w:right w:val="double" w:sz="6" w:space="0" w:color="auto"/>
            </w:tcBorders>
            <w:shd w:val="clear" w:color="auto" w:fill="auto"/>
            <w:vAlign w:val="bottom"/>
            <w:hideMark/>
          </w:tcPr>
          <w:p w14:paraId="2DC45F72"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 (early auctions)</w:t>
            </w:r>
          </w:p>
        </w:tc>
        <w:tc>
          <w:tcPr>
            <w:tcW w:w="892" w:type="dxa"/>
            <w:tcBorders>
              <w:top w:val="nil"/>
              <w:left w:val="nil"/>
              <w:bottom w:val="double" w:sz="6" w:space="0" w:color="auto"/>
              <w:right w:val="double" w:sz="6" w:space="0" w:color="auto"/>
            </w:tcBorders>
            <w:shd w:val="clear" w:color="auto" w:fill="auto"/>
            <w:noWrap/>
            <w:vAlign w:val="bottom"/>
            <w:hideMark/>
          </w:tcPr>
          <w:p w14:paraId="618E631E"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 xml:space="preserve">General </w:t>
            </w:r>
          </w:p>
        </w:tc>
        <w:tc>
          <w:tcPr>
            <w:tcW w:w="925" w:type="dxa"/>
            <w:tcBorders>
              <w:top w:val="nil"/>
              <w:left w:val="nil"/>
              <w:bottom w:val="double" w:sz="6" w:space="0" w:color="auto"/>
              <w:right w:val="double" w:sz="6" w:space="0" w:color="auto"/>
            </w:tcBorders>
            <w:shd w:val="clear" w:color="auto" w:fill="auto"/>
            <w:noWrap/>
            <w:vAlign w:val="bottom"/>
            <w:hideMark/>
          </w:tcPr>
          <w:p w14:paraId="2E7D5369"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18F5B0FF"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5" w:type="dxa"/>
            <w:tcBorders>
              <w:top w:val="nil"/>
              <w:left w:val="nil"/>
              <w:bottom w:val="double" w:sz="6" w:space="0" w:color="auto"/>
              <w:right w:val="double" w:sz="6" w:space="0" w:color="auto"/>
            </w:tcBorders>
            <w:shd w:val="clear" w:color="auto" w:fill="auto"/>
            <w:noWrap/>
            <w:vAlign w:val="bottom"/>
            <w:hideMark/>
          </w:tcPr>
          <w:p w14:paraId="2493F5EA"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5B4DCC3A"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4" w:type="dxa"/>
            <w:tcBorders>
              <w:top w:val="nil"/>
              <w:left w:val="nil"/>
              <w:bottom w:val="double" w:sz="6" w:space="0" w:color="auto"/>
              <w:right w:val="double" w:sz="6" w:space="0" w:color="auto"/>
            </w:tcBorders>
            <w:shd w:val="clear" w:color="auto" w:fill="auto"/>
            <w:noWrap/>
            <w:vAlign w:val="bottom"/>
            <w:hideMark/>
          </w:tcPr>
          <w:p w14:paraId="52A0AC14"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78F66164"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5" w:type="dxa"/>
            <w:tcBorders>
              <w:top w:val="nil"/>
              <w:left w:val="nil"/>
              <w:bottom w:val="double" w:sz="6" w:space="0" w:color="auto"/>
              <w:right w:val="double" w:sz="6" w:space="0" w:color="auto"/>
            </w:tcBorders>
            <w:shd w:val="clear" w:color="auto" w:fill="auto"/>
            <w:noWrap/>
            <w:vAlign w:val="bottom"/>
            <w:hideMark/>
          </w:tcPr>
          <w:p w14:paraId="1F032946"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5753244A"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4" w:type="dxa"/>
            <w:tcBorders>
              <w:top w:val="nil"/>
              <w:left w:val="nil"/>
              <w:bottom w:val="double" w:sz="6" w:space="0" w:color="auto"/>
              <w:right w:val="double" w:sz="6" w:space="0" w:color="auto"/>
            </w:tcBorders>
            <w:shd w:val="clear" w:color="auto" w:fill="auto"/>
            <w:noWrap/>
            <w:vAlign w:val="bottom"/>
            <w:hideMark/>
          </w:tcPr>
          <w:p w14:paraId="2BA41E20"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c>
          <w:tcPr>
            <w:tcW w:w="966" w:type="dxa"/>
            <w:tcBorders>
              <w:top w:val="nil"/>
              <w:left w:val="nil"/>
              <w:bottom w:val="double" w:sz="6" w:space="0" w:color="auto"/>
              <w:right w:val="double" w:sz="6" w:space="0" w:color="auto"/>
            </w:tcBorders>
            <w:shd w:val="clear" w:color="auto" w:fill="auto"/>
            <w:noWrap/>
            <w:vAlign w:val="bottom"/>
            <w:hideMark/>
          </w:tcPr>
          <w:p w14:paraId="52247309"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General</w:t>
            </w:r>
          </w:p>
        </w:tc>
        <w:tc>
          <w:tcPr>
            <w:tcW w:w="924" w:type="dxa"/>
            <w:tcBorders>
              <w:top w:val="nil"/>
              <w:left w:val="nil"/>
              <w:bottom w:val="double" w:sz="6" w:space="0" w:color="auto"/>
              <w:right w:val="double" w:sz="6" w:space="0" w:color="auto"/>
            </w:tcBorders>
            <w:shd w:val="clear" w:color="auto" w:fill="auto"/>
            <w:noWrap/>
            <w:vAlign w:val="bottom"/>
            <w:hideMark/>
          </w:tcPr>
          <w:p w14:paraId="5B5E1010" w14:textId="77777777" w:rsidR="001379D6" w:rsidRPr="003F30A8" w:rsidRDefault="001379D6" w:rsidP="001379D6">
            <w:pPr>
              <w:spacing w:after="0" w:line="240" w:lineRule="auto"/>
              <w:jc w:val="center"/>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Aviation</w:t>
            </w:r>
          </w:p>
        </w:tc>
      </w:tr>
      <w:tr w:rsidR="001379D6" w:rsidRPr="003F30A8" w14:paraId="6820C7C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1BFCAD2"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AT</w:t>
            </w:r>
          </w:p>
        </w:tc>
        <w:tc>
          <w:tcPr>
            <w:tcW w:w="1093" w:type="dxa"/>
            <w:tcBorders>
              <w:top w:val="nil"/>
              <w:left w:val="nil"/>
              <w:bottom w:val="double" w:sz="6" w:space="0" w:color="auto"/>
              <w:right w:val="double" w:sz="6" w:space="0" w:color="auto"/>
            </w:tcBorders>
            <w:shd w:val="clear" w:color="auto" w:fill="auto"/>
            <w:noWrap/>
            <w:vAlign w:val="bottom"/>
            <w:hideMark/>
          </w:tcPr>
          <w:p w14:paraId="45D4C98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11,05</w:t>
            </w:r>
          </w:p>
        </w:tc>
        <w:tc>
          <w:tcPr>
            <w:tcW w:w="1036" w:type="dxa"/>
            <w:tcBorders>
              <w:top w:val="nil"/>
              <w:left w:val="nil"/>
              <w:bottom w:val="double" w:sz="6" w:space="0" w:color="auto"/>
              <w:right w:val="double" w:sz="6" w:space="0" w:color="auto"/>
            </w:tcBorders>
            <w:shd w:val="clear" w:color="auto" w:fill="auto"/>
            <w:noWrap/>
            <w:vAlign w:val="bottom"/>
            <w:hideMark/>
          </w:tcPr>
          <w:p w14:paraId="0F4542A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F1BA48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55,75</w:t>
            </w:r>
          </w:p>
        </w:tc>
        <w:tc>
          <w:tcPr>
            <w:tcW w:w="925" w:type="dxa"/>
            <w:tcBorders>
              <w:top w:val="nil"/>
              <w:left w:val="nil"/>
              <w:bottom w:val="double" w:sz="6" w:space="0" w:color="auto"/>
              <w:right w:val="double" w:sz="6" w:space="0" w:color="auto"/>
            </w:tcBorders>
            <w:shd w:val="clear" w:color="auto" w:fill="auto"/>
            <w:noWrap/>
            <w:vAlign w:val="bottom"/>
            <w:hideMark/>
          </w:tcPr>
          <w:p w14:paraId="1283223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BC5405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52,17</w:t>
            </w:r>
          </w:p>
        </w:tc>
        <w:tc>
          <w:tcPr>
            <w:tcW w:w="925" w:type="dxa"/>
            <w:tcBorders>
              <w:top w:val="nil"/>
              <w:left w:val="nil"/>
              <w:bottom w:val="double" w:sz="6" w:space="0" w:color="auto"/>
              <w:right w:val="double" w:sz="6" w:space="0" w:color="auto"/>
            </w:tcBorders>
            <w:shd w:val="clear" w:color="auto" w:fill="auto"/>
            <w:noWrap/>
            <w:vAlign w:val="bottom"/>
            <w:hideMark/>
          </w:tcPr>
          <w:p w14:paraId="6941728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1,18</w:t>
            </w:r>
          </w:p>
        </w:tc>
        <w:tc>
          <w:tcPr>
            <w:tcW w:w="910" w:type="dxa"/>
            <w:tcBorders>
              <w:top w:val="nil"/>
              <w:left w:val="nil"/>
              <w:bottom w:val="double" w:sz="6" w:space="0" w:color="auto"/>
              <w:right w:val="double" w:sz="6" w:space="0" w:color="auto"/>
            </w:tcBorders>
            <w:shd w:val="clear" w:color="auto" w:fill="auto"/>
            <w:noWrap/>
            <w:vAlign w:val="bottom"/>
            <w:hideMark/>
          </w:tcPr>
          <w:p w14:paraId="0ED3EF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76,24</w:t>
            </w:r>
          </w:p>
        </w:tc>
        <w:tc>
          <w:tcPr>
            <w:tcW w:w="924" w:type="dxa"/>
            <w:tcBorders>
              <w:top w:val="nil"/>
              <w:left w:val="nil"/>
              <w:bottom w:val="double" w:sz="6" w:space="0" w:color="auto"/>
              <w:right w:val="double" w:sz="6" w:space="0" w:color="auto"/>
            </w:tcBorders>
            <w:shd w:val="clear" w:color="auto" w:fill="auto"/>
            <w:noWrap/>
            <w:vAlign w:val="bottom"/>
            <w:hideMark/>
          </w:tcPr>
          <w:p w14:paraId="7394F3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2,36</w:t>
            </w:r>
          </w:p>
        </w:tc>
        <w:tc>
          <w:tcPr>
            <w:tcW w:w="892" w:type="dxa"/>
            <w:tcBorders>
              <w:top w:val="nil"/>
              <w:left w:val="nil"/>
              <w:bottom w:val="double" w:sz="6" w:space="0" w:color="auto"/>
              <w:right w:val="double" w:sz="6" w:space="0" w:color="auto"/>
            </w:tcBorders>
            <w:shd w:val="clear" w:color="auto" w:fill="auto"/>
            <w:noWrap/>
            <w:vAlign w:val="bottom"/>
            <w:hideMark/>
          </w:tcPr>
          <w:p w14:paraId="344F4E1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58,81</w:t>
            </w:r>
          </w:p>
        </w:tc>
        <w:tc>
          <w:tcPr>
            <w:tcW w:w="925" w:type="dxa"/>
            <w:tcBorders>
              <w:top w:val="nil"/>
              <w:left w:val="nil"/>
              <w:bottom w:val="double" w:sz="6" w:space="0" w:color="auto"/>
              <w:right w:val="double" w:sz="6" w:space="0" w:color="auto"/>
            </w:tcBorders>
            <w:shd w:val="clear" w:color="auto" w:fill="auto"/>
            <w:noWrap/>
            <w:vAlign w:val="bottom"/>
            <w:hideMark/>
          </w:tcPr>
          <w:p w14:paraId="6173D6A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0,65</w:t>
            </w:r>
          </w:p>
        </w:tc>
        <w:tc>
          <w:tcPr>
            <w:tcW w:w="910" w:type="dxa"/>
            <w:tcBorders>
              <w:top w:val="nil"/>
              <w:left w:val="nil"/>
              <w:bottom w:val="double" w:sz="6" w:space="0" w:color="auto"/>
              <w:right w:val="double" w:sz="6" w:space="0" w:color="auto"/>
            </w:tcBorders>
            <w:shd w:val="clear" w:color="auto" w:fill="auto"/>
            <w:noWrap/>
            <w:vAlign w:val="bottom"/>
            <w:hideMark/>
          </w:tcPr>
          <w:p w14:paraId="33FE4F4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78,74</w:t>
            </w:r>
          </w:p>
        </w:tc>
        <w:tc>
          <w:tcPr>
            <w:tcW w:w="924" w:type="dxa"/>
            <w:tcBorders>
              <w:top w:val="nil"/>
              <w:left w:val="nil"/>
              <w:bottom w:val="double" w:sz="6" w:space="0" w:color="auto"/>
              <w:right w:val="double" w:sz="6" w:space="0" w:color="auto"/>
            </w:tcBorders>
            <w:shd w:val="clear" w:color="auto" w:fill="auto"/>
            <w:noWrap/>
            <w:vAlign w:val="bottom"/>
            <w:hideMark/>
          </w:tcPr>
          <w:p w14:paraId="3E355B9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0,69</w:t>
            </w:r>
          </w:p>
        </w:tc>
        <w:tc>
          <w:tcPr>
            <w:tcW w:w="966" w:type="dxa"/>
            <w:tcBorders>
              <w:top w:val="nil"/>
              <w:left w:val="nil"/>
              <w:bottom w:val="double" w:sz="6" w:space="0" w:color="auto"/>
              <w:right w:val="double" w:sz="6" w:space="0" w:color="auto"/>
            </w:tcBorders>
            <w:shd w:val="clear" w:color="auto" w:fill="auto"/>
            <w:noWrap/>
            <w:vAlign w:val="bottom"/>
            <w:hideMark/>
          </w:tcPr>
          <w:p w14:paraId="2007C48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208,20</w:t>
            </w:r>
          </w:p>
        </w:tc>
        <w:tc>
          <w:tcPr>
            <w:tcW w:w="924" w:type="dxa"/>
            <w:tcBorders>
              <w:top w:val="nil"/>
              <w:left w:val="nil"/>
              <w:bottom w:val="double" w:sz="6" w:space="0" w:color="auto"/>
              <w:right w:val="double" w:sz="6" w:space="0" w:color="auto"/>
            </w:tcBorders>
            <w:shd w:val="clear" w:color="auto" w:fill="auto"/>
            <w:noWrap/>
            <w:vAlign w:val="bottom"/>
            <w:hideMark/>
          </w:tcPr>
          <w:p w14:paraId="650ABDD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2,16</w:t>
            </w:r>
          </w:p>
        </w:tc>
      </w:tr>
      <w:tr w:rsidR="001379D6" w:rsidRPr="003F30A8" w14:paraId="543DF30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C9DEB3F"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BE</w:t>
            </w:r>
          </w:p>
        </w:tc>
        <w:tc>
          <w:tcPr>
            <w:tcW w:w="1093" w:type="dxa"/>
            <w:tcBorders>
              <w:top w:val="nil"/>
              <w:left w:val="nil"/>
              <w:bottom w:val="double" w:sz="6" w:space="0" w:color="auto"/>
              <w:right w:val="double" w:sz="6" w:space="0" w:color="auto"/>
            </w:tcBorders>
            <w:shd w:val="clear" w:color="auto" w:fill="auto"/>
            <w:noWrap/>
            <w:vAlign w:val="bottom"/>
            <w:hideMark/>
          </w:tcPr>
          <w:p w14:paraId="6156BFA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80450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88B53E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114,99</w:t>
            </w:r>
          </w:p>
        </w:tc>
        <w:tc>
          <w:tcPr>
            <w:tcW w:w="925" w:type="dxa"/>
            <w:tcBorders>
              <w:top w:val="nil"/>
              <w:left w:val="nil"/>
              <w:bottom w:val="double" w:sz="6" w:space="0" w:color="auto"/>
              <w:right w:val="double" w:sz="6" w:space="0" w:color="auto"/>
            </w:tcBorders>
            <w:shd w:val="clear" w:color="auto" w:fill="auto"/>
            <w:noWrap/>
            <w:vAlign w:val="bottom"/>
            <w:hideMark/>
          </w:tcPr>
          <w:p w14:paraId="541DA7A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B534A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95,03</w:t>
            </w:r>
          </w:p>
        </w:tc>
        <w:tc>
          <w:tcPr>
            <w:tcW w:w="925" w:type="dxa"/>
            <w:tcBorders>
              <w:top w:val="nil"/>
              <w:left w:val="nil"/>
              <w:bottom w:val="double" w:sz="6" w:space="0" w:color="auto"/>
              <w:right w:val="double" w:sz="6" w:space="0" w:color="auto"/>
            </w:tcBorders>
            <w:shd w:val="clear" w:color="auto" w:fill="auto"/>
            <w:noWrap/>
            <w:vAlign w:val="bottom"/>
            <w:hideMark/>
          </w:tcPr>
          <w:p w14:paraId="12B241C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2,05</w:t>
            </w:r>
          </w:p>
        </w:tc>
        <w:tc>
          <w:tcPr>
            <w:tcW w:w="910" w:type="dxa"/>
            <w:tcBorders>
              <w:top w:val="nil"/>
              <w:left w:val="nil"/>
              <w:bottom w:val="double" w:sz="6" w:space="0" w:color="auto"/>
              <w:right w:val="double" w:sz="6" w:space="0" w:color="auto"/>
            </w:tcBorders>
            <w:shd w:val="clear" w:color="auto" w:fill="auto"/>
            <w:noWrap/>
            <w:vAlign w:val="bottom"/>
            <w:hideMark/>
          </w:tcPr>
          <w:p w14:paraId="5B92A8A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138,96</w:t>
            </w:r>
          </w:p>
        </w:tc>
        <w:tc>
          <w:tcPr>
            <w:tcW w:w="924" w:type="dxa"/>
            <w:tcBorders>
              <w:top w:val="nil"/>
              <w:left w:val="nil"/>
              <w:bottom w:val="double" w:sz="6" w:space="0" w:color="auto"/>
              <w:right w:val="double" w:sz="6" w:space="0" w:color="auto"/>
            </w:tcBorders>
            <w:shd w:val="clear" w:color="auto" w:fill="auto"/>
            <w:noWrap/>
            <w:vAlign w:val="bottom"/>
            <w:hideMark/>
          </w:tcPr>
          <w:p w14:paraId="245D6A2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2,69</w:t>
            </w:r>
          </w:p>
        </w:tc>
        <w:tc>
          <w:tcPr>
            <w:tcW w:w="892" w:type="dxa"/>
            <w:tcBorders>
              <w:top w:val="nil"/>
              <w:left w:val="nil"/>
              <w:bottom w:val="double" w:sz="6" w:space="0" w:color="auto"/>
              <w:right w:val="double" w:sz="6" w:space="0" w:color="auto"/>
            </w:tcBorders>
            <w:shd w:val="clear" w:color="auto" w:fill="auto"/>
            <w:noWrap/>
            <w:vAlign w:val="bottom"/>
            <w:hideMark/>
          </w:tcPr>
          <w:p w14:paraId="2EBD752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107,14</w:t>
            </w:r>
          </w:p>
        </w:tc>
        <w:tc>
          <w:tcPr>
            <w:tcW w:w="925" w:type="dxa"/>
            <w:tcBorders>
              <w:top w:val="nil"/>
              <w:left w:val="nil"/>
              <w:bottom w:val="double" w:sz="6" w:space="0" w:color="auto"/>
              <w:right w:val="double" w:sz="6" w:space="0" w:color="auto"/>
            </w:tcBorders>
            <w:shd w:val="clear" w:color="auto" w:fill="auto"/>
            <w:noWrap/>
            <w:vAlign w:val="bottom"/>
            <w:hideMark/>
          </w:tcPr>
          <w:p w14:paraId="3544AB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0,74</w:t>
            </w:r>
          </w:p>
        </w:tc>
        <w:tc>
          <w:tcPr>
            <w:tcW w:w="910" w:type="dxa"/>
            <w:tcBorders>
              <w:top w:val="nil"/>
              <w:left w:val="nil"/>
              <w:bottom w:val="double" w:sz="6" w:space="0" w:color="auto"/>
              <w:right w:val="double" w:sz="6" w:space="0" w:color="auto"/>
            </w:tcBorders>
            <w:shd w:val="clear" w:color="auto" w:fill="auto"/>
            <w:noWrap/>
            <w:vAlign w:val="bottom"/>
            <w:hideMark/>
          </w:tcPr>
          <w:p w14:paraId="267F54E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143,52</w:t>
            </w:r>
          </w:p>
        </w:tc>
        <w:tc>
          <w:tcPr>
            <w:tcW w:w="924" w:type="dxa"/>
            <w:tcBorders>
              <w:top w:val="nil"/>
              <w:left w:val="nil"/>
              <w:bottom w:val="double" w:sz="6" w:space="0" w:color="auto"/>
              <w:right w:val="double" w:sz="6" w:space="0" w:color="auto"/>
            </w:tcBorders>
            <w:shd w:val="clear" w:color="auto" w:fill="auto"/>
            <w:noWrap/>
            <w:vAlign w:val="bottom"/>
            <w:hideMark/>
          </w:tcPr>
          <w:p w14:paraId="7DE9DB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0,79</w:t>
            </w:r>
          </w:p>
        </w:tc>
        <w:tc>
          <w:tcPr>
            <w:tcW w:w="966" w:type="dxa"/>
            <w:tcBorders>
              <w:top w:val="nil"/>
              <w:left w:val="nil"/>
              <w:bottom w:val="double" w:sz="6" w:space="0" w:color="auto"/>
              <w:right w:val="double" w:sz="6" w:space="0" w:color="auto"/>
            </w:tcBorders>
            <w:shd w:val="clear" w:color="auto" w:fill="auto"/>
            <w:noWrap/>
            <w:vAlign w:val="bottom"/>
            <w:hideMark/>
          </w:tcPr>
          <w:p w14:paraId="0F8AD18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379,00</w:t>
            </w:r>
          </w:p>
        </w:tc>
        <w:tc>
          <w:tcPr>
            <w:tcW w:w="924" w:type="dxa"/>
            <w:tcBorders>
              <w:top w:val="nil"/>
              <w:left w:val="nil"/>
              <w:bottom w:val="double" w:sz="6" w:space="0" w:color="auto"/>
              <w:right w:val="double" w:sz="6" w:space="0" w:color="auto"/>
            </w:tcBorders>
            <w:shd w:val="clear" w:color="auto" w:fill="auto"/>
            <w:noWrap/>
            <w:vAlign w:val="bottom"/>
            <w:hideMark/>
          </w:tcPr>
          <w:p w14:paraId="5B93E82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2,47</w:t>
            </w:r>
          </w:p>
        </w:tc>
      </w:tr>
      <w:tr w:rsidR="001379D6" w:rsidRPr="003F30A8" w14:paraId="0F3A127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7A19C6C"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BG</w:t>
            </w:r>
          </w:p>
        </w:tc>
        <w:tc>
          <w:tcPr>
            <w:tcW w:w="1093" w:type="dxa"/>
            <w:tcBorders>
              <w:top w:val="nil"/>
              <w:left w:val="nil"/>
              <w:bottom w:val="double" w:sz="6" w:space="0" w:color="auto"/>
              <w:right w:val="double" w:sz="6" w:space="0" w:color="auto"/>
            </w:tcBorders>
            <w:shd w:val="clear" w:color="auto" w:fill="auto"/>
            <w:noWrap/>
            <w:vAlign w:val="bottom"/>
            <w:hideMark/>
          </w:tcPr>
          <w:p w14:paraId="3DFADA9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22,14</w:t>
            </w:r>
          </w:p>
        </w:tc>
        <w:tc>
          <w:tcPr>
            <w:tcW w:w="1036" w:type="dxa"/>
            <w:tcBorders>
              <w:top w:val="nil"/>
              <w:left w:val="nil"/>
              <w:bottom w:val="double" w:sz="6" w:space="0" w:color="auto"/>
              <w:right w:val="double" w:sz="6" w:space="0" w:color="auto"/>
            </w:tcBorders>
            <w:shd w:val="clear" w:color="auto" w:fill="auto"/>
            <w:noWrap/>
            <w:vAlign w:val="bottom"/>
            <w:hideMark/>
          </w:tcPr>
          <w:p w14:paraId="5BA18AC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55FB0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52,63</w:t>
            </w:r>
          </w:p>
        </w:tc>
        <w:tc>
          <w:tcPr>
            <w:tcW w:w="925" w:type="dxa"/>
            <w:tcBorders>
              <w:top w:val="nil"/>
              <w:left w:val="nil"/>
              <w:bottom w:val="double" w:sz="6" w:space="0" w:color="auto"/>
              <w:right w:val="double" w:sz="6" w:space="0" w:color="auto"/>
            </w:tcBorders>
            <w:shd w:val="clear" w:color="auto" w:fill="auto"/>
            <w:noWrap/>
            <w:vAlign w:val="bottom"/>
            <w:hideMark/>
          </w:tcPr>
          <w:p w14:paraId="008B929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582441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36,19</w:t>
            </w:r>
          </w:p>
        </w:tc>
        <w:tc>
          <w:tcPr>
            <w:tcW w:w="925" w:type="dxa"/>
            <w:tcBorders>
              <w:top w:val="nil"/>
              <w:left w:val="nil"/>
              <w:bottom w:val="double" w:sz="6" w:space="0" w:color="auto"/>
              <w:right w:val="double" w:sz="6" w:space="0" w:color="auto"/>
            </w:tcBorders>
            <w:shd w:val="clear" w:color="auto" w:fill="auto"/>
            <w:noWrap/>
            <w:vAlign w:val="bottom"/>
            <w:hideMark/>
          </w:tcPr>
          <w:p w14:paraId="717A7B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0,22</w:t>
            </w:r>
          </w:p>
        </w:tc>
        <w:tc>
          <w:tcPr>
            <w:tcW w:w="910" w:type="dxa"/>
            <w:tcBorders>
              <w:top w:val="nil"/>
              <w:left w:val="nil"/>
              <w:bottom w:val="double" w:sz="6" w:space="0" w:color="auto"/>
              <w:right w:val="double" w:sz="6" w:space="0" w:color="auto"/>
            </w:tcBorders>
            <w:shd w:val="clear" w:color="auto" w:fill="auto"/>
            <w:noWrap/>
            <w:vAlign w:val="bottom"/>
            <w:hideMark/>
          </w:tcPr>
          <w:p w14:paraId="02E93F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120,91</w:t>
            </w:r>
          </w:p>
        </w:tc>
        <w:tc>
          <w:tcPr>
            <w:tcW w:w="924" w:type="dxa"/>
            <w:tcBorders>
              <w:top w:val="nil"/>
              <w:left w:val="nil"/>
              <w:bottom w:val="double" w:sz="6" w:space="0" w:color="auto"/>
              <w:right w:val="double" w:sz="6" w:space="0" w:color="auto"/>
            </w:tcBorders>
            <w:shd w:val="clear" w:color="auto" w:fill="auto"/>
            <w:noWrap/>
            <w:vAlign w:val="bottom"/>
            <w:hideMark/>
          </w:tcPr>
          <w:p w14:paraId="49485D9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0,91</w:t>
            </w:r>
          </w:p>
        </w:tc>
        <w:tc>
          <w:tcPr>
            <w:tcW w:w="892" w:type="dxa"/>
            <w:tcBorders>
              <w:top w:val="nil"/>
              <w:left w:val="nil"/>
              <w:bottom w:val="double" w:sz="6" w:space="0" w:color="auto"/>
              <w:right w:val="double" w:sz="6" w:space="0" w:color="auto"/>
            </w:tcBorders>
            <w:shd w:val="clear" w:color="auto" w:fill="auto"/>
            <w:noWrap/>
            <w:vAlign w:val="bottom"/>
            <w:hideMark/>
          </w:tcPr>
          <w:p w14:paraId="783C63A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85,08</w:t>
            </w:r>
          </w:p>
        </w:tc>
        <w:tc>
          <w:tcPr>
            <w:tcW w:w="925" w:type="dxa"/>
            <w:tcBorders>
              <w:top w:val="nil"/>
              <w:left w:val="nil"/>
              <w:bottom w:val="double" w:sz="6" w:space="0" w:color="auto"/>
              <w:right w:val="double" w:sz="6" w:space="0" w:color="auto"/>
            </w:tcBorders>
            <w:shd w:val="clear" w:color="auto" w:fill="auto"/>
            <w:noWrap/>
            <w:vAlign w:val="bottom"/>
            <w:hideMark/>
          </w:tcPr>
          <w:p w14:paraId="3FC79B5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0,25</w:t>
            </w:r>
          </w:p>
        </w:tc>
        <w:tc>
          <w:tcPr>
            <w:tcW w:w="910" w:type="dxa"/>
            <w:tcBorders>
              <w:top w:val="nil"/>
              <w:left w:val="nil"/>
              <w:bottom w:val="double" w:sz="6" w:space="0" w:color="auto"/>
              <w:right w:val="double" w:sz="6" w:space="0" w:color="auto"/>
            </w:tcBorders>
            <w:shd w:val="clear" w:color="auto" w:fill="auto"/>
            <w:noWrap/>
            <w:vAlign w:val="bottom"/>
            <w:hideMark/>
          </w:tcPr>
          <w:p w14:paraId="679F2FB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130,15</w:t>
            </w:r>
          </w:p>
        </w:tc>
        <w:tc>
          <w:tcPr>
            <w:tcW w:w="924" w:type="dxa"/>
            <w:tcBorders>
              <w:top w:val="nil"/>
              <w:left w:val="nil"/>
              <w:bottom w:val="double" w:sz="6" w:space="0" w:color="auto"/>
              <w:right w:val="double" w:sz="6" w:space="0" w:color="auto"/>
            </w:tcBorders>
            <w:shd w:val="clear" w:color="auto" w:fill="auto"/>
            <w:noWrap/>
            <w:vAlign w:val="bottom"/>
            <w:hideMark/>
          </w:tcPr>
          <w:p w14:paraId="60F795B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0,27</w:t>
            </w:r>
          </w:p>
        </w:tc>
        <w:tc>
          <w:tcPr>
            <w:tcW w:w="966" w:type="dxa"/>
            <w:tcBorders>
              <w:top w:val="nil"/>
              <w:left w:val="nil"/>
              <w:bottom w:val="double" w:sz="6" w:space="0" w:color="auto"/>
              <w:right w:val="double" w:sz="6" w:space="0" w:color="auto"/>
            </w:tcBorders>
            <w:shd w:val="clear" w:color="auto" w:fill="auto"/>
            <w:noWrap/>
            <w:vAlign w:val="bottom"/>
            <w:hideMark/>
          </w:tcPr>
          <w:p w14:paraId="15386E5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367,34</w:t>
            </w:r>
          </w:p>
        </w:tc>
        <w:tc>
          <w:tcPr>
            <w:tcW w:w="924" w:type="dxa"/>
            <w:tcBorders>
              <w:top w:val="nil"/>
              <w:left w:val="nil"/>
              <w:bottom w:val="double" w:sz="6" w:space="0" w:color="auto"/>
              <w:right w:val="double" w:sz="6" w:space="0" w:color="auto"/>
            </w:tcBorders>
            <w:shd w:val="clear" w:color="auto" w:fill="auto"/>
            <w:noWrap/>
            <w:vAlign w:val="bottom"/>
            <w:hideMark/>
          </w:tcPr>
          <w:p w14:paraId="30ED008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0,83</w:t>
            </w:r>
          </w:p>
        </w:tc>
      </w:tr>
      <w:tr w:rsidR="001379D6" w:rsidRPr="003F30A8" w14:paraId="4FF1C2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1E3F7E9"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CY</w:t>
            </w:r>
          </w:p>
        </w:tc>
        <w:tc>
          <w:tcPr>
            <w:tcW w:w="1093" w:type="dxa"/>
            <w:tcBorders>
              <w:top w:val="nil"/>
              <w:left w:val="nil"/>
              <w:bottom w:val="double" w:sz="6" w:space="0" w:color="auto"/>
              <w:right w:val="double" w:sz="6" w:space="0" w:color="auto"/>
            </w:tcBorders>
            <w:shd w:val="clear" w:color="auto" w:fill="auto"/>
            <w:noWrap/>
            <w:vAlign w:val="bottom"/>
            <w:hideMark/>
          </w:tcPr>
          <w:p w14:paraId="61AA8FD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1,58</w:t>
            </w:r>
          </w:p>
        </w:tc>
        <w:tc>
          <w:tcPr>
            <w:tcW w:w="1036" w:type="dxa"/>
            <w:tcBorders>
              <w:top w:val="nil"/>
              <w:left w:val="nil"/>
              <w:bottom w:val="double" w:sz="6" w:space="0" w:color="auto"/>
              <w:right w:val="double" w:sz="6" w:space="0" w:color="auto"/>
            </w:tcBorders>
            <w:shd w:val="clear" w:color="auto" w:fill="auto"/>
            <w:noWrap/>
            <w:vAlign w:val="bottom"/>
            <w:hideMark/>
          </w:tcPr>
          <w:p w14:paraId="675C2D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4B5D6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0,35</w:t>
            </w:r>
          </w:p>
        </w:tc>
        <w:tc>
          <w:tcPr>
            <w:tcW w:w="925" w:type="dxa"/>
            <w:tcBorders>
              <w:top w:val="nil"/>
              <w:left w:val="nil"/>
              <w:bottom w:val="double" w:sz="6" w:space="0" w:color="auto"/>
              <w:right w:val="double" w:sz="6" w:space="0" w:color="auto"/>
            </w:tcBorders>
            <w:shd w:val="clear" w:color="auto" w:fill="auto"/>
            <w:noWrap/>
            <w:vAlign w:val="bottom"/>
            <w:hideMark/>
          </w:tcPr>
          <w:p w14:paraId="244AE53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848AD5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0,43</w:t>
            </w:r>
          </w:p>
        </w:tc>
        <w:tc>
          <w:tcPr>
            <w:tcW w:w="925" w:type="dxa"/>
            <w:tcBorders>
              <w:top w:val="nil"/>
              <w:left w:val="nil"/>
              <w:bottom w:val="double" w:sz="6" w:space="0" w:color="auto"/>
              <w:right w:val="double" w:sz="6" w:space="0" w:color="auto"/>
            </w:tcBorders>
            <w:shd w:val="clear" w:color="auto" w:fill="auto"/>
            <w:noWrap/>
            <w:vAlign w:val="bottom"/>
            <w:hideMark/>
          </w:tcPr>
          <w:p w14:paraId="4730046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0,30</w:t>
            </w:r>
          </w:p>
        </w:tc>
        <w:tc>
          <w:tcPr>
            <w:tcW w:w="910" w:type="dxa"/>
            <w:tcBorders>
              <w:top w:val="nil"/>
              <w:left w:val="nil"/>
              <w:bottom w:val="double" w:sz="6" w:space="0" w:color="auto"/>
              <w:right w:val="double" w:sz="6" w:space="0" w:color="auto"/>
            </w:tcBorders>
            <w:shd w:val="clear" w:color="auto" w:fill="auto"/>
            <w:noWrap/>
            <w:vAlign w:val="bottom"/>
            <w:hideMark/>
          </w:tcPr>
          <w:p w14:paraId="1825DD0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4" w:type="dxa"/>
            <w:tcBorders>
              <w:top w:val="nil"/>
              <w:left w:val="nil"/>
              <w:bottom w:val="double" w:sz="6" w:space="0" w:color="auto"/>
              <w:right w:val="double" w:sz="6" w:space="0" w:color="auto"/>
            </w:tcBorders>
            <w:shd w:val="clear" w:color="auto" w:fill="auto"/>
            <w:noWrap/>
            <w:vAlign w:val="bottom"/>
            <w:hideMark/>
          </w:tcPr>
          <w:p w14:paraId="7F9D27D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1,42</w:t>
            </w:r>
          </w:p>
        </w:tc>
        <w:tc>
          <w:tcPr>
            <w:tcW w:w="892" w:type="dxa"/>
            <w:tcBorders>
              <w:top w:val="nil"/>
              <w:left w:val="nil"/>
              <w:bottom w:val="double" w:sz="6" w:space="0" w:color="auto"/>
              <w:right w:val="double" w:sz="6" w:space="0" w:color="auto"/>
            </w:tcBorders>
            <w:shd w:val="clear" w:color="auto" w:fill="auto"/>
            <w:noWrap/>
            <w:vAlign w:val="bottom"/>
            <w:hideMark/>
          </w:tcPr>
          <w:p w14:paraId="4B0D415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569053F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0,39</w:t>
            </w:r>
          </w:p>
        </w:tc>
        <w:tc>
          <w:tcPr>
            <w:tcW w:w="910" w:type="dxa"/>
            <w:tcBorders>
              <w:top w:val="nil"/>
              <w:left w:val="nil"/>
              <w:bottom w:val="double" w:sz="6" w:space="0" w:color="auto"/>
              <w:right w:val="double" w:sz="6" w:space="0" w:color="auto"/>
            </w:tcBorders>
            <w:shd w:val="clear" w:color="auto" w:fill="auto"/>
            <w:noWrap/>
            <w:vAlign w:val="bottom"/>
            <w:hideMark/>
          </w:tcPr>
          <w:p w14:paraId="79F0F3E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6,15</w:t>
            </w:r>
          </w:p>
        </w:tc>
        <w:tc>
          <w:tcPr>
            <w:tcW w:w="924" w:type="dxa"/>
            <w:tcBorders>
              <w:top w:val="nil"/>
              <w:left w:val="nil"/>
              <w:bottom w:val="double" w:sz="6" w:space="0" w:color="auto"/>
              <w:right w:val="double" w:sz="6" w:space="0" w:color="auto"/>
            </w:tcBorders>
            <w:shd w:val="clear" w:color="auto" w:fill="auto"/>
            <w:noWrap/>
            <w:vAlign w:val="bottom"/>
            <w:hideMark/>
          </w:tcPr>
          <w:p w14:paraId="2BC9DD5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0,41</w:t>
            </w:r>
          </w:p>
        </w:tc>
        <w:tc>
          <w:tcPr>
            <w:tcW w:w="966" w:type="dxa"/>
            <w:tcBorders>
              <w:top w:val="nil"/>
              <w:left w:val="nil"/>
              <w:bottom w:val="double" w:sz="6" w:space="0" w:color="auto"/>
              <w:right w:val="double" w:sz="6" w:space="0" w:color="auto"/>
            </w:tcBorders>
            <w:shd w:val="clear" w:color="auto" w:fill="auto"/>
            <w:noWrap/>
            <w:vAlign w:val="bottom"/>
            <w:hideMark/>
          </w:tcPr>
          <w:p w14:paraId="7A3CB575" w14:textId="77777777" w:rsidR="001379D6" w:rsidRPr="003F30A8" w:rsidRDefault="00E55173" w:rsidP="001379D6">
            <w:pPr>
              <w:spacing w:after="0" w:line="240" w:lineRule="auto"/>
              <w:jc w:val="right"/>
              <w:rPr>
                <w:rFonts w:ascii="Times New Roman" w:eastAsia="Times New Roman" w:hAnsi="Times New Roman"/>
                <w:color w:val="000000"/>
                <w:sz w:val="20"/>
                <w:szCs w:val="20"/>
                <w:lang w:eastAsia="en-GB"/>
              </w:rPr>
            </w:pPr>
            <w:r w:rsidRPr="00E55173">
              <w:rPr>
                <w:rFonts w:ascii="Times New Roman" w:eastAsia="Times New Roman" w:hAnsi="Times New Roman"/>
                <w:color w:val="000000"/>
                <w:sz w:val="20"/>
                <w:szCs w:val="20"/>
                <w:lang w:eastAsia="en-GB"/>
              </w:rPr>
              <w:t xml:space="preserve">24,66 </w:t>
            </w:r>
          </w:p>
        </w:tc>
        <w:tc>
          <w:tcPr>
            <w:tcW w:w="924" w:type="dxa"/>
            <w:tcBorders>
              <w:top w:val="nil"/>
              <w:left w:val="nil"/>
              <w:bottom w:val="double" w:sz="6" w:space="0" w:color="auto"/>
              <w:right w:val="double" w:sz="6" w:space="0" w:color="auto"/>
            </w:tcBorders>
            <w:shd w:val="clear" w:color="auto" w:fill="auto"/>
            <w:noWrap/>
            <w:vAlign w:val="bottom"/>
            <w:hideMark/>
          </w:tcPr>
          <w:p w14:paraId="060A307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1,30</w:t>
            </w:r>
          </w:p>
        </w:tc>
      </w:tr>
      <w:tr w:rsidR="001379D6" w:rsidRPr="003F30A8" w14:paraId="1B7EB0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8B26794"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HR</w:t>
            </w:r>
          </w:p>
        </w:tc>
        <w:tc>
          <w:tcPr>
            <w:tcW w:w="1093" w:type="dxa"/>
            <w:tcBorders>
              <w:top w:val="nil"/>
              <w:left w:val="nil"/>
              <w:bottom w:val="double" w:sz="6" w:space="0" w:color="auto"/>
              <w:right w:val="double" w:sz="6" w:space="0" w:color="auto"/>
            </w:tcBorders>
            <w:shd w:val="clear" w:color="auto" w:fill="auto"/>
            <w:noWrap/>
            <w:vAlign w:val="bottom"/>
            <w:hideMark/>
          </w:tcPr>
          <w:p w14:paraId="3F3C53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085F6B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FACB8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303BDCA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F17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775AF3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8D0696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86,40</w:t>
            </w:r>
          </w:p>
        </w:tc>
        <w:tc>
          <w:tcPr>
            <w:tcW w:w="924" w:type="dxa"/>
            <w:tcBorders>
              <w:top w:val="nil"/>
              <w:left w:val="nil"/>
              <w:bottom w:val="double" w:sz="6" w:space="0" w:color="auto"/>
              <w:right w:val="double" w:sz="6" w:space="0" w:color="auto"/>
            </w:tcBorders>
            <w:shd w:val="clear" w:color="auto" w:fill="auto"/>
            <w:noWrap/>
            <w:vAlign w:val="bottom"/>
            <w:hideMark/>
          </w:tcPr>
          <w:p w14:paraId="6E69C3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0,49</w:t>
            </w:r>
          </w:p>
        </w:tc>
        <w:tc>
          <w:tcPr>
            <w:tcW w:w="892" w:type="dxa"/>
            <w:tcBorders>
              <w:top w:val="nil"/>
              <w:left w:val="nil"/>
              <w:bottom w:val="double" w:sz="6" w:space="0" w:color="auto"/>
              <w:right w:val="double" w:sz="6" w:space="0" w:color="auto"/>
            </w:tcBorders>
            <w:shd w:val="clear" w:color="auto" w:fill="auto"/>
            <w:noWrap/>
            <w:vAlign w:val="bottom"/>
            <w:hideMark/>
          </w:tcPr>
          <w:p w14:paraId="6A6BDF8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20,09</w:t>
            </w:r>
          </w:p>
        </w:tc>
        <w:tc>
          <w:tcPr>
            <w:tcW w:w="925" w:type="dxa"/>
            <w:tcBorders>
              <w:top w:val="nil"/>
              <w:left w:val="nil"/>
              <w:bottom w:val="double" w:sz="6" w:space="0" w:color="auto"/>
              <w:right w:val="double" w:sz="6" w:space="0" w:color="auto"/>
            </w:tcBorders>
            <w:shd w:val="clear" w:color="auto" w:fill="auto"/>
            <w:noWrap/>
            <w:vAlign w:val="bottom"/>
            <w:hideMark/>
          </w:tcPr>
          <w:p w14:paraId="476BEF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0,16</w:t>
            </w:r>
          </w:p>
        </w:tc>
        <w:tc>
          <w:tcPr>
            <w:tcW w:w="910" w:type="dxa"/>
            <w:tcBorders>
              <w:top w:val="nil"/>
              <w:left w:val="nil"/>
              <w:bottom w:val="double" w:sz="6" w:space="0" w:color="auto"/>
              <w:right w:val="double" w:sz="6" w:space="0" w:color="auto"/>
            </w:tcBorders>
            <w:shd w:val="clear" w:color="auto" w:fill="auto"/>
            <w:noWrap/>
            <w:vAlign w:val="bottom"/>
            <w:hideMark/>
          </w:tcPr>
          <w:p w14:paraId="12CB16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26,97</w:t>
            </w:r>
          </w:p>
        </w:tc>
        <w:tc>
          <w:tcPr>
            <w:tcW w:w="924" w:type="dxa"/>
            <w:tcBorders>
              <w:top w:val="nil"/>
              <w:left w:val="nil"/>
              <w:bottom w:val="double" w:sz="6" w:space="0" w:color="auto"/>
              <w:right w:val="double" w:sz="6" w:space="0" w:color="auto"/>
            </w:tcBorders>
            <w:shd w:val="clear" w:color="auto" w:fill="auto"/>
            <w:noWrap/>
            <w:vAlign w:val="bottom"/>
            <w:hideMark/>
          </w:tcPr>
          <w:p w14:paraId="1437C4D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0,18</w:t>
            </w:r>
          </w:p>
        </w:tc>
        <w:tc>
          <w:tcPr>
            <w:tcW w:w="966" w:type="dxa"/>
            <w:tcBorders>
              <w:top w:val="nil"/>
              <w:left w:val="nil"/>
              <w:bottom w:val="double" w:sz="6" w:space="0" w:color="auto"/>
              <w:right w:val="double" w:sz="6" w:space="0" w:color="auto"/>
            </w:tcBorders>
            <w:shd w:val="clear" w:color="auto" w:fill="auto"/>
            <w:noWrap/>
            <w:vAlign w:val="bottom"/>
            <w:hideMark/>
          </w:tcPr>
          <w:p w14:paraId="3A884A2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70,96</w:t>
            </w:r>
          </w:p>
        </w:tc>
        <w:tc>
          <w:tcPr>
            <w:tcW w:w="924" w:type="dxa"/>
            <w:tcBorders>
              <w:top w:val="nil"/>
              <w:left w:val="nil"/>
              <w:bottom w:val="double" w:sz="6" w:space="0" w:color="auto"/>
              <w:right w:val="double" w:sz="6" w:space="0" w:color="auto"/>
            </w:tcBorders>
            <w:shd w:val="clear" w:color="auto" w:fill="auto"/>
            <w:noWrap/>
            <w:vAlign w:val="bottom"/>
            <w:hideMark/>
          </w:tcPr>
          <w:p w14:paraId="1992457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0,55</w:t>
            </w:r>
          </w:p>
        </w:tc>
      </w:tr>
      <w:tr w:rsidR="001379D6" w:rsidRPr="003F30A8" w14:paraId="31A9D934"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638B988"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CZ</w:t>
            </w:r>
          </w:p>
        </w:tc>
        <w:tc>
          <w:tcPr>
            <w:tcW w:w="1093" w:type="dxa"/>
            <w:tcBorders>
              <w:top w:val="nil"/>
              <w:left w:val="nil"/>
              <w:bottom w:val="double" w:sz="6" w:space="0" w:color="auto"/>
              <w:right w:val="double" w:sz="6" w:space="0" w:color="auto"/>
            </w:tcBorders>
            <w:shd w:val="clear" w:color="auto" w:fill="auto"/>
            <w:noWrap/>
            <w:vAlign w:val="bottom"/>
            <w:hideMark/>
          </w:tcPr>
          <w:p w14:paraId="29328F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3C31C1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F1A554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0478A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797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55,24</w:t>
            </w:r>
          </w:p>
        </w:tc>
        <w:tc>
          <w:tcPr>
            <w:tcW w:w="925" w:type="dxa"/>
            <w:tcBorders>
              <w:top w:val="nil"/>
              <w:left w:val="nil"/>
              <w:bottom w:val="double" w:sz="6" w:space="0" w:color="auto"/>
              <w:right w:val="double" w:sz="6" w:space="0" w:color="auto"/>
            </w:tcBorders>
            <w:shd w:val="clear" w:color="auto" w:fill="auto"/>
            <w:noWrap/>
            <w:vAlign w:val="bottom"/>
            <w:hideMark/>
          </w:tcPr>
          <w:p w14:paraId="657A2AF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0,47</w:t>
            </w:r>
          </w:p>
        </w:tc>
        <w:tc>
          <w:tcPr>
            <w:tcW w:w="910" w:type="dxa"/>
            <w:tcBorders>
              <w:top w:val="nil"/>
              <w:left w:val="nil"/>
              <w:bottom w:val="double" w:sz="6" w:space="0" w:color="auto"/>
              <w:right w:val="double" w:sz="6" w:space="0" w:color="auto"/>
            </w:tcBorders>
            <w:shd w:val="clear" w:color="auto" w:fill="auto"/>
            <w:noWrap/>
            <w:vAlign w:val="bottom"/>
            <w:hideMark/>
          </w:tcPr>
          <w:p w14:paraId="1ACE2F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110,30</w:t>
            </w:r>
          </w:p>
        </w:tc>
        <w:tc>
          <w:tcPr>
            <w:tcW w:w="924" w:type="dxa"/>
            <w:tcBorders>
              <w:top w:val="nil"/>
              <w:left w:val="nil"/>
              <w:bottom w:val="double" w:sz="6" w:space="0" w:color="auto"/>
              <w:right w:val="double" w:sz="6" w:space="0" w:color="auto"/>
            </w:tcBorders>
            <w:shd w:val="clear" w:color="auto" w:fill="auto"/>
            <w:noWrap/>
            <w:vAlign w:val="bottom"/>
            <w:hideMark/>
          </w:tcPr>
          <w:p w14:paraId="72FE343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1,20</w:t>
            </w:r>
          </w:p>
        </w:tc>
        <w:tc>
          <w:tcPr>
            <w:tcW w:w="892" w:type="dxa"/>
            <w:tcBorders>
              <w:top w:val="nil"/>
              <w:left w:val="nil"/>
              <w:bottom w:val="double" w:sz="6" w:space="0" w:color="auto"/>
              <w:right w:val="double" w:sz="6" w:space="0" w:color="auto"/>
            </w:tcBorders>
            <w:shd w:val="clear" w:color="auto" w:fill="auto"/>
            <w:noWrap/>
            <w:vAlign w:val="bottom"/>
            <w:hideMark/>
          </w:tcPr>
          <w:p w14:paraId="1D256CE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117,63</w:t>
            </w:r>
          </w:p>
        </w:tc>
        <w:tc>
          <w:tcPr>
            <w:tcW w:w="925" w:type="dxa"/>
            <w:tcBorders>
              <w:top w:val="nil"/>
              <w:left w:val="nil"/>
              <w:bottom w:val="double" w:sz="6" w:space="0" w:color="auto"/>
              <w:right w:val="double" w:sz="6" w:space="0" w:color="auto"/>
            </w:tcBorders>
            <w:shd w:val="clear" w:color="auto" w:fill="auto"/>
            <w:noWrap/>
            <w:vAlign w:val="bottom"/>
            <w:hideMark/>
          </w:tcPr>
          <w:p w14:paraId="3FD0CF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0,33</w:t>
            </w:r>
          </w:p>
        </w:tc>
        <w:tc>
          <w:tcPr>
            <w:tcW w:w="910" w:type="dxa"/>
            <w:tcBorders>
              <w:top w:val="nil"/>
              <w:left w:val="nil"/>
              <w:bottom w:val="double" w:sz="6" w:space="0" w:color="auto"/>
              <w:right w:val="double" w:sz="6" w:space="0" w:color="auto"/>
            </w:tcBorders>
            <w:shd w:val="clear" w:color="auto" w:fill="auto"/>
            <w:noWrap/>
            <w:vAlign w:val="bottom"/>
            <w:hideMark/>
          </w:tcPr>
          <w:p w14:paraId="48B8814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199,43</w:t>
            </w:r>
          </w:p>
        </w:tc>
        <w:tc>
          <w:tcPr>
            <w:tcW w:w="924" w:type="dxa"/>
            <w:tcBorders>
              <w:top w:val="nil"/>
              <w:left w:val="nil"/>
              <w:bottom w:val="double" w:sz="6" w:space="0" w:color="auto"/>
              <w:right w:val="double" w:sz="6" w:space="0" w:color="auto"/>
            </w:tcBorders>
            <w:shd w:val="clear" w:color="auto" w:fill="auto"/>
            <w:noWrap/>
            <w:vAlign w:val="bottom"/>
            <w:hideMark/>
          </w:tcPr>
          <w:p w14:paraId="6943C40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0,35</w:t>
            </w:r>
          </w:p>
        </w:tc>
        <w:tc>
          <w:tcPr>
            <w:tcW w:w="966" w:type="dxa"/>
            <w:tcBorders>
              <w:top w:val="nil"/>
              <w:left w:val="nil"/>
              <w:bottom w:val="double" w:sz="6" w:space="0" w:color="auto"/>
              <w:right w:val="double" w:sz="6" w:space="0" w:color="auto"/>
            </w:tcBorders>
            <w:shd w:val="clear" w:color="auto" w:fill="auto"/>
            <w:noWrap/>
            <w:vAlign w:val="bottom"/>
            <w:hideMark/>
          </w:tcPr>
          <w:p w14:paraId="67C40E77" w14:textId="77777777" w:rsidR="001379D6" w:rsidRPr="003F30A8" w:rsidRDefault="00E55173" w:rsidP="001379D6">
            <w:pPr>
              <w:spacing w:after="0" w:line="240" w:lineRule="auto"/>
              <w:jc w:val="right"/>
              <w:rPr>
                <w:rFonts w:ascii="Times New Roman" w:eastAsia="Times New Roman" w:hAnsi="Times New Roman"/>
                <w:color w:val="000000"/>
                <w:sz w:val="20"/>
                <w:szCs w:val="20"/>
                <w:lang w:eastAsia="en-GB"/>
              </w:rPr>
            </w:pPr>
            <w:r w:rsidRPr="00E55173">
              <w:rPr>
                <w:rFonts w:ascii="Times New Roman" w:eastAsia="Times New Roman" w:hAnsi="Times New Roman"/>
                <w:color w:val="000000"/>
                <w:sz w:val="20"/>
                <w:szCs w:val="20"/>
                <w:lang w:eastAsia="en-GB"/>
              </w:rPr>
              <w:t xml:space="preserve">583,33 </w:t>
            </w:r>
          </w:p>
        </w:tc>
        <w:tc>
          <w:tcPr>
            <w:tcW w:w="924" w:type="dxa"/>
            <w:tcBorders>
              <w:top w:val="nil"/>
              <w:left w:val="nil"/>
              <w:bottom w:val="double" w:sz="6" w:space="0" w:color="auto"/>
              <w:right w:val="double" w:sz="6" w:space="0" w:color="auto"/>
            </w:tcBorders>
            <w:shd w:val="clear" w:color="auto" w:fill="auto"/>
            <w:noWrap/>
            <w:vAlign w:val="bottom"/>
            <w:hideMark/>
          </w:tcPr>
          <w:p w14:paraId="676BE7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w:t>
            </w:r>
          </w:p>
        </w:tc>
      </w:tr>
      <w:tr w:rsidR="005C0D84" w:rsidRPr="003F30A8" w14:paraId="1A93B58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14:paraId="5BFE7F46" w14:textId="77777777" w:rsidR="005C0D84" w:rsidRPr="003F30A8" w:rsidRDefault="005C0D84"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DE</w:t>
            </w:r>
          </w:p>
        </w:tc>
        <w:tc>
          <w:tcPr>
            <w:tcW w:w="1093" w:type="dxa"/>
            <w:tcBorders>
              <w:top w:val="nil"/>
              <w:left w:val="nil"/>
              <w:bottom w:val="double" w:sz="6" w:space="0" w:color="auto"/>
              <w:right w:val="double" w:sz="6" w:space="0" w:color="auto"/>
            </w:tcBorders>
            <w:shd w:val="clear" w:color="auto" w:fill="auto"/>
            <w:noWrap/>
            <w:vAlign w:val="bottom"/>
          </w:tcPr>
          <w:p w14:paraId="4D658309"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166,18</w:t>
            </w:r>
          </w:p>
        </w:tc>
        <w:tc>
          <w:tcPr>
            <w:tcW w:w="1036" w:type="dxa"/>
            <w:tcBorders>
              <w:top w:val="nil"/>
              <w:left w:val="nil"/>
              <w:bottom w:val="double" w:sz="6" w:space="0" w:color="auto"/>
              <w:right w:val="double" w:sz="6" w:space="0" w:color="auto"/>
            </w:tcBorders>
            <w:shd w:val="clear" w:color="auto" w:fill="auto"/>
            <w:noWrap/>
            <w:vAlign w:val="bottom"/>
          </w:tcPr>
          <w:p w14:paraId="4A60CB9B"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17,52</w:t>
            </w:r>
          </w:p>
        </w:tc>
        <w:tc>
          <w:tcPr>
            <w:tcW w:w="892" w:type="dxa"/>
            <w:tcBorders>
              <w:top w:val="nil"/>
              <w:left w:val="nil"/>
              <w:bottom w:val="double" w:sz="6" w:space="0" w:color="auto"/>
              <w:right w:val="double" w:sz="6" w:space="0" w:color="auto"/>
            </w:tcBorders>
            <w:shd w:val="clear" w:color="auto" w:fill="auto"/>
            <w:noWrap/>
            <w:vAlign w:val="bottom"/>
          </w:tcPr>
          <w:p w14:paraId="7E6FE341"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791,25</w:t>
            </w:r>
          </w:p>
        </w:tc>
        <w:tc>
          <w:tcPr>
            <w:tcW w:w="925" w:type="dxa"/>
            <w:tcBorders>
              <w:top w:val="nil"/>
              <w:left w:val="nil"/>
              <w:bottom w:val="double" w:sz="6" w:space="0" w:color="auto"/>
              <w:right w:val="double" w:sz="6" w:space="0" w:color="auto"/>
            </w:tcBorders>
            <w:shd w:val="clear" w:color="auto" w:fill="auto"/>
            <w:noWrap/>
            <w:vAlign w:val="bottom"/>
          </w:tcPr>
          <w:p w14:paraId="256E2EAC"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tcPr>
          <w:p w14:paraId="0F015248"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749,97</w:t>
            </w:r>
          </w:p>
        </w:tc>
        <w:tc>
          <w:tcPr>
            <w:tcW w:w="925" w:type="dxa"/>
            <w:tcBorders>
              <w:top w:val="nil"/>
              <w:left w:val="nil"/>
              <w:bottom w:val="double" w:sz="6" w:space="0" w:color="auto"/>
              <w:right w:val="double" w:sz="6" w:space="0" w:color="auto"/>
            </w:tcBorders>
            <w:shd w:val="clear" w:color="auto" w:fill="auto"/>
            <w:noWrap/>
            <w:vAlign w:val="bottom"/>
          </w:tcPr>
          <w:p w14:paraId="40BE46CF"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10" w:type="dxa"/>
            <w:tcBorders>
              <w:top w:val="nil"/>
              <w:left w:val="nil"/>
              <w:bottom w:val="double" w:sz="6" w:space="0" w:color="auto"/>
              <w:right w:val="double" w:sz="6" w:space="0" w:color="auto"/>
            </w:tcBorders>
            <w:shd w:val="clear" w:color="auto" w:fill="auto"/>
            <w:noWrap/>
            <w:vAlign w:val="bottom"/>
          </w:tcPr>
          <w:p w14:paraId="5EAF44F2"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1093,31</w:t>
            </w:r>
          </w:p>
        </w:tc>
        <w:tc>
          <w:tcPr>
            <w:tcW w:w="924" w:type="dxa"/>
            <w:tcBorders>
              <w:top w:val="nil"/>
              <w:left w:val="nil"/>
              <w:bottom w:val="double" w:sz="6" w:space="0" w:color="auto"/>
              <w:right w:val="double" w:sz="6" w:space="0" w:color="auto"/>
            </w:tcBorders>
            <w:shd w:val="clear" w:color="auto" w:fill="auto"/>
            <w:noWrap/>
            <w:vAlign w:val="bottom"/>
          </w:tcPr>
          <w:p w14:paraId="04F4D847"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16,87</w:t>
            </w:r>
          </w:p>
        </w:tc>
        <w:tc>
          <w:tcPr>
            <w:tcW w:w="892" w:type="dxa"/>
            <w:tcBorders>
              <w:top w:val="nil"/>
              <w:left w:val="nil"/>
              <w:bottom w:val="double" w:sz="6" w:space="0" w:color="auto"/>
              <w:right w:val="double" w:sz="6" w:space="0" w:color="auto"/>
            </w:tcBorders>
            <w:shd w:val="clear" w:color="auto" w:fill="auto"/>
            <w:noWrap/>
            <w:vAlign w:val="bottom"/>
          </w:tcPr>
          <w:p w14:paraId="4019BF89"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845,74</w:t>
            </w:r>
          </w:p>
        </w:tc>
        <w:tc>
          <w:tcPr>
            <w:tcW w:w="925" w:type="dxa"/>
            <w:tcBorders>
              <w:top w:val="nil"/>
              <w:left w:val="nil"/>
              <w:bottom w:val="double" w:sz="6" w:space="0" w:color="auto"/>
              <w:right w:val="double" w:sz="6" w:space="0" w:color="auto"/>
            </w:tcBorders>
            <w:shd w:val="clear" w:color="auto" w:fill="auto"/>
            <w:noWrap/>
            <w:vAlign w:val="bottom"/>
          </w:tcPr>
          <w:p w14:paraId="36D5B6E6"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4,65</w:t>
            </w:r>
          </w:p>
        </w:tc>
        <w:tc>
          <w:tcPr>
            <w:tcW w:w="910" w:type="dxa"/>
            <w:tcBorders>
              <w:top w:val="nil"/>
              <w:left w:val="nil"/>
              <w:bottom w:val="double" w:sz="6" w:space="0" w:color="auto"/>
              <w:right w:val="double" w:sz="6" w:space="0" w:color="auto"/>
            </w:tcBorders>
            <w:shd w:val="clear" w:color="auto" w:fill="auto"/>
            <w:noWrap/>
            <w:vAlign w:val="bottom"/>
          </w:tcPr>
          <w:p w14:paraId="3FD65E03"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1141,74</w:t>
            </w:r>
          </w:p>
        </w:tc>
        <w:tc>
          <w:tcPr>
            <w:tcW w:w="924" w:type="dxa"/>
            <w:tcBorders>
              <w:top w:val="nil"/>
              <w:left w:val="nil"/>
              <w:bottom w:val="double" w:sz="6" w:space="0" w:color="auto"/>
              <w:right w:val="double" w:sz="6" w:space="0" w:color="auto"/>
            </w:tcBorders>
            <w:shd w:val="clear" w:color="auto" w:fill="auto"/>
            <w:noWrap/>
            <w:vAlign w:val="bottom"/>
          </w:tcPr>
          <w:p w14:paraId="1DE1655F"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5,07</w:t>
            </w:r>
          </w:p>
        </w:tc>
        <w:tc>
          <w:tcPr>
            <w:tcW w:w="966" w:type="dxa"/>
            <w:tcBorders>
              <w:top w:val="nil"/>
              <w:left w:val="nil"/>
              <w:bottom w:val="double" w:sz="6" w:space="0" w:color="auto"/>
              <w:right w:val="double" w:sz="6" w:space="0" w:color="auto"/>
            </w:tcBorders>
            <w:shd w:val="clear" w:color="auto" w:fill="auto"/>
            <w:noWrap/>
            <w:vAlign w:val="bottom"/>
          </w:tcPr>
          <w:p w14:paraId="6AFA9D8A"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2565,34</w:t>
            </w:r>
          </w:p>
        </w:tc>
        <w:tc>
          <w:tcPr>
            <w:tcW w:w="924" w:type="dxa"/>
            <w:tcBorders>
              <w:top w:val="nil"/>
              <w:left w:val="nil"/>
              <w:bottom w:val="double" w:sz="6" w:space="0" w:color="auto"/>
              <w:right w:val="double" w:sz="6" w:space="0" w:color="auto"/>
            </w:tcBorders>
            <w:shd w:val="clear" w:color="auto" w:fill="auto"/>
            <w:noWrap/>
            <w:vAlign w:val="bottom"/>
          </w:tcPr>
          <w:p w14:paraId="2B7AA188" w14:textId="77777777" w:rsidR="005C0D84" w:rsidRPr="003F30A8" w:rsidRDefault="005C0D84"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16,31</w:t>
            </w:r>
          </w:p>
        </w:tc>
      </w:tr>
      <w:tr w:rsidR="001379D6" w:rsidRPr="003F30A8" w14:paraId="2CB3AA90"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FA89F37" w14:textId="77777777" w:rsidR="001379D6" w:rsidRPr="003F30A8" w:rsidRDefault="00524AA2"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DK</w:t>
            </w:r>
          </w:p>
        </w:tc>
        <w:tc>
          <w:tcPr>
            <w:tcW w:w="1093" w:type="dxa"/>
            <w:tcBorders>
              <w:top w:val="nil"/>
              <w:left w:val="nil"/>
              <w:bottom w:val="double" w:sz="6" w:space="0" w:color="auto"/>
              <w:right w:val="double" w:sz="6" w:space="0" w:color="auto"/>
            </w:tcBorders>
            <w:shd w:val="clear" w:color="auto" w:fill="auto"/>
            <w:noWrap/>
            <w:vAlign w:val="bottom"/>
            <w:hideMark/>
          </w:tcPr>
          <w:p w14:paraId="72F0D54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w:t>
            </w:r>
          </w:p>
        </w:tc>
        <w:tc>
          <w:tcPr>
            <w:tcW w:w="1036" w:type="dxa"/>
            <w:tcBorders>
              <w:top w:val="nil"/>
              <w:left w:val="nil"/>
              <w:bottom w:val="double" w:sz="6" w:space="0" w:color="auto"/>
              <w:right w:val="double" w:sz="6" w:space="0" w:color="auto"/>
            </w:tcBorders>
            <w:shd w:val="clear" w:color="auto" w:fill="auto"/>
            <w:noWrap/>
            <w:vAlign w:val="bottom"/>
            <w:hideMark/>
          </w:tcPr>
          <w:p w14:paraId="1C32C58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D0C9D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56,06</w:t>
            </w:r>
          </w:p>
        </w:tc>
        <w:tc>
          <w:tcPr>
            <w:tcW w:w="925" w:type="dxa"/>
            <w:tcBorders>
              <w:top w:val="nil"/>
              <w:left w:val="nil"/>
              <w:bottom w:val="double" w:sz="6" w:space="0" w:color="auto"/>
              <w:right w:val="double" w:sz="6" w:space="0" w:color="auto"/>
            </w:tcBorders>
            <w:shd w:val="clear" w:color="auto" w:fill="auto"/>
            <w:noWrap/>
            <w:vAlign w:val="bottom"/>
            <w:hideMark/>
          </w:tcPr>
          <w:p w14:paraId="7EDC62B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7C330D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46,93</w:t>
            </w:r>
          </w:p>
        </w:tc>
        <w:tc>
          <w:tcPr>
            <w:tcW w:w="925" w:type="dxa"/>
            <w:tcBorders>
              <w:top w:val="nil"/>
              <w:left w:val="nil"/>
              <w:bottom w:val="double" w:sz="6" w:space="0" w:color="auto"/>
              <w:right w:val="double" w:sz="6" w:space="0" w:color="auto"/>
            </w:tcBorders>
            <w:shd w:val="clear" w:color="auto" w:fill="auto"/>
            <w:noWrap/>
            <w:vAlign w:val="bottom"/>
            <w:hideMark/>
          </w:tcPr>
          <w:p w14:paraId="46356A6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1,16</w:t>
            </w:r>
          </w:p>
        </w:tc>
        <w:tc>
          <w:tcPr>
            <w:tcW w:w="910" w:type="dxa"/>
            <w:tcBorders>
              <w:top w:val="nil"/>
              <w:left w:val="nil"/>
              <w:bottom w:val="double" w:sz="6" w:space="0" w:color="auto"/>
              <w:right w:val="double" w:sz="6" w:space="0" w:color="auto"/>
            </w:tcBorders>
            <w:shd w:val="clear" w:color="auto" w:fill="auto"/>
            <w:noWrap/>
            <w:vAlign w:val="bottom"/>
            <w:hideMark/>
          </w:tcPr>
          <w:p w14:paraId="0A405B3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68,64</w:t>
            </w:r>
          </w:p>
        </w:tc>
        <w:tc>
          <w:tcPr>
            <w:tcW w:w="924" w:type="dxa"/>
            <w:tcBorders>
              <w:top w:val="nil"/>
              <w:left w:val="nil"/>
              <w:bottom w:val="double" w:sz="6" w:space="0" w:color="auto"/>
              <w:right w:val="double" w:sz="6" w:space="0" w:color="auto"/>
            </w:tcBorders>
            <w:shd w:val="clear" w:color="auto" w:fill="auto"/>
            <w:noWrap/>
            <w:vAlign w:val="bottom"/>
            <w:hideMark/>
          </w:tcPr>
          <w:p w14:paraId="61F75C3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2,71</w:t>
            </w:r>
          </w:p>
        </w:tc>
        <w:tc>
          <w:tcPr>
            <w:tcW w:w="892" w:type="dxa"/>
            <w:tcBorders>
              <w:top w:val="nil"/>
              <w:left w:val="nil"/>
              <w:bottom w:val="double" w:sz="6" w:space="0" w:color="auto"/>
              <w:right w:val="double" w:sz="6" w:space="0" w:color="auto"/>
            </w:tcBorders>
            <w:shd w:val="clear" w:color="auto" w:fill="auto"/>
            <w:noWrap/>
            <w:vAlign w:val="bottom"/>
            <w:hideMark/>
          </w:tcPr>
          <w:p w14:paraId="699975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52,93</w:t>
            </w:r>
          </w:p>
        </w:tc>
        <w:tc>
          <w:tcPr>
            <w:tcW w:w="925" w:type="dxa"/>
            <w:tcBorders>
              <w:top w:val="nil"/>
              <w:left w:val="nil"/>
              <w:bottom w:val="double" w:sz="6" w:space="0" w:color="auto"/>
              <w:right w:val="double" w:sz="6" w:space="0" w:color="auto"/>
            </w:tcBorders>
            <w:shd w:val="clear" w:color="auto" w:fill="auto"/>
            <w:noWrap/>
            <w:vAlign w:val="bottom"/>
            <w:hideMark/>
          </w:tcPr>
          <w:p w14:paraId="3F43996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0,74</w:t>
            </w:r>
          </w:p>
        </w:tc>
        <w:tc>
          <w:tcPr>
            <w:tcW w:w="910" w:type="dxa"/>
            <w:tcBorders>
              <w:top w:val="nil"/>
              <w:left w:val="nil"/>
              <w:bottom w:val="double" w:sz="6" w:space="0" w:color="auto"/>
              <w:right w:val="double" w:sz="6" w:space="0" w:color="auto"/>
            </w:tcBorders>
            <w:shd w:val="clear" w:color="auto" w:fill="auto"/>
            <w:noWrap/>
            <w:vAlign w:val="bottom"/>
            <w:hideMark/>
          </w:tcPr>
          <w:p w14:paraId="1F60E96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70,93</w:t>
            </w:r>
          </w:p>
        </w:tc>
        <w:tc>
          <w:tcPr>
            <w:tcW w:w="924" w:type="dxa"/>
            <w:tcBorders>
              <w:top w:val="nil"/>
              <w:left w:val="nil"/>
              <w:bottom w:val="double" w:sz="6" w:space="0" w:color="auto"/>
              <w:right w:val="double" w:sz="6" w:space="0" w:color="auto"/>
            </w:tcBorders>
            <w:shd w:val="clear" w:color="auto" w:fill="auto"/>
            <w:noWrap/>
            <w:vAlign w:val="bottom"/>
            <w:hideMark/>
          </w:tcPr>
          <w:p w14:paraId="63E7A86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0,79</w:t>
            </w:r>
          </w:p>
        </w:tc>
        <w:tc>
          <w:tcPr>
            <w:tcW w:w="966" w:type="dxa"/>
            <w:tcBorders>
              <w:top w:val="nil"/>
              <w:left w:val="nil"/>
              <w:bottom w:val="double" w:sz="6" w:space="0" w:color="auto"/>
              <w:right w:val="double" w:sz="6" w:space="0" w:color="auto"/>
            </w:tcBorders>
            <w:shd w:val="clear" w:color="auto" w:fill="auto"/>
            <w:noWrap/>
            <w:vAlign w:val="bottom"/>
            <w:hideMark/>
          </w:tcPr>
          <w:p w14:paraId="49336A6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187,32</w:t>
            </w:r>
          </w:p>
        </w:tc>
        <w:tc>
          <w:tcPr>
            <w:tcW w:w="924" w:type="dxa"/>
            <w:tcBorders>
              <w:top w:val="nil"/>
              <w:left w:val="nil"/>
              <w:bottom w:val="double" w:sz="6" w:space="0" w:color="auto"/>
              <w:right w:val="double" w:sz="6" w:space="0" w:color="auto"/>
            </w:tcBorders>
            <w:shd w:val="clear" w:color="auto" w:fill="auto"/>
            <w:noWrap/>
            <w:vAlign w:val="bottom"/>
            <w:hideMark/>
          </w:tcPr>
          <w:p w14:paraId="5485D11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2,48</w:t>
            </w:r>
          </w:p>
        </w:tc>
      </w:tr>
      <w:tr w:rsidR="001379D6" w:rsidRPr="003F30A8" w14:paraId="5422B39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3A3212B"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EE</w:t>
            </w:r>
          </w:p>
        </w:tc>
        <w:tc>
          <w:tcPr>
            <w:tcW w:w="1093" w:type="dxa"/>
            <w:tcBorders>
              <w:top w:val="nil"/>
              <w:left w:val="nil"/>
              <w:bottom w:val="double" w:sz="6" w:space="0" w:color="auto"/>
              <w:right w:val="double" w:sz="6" w:space="0" w:color="auto"/>
            </w:tcBorders>
            <w:shd w:val="clear" w:color="auto" w:fill="auto"/>
            <w:noWrap/>
            <w:vAlign w:val="bottom"/>
            <w:hideMark/>
          </w:tcPr>
          <w:p w14:paraId="243C33B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34986C5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81FBC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18,07</w:t>
            </w:r>
          </w:p>
        </w:tc>
        <w:tc>
          <w:tcPr>
            <w:tcW w:w="925" w:type="dxa"/>
            <w:tcBorders>
              <w:top w:val="nil"/>
              <w:left w:val="nil"/>
              <w:bottom w:val="double" w:sz="6" w:space="0" w:color="auto"/>
              <w:right w:val="double" w:sz="6" w:space="0" w:color="auto"/>
            </w:tcBorders>
            <w:shd w:val="clear" w:color="auto" w:fill="auto"/>
            <w:noWrap/>
            <w:vAlign w:val="bottom"/>
            <w:hideMark/>
          </w:tcPr>
          <w:p w14:paraId="53A60DB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69E7D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7,41</w:t>
            </w:r>
          </w:p>
        </w:tc>
        <w:tc>
          <w:tcPr>
            <w:tcW w:w="925" w:type="dxa"/>
            <w:tcBorders>
              <w:top w:val="nil"/>
              <w:left w:val="nil"/>
              <w:bottom w:val="double" w:sz="6" w:space="0" w:color="auto"/>
              <w:right w:val="double" w:sz="6" w:space="0" w:color="auto"/>
            </w:tcBorders>
            <w:shd w:val="clear" w:color="auto" w:fill="auto"/>
            <w:noWrap/>
            <w:vAlign w:val="bottom"/>
            <w:hideMark/>
          </w:tcPr>
          <w:p w14:paraId="0DEF4D2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307010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21,13</w:t>
            </w:r>
          </w:p>
        </w:tc>
        <w:tc>
          <w:tcPr>
            <w:tcW w:w="924" w:type="dxa"/>
            <w:tcBorders>
              <w:top w:val="nil"/>
              <w:left w:val="nil"/>
              <w:bottom w:val="double" w:sz="6" w:space="0" w:color="auto"/>
              <w:right w:val="double" w:sz="6" w:space="0" w:color="auto"/>
            </w:tcBorders>
            <w:shd w:val="clear" w:color="auto" w:fill="auto"/>
            <w:noWrap/>
            <w:vAlign w:val="bottom"/>
            <w:hideMark/>
          </w:tcPr>
          <w:p w14:paraId="56486D6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0,15</w:t>
            </w:r>
          </w:p>
        </w:tc>
        <w:tc>
          <w:tcPr>
            <w:tcW w:w="892" w:type="dxa"/>
            <w:tcBorders>
              <w:top w:val="nil"/>
              <w:left w:val="nil"/>
              <w:bottom w:val="double" w:sz="6" w:space="0" w:color="auto"/>
              <w:right w:val="double" w:sz="6" w:space="0" w:color="auto"/>
            </w:tcBorders>
            <w:shd w:val="clear" w:color="auto" w:fill="auto"/>
            <w:noWrap/>
            <w:vAlign w:val="bottom"/>
            <w:hideMark/>
          </w:tcPr>
          <w:p w14:paraId="339940A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23,57</w:t>
            </w:r>
          </w:p>
        </w:tc>
        <w:tc>
          <w:tcPr>
            <w:tcW w:w="925" w:type="dxa"/>
            <w:tcBorders>
              <w:top w:val="nil"/>
              <w:left w:val="nil"/>
              <w:bottom w:val="double" w:sz="6" w:space="0" w:color="auto"/>
              <w:right w:val="double" w:sz="6" w:space="0" w:color="auto"/>
            </w:tcBorders>
            <w:shd w:val="clear" w:color="auto" w:fill="auto"/>
            <w:noWrap/>
            <w:vAlign w:val="bottom"/>
            <w:hideMark/>
          </w:tcPr>
          <w:p w14:paraId="1951869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67A5B68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39,31</w:t>
            </w:r>
          </w:p>
        </w:tc>
        <w:tc>
          <w:tcPr>
            <w:tcW w:w="924" w:type="dxa"/>
            <w:tcBorders>
              <w:top w:val="nil"/>
              <w:left w:val="nil"/>
              <w:bottom w:val="double" w:sz="6" w:space="0" w:color="auto"/>
              <w:right w:val="double" w:sz="6" w:space="0" w:color="auto"/>
            </w:tcBorders>
            <w:shd w:val="clear" w:color="auto" w:fill="auto"/>
            <w:noWrap/>
            <w:vAlign w:val="bottom"/>
            <w:hideMark/>
          </w:tcPr>
          <w:p w14:paraId="5B58718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0,05</w:t>
            </w:r>
          </w:p>
        </w:tc>
        <w:tc>
          <w:tcPr>
            <w:tcW w:w="966" w:type="dxa"/>
            <w:tcBorders>
              <w:top w:val="nil"/>
              <w:left w:val="nil"/>
              <w:bottom w:val="double" w:sz="6" w:space="0" w:color="auto"/>
              <w:right w:val="double" w:sz="6" w:space="0" w:color="auto"/>
            </w:tcBorders>
            <w:shd w:val="clear" w:color="auto" w:fill="auto"/>
            <w:noWrap/>
            <w:vAlign w:val="bottom"/>
            <w:hideMark/>
          </w:tcPr>
          <w:p w14:paraId="6B07ED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139,89</w:t>
            </w:r>
          </w:p>
        </w:tc>
        <w:tc>
          <w:tcPr>
            <w:tcW w:w="924" w:type="dxa"/>
            <w:tcBorders>
              <w:top w:val="nil"/>
              <w:left w:val="nil"/>
              <w:bottom w:val="double" w:sz="6" w:space="0" w:color="auto"/>
              <w:right w:val="double" w:sz="6" w:space="0" w:color="auto"/>
            </w:tcBorders>
            <w:shd w:val="clear" w:color="auto" w:fill="auto"/>
            <w:noWrap/>
            <w:vAlign w:val="bottom"/>
            <w:hideMark/>
          </w:tcPr>
          <w:p w14:paraId="2A3526E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0,14</w:t>
            </w:r>
          </w:p>
        </w:tc>
      </w:tr>
      <w:tr w:rsidR="001379D6" w:rsidRPr="003F30A8" w14:paraId="37A4022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250F78E"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EL</w:t>
            </w:r>
          </w:p>
        </w:tc>
        <w:tc>
          <w:tcPr>
            <w:tcW w:w="1093" w:type="dxa"/>
            <w:tcBorders>
              <w:top w:val="nil"/>
              <w:left w:val="nil"/>
              <w:bottom w:val="double" w:sz="6" w:space="0" w:color="auto"/>
              <w:right w:val="double" w:sz="6" w:space="0" w:color="auto"/>
            </w:tcBorders>
            <w:shd w:val="clear" w:color="auto" w:fill="auto"/>
            <w:noWrap/>
            <w:vAlign w:val="bottom"/>
            <w:hideMark/>
          </w:tcPr>
          <w:p w14:paraId="0735EFE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14,84</w:t>
            </w:r>
          </w:p>
        </w:tc>
        <w:tc>
          <w:tcPr>
            <w:tcW w:w="1036" w:type="dxa"/>
            <w:tcBorders>
              <w:top w:val="nil"/>
              <w:left w:val="nil"/>
              <w:bottom w:val="double" w:sz="6" w:space="0" w:color="auto"/>
              <w:right w:val="double" w:sz="6" w:space="0" w:color="auto"/>
            </w:tcBorders>
            <w:shd w:val="clear" w:color="auto" w:fill="auto"/>
            <w:noWrap/>
            <w:vAlign w:val="bottom"/>
            <w:hideMark/>
          </w:tcPr>
          <w:p w14:paraId="3B4171A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8B1A3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147,64</w:t>
            </w:r>
          </w:p>
        </w:tc>
        <w:tc>
          <w:tcPr>
            <w:tcW w:w="925" w:type="dxa"/>
            <w:tcBorders>
              <w:top w:val="nil"/>
              <w:left w:val="nil"/>
              <w:bottom w:val="double" w:sz="6" w:space="0" w:color="auto"/>
              <w:right w:val="double" w:sz="6" w:space="0" w:color="auto"/>
            </w:tcBorders>
            <w:shd w:val="clear" w:color="auto" w:fill="auto"/>
            <w:noWrap/>
            <w:vAlign w:val="bottom"/>
            <w:hideMark/>
          </w:tcPr>
          <w:p w14:paraId="31C8267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77DA9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129,97</w:t>
            </w:r>
          </w:p>
        </w:tc>
        <w:tc>
          <w:tcPr>
            <w:tcW w:w="925" w:type="dxa"/>
            <w:tcBorders>
              <w:top w:val="nil"/>
              <w:left w:val="nil"/>
              <w:bottom w:val="double" w:sz="6" w:space="0" w:color="auto"/>
              <w:right w:val="double" w:sz="6" w:space="0" w:color="auto"/>
            </w:tcBorders>
            <w:shd w:val="clear" w:color="auto" w:fill="auto"/>
            <w:noWrap/>
            <w:vAlign w:val="bottom"/>
            <w:hideMark/>
          </w:tcPr>
          <w:p w14:paraId="1F0B059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1,10</w:t>
            </w:r>
          </w:p>
        </w:tc>
        <w:tc>
          <w:tcPr>
            <w:tcW w:w="910" w:type="dxa"/>
            <w:tcBorders>
              <w:top w:val="nil"/>
              <w:left w:val="nil"/>
              <w:bottom w:val="double" w:sz="6" w:space="0" w:color="auto"/>
              <w:right w:val="double" w:sz="6" w:space="0" w:color="auto"/>
            </w:tcBorders>
            <w:shd w:val="clear" w:color="auto" w:fill="auto"/>
            <w:noWrap/>
            <w:vAlign w:val="bottom"/>
            <w:hideMark/>
          </w:tcPr>
          <w:p w14:paraId="04E2470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190,17</w:t>
            </w:r>
          </w:p>
        </w:tc>
        <w:tc>
          <w:tcPr>
            <w:tcW w:w="924" w:type="dxa"/>
            <w:tcBorders>
              <w:top w:val="nil"/>
              <w:left w:val="nil"/>
              <w:bottom w:val="double" w:sz="6" w:space="0" w:color="auto"/>
              <w:right w:val="double" w:sz="6" w:space="0" w:color="auto"/>
            </w:tcBorders>
            <w:shd w:val="clear" w:color="auto" w:fill="auto"/>
            <w:noWrap/>
            <w:vAlign w:val="bottom"/>
            <w:hideMark/>
          </w:tcPr>
          <w:p w14:paraId="77CC855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4,99</w:t>
            </w:r>
          </w:p>
        </w:tc>
        <w:tc>
          <w:tcPr>
            <w:tcW w:w="892" w:type="dxa"/>
            <w:tcBorders>
              <w:top w:val="nil"/>
              <w:left w:val="nil"/>
              <w:bottom w:val="double" w:sz="6" w:space="0" w:color="auto"/>
              <w:right w:val="double" w:sz="6" w:space="0" w:color="auto"/>
            </w:tcBorders>
            <w:shd w:val="clear" w:color="auto" w:fill="auto"/>
            <w:noWrap/>
            <w:vAlign w:val="bottom"/>
            <w:hideMark/>
          </w:tcPr>
          <w:p w14:paraId="7C24C06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146,68</w:t>
            </w:r>
          </w:p>
        </w:tc>
        <w:tc>
          <w:tcPr>
            <w:tcW w:w="925" w:type="dxa"/>
            <w:tcBorders>
              <w:top w:val="nil"/>
              <w:left w:val="nil"/>
              <w:bottom w:val="double" w:sz="6" w:space="0" w:color="auto"/>
              <w:right w:val="double" w:sz="6" w:space="0" w:color="auto"/>
            </w:tcBorders>
            <w:shd w:val="clear" w:color="auto" w:fill="auto"/>
            <w:noWrap/>
            <w:vAlign w:val="bottom"/>
            <w:hideMark/>
          </w:tcPr>
          <w:p w14:paraId="28F6599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1,37</w:t>
            </w:r>
          </w:p>
        </w:tc>
        <w:tc>
          <w:tcPr>
            <w:tcW w:w="910" w:type="dxa"/>
            <w:tcBorders>
              <w:top w:val="nil"/>
              <w:left w:val="nil"/>
              <w:bottom w:val="double" w:sz="6" w:space="0" w:color="auto"/>
              <w:right w:val="double" w:sz="6" w:space="0" w:color="auto"/>
            </w:tcBorders>
            <w:shd w:val="clear" w:color="auto" w:fill="auto"/>
            <w:noWrap/>
            <w:vAlign w:val="bottom"/>
            <w:hideMark/>
          </w:tcPr>
          <w:p w14:paraId="0DD7701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196,57</w:t>
            </w:r>
          </w:p>
        </w:tc>
        <w:tc>
          <w:tcPr>
            <w:tcW w:w="924" w:type="dxa"/>
            <w:tcBorders>
              <w:top w:val="nil"/>
              <w:left w:val="nil"/>
              <w:bottom w:val="double" w:sz="6" w:space="0" w:color="auto"/>
              <w:right w:val="double" w:sz="6" w:space="0" w:color="auto"/>
            </w:tcBorders>
            <w:shd w:val="clear" w:color="auto" w:fill="auto"/>
            <w:noWrap/>
            <w:vAlign w:val="bottom"/>
            <w:hideMark/>
          </w:tcPr>
          <w:p w14:paraId="1CF3D65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1,46</w:t>
            </w:r>
          </w:p>
        </w:tc>
        <w:tc>
          <w:tcPr>
            <w:tcW w:w="966" w:type="dxa"/>
            <w:tcBorders>
              <w:top w:val="nil"/>
              <w:left w:val="nil"/>
              <w:bottom w:val="double" w:sz="6" w:space="0" w:color="auto"/>
              <w:right w:val="double" w:sz="6" w:space="0" w:color="auto"/>
            </w:tcBorders>
            <w:shd w:val="clear" w:color="auto" w:fill="auto"/>
            <w:noWrap/>
            <w:vAlign w:val="bottom"/>
            <w:hideMark/>
          </w:tcPr>
          <w:p w14:paraId="51733D2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518,96</w:t>
            </w:r>
          </w:p>
        </w:tc>
        <w:tc>
          <w:tcPr>
            <w:tcW w:w="924" w:type="dxa"/>
            <w:tcBorders>
              <w:top w:val="nil"/>
              <w:left w:val="nil"/>
              <w:bottom w:val="double" w:sz="6" w:space="0" w:color="auto"/>
              <w:right w:val="double" w:sz="6" w:space="0" w:color="auto"/>
            </w:tcBorders>
            <w:shd w:val="clear" w:color="auto" w:fill="auto"/>
            <w:noWrap/>
            <w:vAlign w:val="bottom"/>
            <w:hideMark/>
          </w:tcPr>
          <w:p w14:paraId="4CFD97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4,57</w:t>
            </w:r>
          </w:p>
        </w:tc>
      </w:tr>
      <w:tr w:rsidR="001379D6" w:rsidRPr="003F30A8" w14:paraId="6B1D40A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F4782D"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ES</w:t>
            </w:r>
          </w:p>
        </w:tc>
        <w:tc>
          <w:tcPr>
            <w:tcW w:w="1093" w:type="dxa"/>
            <w:tcBorders>
              <w:top w:val="nil"/>
              <w:left w:val="nil"/>
              <w:bottom w:val="double" w:sz="6" w:space="0" w:color="auto"/>
              <w:right w:val="double" w:sz="6" w:space="0" w:color="auto"/>
            </w:tcBorders>
            <w:shd w:val="clear" w:color="auto" w:fill="auto"/>
            <w:noWrap/>
            <w:vAlign w:val="bottom"/>
            <w:hideMark/>
          </w:tcPr>
          <w:p w14:paraId="22B32B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68,53</w:t>
            </w:r>
          </w:p>
        </w:tc>
        <w:tc>
          <w:tcPr>
            <w:tcW w:w="1036" w:type="dxa"/>
            <w:tcBorders>
              <w:top w:val="nil"/>
              <w:left w:val="nil"/>
              <w:bottom w:val="double" w:sz="6" w:space="0" w:color="auto"/>
              <w:right w:val="double" w:sz="6" w:space="0" w:color="auto"/>
            </w:tcBorders>
            <w:shd w:val="clear" w:color="auto" w:fill="auto"/>
            <w:noWrap/>
            <w:vAlign w:val="bottom"/>
            <w:hideMark/>
          </w:tcPr>
          <w:p w14:paraId="4E9A3B2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DDB2D5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346,11</w:t>
            </w:r>
          </w:p>
        </w:tc>
        <w:tc>
          <w:tcPr>
            <w:tcW w:w="925" w:type="dxa"/>
            <w:tcBorders>
              <w:top w:val="nil"/>
              <w:left w:val="nil"/>
              <w:bottom w:val="double" w:sz="6" w:space="0" w:color="auto"/>
              <w:right w:val="double" w:sz="6" w:space="0" w:color="auto"/>
            </w:tcBorders>
            <w:shd w:val="clear" w:color="auto" w:fill="auto"/>
            <w:noWrap/>
            <w:vAlign w:val="bottom"/>
            <w:hideMark/>
          </w:tcPr>
          <w:p w14:paraId="2C673F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DCD0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323,53</w:t>
            </w:r>
          </w:p>
        </w:tc>
        <w:tc>
          <w:tcPr>
            <w:tcW w:w="925" w:type="dxa"/>
            <w:tcBorders>
              <w:top w:val="nil"/>
              <w:left w:val="nil"/>
              <w:bottom w:val="double" w:sz="6" w:space="0" w:color="auto"/>
              <w:right w:val="double" w:sz="6" w:space="0" w:color="auto"/>
            </w:tcBorders>
            <w:shd w:val="clear" w:color="auto" w:fill="auto"/>
            <w:noWrap/>
            <w:vAlign w:val="bottom"/>
            <w:hideMark/>
          </w:tcPr>
          <w:p w14:paraId="7C7E9D3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6,56</w:t>
            </w:r>
          </w:p>
        </w:tc>
        <w:tc>
          <w:tcPr>
            <w:tcW w:w="910" w:type="dxa"/>
            <w:tcBorders>
              <w:top w:val="nil"/>
              <w:left w:val="nil"/>
              <w:bottom w:val="double" w:sz="6" w:space="0" w:color="auto"/>
              <w:right w:val="double" w:sz="6" w:space="0" w:color="auto"/>
            </w:tcBorders>
            <w:shd w:val="clear" w:color="auto" w:fill="auto"/>
            <w:noWrap/>
            <w:vAlign w:val="bottom"/>
            <w:hideMark/>
          </w:tcPr>
          <w:p w14:paraId="2063335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473,20</w:t>
            </w:r>
          </w:p>
        </w:tc>
        <w:tc>
          <w:tcPr>
            <w:tcW w:w="924" w:type="dxa"/>
            <w:tcBorders>
              <w:top w:val="nil"/>
              <w:left w:val="nil"/>
              <w:bottom w:val="double" w:sz="6" w:space="0" w:color="auto"/>
              <w:right w:val="double" w:sz="6" w:space="0" w:color="auto"/>
            </w:tcBorders>
            <w:shd w:val="clear" w:color="auto" w:fill="auto"/>
            <w:noWrap/>
            <w:vAlign w:val="bottom"/>
            <w:hideMark/>
          </w:tcPr>
          <w:p w14:paraId="18B6103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16,32</w:t>
            </w:r>
          </w:p>
        </w:tc>
        <w:tc>
          <w:tcPr>
            <w:tcW w:w="892" w:type="dxa"/>
            <w:tcBorders>
              <w:top w:val="nil"/>
              <w:left w:val="nil"/>
              <w:bottom w:val="double" w:sz="6" w:space="0" w:color="auto"/>
              <w:right w:val="double" w:sz="6" w:space="0" w:color="auto"/>
            </w:tcBorders>
            <w:shd w:val="clear" w:color="auto" w:fill="auto"/>
            <w:noWrap/>
            <w:vAlign w:val="bottom"/>
            <w:hideMark/>
          </w:tcPr>
          <w:p w14:paraId="1B97CB0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364,97</w:t>
            </w:r>
          </w:p>
        </w:tc>
        <w:tc>
          <w:tcPr>
            <w:tcW w:w="925" w:type="dxa"/>
            <w:tcBorders>
              <w:top w:val="nil"/>
              <w:left w:val="nil"/>
              <w:bottom w:val="double" w:sz="6" w:space="0" w:color="auto"/>
              <w:right w:val="double" w:sz="6" w:space="0" w:color="auto"/>
            </w:tcBorders>
            <w:shd w:val="clear" w:color="auto" w:fill="auto"/>
            <w:noWrap/>
            <w:vAlign w:val="bottom"/>
            <w:hideMark/>
          </w:tcPr>
          <w:p w14:paraId="2954408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4,48</w:t>
            </w:r>
          </w:p>
        </w:tc>
        <w:tc>
          <w:tcPr>
            <w:tcW w:w="910" w:type="dxa"/>
            <w:tcBorders>
              <w:top w:val="nil"/>
              <w:left w:val="nil"/>
              <w:bottom w:val="double" w:sz="6" w:space="0" w:color="auto"/>
              <w:right w:val="double" w:sz="6" w:space="0" w:color="auto"/>
            </w:tcBorders>
            <w:shd w:val="clear" w:color="auto" w:fill="auto"/>
            <w:noWrap/>
            <w:vAlign w:val="bottom"/>
            <w:hideMark/>
          </w:tcPr>
          <w:p w14:paraId="203C60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488,78</w:t>
            </w:r>
          </w:p>
        </w:tc>
        <w:tc>
          <w:tcPr>
            <w:tcW w:w="924" w:type="dxa"/>
            <w:tcBorders>
              <w:top w:val="nil"/>
              <w:left w:val="nil"/>
              <w:bottom w:val="double" w:sz="6" w:space="0" w:color="auto"/>
              <w:right w:val="double" w:sz="6" w:space="0" w:color="auto"/>
            </w:tcBorders>
            <w:shd w:val="clear" w:color="auto" w:fill="auto"/>
            <w:noWrap/>
            <w:vAlign w:val="bottom"/>
            <w:hideMark/>
          </w:tcPr>
          <w:p w14:paraId="4748FFF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4,77</w:t>
            </w:r>
          </w:p>
        </w:tc>
        <w:tc>
          <w:tcPr>
            <w:tcW w:w="966" w:type="dxa"/>
            <w:tcBorders>
              <w:top w:val="nil"/>
              <w:left w:val="nil"/>
              <w:bottom w:val="double" w:sz="6" w:space="0" w:color="auto"/>
              <w:right w:val="double" w:sz="6" w:space="0" w:color="auto"/>
            </w:tcBorders>
            <w:shd w:val="clear" w:color="auto" w:fill="auto"/>
            <w:noWrap/>
            <w:vAlign w:val="bottom"/>
            <w:hideMark/>
          </w:tcPr>
          <w:p w14:paraId="5691559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1291,07</w:t>
            </w:r>
          </w:p>
        </w:tc>
        <w:tc>
          <w:tcPr>
            <w:tcW w:w="924" w:type="dxa"/>
            <w:tcBorders>
              <w:top w:val="nil"/>
              <w:left w:val="nil"/>
              <w:bottom w:val="double" w:sz="6" w:space="0" w:color="auto"/>
              <w:right w:val="double" w:sz="6" w:space="0" w:color="auto"/>
            </w:tcBorders>
            <w:shd w:val="clear" w:color="auto" w:fill="auto"/>
            <w:noWrap/>
            <w:vAlign w:val="bottom"/>
            <w:hideMark/>
          </w:tcPr>
          <w:p w14:paraId="208D630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14,97</w:t>
            </w:r>
          </w:p>
        </w:tc>
      </w:tr>
      <w:tr w:rsidR="001379D6" w:rsidRPr="003F30A8" w14:paraId="6500FF33"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C467EE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FI</w:t>
            </w:r>
          </w:p>
        </w:tc>
        <w:tc>
          <w:tcPr>
            <w:tcW w:w="1093" w:type="dxa"/>
            <w:tcBorders>
              <w:top w:val="nil"/>
              <w:left w:val="nil"/>
              <w:bottom w:val="double" w:sz="6" w:space="0" w:color="auto"/>
              <w:right w:val="double" w:sz="6" w:space="0" w:color="auto"/>
            </w:tcBorders>
            <w:shd w:val="clear" w:color="auto" w:fill="auto"/>
            <w:noWrap/>
            <w:vAlign w:val="bottom"/>
            <w:hideMark/>
          </w:tcPr>
          <w:p w14:paraId="177FCA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13,28</w:t>
            </w:r>
          </w:p>
        </w:tc>
        <w:tc>
          <w:tcPr>
            <w:tcW w:w="1036" w:type="dxa"/>
            <w:tcBorders>
              <w:top w:val="nil"/>
              <w:left w:val="nil"/>
              <w:bottom w:val="double" w:sz="6" w:space="0" w:color="auto"/>
              <w:right w:val="double" w:sz="6" w:space="0" w:color="auto"/>
            </w:tcBorders>
            <w:shd w:val="clear" w:color="auto" w:fill="auto"/>
            <w:noWrap/>
            <w:vAlign w:val="bottom"/>
            <w:hideMark/>
          </w:tcPr>
          <w:p w14:paraId="1C761B0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9F8978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66,97</w:t>
            </w:r>
          </w:p>
        </w:tc>
        <w:tc>
          <w:tcPr>
            <w:tcW w:w="925" w:type="dxa"/>
            <w:tcBorders>
              <w:top w:val="nil"/>
              <w:left w:val="nil"/>
              <w:bottom w:val="double" w:sz="6" w:space="0" w:color="auto"/>
              <w:right w:val="double" w:sz="6" w:space="0" w:color="auto"/>
            </w:tcBorders>
            <w:shd w:val="clear" w:color="auto" w:fill="auto"/>
            <w:noWrap/>
            <w:vAlign w:val="bottom"/>
            <w:hideMark/>
          </w:tcPr>
          <w:p w14:paraId="50D97B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275AAD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62,68</w:t>
            </w:r>
          </w:p>
        </w:tc>
        <w:tc>
          <w:tcPr>
            <w:tcW w:w="925" w:type="dxa"/>
            <w:tcBorders>
              <w:top w:val="nil"/>
              <w:left w:val="nil"/>
              <w:bottom w:val="double" w:sz="6" w:space="0" w:color="auto"/>
              <w:right w:val="double" w:sz="6" w:space="0" w:color="auto"/>
            </w:tcBorders>
            <w:shd w:val="clear" w:color="auto" w:fill="auto"/>
            <w:noWrap/>
            <w:vAlign w:val="bottom"/>
            <w:hideMark/>
          </w:tcPr>
          <w:p w14:paraId="3727DA7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0,81</w:t>
            </w:r>
          </w:p>
        </w:tc>
        <w:tc>
          <w:tcPr>
            <w:tcW w:w="910" w:type="dxa"/>
            <w:tcBorders>
              <w:top w:val="nil"/>
              <w:left w:val="nil"/>
              <w:bottom w:val="double" w:sz="6" w:space="0" w:color="auto"/>
              <w:right w:val="double" w:sz="6" w:space="0" w:color="auto"/>
            </w:tcBorders>
            <w:shd w:val="clear" w:color="auto" w:fill="auto"/>
            <w:noWrap/>
            <w:vAlign w:val="bottom"/>
            <w:hideMark/>
          </w:tcPr>
          <w:p w14:paraId="0EF4D15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91,64</w:t>
            </w:r>
          </w:p>
        </w:tc>
        <w:tc>
          <w:tcPr>
            <w:tcW w:w="924" w:type="dxa"/>
            <w:tcBorders>
              <w:top w:val="nil"/>
              <w:left w:val="nil"/>
              <w:bottom w:val="double" w:sz="6" w:space="0" w:color="auto"/>
              <w:right w:val="double" w:sz="6" w:space="0" w:color="auto"/>
            </w:tcBorders>
            <w:shd w:val="clear" w:color="auto" w:fill="auto"/>
            <w:noWrap/>
            <w:vAlign w:val="bottom"/>
            <w:hideMark/>
          </w:tcPr>
          <w:p w14:paraId="610F9C5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2,13</w:t>
            </w:r>
          </w:p>
        </w:tc>
        <w:tc>
          <w:tcPr>
            <w:tcW w:w="892" w:type="dxa"/>
            <w:tcBorders>
              <w:top w:val="nil"/>
              <w:left w:val="nil"/>
              <w:bottom w:val="double" w:sz="6" w:space="0" w:color="auto"/>
              <w:right w:val="double" w:sz="6" w:space="0" w:color="auto"/>
            </w:tcBorders>
            <w:shd w:val="clear" w:color="auto" w:fill="auto"/>
            <w:noWrap/>
            <w:vAlign w:val="bottom"/>
            <w:hideMark/>
          </w:tcPr>
          <w:p w14:paraId="2EEEB0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70,63</w:t>
            </w:r>
          </w:p>
        </w:tc>
        <w:tc>
          <w:tcPr>
            <w:tcW w:w="925" w:type="dxa"/>
            <w:tcBorders>
              <w:top w:val="nil"/>
              <w:left w:val="nil"/>
              <w:bottom w:val="double" w:sz="6" w:space="0" w:color="auto"/>
              <w:right w:val="double" w:sz="6" w:space="0" w:color="auto"/>
            </w:tcBorders>
            <w:shd w:val="clear" w:color="auto" w:fill="auto"/>
            <w:noWrap/>
            <w:vAlign w:val="bottom"/>
            <w:hideMark/>
          </w:tcPr>
          <w:p w14:paraId="1607E6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0,58</w:t>
            </w:r>
          </w:p>
        </w:tc>
        <w:tc>
          <w:tcPr>
            <w:tcW w:w="910" w:type="dxa"/>
            <w:tcBorders>
              <w:top w:val="nil"/>
              <w:left w:val="nil"/>
              <w:bottom w:val="double" w:sz="6" w:space="0" w:color="auto"/>
              <w:right w:val="double" w:sz="6" w:space="0" w:color="auto"/>
            </w:tcBorders>
            <w:shd w:val="clear" w:color="auto" w:fill="auto"/>
            <w:noWrap/>
            <w:vAlign w:val="bottom"/>
            <w:hideMark/>
          </w:tcPr>
          <w:p w14:paraId="481DA0E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94,64</w:t>
            </w:r>
          </w:p>
        </w:tc>
        <w:tc>
          <w:tcPr>
            <w:tcW w:w="924" w:type="dxa"/>
            <w:tcBorders>
              <w:top w:val="nil"/>
              <w:left w:val="nil"/>
              <w:bottom w:val="double" w:sz="6" w:space="0" w:color="auto"/>
              <w:right w:val="double" w:sz="6" w:space="0" w:color="auto"/>
            </w:tcBorders>
            <w:shd w:val="clear" w:color="auto" w:fill="auto"/>
            <w:noWrap/>
            <w:vAlign w:val="bottom"/>
            <w:hideMark/>
          </w:tcPr>
          <w:p w14:paraId="33B2A85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0,62</w:t>
            </w:r>
          </w:p>
        </w:tc>
        <w:tc>
          <w:tcPr>
            <w:tcW w:w="966" w:type="dxa"/>
            <w:tcBorders>
              <w:top w:val="nil"/>
              <w:left w:val="nil"/>
              <w:bottom w:val="double" w:sz="6" w:space="0" w:color="auto"/>
              <w:right w:val="double" w:sz="6" w:space="0" w:color="auto"/>
            </w:tcBorders>
            <w:shd w:val="clear" w:color="auto" w:fill="auto"/>
            <w:noWrap/>
            <w:vAlign w:val="bottom"/>
            <w:hideMark/>
          </w:tcPr>
          <w:p w14:paraId="67F0029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249,84</w:t>
            </w:r>
          </w:p>
        </w:tc>
        <w:tc>
          <w:tcPr>
            <w:tcW w:w="924" w:type="dxa"/>
            <w:tcBorders>
              <w:top w:val="nil"/>
              <w:left w:val="nil"/>
              <w:bottom w:val="double" w:sz="6" w:space="0" w:color="auto"/>
              <w:right w:val="double" w:sz="6" w:space="0" w:color="auto"/>
            </w:tcBorders>
            <w:shd w:val="clear" w:color="auto" w:fill="auto"/>
            <w:noWrap/>
            <w:vAlign w:val="bottom"/>
            <w:hideMark/>
          </w:tcPr>
          <w:p w14:paraId="7D9F580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1,96</w:t>
            </w:r>
          </w:p>
        </w:tc>
      </w:tr>
      <w:tr w:rsidR="001379D6" w:rsidRPr="003F30A8" w14:paraId="59C1EB8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24B2EB3"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FR</w:t>
            </w:r>
          </w:p>
        </w:tc>
        <w:tc>
          <w:tcPr>
            <w:tcW w:w="1093" w:type="dxa"/>
            <w:tcBorders>
              <w:top w:val="nil"/>
              <w:left w:val="nil"/>
              <w:bottom w:val="double" w:sz="6" w:space="0" w:color="auto"/>
              <w:right w:val="double" w:sz="6" w:space="0" w:color="auto"/>
            </w:tcBorders>
            <w:shd w:val="clear" w:color="auto" w:fill="auto"/>
            <w:noWrap/>
            <w:vAlign w:val="bottom"/>
            <w:hideMark/>
          </w:tcPr>
          <w:p w14:paraId="494B8DC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43,46</w:t>
            </w:r>
          </w:p>
        </w:tc>
        <w:tc>
          <w:tcPr>
            <w:tcW w:w="1036" w:type="dxa"/>
            <w:tcBorders>
              <w:top w:val="nil"/>
              <w:left w:val="nil"/>
              <w:bottom w:val="double" w:sz="6" w:space="0" w:color="auto"/>
              <w:right w:val="double" w:sz="6" w:space="0" w:color="auto"/>
            </w:tcBorders>
            <w:shd w:val="clear" w:color="auto" w:fill="auto"/>
            <w:noWrap/>
            <w:vAlign w:val="bottom"/>
            <w:hideMark/>
          </w:tcPr>
          <w:p w14:paraId="728BC63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40168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219,25</w:t>
            </w:r>
          </w:p>
        </w:tc>
        <w:tc>
          <w:tcPr>
            <w:tcW w:w="925" w:type="dxa"/>
            <w:tcBorders>
              <w:top w:val="nil"/>
              <w:left w:val="nil"/>
              <w:bottom w:val="double" w:sz="6" w:space="0" w:color="auto"/>
              <w:right w:val="double" w:sz="6" w:space="0" w:color="auto"/>
            </w:tcBorders>
            <w:shd w:val="clear" w:color="auto" w:fill="auto"/>
            <w:noWrap/>
            <w:vAlign w:val="bottom"/>
            <w:hideMark/>
          </w:tcPr>
          <w:p w14:paraId="70AD1E4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6F26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205,29</w:t>
            </w:r>
          </w:p>
        </w:tc>
        <w:tc>
          <w:tcPr>
            <w:tcW w:w="925" w:type="dxa"/>
            <w:tcBorders>
              <w:top w:val="nil"/>
              <w:left w:val="nil"/>
              <w:bottom w:val="double" w:sz="6" w:space="0" w:color="auto"/>
              <w:right w:val="double" w:sz="6" w:space="0" w:color="auto"/>
            </w:tcBorders>
            <w:shd w:val="clear" w:color="auto" w:fill="auto"/>
            <w:noWrap/>
            <w:vAlign w:val="bottom"/>
            <w:hideMark/>
          </w:tcPr>
          <w:p w14:paraId="0F18F9A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10,05</w:t>
            </w:r>
          </w:p>
        </w:tc>
        <w:tc>
          <w:tcPr>
            <w:tcW w:w="910" w:type="dxa"/>
            <w:tcBorders>
              <w:top w:val="nil"/>
              <w:left w:val="nil"/>
              <w:bottom w:val="double" w:sz="6" w:space="0" w:color="auto"/>
              <w:right w:val="double" w:sz="6" w:space="0" w:color="auto"/>
            </w:tcBorders>
            <w:shd w:val="clear" w:color="auto" w:fill="auto"/>
            <w:noWrap/>
            <w:vAlign w:val="bottom"/>
            <w:hideMark/>
          </w:tcPr>
          <w:p w14:paraId="4C2E129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299,94</w:t>
            </w:r>
          </w:p>
        </w:tc>
        <w:tc>
          <w:tcPr>
            <w:tcW w:w="924" w:type="dxa"/>
            <w:tcBorders>
              <w:top w:val="nil"/>
              <w:left w:val="nil"/>
              <w:bottom w:val="double" w:sz="6" w:space="0" w:color="auto"/>
              <w:right w:val="double" w:sz="6" w:space="0" w:color="auto"/>
            </w:tcBorders>
            <w:shd w:val="clear" w:color="auto" w:fill="auto"/>
            <w:noWrap/>
            <w:vAlign w:val="bottom"/>
            <w:hideMark/>
          </w:tcPr>
          <w:p w14:paraId="1E8C416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12,18</w:t>
            </w:r>
          </w:p>
        </w:tc>
        <w:tc>
          <w:tcPr>
            <w:tcW w:w="892" w:type="dxa"/>
            <w:tcBorders>
              <w:top w:val="nil"/>
              <w:left w:val="nil"/>
              <w:bottom w:val="double" w:sz="6" w:space="0" w:color="auto"/>
              <w:right w:val="double" w:sz="6" w:space="0" w:color="auto"/>
            </w:tcBorders>
            <w:shd w:val="clear" w:color="auto" w:fill="auto"/>
            <w:noWrap/>
            <w:vAlign w:val="bottom"/>
            <w:hideMark/>
          </w:tcPr>
          <w:p w14:paraId="05B549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231,34</w:t>
            </w:r>
          </w:p>
        </w:tc>
        <w:tc>
          <w:tcPr>
            <w:tcW w:w="925" w:type="dxa"/>
            <w:tcBorders>
              <w:top w:val="nil"/>
              <w:left w:val="nil"/>
              <w:bottom w:val="double" w:sz="6" w:space="0" w:color="auto"/>
              <w:right w:val="double" w:sz="6" w:space="0" w:color="auto"/>
            </w:tcBorders>
            <w:shd w:val="clear" w:color="auto" w:fill="auto"/>
            <w:noWrap/>
            <w:vAlign w:val="bottom"/>
            <w:hideMark/>
          </w:tcPr>
          <w:p w14:paraId="16D4B21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3,35</w:t>
            </w:r>
          </w:p>
        </w:tc>
        <w:tc>
          <w:tcPr>
            <w:tcW w:w="910" w:type="dxa"/>
            <w:tcBorders>
              <w:top w:val="nil"/>
              <w:left w:val="nil"/>
              <w:bottom w:val="double" w:sz="6" w:space="0" w:color="auto"/>
              <w:right w:val="double" w:sz="6" w:space="0" w:color="auto"/>
            </w:tcBorders>
            <w:shd w:val="clear" w:color="auto" w:fill="auto"/>
            <w:noWrap/>
            <w:vAlign w:val="bottom"/>
            <w:hideMark/>
          </w:tcPr>
          <w:p w14:paraId="78C0275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309,85</w:t>
            </w:r>
          </w:p>
        </w:tc>
        <w:tc>
          <w:tcPr>
            <w:tcW w:w="924" w:type="dxa"/>
            <w:tcBorders>
              <w:top w:val="nil"/>
              <w:left w:val="nil"/>
              <w:bottom w:val="double" w:sz="6" w:space="0" w:color="auto"/>
              <w:right w:val="double" w:sz="6" w:space="0" w:color="auto"/>
            </w:tcBorders>
            <w:shd w:val="clear" w:color="auto" w:fill="auto"/>
            <w:noWrap/>
            <w:vAlign w:val="bottom"/>
            <w:hideMark/>
          </w:tcPr>
          <w:p w14:paraId="7EB132E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3,55</w:t>
            </w:r>
          </w:p>
        </w:tc>
        <w:tc>
          <w:tcPr>
            <w:tcW w:w="966" w:type="dxa"/>
            <w:tcBorders>
              <w:top w:val="nil"/>
              <w:left w:val="nil"/>
              <w:bottom w:val="double" w:sz="6" w:space="0" w:color="auto"/>
              <w:right w:val="double" w:sz="6" w:space="0" w:color="auto"/>
            </w:tcBorders>
            <w:shd w:val="clear" w:color="auto" w:fill="auto"/>
            <w:noWrap/>
            <w:vAlign w:val="bottom"/>
            <w:hideMark/>
          </w:tcPr>
          <w:p w14:paraId="6EFAB81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818,40</w:t>
            </w:r>
          </w:p>
        </w:tc>
        <w:tc>
          <w:tcPr>
            <w:tcW w:w="924" w:type="dxa"/>
            <w:tcBorders>
              <w:top w:val="nil"/>
              <w:left w:val="nil"/>
              <w:bottom w:val="double" w:sz="6" w:space="0" w:color="auto"/>
              <w:right w:val="double" w:sz="6" w:space="0" w:color="auto"/>
            </w:tcBorders>
            <w:shd w:val="clear" w:color="auto" w:fill="auto"/>
            <w:noWrap/>
            <w:vAlign w:val="bottom"/>
            <w:hideMark/>
          </w:tcPr>
          <w:p w14:paraId="2374FAB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11,16</w:t>
            </w:r>
          </w:p>
        </w:tc>
      </w:tr>
      <w:tr w:rsidR="001379D6" w:rsidRPr="003F30A8" w14:paraId="3E711CC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F769A92"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HU</w:t>
            </w:r>
          </w:p>
        </w:tc>
        <w:tc>
          <w:tcPr>
            <w:tcW w:w="1093" w:type="dxa"/>
            <w:tcBorders>
              <w:top w:val="nil"/>
              <w:left w:val="nil"/>
              <w:bottom w:val="double" w:sz="6" w:space="0" w:color="auto"/>
              <w:right w:val="double" w:sz="6" w:space="0" w:color="auto"/>
            </w:tcBorders>
            <w:shd w:val="clear" w:color="auto" w:fill="auto"/>
            <w:noWrap/>
            <w:vAlign w:val="bottom"/>
            <w:hideMark/>
          </w:tcPr>
          <w:p w14:paraId="0414DA2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3,99</w:t>
            </w:r>
          </w:p>
        </w:tc>
        <w:tc>
          <w:tcPr>
            <w:tcW w:w="1036" w:type="dxa"/>
            <w:tcBorders>
              <w:top w:val="nil"/>
              <w:left w:val="nil"/>
              <w:bottom w:val="double" w:sz="6" w:space="0" w:color="auto"/>
              <w:right w:val="double" w:sz="6" w:space="0" w:color="auto"/>
            </w:tcBorders>
            <w:shd w:val="clear" w:color="auto" w:fill="auto"/>
            <w:noWrap/>
            <w:vAlign w:val="bottom"/>
            <w:hideMark/>
          </w:tcPr>
          <w:p w14:paraId="2F0137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CB61C5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34,59</w:t>
            </w:r>
          </w:p>
        </w:tc>
        <w:tc>
          <w:tcPr>
            <w:tcW w:w="925" w:type="dxa"/>
            <w:tcBorders>
              <w:top w:val="nil"/>
              <w:left w:val="nil"/>
              <w:bottom w:val="double" w:sz="6" w:space="0" w:color="auto"/>
              <w:right w:val="double" w:sz="6" w:space="0" w:color="auto"/>
            </w:tcBorders>
            <w:shd w:val="clear" w:color="auto" w:fill="auto"/>
            <w:noWrap/>
            <w:vAlign w:val="bottom"/>
            <w:hideMark/>
          </w:tcPr>
          <w:p w14:paraId="516B085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2C6C7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56,21</w:t>
            </w:r>
          </w:p>
        </w:tc>
        <w:tc>
          <w:tcPr>
            <w:tcW w:w="925" w:type="dxa"/>
            <w:tcBorders>
              <w:top w:val="nil"/>
              <w:left w:val="nil"/>
              <w:bottom w:val="double" w:sz="6" w:space="0" w:color="auto"/>
              <w:right w:val="double" w:sz="6" w:space="0" w:color="auto"/>
            </w:tcBorders>
            <w:shd w:val="clear" w:color="auto" w:fill="auto"/>
            <w:noWrap/>
            <w:vAlign w:val="bottom"/>
            <w:hideMark/>
          </w:tcPr>
          <w:p w14:paraId="4D49F02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0,29</w:t>
            </w:r>
          </w:p>
        </w:tc>
        <w:tc>
          <w:tcPr>
            <w:tcW w:w="910" w:type="dxa"/>
            <w:tcBorders>
              <w:top w:val="nil"/>
              <w:left w:val="nil"/>
              <w:bottom w:val="double" w:sz="6" w:space="0" w:color="auto"/>
              <w:right w:val="double" w:sz="6" w:space="0" w:color="auto"/>
            </w:tcBorders>
            <w:shd w:val="clear" w:color="auto" w:fill="auto"/>
            <w:noWrap/>
            <w:vAlign w:val="bottom"/>
            <w:hideMark/>
          </w:tcPr>
          <w:p w14:paraId="288F5A6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82,28</w:t>
            </w:r>
          </w:p>
        </w:tc>
        <w:tc>
          <w:tcPr>
            <w:tcW w:w="924" w:type="dxa"/>
            <w:tcBorders>
              <w:top w:val="nil"/>
              <w:left w:val="nil"/>
              <w:bottom w:val="double" w:sz="6" w:space="0" w:color="auto"/>
              <w:right w:val="double" w:sz="6" w:space="0" w:color="auto"/>
            </w:tcBorders>
            <w:shd w:val="clear" w:color="auto" w:fill="auto"/>
            <w:noWrap/>
            <w:vAlign w:val="bottom"/>
            <w:hideMark/>
          </w:tcPr>
          <w:p w14:paraId="1E8C889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0,99</w:t>
            </w:r>
          </w:p>
        </w:tc>
        <w:tc>
          <w:tcPr>
            <w:tcW w:w="892" w:type="dxa"/>
            <w:tcBorders>
              <w:top w:val="nil"/>
              <w:left w:val="nil"/>
              <w:bottom w:val="double" w:sz="6" w:space="0" w:color="auto"/>
              <w:right w:val="double" w:sz="6" w:space="0" w:color="auto"/>
            </w:tcBorders>
            <w:shd w:val="clear" w:color="auto" w:fill="auto"/>
            <w:noWrap/>
            <w:vAlign w:val="bottom"/>
            <w:hideMark/>
          </w:tcPr>
          <w:p w14:paraId="106030B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63,43</w:t>
            </w:r>
          </w:p>
        </w:tc>
        <w:tc>
          <w:tcPr>
            <w:tcW w:w="925" w:type="dxa"/>
            <w:tcBorders>
              <w:top w:val="nil"/>
              <w:left w:val="nil"/>
              <w:bottom w:val="double" w:sz="6" w:space="0" w:color="auto"/>
              <w:right w:val="double" w:sz="6" w:space="0" w:color="auto"/>
            </w:tcBorders>
            <w:shd w:val="clear" w:color="auto" w:fill="auto"/>
            <w:noWrap/>
            <w:vAlign w:val="bottom"/>
            <w:hideMark/>
          </w:tcPr>
          <w:p w14:paraId="553AAB7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0,27</w:t>
            </w:r>
          </w:p>
        </w:tc>
        <w:tc>
          <w:tcPr>
            <w:tcW w:w="910" w:type="dxa"/>
            <w:tcBorders>
              <w:top w:val="nil"/>
              <w:left w:val="nil"/>
              <w:bottom w:val="double" w:sz="6" w:space="0" w:color="auto"/>
              <w:right w:val="double" w:sz="6" w:space="0" w:color="auto"/>
            </w:tcBorders>
            <w:shd w:val="clear" w:color="auto" w:fill="auto"/>
            <w:noWrap/>
            <w:vAlign w:val="bottom"/>
            <w:hideMark/>
          </w:tcPr>
          <w:p w14:paraId="46D1924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84,94</w:t>
            </w:r>
          </w:p>
        </w:tc>
        <w:tc>
          <w:tcPr>
            <w:tcW w:w="924" w:type="dxa"/>
            <w:tcBorders>
              <w:top w:val="nil"/>
              <w:left w:val="nil"/>
              <w:bottom w:val="double" w:sz="6" w:space="0" w:color="auto"/>
              <w:right w:val="double" w:sz="6" w:space="0" w:color="auto"/>
            </w:tcBorders>
            <w:shd w:val="clear" w:color="auto" w:fill="auto"/>
            <w:noWrap/>
            <w:vAlign w:val="bottom"/>
            <w:hideMark/>
          </w:tcPr>
          <w:p w14:paraId="70E6A7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0,29</w:t>
            </w:r>
          </w:p>
        </w:tc>
        <w:tc>
          <w:tcPr>
            <w:tcW w:w="966" w:type="dxa"/>
            <w:tcBorders>
              <w:top w:val="nil"/>
              <w:left w:val="nil"/>
              <w:bottom w:val="double" w:sz="6" w:space="0" w:color="auto"/>
              <w:right w:val="double" w:sz="6" w:space="0" w:color="auto"/>
            </w:tcBorders>
            <w:shd w:val="clear" w:color="auto" w:fill="auto"/>
            <w:noWrap/>
            <w:vAlign w:val="bottom"/>
            <w:hideMark/>
          </w:tcPr>
          <w:p w14:paraId="5BB4F2A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224,48</w:t>
            </w:r>
          </w:p>
        </w:tc>
        <w:tc>
          <w:tcPr>
            <w:tcW w:w="924" w:type="dxa"/>
            <w:tcBorders>
              <w:top w:val="nil"/>
              <w:left w:val="nil"/>
              <w:bottom w:val="double" w:sz="6" w:space="0" w:color="auto"/>
              <w:right w:val="double" w:sz="6" w:space="0" w:color="auto"/>
            </w:tcBorders>
            <w:shd w:val="clear" w:color="auto" w:fill="auto"/>
            <w:noWrap/>
            <w:vAlign w:val="bottom"/>
            <w:hideMark/>
          </w:tcPr>
          <w:p w14:paraId="47CDD4F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0,91</w:t>
            </w:r>
          </w:p>
        </w:tc>
      </w:tr>
      <w:tr w:rsidR="001379D6" w:rsidRPr="003F30A8" w14:paraId="29D353E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46A6FA4"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IE</w:t>
            </w:r>
          </w:p>
        </w:tc>
        <w:tc>
          <w:tcPr>
            <w:tcW w:w="1093" w:type="dxa"/>
            <w:tcBorders>
              <w:top w:val="nil"/>
              <w:left w:val="nil"/>
              <w:bottom w:val="double" w:sz="6" w:space="0" w:color="auto"/>
              <w:right w:val="double" w:sz="6" w:space="0" w:color="auto"/>
            </w:tcBorders>
            <w:shd w:val="clear" w:color="auto" w:fill="auto"/>
            <w:noWrap/>
            <w:vAlign w:val="bottom"/>
            <w:hideMark/>
          </w:tcPr>
          <w:p w14:paraId="52499C8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6D06B8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5E07E4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41,68</w:t>
            </w:r>
          </w:p>
        </w:tc>
        <w:tc>
          <w:tcPr>
            <w:tcW w:w="925" w:type="dxa"/>
            <w:tcBorders>
              <w:top w:val="nil"/>
              <w:left w:val="nil"/>
              <w:bottom w:val="double" w:sz="6" w:space="0" w:color="auto"/>
              <w:right w:val="double" w:sz="6" w:space="0" w:color="auto"/>
            </w:tcBorders>
            <w:shd w:val="clear" w:color="auto" w:fill="auto"/>
            <w:noWrap/>
            <w:vAlign w:val="bottom"/>
            <w:hideMark/>
          </w:tcPr>
          <w:p w14:paraId="005884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EE8390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35,11</w:t>
            </w:r>
          </w:p>
        </w:tc>
        <w:tc>
          <w:tcPr>
            <w:tcW w:w="925" w:type="dxa"/>
            <w:tcBorders>
              <w:top w:val="nil"/>
              <w:left w:val="nil"/>
              <w:bottom w:val="double" w:sz="6" w:space="0" w:color="auto"/>
              <w:right w:val="double" w:sz="6" w:space="0" w:color="auto"/>
            </w:tcBorders>
            <w:shd w:val="clear" w:color="auto" w:fill="auto"/>
            <w:noWrap/>
            <w:vAlign w:val="bottom"/>
            <w:hideMark/>
          </w:tcPr>
          <w:p w14:paraId="0DE14FA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0,87</w:t>
            </w:r>
          </w:p>
        </w:tc>
        <w:tc>
          <w:tcPr>
            <w:tcW w:w="910" w:type="dxa"/>
            <w:tcBorders>
              <w:top w:val="nil"/>
              <w:left w:val="nil"/>
              <w:bottom w:val="double" w:sz="6" w:space="0" w:color="auto"/>
              <w:right w:val="double" w:sz="6" w:space="0" w:color="auto"/>
            </w:tcBorders>
            <w:shd w:val="clear" w:color="auto" w:fill="auto"/>
            <w:noWrap/>
            <w:vAlign w:val="bottom"/>
            <w:hideMark/>
          </w:tcPr>
          <w:p w14:paraId="17B9E7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51,32</w:t>
            </w:r>
          </w:p>
        </w:tc>
        <w:tc>
          <w:tcPr>
            <w:tcW w:w="924" w:type="dxa"/>
            <w:tcBorders>
              <w:top w:val="nil"/>
              <w:left w:val="nil"/>
              <w:bottom w:val="double" w:sz="6" w:space="0" w:color="auto"/>
              <w:right w:val="double" w:sz="6" w:space="0" w:color="auto"/>
            </w:tcBorders>
            <w:shd w:val="clear" w:color="auto" w:fill="auto"/>
            <w:noWrap/>
            <w:vAlign w:val="bottom"/>
            <w:hideMark/>
          </w:tcPr>
          <w:p w14:paraId="51F302E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2,15</w:t>
            </w:r>
          </w:p>
        </w:tc>
        <w:tc>
          <w:tcPr>
            <w:tcW w:w="892" w:type="dxa"/>
            <w:tcBorders>
              <w:top w:val="nil"/>
              <w:left w:val="nil"/>
              <w:bottom w:val="double" w:sz="6" w:space="0" w:color="auto"/>
              <w:right w:val="double" w:sz="6" w:space="0" w:color="auto"/>
            </w:tcBorders>
            <w:shd w:val="clear" w:color="auto" w:fill="auto"/>
            <w:noWrap/>
            <w:vAlign w:val="bottom"/>
            <w:hideMark/>
          </w:tcPr>
          <w:p w14:paraId="72C407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39,54</w:t>
            </w:r>
          </w:p>
        </w:tc>
        <w:tc>
          <w:tcPr>
            <w:tcW w:w="925" w:type="dxa"/>
            <w:tcBorders>
              <w:top w:val="nil"/>
              <w:left w:val="nil"/>
              <w:bottom w:val="double" w:sz="6" w:space="0" w:color="auto"/>
              <w:right w:val="double" w:sz="6" w:space="0" w:color="auto"/>
            </w:tcBorders>
            <w:shd w:val="clear" w:color="auto" w:fill="auto"/>
            <w:noWrap/>
            <w:vAlign w:val="bottom"/>
            <w:hideMark/>
          </w:tcPr>
          <w:p w14:paraId="655BE07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0,59</w:t>
            </w:r>
          </w:p>
        </w:tc>
        <w:tc>
          <w:tcPr>
            <w:tcW w:w="910" w:type="dxa"/>
            <w:tcBorders>
              <w:top w:val="nil"/>
              <w:left w:val="nil"/>
              <w:bottom w:val="double" w:sz="6" w:space="0" w:color="auto"/>
              <w:right w:val="double" w:sz="6" w:space="0" w:color="auto"/>
            </w:tcBorders>
            <w:shd w:val="clear" w:color="auto" w:fill="auto"/>
            <w:noWrap/>
            <w:vAlign w:val="bottom"/>
            <w:hideMark/>
          </w:tcPr>
          <w:p w14:paraId="10BE1E8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52,93</w:t>
            </w:r>
          </w:p>
        </w:tc>
        <w:tc>
          <w:tcPr>
            <w:tcW w:w="924" w:type="dxa"/>
            <w:tcBorders>
              <w:top w:val="nil"/>
              <w:left w:val="nil"/>
              <w:bottom w:val="double" w:sz="6" w:space="0" w:color="auto"/>
              <w:right w:val="double" w:sz="6" w:space="0" w:color="auto"/>
            </w:tcBorders>
            <w:shd w:val="clear" w:color="auto" w:fill="auto"/>
            <w:noWrap/>
            <w:vAlign w:val="bottom"/>
            <w:hideMark/>
          </w:tcPr>
          <w:p w14:paraId="68A6D65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0,63</w:t>
            </w:r>
          </w:p>
        </w:tc>
        <w:tc>
          <w:tcPr>
            <w:tcW w:w="966" w:type="dxa"/>
            <w:tcBorders>
              <w:top w:val="nil"/>
              <w:left w:val="nil"/>
              <w:bottom w:val="double" w:sz="6" w:space="0" w:color="auto"/>
              <w:right w:val="double" w:sz="6" w:space="0" w:color="auto"/>
            </w:tcBorders>
            <w:shd w:val="clear" w:color="auto" w:fill="auto"/>
            <w:noWrap/>
            <w:vAlign w:val="bottom"/>
            <w:hideMark/>
          </w:tcPr>
          <w:p w14:paraId="6379E6F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140,10</w:t>
            </w:r>
          </w:p>
        </w:tc>
        <w:tc>
          <w:tcPr>
            <w:tcW w:w="924" w:type="dxa"/>
            <w:tcBorders>
              <w:top w:val="nil"/>
              <w:left w:val="nil"/>
              <w:bottom w:val="double" w:sz="6" w:space="0" w:color="auto"/>
              <w:right w:val="double" w:sz="6" w:space="0" w:color="auto"/>
            </w:tcBorders>
            <w:shd w:val="clear" w:color="auto" w:fill="auto"/>
            <w:noWrap/>
            <w:vAlign w:val="bottom"/>
            <w:hideMark/>
          </w:tcPr>
          <w:p w14:paraId="569EEC1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1,97</w:t>
            </w:r>
          </w:p>
        </w:tc>
      </w:tr>
      <w:tr w:rsidR="001379D6" w:rsidRPr="003F30A8" w14:paraId="641B499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472EFF"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IT</w:t>
            </w:r>
          </w:p>
        </w:tc>
        <w:tc>
          <w:tcPr>
            <w:tcW w:w="1093" w:type="dxa"/>
            <w:tcBorders>
              <w:top w:val="nil"/>
              <w:left w:val="nil"/>
              <w:bottom w:val="double" w:sz="6" w:space="0" w:color="auto"/>
              <w:right w:val="double" w:sz="6" w:space="0" w:color="auto"/>
            </w:tcBorders>
            <w:shd w:val="clear" w:color="auto" w:fill="auto"/>
            <w:noWrap/>
            <w:vAlign w:val="bottom"/>
            <w:hideMark/>
          </w:tcPr>
          <w:p w14:paraId="64E2B13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76,50</w:t>
            </w:r>
          </w:p>
        </w:tc>
        <w:tc>
          <w:tcPr>
            <w:tcW w:w="1036" w:type="dxa"/>
            <w:tcBorders>
              <w:top w:val="nil"/>
              <w:left w:val="nil"/>
              <w:bottom w:val="double" w:sz="6" w:space="0" w:color="auto"/>
              <w:right w:val="double" w:sz="6" w:space="0" w:color="auto"/>
            </w:tcBorders>
            <w:shd w:val="clear" w:color="auto" w:fill="auto"/>
            <w:noWrap/>
            <w:vAlign w:val="bottom"/>
            <w:hideMark/>
          </w:tcPr>
          <w:p w14:paraId="67B4AC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952FB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385,98</w:t>
            </w:r>
          </w:p>
        </w:tc>
        <w:tc>
          <w:tcPr>
            <w:tcW w:w="925" w:type="dxa"/>
            <w:tcBorders>
              <w:top w:val="nil"/>
              <w:left w:val="nil"/>
              <w:bottom w:val="double" w:sz="6" w:space="0" w:color="auto"/>
              <w:right w:val="double" w:sz="6" w:space="0" w:color="auto"/>
            </w:tcBorders>
            <w:shd w:val="clear" w:color="auto" w:fill="auto"/>
            <w:noWrap/>
            <w:vAlign w:val="bottom"/>
            <w:hideMark/>
          </w:tcPr>
          <w:p w14:paraId="1F8F726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D2481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361,25</w:t>
            </w:r>
          </w:p>
        </w:tc>
        <w:tc>
          <w:tcPr>
            <w:tcW w:w="925" w:type="dxa"/>
            <w:tcBorders>
              <w:top w:val="nil"/>
              <w:left w:val="nil"/>
              <w:bottom w:val="double" w:sz="6" w:space="0" w:color="auto"/>
              <w:right w:val="double" w:sz="6" w:space="0" w:color="auto"/>
            </w:tcBorders>
            <w:shd w:val="clear" w:color="auto" w:fill="auto"/>
            <w:noWrap/>
            <w:vAlign w:val="bottom"/>
            <w:hideMark/>
          </w:tcPr>
          <w:p w14:paraId="5C89128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5,24</w:t>
            </w:r>
          </w:p>
        </w:tc>
        <w:tc>
          <w:tcPr>
            <w:tcW w:w="910" w:type="dxa"/>
            <w:tcBorders>
              <w:top w:val="nil"/>
              <w:left w:val="nil"/>
              <w:bottom w:val="double" w:sz="6" w:space="0" w:color="auto"/>
              <w:right w:val="double" w:sz="6" w:space="0" w:color="auto"/>
            </w:tcBorders>
            <w:shd w:val="clear" w:color="auto" w:fill="auto"/>
            <w:noWrap/>
            <w:vAlign w:val="bottom"/>
            <w:hideMark/>
          </w:tcPr>
          <w:p w14:paraId="11985E4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528,00</w:t>
            </w:r>
          </w:p>
        </w:tc>
        <w:tc>
          <w:tcPr>
            <w:tcW w:w="924" w:type="dxa"/>
            <w:tcBorders>
              <w:top w:val="nil"/>
              <w:left w:val="nil"/>
              <w:bottom w:val="double" w:sz="6" w:space="0" w:color="auto"/>
              <w:right w:val="double" w:sz="6" w:space="0" w:color="auto"/>
            </w:tcBorders>
            <w:shd w:val="clear" w:color="auto" w:fill="auto"/>
            <w:noWrap/>
            <w:vAlign w:val="bottom"/>
            <w:hideMark/>
          </w:tcPr>
          <w:p w14:paraId="1D66454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14,41</w:t>
            </w:r>
          </w:p>
        </w:tc>
        <w:tc>
          <w:tcPr>
            <w:tcW w:w="892" w:type="dxa"/>
            <w:tcBorders>
              <w:top w:val="nil"/>
              <w:left w:val="nil"/>
              <w:bottom w:val="double" w:sz="6" w:space="0" w:color="auto"/>
              <w:right w:val="double" w:sz="6" w:space="0" w:color="auto"/>
            </w:tcBorders>
            <w:shd w:val="clear" w:color="auto" w:fill="auto"/>
            <w:noWrap/>
            <w:vAlign w:val="bottom"/>
            <w:hideMark/>
          </w:tcPr>
          <w:p w14:paraId="777B989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407,23</w:t>
            </w:r>
          </w:p>
        </w:tc>
        <w:tc>
          <w:tcPr>
            <w:tcW w:w="925" w:type="dxa"/>
            <w:tcBorders>
              <w:top w:val="nil"/>
              <w:left w:val="nil"/>
              <w:bottom w:val="double" w:sz="6" w:space="0" w:color="auto"/>
              <w:right w:val="double" w:sz="6" w:space="0" w:color="auto"/>
            </w:tcBorders>
            <w:shd w:val="clear" w:color="auto" w:fill="auto"/>
            <w:noWrap/>
            <w:vAlign w:val="bottom"/>
            <w:hideMark/>
          </w:tcPr>
          <w:p w14:paraId="5B98D73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3,96</w:t>
            </w:r>
          </w:p>
        </w:tc>
        <w:tc>
          <w:tcPr>
            <w:tcW w:w="910" w:type="dxa"/>
            <w:tcBorders>
              <w:top w:val="nil"/>
              <w:left w:val="nil"/>
              <w:bottom w:val="double" w:sz="6" w:space="0" w:color="auto"/>
              <w:right w:val="double" w:sz="6" w:space="0" w:color="auto"/>
            </w:tcBorders>
            <w:shd w:val="clear" w:color="auto" w:fill="auto"/>
            <w:noWrap/>
            <w:vAlign w:val="bottom"/>
            <w:hideMark/>
          </w:tcPr>
          <w:p w14:paraId="1185C34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545,44</w:t>
            </w:r>
          </w:p>
        </w:tc>
        <w:tc>
          <w:tcPr>
            <w:tcW w:w="924" w:type="dxa"/>
            <w:tcBorders>
              <w:top w:val="nil"/>
              <w:left w:val="nil"/>
              <w:bottom w:val="double" w:sz="6" w:space="0" w:color="auto"/>
              <w:right w:val="double" w:sz="6" w:space="0" w:color="auto"/>
            </w:tcBorders>
            <w:shd w:val="clear" w:color="auto" w:fill="auto"/>
            <w:noWrap/>
            <w:vAlign w:val="bottom"/>
            <w:hideMark/>
          </w:tcPr>
          <w:p w14:paraId="53A17A9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4,21</w:t>
            </w:r>
          </w:p>
        </w:tc>
        <w:tc>
          <w:tcPr>
            <w:tcW w:w="966" w:type="dxa"/>
            <w:tcBorders>
              <w:top w:val="nil"/>
              <w:left w:val="nil"/>
              <w:bottom w:val="double" w:sz="6" w:space="0" w:color="auto"/>
              <w:right w:val="double" w:sz="6" w:space="0" w:color="auto"/>
            </w:tcBorders>
            <w:shd w:val="clear" w:color="auto" w:fill="auto"/>
            <w:noWrap/>
            <w:vAlign w:val="bottom"/>
            <w:hideMark/>
          </w:tcPr>
          <w:p w14:paraId="74E9FAF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1440,10</w:t>
            </w:r>
          </w:p>
        </w:tc>
        <w:tc>
          <w:tcPr>
            <w:tcW w:w="924" w:type="dxa"/>
            <w:tcBorders>
              <w:top w:val="nil"/>
              <w:left w:val="nil"/>
              <w:bottom w:val="double" w:sz="6" w:space="0" w:color="auto"/>
              <w:right w:val="double" w:sz="6" w:space="0" w:color="auto"/>
            </w:tcBorders>
            <w:shd w:val="clear" w:color="auto" w:fill="auto"/>
            <w:noWrap/>
            <w:vAlign w:val="bottom"/>
            <w:hideMark/>
          </w:tcPr>
          <w:p w14:paraId="4F4D50A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13,22</w:t>
            </w:r>
          </w:p>
        </w:tc>
      </w:tr>
      <w:tr w:rsidR="001379D6" w:rsidRPr="003F30A8" w14:paraId="3248BB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5E21D0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LT</w:t>
            </w:r>
          </w:p>
        </w:tc>
        <w:tc>
          <w:tcPr>
            <w:tcW w:w="1093" w:type="dxa"/>
            <w:tcBorders>
              <w:top w:val="nil"/>
              <w:left w:val="nil"/>
              <w:bottom w:val="double" w:sz="6" w:space="0" w:color="auto"/>
              <w:right w:val="double" w:sz="6" w:space="0" w:color="auto"/>
            </w:tcBorders>
            <w:shd w:val="clear" w:color="auto" w:fill="auto"/>
            <w:noWrap/>
            <w:vAlign w:val="bottom"/>
            <w:hideMark/>
          </w:tcPr>
          <w:p w14:paraId="4E80C88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3,29</w:t>
            </w:r>
          </w:p>
        </w:tc>
        <w:tc>
          <w:tcPr>
            <w:tcW w:w="1036" w:type="dxa"/>
            <w:tcBorders>
              <w:top w:val="nil"/>
              <w:left w:val="nil"/>
              <w:bottom w:val="double" w:sz="6" w:space="0" w:color="auto"/>
              <w:right w:val="double" w:sz="6" w:space="0" w:color="auto"/>
            </w:tcBorders>
            <w:shd w:val="clear" w:color="auto" w:fill="auto"/>
            <w:noWrap/>
            <w:vAlign w:val="bottom"/>
            <w:hideMark/>
          </w:tcPr>
          <w:p w14:paraId="3D9A7A6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A5594B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19,98</w:t>
            </w:r>
          </w:p>
        </w:tc>
        <w:tc>
          <w:tcPr>
            <w:tcW w:w="925" w:type="dxa"/>
            <w:tcBorders>
              <w:top w:val="nil"/>
              <w:left w:val="nil"/>
              <w:bottom w:val="double" w:sz="6" w:space="0" w:color="auto"/>
              <w:right w:val="double" w:sz="6" w:space="0" w:color="auto"/>
            </w:tcBorders>
            <w:shd w:val="clear" w:color="auto" w:fill="auto"/>
            <w:noWrap/>
            <w:vAlign w:val="bottom"/>
            <w:hideMark/>
          </w:tcPr>
          <w:p w14:paraId="7036C9C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0E8CCD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17,28</w:t>
            </w:r>
          </w:p>
        </w:tc>
        <w:tc>
          <w:tcPr>
            <w:tcW w:w="925" w:type="dxa"/>
            <w:tcBorders>
              <w:top w:val="nil"/>
              <w:left w:val="nil"/>
              <w:bottom w:val="double" w:sz="6" w:space="0" w:color="auto"/>
              <w:right w:val="double" w:sz="6" w:space="0" w:color="auto"/>
            </w:tcBorders>
            <w:shd w:val="clear" w:color="auto" w:fill="auto"/>
            <w:noWrap/>
            <w:vAlign w:val="bottom"/>
            <w:hideMark/>
          </w:tcPr>
          <w:p w14:paraId="7E060D7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10" w:type="dxa"/>
            <w:tcBorders>
              <w:top w:val="nil"/>
              <w:left w:val="nil"/>
              <w:bottom w:val="double" w:sz="6" w:space="0" w:color="auto"/>
              <w:right w:val="double" w:sz="6" w:space="0" w:color="auto"/>
            </w:tcBorders>
            <w:shd w:val="clear" w:color="auto" w:fill="auto"/>
            <w:noWrap/>
            <w:vAlign w:val="bottom"/>
            <w:hideMark/>
          </w:tcPr>
          <w:p w14:paraId="493FA07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28,13</w:t>
            </w:r>
          </w:p>
        </w:tc>
        <w:tc>
          <w:tcPr>
            <w:tcW w:w="924" w:type="dxa"/>
            <w:tcBorders>
              <w:top w:val="nil"/>
              <w:left w:val="nil"/>
              <w:bottom w:val="double" w:sz="6" w:space="0" w:color="auto"/>
              <w:right w:val="double" w:sz="6" w:space="0" w:color="auto"/>
            </w:tcBorders>
            <w:shd w:val="clear" w:color="auto" w:fill="auto"/>
            <w:noWrap/>
            <w:vAlign w:val="bottom"/>
            <w:hideMark/>
          </w:tcPr>
          <w:p w14:paraId="28FCD65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0,29</w:t>
            </w:r>
          </w:p>
        </w:tc>
        <w:tc>
          <w:tcPr>
            <w:tcW w:w="892" w:type="dxa"/>
            <w:tcBorders>
              <w:top w:val="nil"/>
              <w:left w:val="nil"/>
              <w:bottom w:val="double" w:sz="6" w:space="0" w:color="auto"/>
              <w:right w:val="double" w:sz="6" w:space="0" w:color="auto"/>
            </w:tcBorders>
            <w:shd w:val="clear" w:color="auto" w:fill="auto"/>
            <w:noWrap/>
            <w:vAlign w:val="bottom"/>
            <w:hideMark/>
          </w:tcPr>
          <w:p w14:paraId="06B8B0C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20,76</w:t>
            </w:r>
          </w:p>
        </w:tc>
        <w:tc>
          <w:tcPr>
            <w:tcW w:w="925" w:type="dxa"/>
            <w:tcBorders>
              <w:top w:val="nil"/>
              <w:left w:val="nil"/>
              <w:bottom w:val="double" w:sz="6" w:space="0" w:color="auto"/>
              <w:right w:val="double" w:sz="6" w:space="0" w:color="auto"/>
            </w:tcBorders>
            <w:shd w:val="clear" w:color="auto" w:fill="auto"/>
            <w:noWrap/>
            <w:vAlign w:val="bottom"/>
            <w:hideMark/>
          </w:tcPr>
          <w:p w14:paraId="7661EF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0,08</w:t>
            </w:r>
          </w:p>
        </w:tc>
        <w:tc>
          <w:tcPr>
            <w:tcW w:w="910" w:type="dxa"/>
            <w:tcBorders>
              <w:top w:val="nil"/>
              <w:left w:val="nil"/>
              <w:bottom w:val="double" w:sz="6" w:space="0" w:color="auto"/>
              <w:right w:val="double" w:sz="6" w:space="0" w:color="auto"/>
            </w:tcBorders>
            <w:shd w:val="clear" w:color="auto" w:fill="auto"/>
            <w:noWrap/>
            <w:vAlign w:val="bottom"/>
            <w:hideMark/>
          </w:tcPr>
          <w:p w14:paraId="26393F7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31,43</w:t>
            </w:r>
          </w:p>
        </w:tc>
        <w:tc>
          <w:tcPr>
            <w:tcW w:w="924" w:type="dxa"/>
            <w:tcBorders>
              <w:top w:val="nil"/>
              <w:left w:val="nil"/>
              <w:bottom w:val="double" w:sz="6" w:space="0" w:color="auto"/>
              <w:right w:val="double" w:sz="6" w:space="0" w:color="auto"/>
            </w:tcBorders>
            <w:shd w:val="clear" w:color="auto" w:fill="auto"/>
            <w:noWrap/>
            <w:vAlign w:val="bottom"/>
            <w:hideMark/>
          </w:tcPr>
          <w:p w14:paraId="7D44E13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0,09</w:t>
            </w:r>
          </w:p>
        </w:tc>
        <w:tc>
          <w:tcPr>
            <w:tcW w:w="966" w:type="dxa"/>
            <w:tcBorders>
              <w:top w:val="nil"/>
              <w:left w:val="nil"/>
              <w:bottom w:val="double" w:sz="6" w:space="0" w:color="auto"/>
              <w:right w:val="double" w:sz="6" w:space="0" w:color="auto"/>
            </w:tcBorders>
            <w:shd w:val="clear" w:color="auto" w:fill="auto"/>
            <w:noWrap/>
            <w:vAlign w:val="bottom"/>
            <w:hideMark/>
          </w:tcPr>
          <w:p w14:paraId="568005A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80,11</w:t>
            </w:r>
          </w:p>
        </w:tc>
        <w:tc>
          <w:tcPr>
            <w:tcW w:w="924" w:type="dxa"/>
            <w:tcBorders>
              <w:top w:val="nil"/>
              <w:left w:val="nil"/>
              <w:bottom w:val="double" w:sz="6" w:space="0" w:color="auto"/>
              <w:right w:val="double" w:sz="6" w:space="0" w:color="auto"/>
            </w:tcBorders>
            <w:shd w:val="clear" w:color="auto" w:fill="auto"/>
            <w:noWrap/>
            <w:vAlign w:val="bottom"/>
            <w:hideMark/>
          </w:tcPr>
          <w:p w14:paraId="086553B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0,25</w:t>
            </w:r>
          </w:p>
        </w:tc>
      </w:tr>
      <w:tr w:rsidR="001379D6" w:rsidRPr="003F30A8" w14:paraId="26D979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5A06D6"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LU</w:t>
            </w:r>
          </w:p>
        </w:tc>
        <w:tc>
          <w:tcPr>
            <w:tcW w:w="1093" w:type="dxa"/>
            <w:tcBorders>
              <w:top w:val="nil"/>
              <w:left w:val="nil"/>
              <w:bottom w:val="double" w:sz="6" w:space="0" w:color="auto"/>
              <w:right w:val="double" w:sz="6" w:space="0" w:color="auto"/>
            </w:tcBorders>
            <w:shd w:val="clear" w:color="auto" w:fill="auto"/>
            <w:noWrap/>
            <w:vAlign w:val="bottom"/>
            <w:hideMark/>
          </w:tcPr>
          <w:p w14:paraId="37C5054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0,74</w:t>
            </w:r>
          </w:p>
        </w:tc>
        <w:tc>
          <w:tcPr>
            <w:tcW w:w="1036" w:type="dxa"/>
            <w:tcBorders>
              <w:top w:val="nil"/>
              <w:left w:val="nil"/>
              <w:bottom w:val="double" w:sz="6" w:space="0" w:color="auto"/>
              <w:right w:val="double" w:sz="6" w:space="0" w:color="auto"/>
            </w:tcBorders>
            <w:shd w:val="clear" w:color="auto" w:fill="auto"/>
            <w:noWrap/>
            <w:vAlign w:val="bottom"/>
            <w:hideMark/>
          </w:tcPr>
          <w:p w14:paraId="1C683DD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198B7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4,97</w:t>
            </w:r>
          </w:p>
        </w:tc>
        <w:tc>
          <w:tcPr>
            <w:tcW w:w="925" w:type="dxa"/>
            <w:tcBorders>
              <w:top w:val="nil"/>
              <w:left w:val="nil"/>
              <w:bottom w:val="double" w:sz="6" w:space="0" w:color="auto"/>
              <w:right w:val="double" w:sz="6" w:space="0" w:color="auto"/>
            </w:tcBorders>
            <w:shd w:val="clear" w:color="auto" w:fill="auto"/>
            <w:noWrap/>
            <w:vAlign w:val="bottom"/>
            <w:hideMark/>
          </w:tcPr>
          <w:p w14:paraId="7D093C8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65275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4,52</w:t>
            </w:r>
          </w:p>
        </w:tc>
        <w:tc>
          <w:tcPr>
            <w:tcW w:w="925" w:type="dxa"/>
            <w:tcBorders>
              <w:top w:val="nil"/>
              <w:left w:val="nil"/>
              <w:bottom w:val="double" w:sz="6" w:space="0" w:color="auto"/>
              <w:right w:val="double" w:sz="6" w:space="0" w:color="auto"/>
            </w:tcBorders>
            <w:shd w:val="clear" w:color="auto" w:fill="auto"/>
            <w:noWrap/>
            <w:vAlign w:val="bottom"/>
            <w:hideMark/>
          </w:tcPr>
          <w:p w14:paraId="51A33C4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0,63</w:t>
            </w:r>
          </w:p>
        </w:tc>
        <w:tc>
          <w:tcPr>
            <w:tcW w:w="910" w:type="dxa"/>
            <w:tcBorders>
              <w:top w:val="nil"/>
              <w:left w:val="nil"/>
              <w:bottom w:val="double" w:sz="6" w:space="0" w:color="auto"/>
              <w:right w:val="double" w:sz="6" w:space="0" w:color="auto"/>
            </w:tcBorders>
            <w:shd w:val="clear" w:color="auto" w:fill="auto"/>
            <w:noWrap/>
            <w:vAlign w:val="bottom"/>
            <w:hideMark/>
          </w:tcPr>
          <w:p w14:paraId="7E4D2DE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6,62</w:t>
            </w:r>
          </w:p>
        </w:tc>
        <w:tc>
          <w:tcPr>
            <w:tcW w:w="924" w:type="dxa"/>
            <w:tcBorders>
              <w:top w:val="nil"/>
              <w:left w:val="nil"/>
              <w:bottom w:val="double" w:sz="6" w:space="0" w:color="auto"/>
              <w:right w:val="double" w:sz="6" w:space="0" w:color="auto"/>
            </w:tcBorders>
            <w:shd w:val="clear" w:color="auto" w:fill="auto"/>
            <w:noWrap/>
            <w:vAlign w:val="bottom"/>
            <w:hideMark/>
          </w:tcPr>
          <w:p w14:paraId="71E8337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0,22</w:t>
            </w:r>
          </w:p>
        </w:tc>
        <w:tc>
          <w:tcPr>
            <w:tcW w:w="892" w:type="dxa"/>
            <w:tcBorders>
              <w:top w:val="nil"/>
              <w:left w:val="nil"/>
              <w:bottom w:val="double" w:sz="6" w:space="0" w:color="auto"/>
              <w:right w:val="double" w:sz="6" w:space="0" w:color="auto"/>
            </w:tcBorders>
            <w:shd w:val="clear" w:color="auto" w:fill="auto"/>
            <w:noWrap/>
            <w:vAlign w:val="bottom"/>
            <w:hideMark/>
          </w:tcPr>
          <w:p w14:paraId="740B4FF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5,08</w:t>
            </w:r>
          </w:p>
        </w:tc>
        <w:tc>
          <w:tcPr>
            <w:tcW w:w="925" w:type="dxa"/>
            <w:tcBorders>
              <w:top w:val="nil"/>
              <w:left w:val="nil"/>
              <w:bottom w:val="double" w:sz="6" w:space="0" w:color="auto"/>
              <w:right w:val="double" w:sz="6" w:space="0" w:color="auto"/>
            </w:tcBorders>
            <w:shd w:val="clear" w:color="auto" w:fill="auto"/>
            <w:noWrap/>
            <w:vAlign w:val="bottom"/>
            <w:hideMark/>
          </w:tcPr>
          <w:p w14:paraId="7108B58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10" w:type="dxa"/>
            <w:tcBorders>
              <w:top w:val="nil"/>
              <w:left w:val="nil"/>
              <w:bottom w:val="double" w:sz="6" w:space="0" w:color="auto"/>
              <w:right w:val="double" w:sz="6" w:space="0" w:color="auto"/>
            </w:tcBorders>
            <w:shd w:val="clear" w:color="auto" w:fill="auto"/>
            <w:noWrap/>
            <w:vAlign w:val="bottom"/>
            <w:hideMark/>
          </w:tcPr>
          <w:p w14:paraId="7629491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6,81</w:t>
            </w:r>
          </w:p>
        </w:tc>
        <w:tc>
          <w:tcPr>
            <w:tcW w:w="924" w:type="dxa"/>
            <w:tcBorders>
              <w:top w:val="nil"/>
              <w:left w:val="nil"/>
              <w:bottom w:val="double" w:sz="6" w:space="0" w:color="auto"/>
              <w:right w:val="double" w:sz="6" w:space="0" w:color="auto"/>
            </w:tcBorders>
            <w:shd w:val="clear" w:color="auto" w:fill="auto"/>
            <w:noWrap/>
            <w:vAlign w:val="bottom"/>
            <w:hideMark/>
          </w:tcPr>
          <w:p w14:paraId="28E709F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0,07</w:t>
            </w:r>
          </w:p>
        </w:tc>
        <w:tc>
          <w:tcPr>
            <w:tcW w:w="966" w:type="dxa"/>
            <w:tcBorders>
              <w:top w:val="nil"/>
              <w:left w:val="nil"/>
              <w:bottom w:val="double" w:sz="6" w:space="0" w:color="auto"/>
              <w:right w:val="double" w:sz="6" w:space="0" w:color="auto"/>
            </w:tcBorders>
            <w:shd w:val="clear" w:color="auto" w:fill="auto"/>
            <w:noWrap/>
            <w:vAlign w:val="bottom"/>
            <w:hideMark/>
          </w:tcPr>
          <w:p w14:paraId="4275611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18,09</w:t>
            </w:r>
          </w:p>
        </w:tc>
        <w:tc>
          <w:tcPr>
            <w:tcW w:w="924" w:type="dxa"/>
            <w:tcBorders>
              <w:top w:val="nil"/>
              <w:left w:val="nil"/>
              <w:bottom w:val="double" w:sz="6" w:space="0" w:color="auto"/>
              <w:right w:val="double" w:sz="6" w:space="0" w:color="auto"/>
            </w:tcBorders>
            <w:shd w:val="clear" w:color="auto" w:fill="auto"/>
            <w:noWrap/>
            <w:vAlign w:val="bottom"/>
            <w:hideMark/>
          </w:tcPr>
          <w:p w14:paraId="2C1B1AA2" w14:textId="77777777" w:rsidR="001379D6" w:rsidRPr="003F30A8" w:rsidRDefault="001379D6" w:rsidP="001379D6">
            <w:pPr>
              <w:spacing w:after="0" w:line="240" w:lineRule="auto"/>
              <w:jc w:val="right"/>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0,20</w:t>
            </w:r>
          </w:p>
        </w:tc>
      </w:tr>
      <w:tr w:rsidR="001379D6" w:rsidRPr="003F30A8" w14:paraId="1DEC010C"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0230CE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LV</w:t>
            </w:r>
          </w:p>
        </w:tc>
        <w:tc>
          <w:tcPr>
            <w:tcW w:w="1093" w:type="dxa"/>
            <w:tcBorders>
              <w:top w:val="nil"/>
              <w:left w:val="nil"/>
              <w:bottom w:val="double" w:sz="6" w:space="0" w:color="auto"/>
              <w:right w:val="double" w:sz="6" w:space="0" w:color="auto"/>
            </w:tcBorders>
            <w:shd w:val="clear" w:color="auto" w:fill="auto"/>
            <w:noWrap/>
            <w:vAlign w:val="bottom"/>
            <w:hideMark/>
          </w:tcPr>
          <w:p w14:paraId="5BB3132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2,13</w:t>
            </w:r>
          </w:p>
        </w:tc>
        <w:tc>
          <w:tcPr>
            <w:tcW w:w="1036" w:type="dxa"/>
            <w:tcBorders>
              <w:top w:val="nil"/>
              <w:left w:val="nil"/>
              <w:bottom w:val="double" w:sz="6" w:space="0" w:color="auto"/>
              <w:right w:val="double" w:sz="6" w:space="0" w:color="auto"/>
            </w:tcBorders>
            <w:shd w:val="clear" w:color="auto" w:fill="auto"/>
            <w:noWrap/>
            <w:vAlign w:val="bottom"/>
            <w:hideMark/>
          </w:tcPr>
          <w:p w14:paraId="7FF25DB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3081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10,79</w:t>
            </w:r>
          </w:p>
        </w:tc>
        <w:tc>
          <w:tcPr>
            <w:tcW w:w="925" w:type="dxa"/>
            <w:tcBorders>
              <w:top w:val="nil"/>
              <w:left w:val="nil"/>
              <w:bottom w:val="double" w:sz="6" w:space="0" w:color="auto"/>
              <w:right w:val="double" w:sz="6" w:space="0" w:color="auto"/>
            </w:tcBorders>
            <w:shd w:val="clear" w:color="auto" w:fill="auto"/>
            <w:noWrap/>
            <w:vAlign w:val="bottom"/>
            <w:hideMark/>
          </w:tcPr>
          <w:p w14:paraId="5F59E12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0432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10,08</w:t>
            </w:r>
          </w:p>
        </w:tc>
        <w:tc>
          <w:tcPr>
            <w:tcW w:w="925" w:type="dxa"/>
            <w:tcBorders>
              <w:top w:val="nil"/>
              <w:left w:val="nil"/>
              <w:bottom w:val="double" w:sz="6" w:space="0" w:color="auto"/>
              <w:right w:val="double" w:sz="6" w:space="0" w:color="auto"/>
            </w:tcBorders>
            <w:shd w:val="clear" w:color="auto" w:fill="auto"/>
            <w:noWrap/>
            <w:vAlign w:val="bottom"/>
            <w:hideMark/>
          </w:tcPr>
          <w:p w14:paraId="6EBC234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0,14</w:t>
            </w:r>
          </w:p>
        </w:tc>
        <w:tc>
          <w:tcPr>
            <w:tcW w:w="910" w:type="dxa"/>
            <w:tcBorders>
              <w:top w:val="nil"/>
              <w:left w:val="nil"/>
              <w:bottom w:val="double" w:sz="6" w:space="0" w:color="auto"/>
              <w:right w:val="double" w:sz="6" w:space="0" w:color="auto"/>
            </w:tcBorders>
            <w:shd w:val="clear" w:color="auto" w:fill="auto"/>
            <w:noWrap/>
            <w:vAlign w:val="bottom"/>
            <w:hideMark/>
          </w:tcPr>
          <w:p w14:paraId="42A22FE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14,76</w:t>
            </w:r>
          </w:p>
        </w:tc>
        <w:tc>
          <w:tcPr>
            <w:tcW w:w="924" w:type="dxa"/>
            <w:tcBorders>
              <w:top w:val="nil"/>
              <w:left w:val="nil"/>
              <w:bottom w:val="double" w:sz="6" w:space="0" w:color="auto"/>
              <w:right w:val="double" w:sz="6" w:space="0" w:color="auto"/>
            </w:tcBorders>
            <w:shd w:val="clear" w:color="auto" w:fill="auto"/>
            <w:noWrap/>
            <w:vAlign w:val="bottom"/>
            <w:hideMark/>
          </w:tcPr>
          <w:p w14:paraId="6314E4A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0,53</w:t>
            </w:r>
          </w:p>
        </w:tc>
        <w:tc>
          <w:tcPr>
            <w:tcW w:w="892" w:type="dxa"/>
            <w:tcBorders>
              <w:top w:val="nil"/>
              <w:left w:val="nil"/>
              <w:bottom w:val="double" w:sz="6" w:space="0" w:color="auto"/>
              <w:right w:val="double" w:sz="6" w:space="0" w:color="auto"/>
            </w:tcBorders>
            <w:shd w:val="clear" w:color="auto" w:fill="auto"/>
            <w:noWrap/>
            <w:vAlign w:val="bottom"/>
            <w:hideMark/>
          </w:tcPr>
          <w:p w14:paraId="33956AF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11,36</w:t>
            </w:r>
          </w:p>
        </w:tc>
        <w:tc>
          <w:tcPr>
            <w:tcW w:w="925" w:type="dxa"/>
            <w:tcBorders>
              <w:top w:val="nil"/>
              <w:left w:val="nil"/>
              <w:bottom w:val="double" w:sz="6" w:space="0" w:color="auto"/>
              <w:right w:val="double" w:sz="6" w:space="0" w:color="auto"/>
            </w:tcBorders>
            <w:shd w:val="clear" w:color="auto" w:fill="auto"/>
            <w:noWrap/>
            <w:vAlign w:val="bottom"/>
            <w:hideMark/>
          </w:tcPr>
          <w:p w14:paraId="063515F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0,15</w:t>
            </w:r>
          </w:p>
        </w:tc>
        <w:tc>
          <w:tcPr>
            <w:tcW w:w="910" w:type="dxa"/>
            <w:tcBorders>
              <w:top w:val="nil"/>
              <w:left w:val="nil"/>
              <w:bottom w:val="double" w:sz="6" w:space="0" w:color="auto"/>
              <w:right w:val="double" w:sz="6" w:space="0" w:color="auto"/>
            </w:tcBorders>
            <w:shd w:val="clear" w:color="auto" w:fill="auto"/>
            <w:noWrap/>
            <w:vAlign w:val="bottom"/>
            <w:hideMark/>
          </w:tcPr>
          <w:p w14:paraId="3D9974B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15,24</w:t>
            </w:r>
          </w:p>
        </w:tc>
        <w:tc>
          <w:tcPr>
            <w:tcW w:w="924" w:type="dxa"/>
            <w:tcBorders>
              <w:top w:val="nil"/>
              <w:left w:val="nil"/>
              <w:bottom w:val="double" w:sz="6" w:space="0" w:color="auto"/>
              <w:right w:val="double" w:sz="6" w:space="0" w:color="auto"/>
            </w:tcBorders>
            <w:shd w:val="clear" w:color="auto" w:fill="auto"/>
            <w:noWrap/>
            <w:vAlign w:val="bottom"/>
            <w:hideMark/>
          </w:tcPr>
          <w:p w14:paraId="431F2FE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0,15</w:t>
            </w:r>
          </w:p>
        </w:tc>
        <w:tc>
          <w:tcPr>
            <w:tcW w:w="966" w:type="dxa"/>
            <w:tcBorders>
              <w:top w:val="nil"/>
              <w:left w:val="nil"/>
              <w:bottom w:val="double" w:sz="6" w:space="0" w:color="auto"/>
              <w:right w:val="double" w:sz="6" w:space="0" w:color="auto"/>
            </w:tcBorders>
            <w:shd w:val="clear" w:color="auto" w:fill="auto"/>
            <w:noWrap/>
            <w:vAlign w:val="bottom"/>
            <w:hideMark/>
          </w:tcPr>
          <w:p w14:paraId="1E7C825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40,20</w:t>
            </w:r>
          </w:p>
        </w:tc>
        <w:tc>
          <w:tcPr>
            <w:tcW w:w="924" w:type="dxa"/>
            <w:tcBorders>
              <w:top w:val="nil"/>
              <w:left w:val="nil"/>
              <w:bottom w:val="double" w:sz="6" w:space="0" w:color="auto"/>
              <w:right w:val="double" w:sz="6" w:space="0" w:color="auto"/>
            </w:tcBorders>
            <w:shd w:val="clear" w:color="auto" w:fill="auto"/>
            <w:noWrap/>
            <w:vAlign w:val="bottom"/>
            <w:hideMark/>
          </w:tcPr>
          <w:p w14:paraId="29A0EE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0,49</w:t>
            </w:r>
          </w:p>
        </w:tc>
      </w:tr>
      <w:tr w:rsidR="001379D6" w:rsidRPr="003F30A8" w14:paraId="2898D405"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1F0E5D5"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MT</w:t>
            </w:r>
          </w:p>
        </w:tc>
        <w:tc>
          <w:tcPr>
            <w:tcW w:w="1093" w:type="dxa"/>
            <w:tcBorders>
              <w:top w:val="nil"/>
              <w:left w:val="nil"/>
              <w:bottom w:val="double" w:sz="6" w:space="0" w:color="auto"/>
              <w:right w:val="double" w:sz="6" w:space="0" w:color="auto"/>
            </w:tcBorders>
            <w:shd w:val="clear" w:color="auto" w:fill="auto"/>
            <w:noWrap/>
            <w:vAlign w:val="bottom"/>
            <w:hideMark/>
          </w:tcPr>
          <w:p w14:paraId="11ADBFE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0,27</w:t>
            </w:r>
          </w:p>
        </w:tc>
        <w:tc>
          <w:tcPr>
            <w:tcW w:w="1036" w:type="dxa"/>
            <w:tcBorders>
              <w:top w:val="nil"/>
              <w:left w:val="nil"/>
              <w:bottom w:val="double" w:sz="6" w:space="0" w:color="auto"/>
              <w:right w:val="double" w:sz="6" w:space="0" w:color="auto"/>
            </w:tcBorders>
            <w:shd w:val="clear" w:color="auto" w:fill="auto"/>
            <w:noWrap/>
            <w:vAlign w:val="bottom"/>
            <w:hideMark/>
          </w:tcPr>
          <w:p w14:paraId="51A791C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906B1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4,47</w:t>
            </w:r>
          </w:p>
        </w:tc>
        <w:tc>
          <w:tcPr>
            <w:tcW w:w="925" w:type="dxa"/>
            <w:tcBorders>
              <w:top w:val="nil"/>
              <w:left w:val="nil"/>
              <w:bottom w:val="double" w:sz="6" w:space="0" w:color="auto"/>
              <w:right w:val="double" w:sz="6" w:space="0" w:color="auto"/>
            </w:tcBorders>
            <w:shd w:val="clear" w:color="auto" w:fill="auto"/>
            <w:noWrap/>
            <w:vAlign w:val="bottom"/>
            <w:hideMark/>
          </w:tcPr>
          <w:p w14:paraId="536A1F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959E85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3,81</w:t>
            </w:r>
          </w:p>
        </w:tc>
        <w:tc>
          <w:tcPr>
            <w:tcW w:w="925" w:type="dxa"/>
            <w:tcBorders>
              <w:top w:val="nil"/>
              <w:left w:val="nil"/>
              <w:bottom w:val="double" w:sz="6" w:space="0" w:color="auto"/>
              <w:right w:val="double" w:sz="6" w:space="0" w:color="auto"/>
            </w:tcBorders>
            <w:shd w:val="clear" w:color="auto" w:fill="auto"/>
            <w:noWrap/>
            <w:vAlign w:val="bottom"/>
            <w:hideMark/>
          </w:tcPr>
          <w:p w14:paraId="7932B9E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0,10</w:t>
            </w:r>
          </w:p>
        </w:tc>
        <w:tc>
          <w:tcPr>
            <w:tcW w:w="910" w:type="dxa"/>
            <w:tcBorders>
              <w:top w:val="nil"/>
              <w:left w:val="nil"/>
              <w:bottom w:val="double" w:sz="6" w:space="0" w:color="auto"/>
              <w:right w:val="double" w:sz="6" w:space="0" w:color="auto"/>
            </w:tcBorders>
            <w:shd w:val="clear" w:color="auto" w:fill="auto"/>
            <w:noWrap/>
            <w:vAlign w:val="bottom"/>
            <w:hideMark/>
          </w:tcPr>
          <w:p w14:paraId="2A13AA0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5,62</w:t>
            </w:r>
          </w:p>
        </w:tc>
        <w:tc>
          <w:tcPr>
            <w:tcW w:w="924" w:type="dxa"/>
            <w:tcBorders>
              <w:top w:val="nil"/>
              <w:left w:val="nil"/>
              <w:bottom w:val="double" w:sz="6" w:space="0" w:color="auto"/>
              <w:right w:val="double" w:sz="6" w:space="0" w:color="auto"/>
            </w:tcBorders>
            <w:shd w:val="clear" w:color="auto" w:fill="auto"/>
            <w:noWrap/>
            <w:vAlign w:val="bottom"/>
            <w:hideMark/>
          </w:tcPr>
          <w:p w14:paraId="4F6E2B1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0,57</w:t>
            </w:r>
          </w:p>
        </w:tc>
        <w:tc>
          <w:tcPr>
            <w:tcW w:w="892" w:type="dxa"/>
            <w:tcBorders>
              <w:top w:val="nil"/>
              <w:left w:val="nil"/>
              <w:bottom w:val="double" w:sz="6" w:space="0" w:color="auto"/>
              <w:right w:val="double" w:sz="6" w:space="0" w:color="auto"/>
            </w:tcBorders>
            <w:shd w:val="clear" w:color="auto" w:fill="auto"/>
            <w:noWrap/>
            <w:vAlign w:val="bottom"/>
            <w:hideMark/>
          </w:tcPr>
          <w:p w14:paraId="5078618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4,30</w:t>
            </w:r>
          </w:p>
        </w:tc>
        <w:tc>
          <w:tcPr>
            <w:tcW w:w="925" w:type="dxa"/>
            <w:tcBorders>
              <w:top w:val="nil"/>
              <w:left w:val="nil"/>
              <w:bottom w:val="double" w:sz="6" w:space="0" w:color="auto"/>
              <w:right w:val="double" w:sz="6" w:space="0" w:color="auto"/>
            </w:tcBorders>
            <w:shd w:val="clear" w:color="auto" w:fill="auto"/>
            <w:noWrap/>
            <w:vAlign w:val="bottom"/>
            <w:hideMark/>
          </w:tcPr>
          <w:p w14:paraId="354182A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0,16</w:t>
            </w:r>
          </w:p>
        </w:tc>
        <w:tc>
          <w:tcPr>
            <w:tcW w:w="910" w:type="dxa"/>
            <w:tcBorders>
              <w:top w:val="nil"/>
              <w:left w:val="nil"/>
              <w:bottom w:val="double" w:sz="6" w:space="0" w:color="auto"/>
              <w:right w:val="double" w:sz="6" w:space="0" w:color="auto"/>
            </w:tcBorders>
            <w:shd w:val="clear" w:color="auto" w:fill="auto"/>
            <w:noWrap/>
            <w:vAlign w:val="bottom"/>
            <w:hideMark/>
          </w:tcPr>
          <w:p w14:paraId="2D3D42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5,78</w:t>
            </w:r>
          </w:p>
        </w:tc>
        <w:tc>
          <w:tcPr>
            <w:tcW w:w="924" w:type="dxa"/>
            <w:tcBorders>
              <w:top w:val="nil"/>
              <w:left w:val="nil"/>
              <w:bottom w:val="double" w:sz="6" w:space="0" w:color="auto"/>
              <w:right w:val="double" w:sz="6" w:space="0" w:color="auto"/>
            </w:tcBorders>
            <w:shd w:val="clear" w:color="auto" w:fill="auto"/>
            <w:noWrap/>
            <w:vAlign w:val="bottom"/>
            <w:hideMark/>
          </w:tcPr>
          <w:p w14:paraId="222C93B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0,17</w:t>
            </w:r>
          </w:p>
        </w:tc>
        <w:tc>
          <w:tcPr>
            <w:tcW w:w="966" w:type="dxa"/>
            <w:tcBorders>
              <w:top w:val="nil"/>
              <w:left w:val="nil"/>
              <w:bottom w:val="double" w:sz="6" w:space="0" w:color="auto"/>
              <w:right w:val="double" w:sz="6" w:space="0" w:color="auto"/>
            </w:tcBorders>
            <w:shd w:val="clear" w:color="auto" w:fill="auto"/>
            <w:noWrap/>
            <w:vAlign w:val="bottom"/>
            <w:hideMark/>
          </w:tcPr>
          <w:p w14:paraId="232CD42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15,19</w:t>
            </w:r>
          </w:p>
        </w:tc>
        <w:tc>
          <w:tcPr>
            <w:tcW w:w="924" w:type="dxa"/>
            <w:tcBorders>
              <w:top w:val="nil"/>
              <w:left w:val="nil"/>
              <w:bottom w:val="double" w:sz="6" w:space="0" w:color="auto"/>
              <w:right w:val="double" w:sz="6" w:space="0" w:color="auto"/>
            </w:tcBorders>
            <w:shd w:val="clear" w:color="auto" w:fill="auto"/>
            <w:noWrap/>
            <w:vAlign w:val="bottom"/>
            <w:hideMark/>
          </w:tcPr>
          <w:p w14:paraId="09D4179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0,52</w:t>
            </w:r>
          </w:p>
        </w:tc>
      </w:tr>
      <w:tr w:rsidR="001379D6" w:rsidRPr="003F30A8" w14:paraId="2196D0F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0A7C17"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NE</w:t>
            </w:r>
          </w:p>
        </w:tc>
        <w:tc>
          <w:tcPr>
            <w:tcW w:w="1093" w:type="dxa"/>
            <w:tcBorders>
              <w:top w:val="nil"/>
              <w:left w:val="nil"/>
              <w:bottom w:val="double" w:sz="6" w:space="0" w:color="auto"/>
              <w:right w:val="double" w:sz="6" w:space="0" w:color="auto"/>
            </w:tcBorders>
            <w:shd w:val="clear" w:color="auto" w:fill="auto"/>
            <w:noWrap/>
            <w:vAlign w:val="bottom"/>
            <w:hideMark/>
          </w:tcPr>
          <w:p w14:paraId="4F4741A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25,61</w:t>
            </w:r>
          </w:p>
        </w:tc>
        <w:tc>
          <w:tcPr>
            <w:tcW w:w="1036" w:type="dxa"/>
            <w:tcBorders>
              <w:top w:val="nil"/>
              <w:left w:val="nil"/>
              <w:bottom w:val="double" w:sz="6" w:space="0" w:color="auto"/>
              <w:right w:val="double" w:sz="6" w:space="0" w:color="auto"/>
            </w:tcBorders>
            <w:shd w:val="clear" w:color="auto" w:fill="auto"/>
            <w:noWrap/>
            <w:vAlign w:val="bottom"/>
            <w:hideMark/>
          </w:tcPr>
          <w:p w14:paraId="7BAE0EC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79350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134,24</w:t>
            </w:r>
          </w:p>
        </w:tc>
        <w:tc>
          <w:tcPr>
            <w:tcW w:w="925" w:type="dxa"/>
            <w:tcBorders>
              <w:top w:val="nil"/>
              <w:left w:val="nil"/>
              <w:bottom w:val="double" w:sz="6" w:space="0" w:color="auto"/>
              <w:right w:val="double" w:sz="6" w:space="0" w:color="auto"/>
            </w:tcBorders>
            <w:shd w:val="clear" w:color="auto" w:fill="auto"/>
            <w:noWrap/>
            <w:vAlign w:val="bottom"/>
            <w:hideMark/>
          </w:tcPr>
          <w:p w14:paraId="47F4B7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32337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125,63</w:t>
            </w:r>
          </w:p>
        </w:tc>
        <w:tc>
          <w:tcPr>
            <w:tcW w:w="925" w:type="dxa"/>
            <w:tcBorders>
              <w:top w:val="nil"/>
              <w:left w:val="nil"/>
              <w:bottom w:val="double" w:sz="6" w:space="0" w:color="auto"/>
              <w:right w:val="double" w:sz="6" w:space="0" w:color="auto"/>
            </w:tcBorders>
            <w:shd w:val="clear" w:color="auto" w:fill="auto"/>
            <w:noWrap/>
            <w:vAlign w:val="bottom"/>
            <w:hideMark/>
          </w:tcPr>
          <w:p w14:paraId="2AECA87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5,47</w:t>
            </w:r>
          </w:p>
        </w:tc>
        <w:tc>
          <w:tcPr>
            <w:tcW w:w="910" w:type="dxa"/>
            <w:tcBorders>
              <w:top w:val="nil"/>
              <w:left w:val="nil"/>
              <w:bottom w:val="double" w:sz="6" w:space="0" w:color="auto"/>
              <w:right w:val="double" w:sz="6" w:space="0" w:color="auto"/>
            </w:tcBorders>
            <w:shd w:val="clear" w:color="auto" w:fill="auto"/>
            <w:noWrap/>
            <w:vAlign w:val="bottom"/>
            <w:hideMark/>
          </w:tcPr>
          <w:p w14:paraId="540756A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183,57</w:t>
            </w:r>
          </w:p>
        </w:tc>
        <w:tc>
          <w:tcPr>
            <w:tcW w:w="924" w:type="dxa"/>
            <w:tcBorders>
              <w:top w:val="nil"/>
              <w:left w:val="nil"/>
              <w:bottom w:val="double" w:sz="6" w:space="0" w:color="auto"/>
              <w:right w:val="double" w:sz="6" w:space="0" w:color="auto"/>
            </w:tcBorders>
            <w:shd w:val="clear" w:color="auto" w:fill="auto"/>
            <w:noWrap/>
            <w:vAlign w:val="bottom"/>
            <w:hideMark/>
          </w:tcPr>
          <w:p w14:paraId="389385A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3,68</w:t>
            </w:r>
          </w:p>
        </w:tc>
        <w:tc>
          <w:tcPr>
            <w:tcW w:w="892" w:type="dxa"/>
            <w:tcBorders>
              <w:top w:val="nil"/>
              <w:left w:val="nil"/>
              <w:bottom w:val="double" w:sz="6" w:space="0" w:color="auto"/>
              <w:right w:val="double" w:sz="6" w:space="0" w:color="auto"/>
            </w:tcBorders>
            <w:shd w:val="clear" w:color="auto" w:fill="auto"/>
            <w:noWrap/>
            <w:vAlign w:val="bottom"/>
            <w:hideMark/>
          </w:tcPr>
          <w:p w14:paraId="0E7B3AB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141,59</w:t>
            </w:r>
          </w:p>
        </w:tc>
        <w:tc>
          <w:tcPr>
            <w:tcW w:w="925" w:type="dxa"/>
            <w:tcBorders>
              <w:top w:val="nil"/>
              <w:left w:val="nil"/>
              <w:bottom w:val="double" w:sz="6" w:space="0" w:color="auto"/>
              <w:right w:val="double" w:sz="6" w:space="0" w:color="auto"/>
            </w:tcBorders>
            <w:shd w:val="clear" w:color="auto" w:fill="auto"/>
            <w:noWrap/>
            <w:vAlign w:val="bottom"/>
            <w:hideMark/>
          </w:tcPr>
          <w:p w14:paraId="2888A9F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1,01</w:t>
            </w:r>
          </w:p>
        </w:tc>
        <w:tc>
          <w:tcPr>
            <w:tcW w:w="910" w:type="dxa"/>
            <w:tcBorders>
              <w:top w:val="nil"/>
              <w:left w:val="nil"/>
              <w:bottom w:val="double" w:sz="6" w:space="0" w:color="auto"/>
              <w:right w:val="double" w:sz="6" w:space="0" w:color="auto"/>
            </w:tcBorders>
            <w:shd w:val="clear" w:color="auto" w:fill="auto"/>
            <w:noWrap/>
            <w:vAlign w:val="bottom"/>
            <w:hideMark/>
          </w:tcPr>
          <w:p w14:paraId="1DEE468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189,63</w:t>
            </w:r>
          </w:p>
        </w:tc>
        <w:tc>
          <w:tcPr>
            <w:tcW w:w="924" w:type="dxa"/>
            <w:tcBorders>
              <w:top w:val="nil"/>
              <w:left w:val="nil"/>
              <w:bottom w:val="double" w:sz="6" w:space="0" w:color="auto"/>
              <w:right w:val="double" w:sz="6" w:space="0" w:color="auto"/>
            </w:tcBorders>
            <w:shd w:val="clear" w:color="auto" w:fill="auto"/>
            <w:noWrap/>
            <w:vAlign w:val="bottom"/>
            <w:hideMark/>
          </w:tcPr>
          <w:p w14:paraId="59134C1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1,07</w:t>
            </w:r>
          </w:p>
        </w:tc>
        <w:tc>
          <w:tcPr>
            <w:tcW w:w="966" w:type="dxa"/>
            <w:tcBorders>
              <w:top w:val="nil"/>
              <w:left w:val="nil"/>
              <w:bottom w:val="double" w:sz="6" w:space="0" w:color="auto"/>
              <w:right w:val="double" w:sz="6" w:space="0" w:color="auto"/>
            </w:tcBorders>
            <w:shd w:val="clear" w:color="auto" w:fill="auto"/>
            <w:noWrap/>
            <w:vAlign w:val="bottom"/>
            <w:hideMark/>
          </w:tcPr>
          <w:p w14:paraId="545A823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500,84</w:t>
            </w:r>
          </w:p>
        </w:tc>
        <w:tc>
          <w:tcPr>
            <w:tcW w:w="924" w:type="dxa"/>
            <w:tcBorders>
              <w:top w:val="nil"/>
              <w:left w:val="nil"/>
              <w:bottom w:val="double" w:sz="6" w:space="0" w:color="auto"/>
              <w:right w:val="double" w:sz="6" w:space="0" w:color="auto"/>
            </w:tcBorders>
            <w:shd w:val="clear" w:color="auto" w:fill="auto"/>
            <w:noWrap/>
            <w:vAlign w:val="bottom"/>
            <w:hideMark/>
          </w:tcPr>
          <w:p w14:paraId="2F4267D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3,37</w:t>
            </w:r>
          </w:p>
        </w:tc>
      </w:tr>
      <w:tr w:rsidR="001379D6" w:rsidRPr="003F30A8" w14:paraId="7BDEB40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1DA709D"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PL</w:t>
            </w:r>
          </w:p>
        </w:tc>
        <w:tc>
          <w:tcPr>
            <w:tcW w:w="1093" w:type="dxa"/>
            <w:tcBorders>
              <w:top w:val="nil"/>
              <w:left w:val="nil"/>
              <w:bottom w:val="double" w:sz="6" w:space="0" w:color="auto"/>
              <w:right w:val="double" w:sz="6" w:space="0" w:color="auto"/>
            </w:tcBorders>
            <w:shd w:val="clear" w:color="auto" w:fill="auto"/>
            <w:noWrap/>
            <w:vAlign w:val="bottom"/>
            <w:hideMark/>
          </w:tcPr>
          <w:p w14:paraId="241F005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45BEFA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04C2E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244,02</w:t>
            </w:r>
          </w:p>
        </w:tc>
        <w:tc>
          <w:tcPr>
            <w:tcW w:w="925" w:type="dxa"/>
            <w:tcBorders>
              <w:top w:val="nil"/>
              <w:left w:val="nil"/>
              <w:bottom w:val="double" w:sz="6" w:space="0" w:color="auto"/>
              <w:right w:val="double" w:sz="6" w:space="0" w:color="auto"/>
            </w:tcBorders>
            <w:shd w:val="clear" w:color="auto" w:fill="auto"/>
            <w:noWrap/>
            <w:vAlign w:val="bottom"/>
            <w:hideMark/>
          </w:tcPr>
          <w:p w14:paraId="5FB6532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0A1490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78,01</w:t>
            </w:r>
          </w:p>
        </w:tc>
        <w:tc>
          <w:tcPr>
            <w:tcW w:w="925" w:type="dxa"/>
            <w:tcBorders>
              <w:top w:val="nil"/>
              <w:left w:val="nil"/>
              <w:bottom w:val="double" w:sz="6" w:space="0" w:color="auto"/>
              <w:right w:val="double" w:sz="6" w:space="0" w:color="auto"/>
            </w:tcBorders>
            <w:shd w:val="clear" w:color="auto" w:fill="auto"/>
            <w:noWrap/>
            <w:vAlign w:val="bottom"/>
            <w:hideMark/>
          </w:tcPr>
          <w:p w14:paraId="767B520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407CC0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129,84</w:t>
            </w:r>
          </w:p>
        </w:tc>
        <w:tc>
          <w:tcPr>
            <w:tcW w:w="924" w:type="dxa"/>
            <w:tcBorders>
              <w:top w:val="nil"/>
              <w:left w:val="nil"/>
              <w:bottom w:val="double" w:sz="6" w:space="0" w:color="auto"/>
              <w:right w:val="double" w:sz="6" w:space="0" w:color="auto"/>
            </w:tcBorders>
            <w:shd w:val="clear" w:color="auto" w:fill="auto"/>
            <w:noWrap/>
            <w:vAlign w:val="bottom"/>
            <w:hideMark/>
          </w:tcPr>
          <w:p w14:paraId="6A2C47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2,98</w:t>
            </w:r>
          </w:p>
        </w:tc>
        <w:tc>
          <w:tcPr>
            <w:tcW w:w="892" w:type="dxa"/>
            <w:tcBorders>
              <w:top w:val="nil"/>
              <w:left w:val="nil"/>
              <w:bottom w:val="double" w:sz="6" w:space="0" w:color="auto"/>
              <w:right w:val="double" w:sz="6" w:space="0" w:color="auto"/>
            </w:tcBorders>
            <w:shd w:val="clear" w:color="auto" w:fill="auto"/>
            <w:noWrap/>
            <w:vAlign w:val="bottom"/>
            <w:hideMark/>
          </w:tcPr>
          <w:p w14:paraId="3FC849D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135,57</w:t>
            </w:r>
          </w:p>
        </w:tc>
        <w:tc>
          <w:tcPr>
            <w:tcW w:w="925" w:type="dxa"/>
            <w:tcBorders>
              <w:top w:val="nil"/>
              <w:left w:val="nil"/>
              <w:bottom w:val="double" w:sz="6" w:space="0" w:color="auto"/>
              <w:right w:val="double" w:sz="6" w:space="0" w:color="auto"/>
            </w:tcBorders>
            <w:shd w:val="clear" w:color="auto" w:fill="auto"/>
            <w:noWrap/>
            <w:vAlign w:val="bottom"/>
            <w:hideMark/>
          </w:tcPr>
          <w:p w14:paraId="01C4A6F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0,58</w:t>
            </w:r>
          </w:p>
        </w:tc>
        <w:tc>
          <w:tcPr>
            <w:tcW w:w="910" w:type="dxa"/>
            <w:tcBorders>
              <w:top w:val="nil"/>
              <w:left w:val="nil"/>
              <w:bottom w:val="double" w:sz="6" w:space="0" w:color="auto"/>
              <w:right w:val="double" w:sz="6" w:space="0" w:color="auto"/>
            </w:tcBorders>
            <w:shd w:val="clear" w:color="auto" w:fill="auto"/>
            <w:noWrap/>
            <w:vAlign w:val="bottom"/>
            <w:hideMark/>
          </w:tcPr>
          <w:p w14:paraId="704591D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505,31</w:t>
            </w:r>
          </w:p>
        </w:tc>
        <w:tc>
          <w:tcPr>
            <w:tcW w:w="924" w:type="dxa"/>
            <w:tcBorders>
              <w:top w:val="nil"/>
              <w:left w:val="nil"/>
              <w:bottom w:val="double" w:sz="6" w:space="0" w:color="auto"/>
              <w:right w:val="double" w:sz="6" w:space="0" w:color="auto"/>
            </w:tcBorders>
            <w:shd w:val="clear" w:color="auto" w:fill="auto"/>
            <w:noWrap/>
            <w:vAlign w:val="bottom"/>
            <w:hideMark/>
          </w:tcPr>
          <w:p w14:paraId="37F7DB1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0,69</w:t>
            </w:r>
          </w:p>
        </w:tc>
        <w:tc>
          <w:tcPr>
            <w:tcW w:w="966" w:type="dxa"/>
            <w:tcBorders>
              <w:top w:val="nil"/>
              <w:left w:val="nil"/>
              <w:bottom w:val="double" w:sz="6" w:space="0" w:color="auto"/>
              <w:right w:val="double" w:sz="6" w:space="0" w:color="auto"/>
            </w:tcBorders>
            <w:shd w:val="clear" w:color="auto" w:fill="auto"/>
            <w:noWrap/>
            <w:vAlign w:val="bottom"/>
            <w:hideMark/>
          </w:tcPr>
          <w:p w14:paraId="3A9CDBF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1209,98</w:t>
            </w:r>
          </w:p>
        </w:tc>
        <w:tc>
          <w:tcPr>
            <w:tcW w:w="924" w:type="dxa"/>
            <w:tcBorders>
              <w:top w:val="nil"/>
              <w:left w:val="nil"/>
              <w:bottom w:val="double" w:sz="6" w:space="0" w:color="auto"/>
              <w:right w:val="double" w:sz="6" w:space="0" w:color="auto"/>
            </w:tcBorders>
            <w:shd w:val="clear" w:color="auto" w:fill="auto"/>
            <w:noWrap/>
            <w:vAlign w:val="bottom"/>
            <w:hideMark/>
          </w:tcPr>
          <w:p w14:paraId="2EAE9D8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1,59</w:t>
            </w:r>
          </w:p>
        </w:tc>
      </w:tr>
      <w:tr w:rsidR="001379D6" w:rsidRPr="003F30A8" w14:paraId="050298E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ADB59B"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PT</w:t>
            </w:r>
          </w:p>
        </w:tc>
        <w:tc>
          <w:tcPr>
            <w:tcW w:w="1093" w:type="dxa"/>
            <w:tcBorders>
              <w:top w:val="nil"/>
              <w:left w:val="nil"/>
              <w:bottom w:val="double" w:sz="6" w:space="0" w:color="auto"/>
              <w:right w:val="double" w:sz="6" w:space="0" w:color="auto"/>
            </w:tcBorders>
            <w:shd w:val="clear" w:color="auto" w:fill="auto"/>
            <w:noWrap/>
            <w:vAlign w:val="bottom"/>
            <w:hideMark/>
          </w:tcPr>
          <w:p w14:paraId="081CCA5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10,65</w:t>
            </w:r>
          </w:p>
        </w:tc>
        <w:tc>
          <w:tcPr>
            <w:tcW w:w="1036" w:type="dxa"/>
            <w:tcBorders>
              <w:top w:val="nil"/>
              <w:left w:val="nil"/>
              <w:bottom w:val="double" w:sz="6" w:space="0" w:color="auto"/>
              <w:right w:val="double" w:sz="6" w:space="0" w:color="auto"/>
            </w:tcBorders>
            <w:shd w:val="clear" w:color="auto" w:fill="auto"/>
            <w:noWrap/>
            <w:vAlign w:val="bottom"/>
            <w:hideMark/>
          </w:tcPr>
          <w:p w14:paraId="538BF71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B93657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72,78</w:t>
            </w:r>
          </w:p>
        </w:tc>
        <w:tc>
          <w:tcPr>
            <w:tcW w:w="925" w:type="dxa"/>
            <w:tcBorders>
              <w:top w:val="nil"/>
              <w:left w:val="nil"/>
              <w:bottom w:val="double" w:sz="6" w:space="0" w:color="auto"/>
              <w:right w:val="double" w:sz="6" w:space="0" w:color="auto"/>
            </w:tcBorders>
            <w:shd w:val="clear" w:color="auto" w:fill="auto"/>
            <w:noWrap/>
            <w:vAlign w:val="bottom"/>
            <w:hideMark/>
          </w:tcPr>
          <w:p w14:paraId="20A7F82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E7779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65,82</w:t>
            </w:r>
          </w:p>
        </w:tc>
        <w:tc>
          <w:tcPr>
            <w:tcW w:w="925" w:type="dxa"/>
            <w:tcBorders>
              <w:top w:val="nil"/>
              <w:left w:val="nil"/>
              <w:bottom w:val="double" w:sz="6" w:space="0" w:color="auto"/>
              <w:right w:val="double" w:sz="6" w:space="0" w:color="auto"/>
            </w:tcBorders>
            <w:shd w:val="clear" w:color="auto" w:fill="auto"/>
            <w:noWrap/>
            <w:vAlign w:val="bottom"/>
            <w:hideMark/>
          </w:tcPr>
          <w:p w14:paraId="58E38E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1,27</w:t>
            </w:r>
          </w:p>
        </w:tc>
        <w:tc>
          <w:tcPr>
            <w:tcW w:w="910" w:type="dxa"/>
            <w:tcBorders>
              <w:top w:val="nil"/>
              <w:left w:val="nil"/>
              <w:bottom w:val="double" w:sz="6" w:space="0" w:color="auto"/>
              <w:right w:val="double" w:sz="6" w:space="0" w:color="auto"/>
            </w:tcBorders>
            <w:shd w:val="clear" w:color="auto" w:fill="auto"/>
            <w:noWrap/>
            <w:vAlign w:val="bottom"/>
            <w:hideMark/>
          </w:tcPr>
          <w:p w14:paraId="2CE4A2B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96,32</w:t>
            </w:r>
          </w:p>
        </w:tc>
        <w:tc>
          <w:tcPr>
            <w:tcW w:w="924" w:type="dxa"/>
            <w:tcBorders>
              <w:top w:val="nil"/>
              <w:left w:val="nil"/>
              <w:bottom w:val="double" w:sz="6" w:space="0" w:color="auto"/>
              <w:right w:val="double" w:sz="6" w:space="0" w:color="auto"/>
            </w:tcBorders>
            <w:shd w:val="clear" w:color="auto" w:fill="auto"/>
            <w:noWrap/>
            <w:vAlign w:val="bottom"/>
            <w:hideMark/>
          </w:tcPr>
          <w:p w14:paraId="5A431E9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2,89</w:t>
            </w:r>
          </w:p>
        </w:tc>
        <w:tc>
          <w:tcPr>
            <w:tcW w:w="892" w:type="dxa"/>
            <w:tcBorders>
              <w:top w:val="nil"/>
              <w:left w:val="nil"/>
              <w:bottom w:val="double" w:sz="6" w:space="0" w:color="auto"/>
              <w:right w:val="double" w:sz="6" w:space="0" w:color="auto"/>
            </w:tcBorders>
            <w:shd w:val="clear" w:color="auto" w:fill="auto"/>
            <w:noWrap/>
            <w:vAlign w:val="bottom"/>
            <w:hideMark/>
          </w:tcPr>
          <w:p w14:paraId="5BF99E6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74,29</w:t>
            </w:r>
          </w:p>
        </w:tc>
        <w:tc>
          <w:tcPr>
            <w:tcW w:w="925" w:type="dxa"/>
            <w:tcBorders>
              <w:top w:val="nil"/>
              <w:left w:val="nil"/>
              <w:bottom w:val="double" w:sz="6" w:space="0" w:color="auto"/>
              <w:right w:val="double" w:sz="6" w:space="0" w:color="auto"/>
            </w:tcBorders>
            <w:shd w:val="clear" w:color="auto" w:fill="auto"/>
            <w:noWrap/>
            <w:vAlign w:val="bottom"/>
            <w:hideMark/>
          </w:tcPr>
          <w:p w14:paraId="123FF3C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0,79</w:t>
            </w:r>
          </w:p>
        </w:tc>
        <w:tc>
          <w:tcPr>
            <w:tcW w:w="910" w:type="dxa"/>
            <w:tcBorders>
              <w:top w:val="nil"/>
              <w:left w:val="nil"/>
              <w:bottom w:val="double" w:sz="6" w:space="0" w:color="auto"/>
              <w:right w:val="double" w:sz="6" w:space="0" w:color="auto"/>
            </w:tcBorders>
            <w:shd w:val="clear" w:color="auto" w:fill="auto"/>
            <w:noWrap/>
            <w:vAlign w:val="bottom"/>
            <w:hideMark/>
          </w:tcPr>
          <w:p w14:paraId="3A77B88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99,50</w:t>
            </w:r>
          </w:p>
        </w:tc>
        <w:tc>
          <w:tcPr>
            <w:tcW w:w="924" w:type="dxa"/>
            <w:tcBorders>
              <w:top w:val="nil"/>
              <w:left w:val="nil"/>
              <w:bottom w:val="double" w:sz="6" w:space="0" w:color="auto"/>
              <w:right w:val="double" w:sz="6" w:space="0" w:color="auto"/>
            </w:tcBorders>
            <w:shd w:val="clear" w:color="auto" w:fill="auto"/>
            <w:noWrap/>
            <w:vAlign w:val="bottom"/>
            <w:hideMark/>
          </w:tcPr>
          <w:p w14:paraId="1DEF562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0,85</w:t>
            </w:r>
          </w:p>
        </w:tc>
        <w:tc>
          <w:tcPr>
            <w:tcW w:w="966" w:type="dxa"/>
            <w:tcBorders>
              <w:top w:val="nil"/>
              <w:left w:val="nil"/>
              <w:bottom w:val="double" w:sz="6" w:space="0" w:color="auto"/>
              <w:right w:val="double" w:sz="6" w:space="0" w:color="auto"/>
            </w:tcBorders>
            <w:shd w:val="clear" w:color="auto" w:fill="auto"/>
            <w:noWrap/>
            <w:vAlign w:val="bottom"/>
            <w:hideMark/>
          </w:tcPr>
          <w:p w14:paraId="01C9161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262,96</w:t>
            </w:r>
          </w:p>
        </w:tc>
        <w:tc>
          <w:tcPr>
            <w:tcW w:w="924" w:type="dxa"/>
            <w:tcBorders>
              <w:top w:val="nil"/>
              <w:left w:val="nil"/>
              <w:bottom w:val="double" w:sz="6" w:space="0" w:color="auto"/>
              <w:right w:val="double" w:sz="6" w:space="0" w:color="auto"/>
            </w:tcBorders>
            <w:shd w:val="clear" w:color="auto" w:fill="auto"/>
            <w:noWrap/>
            <w:vAlign w:val="bottom"/>
            <w:hideMark/>
          </w:tcPr>
          <w:p w14:paraId="1A608CB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2,65</w:t>
            </w:r>
          </w:p>
        </w:tc>
      </w:tr>
      <w:tr w:rsidR="001379D6" w:rsidRPr="003F30A8" w14:paraId="2A9CA83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FB0B9A6"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RO</w:t>
            </w:r>
          </w:p>
        </w:tc>
        <w:tc>
          <w:tcPr>
            <w:tcW w:w="1093" w:type="dxa"/>
            <w:tcBorders>
              <w:top w:val="nil"/>
              <w:left w:val="nil"/>
              <w:bottom w:val="double" w:sz="6" w:space="0" w:color="auto"/>
              <w:right w:val="double" w:sz="6" w:space="0" w:color="auto"/>
            </w:tcBorders>
            <w:shd w:val="clear" w:color="auto" w:fill="auto"/>
            <w:noWrap/>
            <w:vAlign w:val="bottom"/>
            <w:hideMark/>
          </w:tcPr>
          <w:p w14:paraId="49CEE61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39,71</w:t>
            </w:r>
          </w:p>
        </w:tc>
        <w:tc>
          <w:tcPr>
            <w:tcW w:w="1036" w:type="dxa"/>
            <w:tcBorders>
              <w:top w:val="nil"/>
              <w:left w:val="nil"/>
              <w:bottom w:val="double" w:sz="6" w:space="0" w:color="auto"/>
              <w:right w:val="double" w:sz="6" w:space="0" w:color="auto"/>
            </w:tcBorders>
            <w:shd w:val="clear" w:color="auto" w:fill="auto"/>
            <w:noWrap/>
            <w:vAlign w:val="bottom"/>
            <w:hideMark/>
          </w:tcPr>
          <w:p w14:paraId="215D5FC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F952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122,74</w:t>
            </w:r>
          </w:p>
        </w:tc>
        <w:tc>
          <w:tcPr>
            <w:tcW w:w="925" w:type="dxa"/>
            <w:tcBorders>
              <w:top w:val="nil"/>
              <w:left w:val="nil"/>
              <w:bottom w:val="double" w:sz="6" w:space="0" w:color="auto"/>
              <w:right w:val="double" w:sz="6" w:space="0" w:color="auto"/>
            </w:tcBorders>
            <w:shd w:val="clear" w:color="auto" w:fill="auto"/>
            <w:noWrap/>
            <w:vAlign w:val="bottom"/>
            <w:hideMark/>
          </w:tcPr>
          <w:p w14:paraId="3A79E6C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197A34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97,57</w:t>
            </w:r>
          </w:p>
        </w:tc>
        <w:tc>
          <w:tcPr>
            <w:tcW w:w="925" w:type="dxa"/>
            <w:tcBorders>
              <w:top w:val="nil"/>
              <w:left w:val="nil"/>
              <w:bottom w:val="double" w:sz="6" w:space="0" w:color="auto"/>
              <w:right w:val="double" w:sz="6" w:space="0" w:color="auto"/>
            </w:tcBorders>
            <w:shd w:val="clear" w:color="auto" w:fill="auto"/>
            <w:noWrap/>
            <w:vAlign w:val="bottom"/>
            <w:hideMark/>
          </w:tcPr>
          <w:p w14:paraId="615EE694"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0,32</w:t>
            </w:r>
          </w:p>
        </w:tc>
        <w:tc>
          <w:tcPr>
            <w:tcW w:w="910" w:type="dxa"/>
            <w:tcBorders>
              <w:top w:val="nil"/>
              <w:left w:val="nil"/>
              <w:bottom w:val="double" w:sz="6" w:space="0" w:color="auto"/>
              <w:right w:val="double" w:sz="6" w:space="0" w:color="auto"/>
            </w:tcBorders>
            <w:shd w:val="clear" w:color="auto" w:fill="auto"/>
            <w:noWrap/>
            <w:vAlign w:val="bottom"/>
            <w:hideMark/>
          </w:tcPr>
          <w:p w14:paraId="10C0A03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193,62</w:t>
            </w:r>
          </w:p>
        </w:tc>
        <w:tc>
          <w:tcPr>
            <w:tcW w:w="924" w:type="dxa"/>
            <w:tcBorders>
              <w:top w:val="nil"/>
              <w:left w:val="nil"/>
              <w:bottom w:val="double" w:sz="6" w:space="0" w:color="auto"/>
              <w:right w:val="double" w:sz="6" w:space="0" w:color="auto"/>
            </w:tcBorders>
            <w:shd w:val="clear" w:color="auto" w:fill="auto"/>
            <w:noWrap/>
            <w:vAlign w:val="bottom"/>
            <w:hideMark/>
          </w:tcPr>
          <w:p w14:paraId="48D05A9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1,60</w:t>
            </w:r>
          </w:p>
        </w:tc>
        <w:tc>
          <w:tcPr>
            <w:tcW w:w="892" w:type="dxa"/>
            <w:tcBorders>
              <w:top w:val="nil"/>
              <w:left w:val="nil"/>
              <w:bottom w:val="double" w:sz="6" w:space="0" w:color="auto"/>
              <w:right w:val="double" w:sz="6" w:space="0" w:color="auto"/>
            </w:tcBorders>
            <w:shd w:val="clear" w:color="auto" w:fill="auto"/>
            <w:noWrap/>
            <w:vAlign w:val="bottom"/>
            <w:hideMark/>
          </w:tcPr>
          <w:p w14:paraId="7C312F0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193,56</w:t>
            </w:r>
          </w:p>
        </w:tc>
        <w:tc>
          <w:tcPr>
            <w:tcW w:w="925" w:type="dxa"/>
            <w:tcBorders>
              <w:top w:val="nil"/>
              <w:left w:val="nil"/>
              <w:bottom w:val="double" w:sz="6" w:space="0" w:color="auto"/>
              <w:right w:val="double" w:sz="6" w:space="0" w:color="auto"/>
            </w:tcBorders>
            <w:shd w:val="clear" w:color="auto" w:fill="auto"/>
            <w:noWrap/>
            <w:vAlign w:val="bottom"/>
            <w:hideMark/>
          </w:tcPr>
          <w:p w14:paraId="05E6BC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0,44</w:t>
            </w:r>
          </w:p>
        </w:tc>
        <w:tc>
          <w:tcPr>
            <w:tcW w:w="910" w:type="dxa"/>
            <w:tcBorders>
              <w:top w:val="nil"/>
              <w:left w:val="nil"/>
              <w:bottom w:val="double" w:sz="6" w:space="0" w:color="auto"/>
              <w:right w:val="double" w:sz="6" w:space="0" w:color="auto"/>
            </w:tcBorders>
            <w:shd w:val="clear" w:color="auto" w:fill="auto"/>
            <w:noWrap/>
            <w:vAlign w:val="bottom"/>
            <w:hideMark/>
          </w:tcPr>
          <w:p w14:paraId="7FD745C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260,29</w:t>
            </w:r>
          </w:p>
        </w:tc>
        <w:tc>
          <w:tcPr>
            <w:tcW w:w="924" w:type="dxa"/>
            <w:tcBorders>
              <w:top w:val="nil"/>
              <w:left w:val="nil"/>
              <w:bottom w:val="double" w:sz="6" w:space="0" w:color="auto"/>
              <w:right w:val="double" w:sz="6" w:space="0" w:color="auto"/>
            </w:tcBorders>
            <w:shd w:val="clear" w:color="auto" w:fill="auto"/>
            <w:noWrap/>
            <w:vAlign w:val="bottom"/>
            <w:hideMark/>
          </w:tcPr>
          <w:p w14:paraId="009D25F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0,47</w:t>
            </w:r>
          </w:p>
        </w:tc>
        <w:tc>
          <w:tcPr>
            <w:tcW w:w="966" w:type="dxa"/>
            <w:tcBorders>
              <w:top w:val="nil"/>
              <w:left w:val="nil"/>
              <w:bottom w:val="double" w:sz="6" w:space="0" w:color="auto"/>
              <w:right w:val="double" w:sz="6" w:space="0" w:color="auto"/>
            </w:tcBorders>
            <w:shd w:val="clear" w:color="auto" w:fill="auto"/>
            <w:noWrap/>
            <w:vAlign w:val="bottom"/>
            <w:hideMark/>
          </w:tcPr>
          <w:p w14:paraId="27C5FE4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717,64</w:t>
            </w:r>
          </w:p>
        </w:tc>
        <w:tc>
          <w:tcPr>
            <w:tcW w:w="924" w:type="dxa"/>
            <w:tcBorders>
              <w:top w:val="nil"/>
              <w:left w:val="nil"/>
              <w:bottom w:val="double" w:sz="6" w:space="0" w:color="auto"/>
              <w:right w:val="double" w:sz="6" w:space="0" w:color="auto"/>
            </w:tcBorders>
            <w:shd w:val="clear" w:color="auto" w:fill="auto"/>
            <w:noWrap/>
            <w:vAlign w:val="bottom"/>
            <w:hideMark/>
          </w:tcPr>
          <w:p w14:paraId="71B7935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1,45</w:t>
            </w:r>
          </w:p>
        </w:tc>
      </w:tr>
      <w:tr w:rsidR="001379D6" w:rsidRPr="003F30A8" w14:paraId="62DE47F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6EE3759"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SE</w:t>
            </w:r>
          </w:p>
        </w:tc>
        <w:tc>
          <w:tcPr>
            <w:tcW w:w="1093" w:type="dxa"/>
            <w:tcBorders>
              <w:top w:val="nil"/>
              <w:left w:val="nil"/>
              <w:bottom w:val="double" w:sz="6" w:space="0" w:color="auto"/>
              <w:right w:val="double" w:sz="6" w:space="0" w:color="auto"/>
            </w:tcBorders>
            <w:shd w:val="clear" w:color="auto" w:fill="auto"/>
            <w:noWrap/>
            <w:vAlign w:val="bottom"/>
            <w:hideMark/>
          </w:tcPr>
          <w:p w14:paraId="0BCE245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7,07</w:t>
            </w:r>
          </w:p>
        </w:tc>
        <w:tc>
          <w:tcPr>
            <w:tcW w:w="1036" w:type="dxa"/>
            <w:tcBorders>
              <w:top w:val="nil"/>
              <w:left w:val="nil"/>
              <w:bottom w:val="double" w:sz="6" w:space="0" w:color="auto"/>
              <w:right w:val="double" w:sz="6" w:space="0" w:color="auto"/>
            </w:tcBorders>
            <w:shd w:val="clear" w:color="auto" w:fill="auto"/>
            <w:noWrap/>
            <w:vAlign w:val="bottom"/>
            <w:hideMark/>
          </w:tcPr>
          <w:p w14:paraId="7E55746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F604A5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35,67</w:t>
            </w:r>
          </w:p>
        </w:tc>
        <w:tc>
          <w:tcPr>
            <w:tcW w:w="925" w:type="dxa"/>
            <w:tcBorders>
              <w:top w:val="nil"/>
              <w:left w:val="nil"/>
              <w:bottom w:val="double" w:sz="6" w:space="0" w:color="auto"/>
              <w:right w:val="double" w:sz="6" w:space="0" w:color="auto"/>
            </w:tcBorders>
            <w:shd w:val="clear" w:color="auto" w:fill="auto"/>
            <w:noWrap/>
            <w:vAlign w:val="bottom"/>
            <w:hideMark/>
          </w:tcPr>
          <w:p w14:paraId="1C11F12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5D72C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33,34</w:t>
            </w:r>
          </w:p>
        </w:tc>
        <w:tc>
          <w:tcPr>
            <w:tcW w:w="925" w:type="dxa"/>
            <w:tcBorders>
              <w:top w:val="nil"/>
              <w:left w:val="nil"/>
              <w:bottom w:val="double" w:sz="6" w:space="0" w:color="auto"/>
              <w:right w:val="double" w:sz="6" w:space="0" w:color="auto"/>
            </w:tcBorders>
            <w:shd w:val="clear" w:color="auto" w:fill="auto"/>
            <w:noWrap/>
            <w:vAlign w:val="bottom"/>
            <w:hideMark/>
          </w:tcPr>
          <w:p w14:paraId="5709480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1,02</w:t>
            </w:r>
          </w:p>
        </w:tc>
        <w:tc>
          <w:tcPr>
            <w:tcW w:w="910" w:type="dxa"/>
            <w:tcBorders>
              <w:top w:val="nil"/>
              <w:left w:val="nil"/>
              <w:bottom w:val="double" w:sz="6" w:space="0" w:color="auto"/>
              <w:right w:val="double" w:sz="6" w:space="0" w:color="auto"/>
            </w:tcBorders>
            <w:shd w:val="clear" w:color="auto" w:fill="auto"/>
            <w:noWrap/>
            <w:vAlign w:val="bottom"/>
            <w:hideMark/>
          </w:tcPr>
          <w:p w14:paraId="1A1D51F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48,79</w:t>
            </w:r>
          </w:p>
        </w:tc>
        <w:tc>
          <w:tcPr>
            <w:tcW w:w="924" w:type="dxa"/>
            <w:tcBorders>
              <w:top w:val="nil"/>
              <w:left w:val="nil"/>
              <w:bottom w:val="double" w:sz="6" w:space="0" w:color="auto"/>
              <w:right w:val="double" w:sz="6" w:space="0" w:color="auto"/>
            </w:tcBorders>
            <w:shd w:val="clear" w:color="auto" w:fill="auto"/>
            <w:noWrap/>
            <w:vAlign w:val="bottom"/>
            <w:hideMark/>
          </w:tcPr>
          <w:p w14:paraId="71DE629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3,63</w:t>
            </w:r>
          </w:p>
        </w:tc>
        <w:tc>
          <w:tcPr>
            <w:tcW w:w="892" w:type="dxa"/>
            <w:tcBorders>
              <w:top w:val="nil"/>
              <w:left w:val="nil"/>
              <w:bottom w:val="double" w:sz="6" w:space="0" w:color="auto"/>
              <w:right w:val="double" w:sz="6" w:space="0" w:color="auto"/>
            </w:tcBorders>
            <w:shd w:val="clear" w:color="auto" w:fill="auto"/>
            <w:noWrap/>
            <w:vAlign w:val="bottom"/>
            <w:hideMark/>
          </w:tcPr>
          <w:p w14:paraId="7B7A4B3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37,61</w:t>
            </w:r>
          </w:p>
        </w:tc>
        <w:tc>
          <w:tcPr>
            <w:tcW w:w="925" w:type="dxa"/>
            <w:tcBorders>
              <w:top w:val="nil"/>
              <w:left w:val="nil"/>
              <w:bottom w:val="double" w:sz="6" w:space="0" w:color="auto"/>
              <w:right w:val="double" w:sz="6" w:space="0" w:color="auto"/>
            </w:tcBorders>
            <w:shd w:val="clear" w:color="auto" w:fill="auto"/>
            <w:noWrap/>
            <w:vAlign w:val="bottom"/>
            <w:hideMark/>
          </w:tcPr>
          <w:p w14:paraId="1DA3AA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1,00</w:t>
            </w:r>
          </w:p>
        </w:tc>
        <w:tc>
          <w:tcPr>
            <w:tcW w:w="910" w:type="dxa"/>
            <w:tcBorders>
              <w:top w:val="nil"/>
              <w:left w:val="nil"/>
              <w:bottom w:val="double" w:sz="6" w:space="0" w:color="auto"/>
              <w:right w:val="double" w:sz="6" w:space="0" w:color="auto"/>
            </w:tcBorders>
            <w:shd w:val="clear" w:color="auto" w:fill="auto"/>
            <w:noWrap/>
            <w:vAlign w:val="bottom"/>
            <w:hideMark/>
          </w:tcPr>
          <w:p w14:paraId="2AD0317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50,45</w:t>
            </w:r>
          </w:p>
        </w:tc>
        <w:tc>
          <w:tcPr>
            <w:tcW w:w="924" w:type="dxa"/>
            <w:tcBorders>
              <w:top w:val="nil"/>
              <w:left w:val="nil"/>
              <w:bottom w:val="double" w:sz="6" w:space="0" w:color="auto"/>
              <w:right w:val="double" w:sz="6" w:space="0" w:color="auto"/>
            </w:tcBorders>
            <w:shd w:val="clear" w:color="auto" w:fill="auto"/>
            <w:noWrap/>
            <w:vAlign w:val="bottom"/>
            <w:hideMark/>
          </w:tcPr>
          <w:p w14:paraId="1007451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1,06</w:t>
            </w:r>
          </w:p>
        </w:tc>
        <w:tc>
          <w:tcPr>
            <w:tcW w:w="966" w:type="dxa"/>
            <w:tcBorders>
              <w:top w:val="nil"/>
              <w:left w:val="nil"/>
              <w:bottom w:val="double" w:sz="6" w:space="0" w:color="auto"/>
              <w:right w:val="double" w:sz="6" w:space="0" w:color="auto"/>
            </w:tcBorders>
            <w:shd w:val="clear" w:color="auto" w:fill="auto"/>
            <w:noWrap/>
            <w:vAlign w:val="bottom"/>
            <w:hideMark/>
          </w:tcPr>
          <w:p w14:paraId="01F2D53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132,98</w:t>
            </w:r>
          </w:p>
        </w:tc>
        <w:tc>
          <w:tcPr>
            <w:tcW w:w="924" w:type="dxa"/>
            <w:tcBorders>
              <w:top w:val="nil"/>
              <w:left w:val="nil"/>
              <w:bottom w:val="double" w:sz="6" w:space="0" w:color="auto"/>
              <w:right w:val="double" w:sz="6" w:space="0" w:color="auto"/>
            </w:tcBorders>
            <w:shd w:val="clear" w:color="auto" w:fill="auto"/>
            <w:noWrap/>
            <w:vAlign w:val="bottom"/>
            <w:hideMark/>
          </w:tcPr>
          <w:p w14:paraId="5BEB09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3,34</w:t>
            </w:r>
          </w:p>
        </w:tc>
      </w:tr>
      <w:tr w:rsidR="001379D6" w:rsidRPr="003F30A8" w14:paraId="7EDD487F"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47C196A"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SI</w:t>
            </w:r>
          </w:p>
        </w:tc>
        <w:tc>
          <w:tcPr>
            <w:tcW w:w="1093" w:type="dxa"/>
            <w:tcBorders>
              <w:top w:val="nil"/>
              <w:left w:val="nil"/>
              <w:bottom w:val="double" w:sz="6" w:space="0" w:color="auto"/>
              <w:right w:val="double" w:sz="6" w:space="0" w:color="auto"/>
            </w:tcBorders>
            <w:shd w:val="clear" w:color="auto" w:fill="auto"/>
            <w:noWrap/>
            <w:vAlign w:val="bottom"/>
            <w:hideMark/>
          </w:tcPr>
          <w:p w14:paraId="27E7B7F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3,51</w:t>
            </w:r>
          </w:p>
        </w:tc>
        <w:tc>
          <w:tcPr>
            <w:tcW w:w="1036" w:type="dxa"/>
            <w:tcBorders>
              <w:top w:val="nil"/>
              <w:left w:val="nil"/>
              <w:bottom w:val="double" w:sz="6" w:space="0" w:color="auto"/>
              <w:right w:val="double" w:sz="6" w:space="0" w:color="auto"/>
            </w:tcBorders>
            <w:shd w:val="clear" w:color="auto" w:fill="auto"/>
            <w:noWrap/>
            <w:vAlign w:val="bottom"/>
            <w:hideMark/>
          </w:tcPr>
          <w:p w14:paraId="7F88A0D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78F67D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17,74</w:t>
            </w:r>
          </w:p>
        </w:tc>
        <w:tc>
          <w:tcPr>
            <w:tcW w:w="925" w:type="dxa"/>
            <w:tcBorders>
              <w:top w:val="nil"/>
              <w:left w:val="nil"/>
              <w:bottom w:val="double" w:sz="6" w:space="0" w:color="auto"/>
              <w:right w:val="double" w:sz="6" w:space="0" w:color="auto"/>
            </w:tcBorders>
            <w:shd w:val="clear" w:color="auto" w:fill="auto"/>
            <w:noWrap/>
            <w:vAlign w:val="bottom"/>
            <w:hideMark/>
          </w:tcPr>
          <w:p w14:paraId="138EA5C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79950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16,59</w:t>
            </w:r>
          </w:p>
        </w:tc>
        <w:tc>
          <w:tcPr>
            <w:tcW w:w="925" w:type="dxa"/>
            <w:tcBorders>
              <w:top w:val="nil"/>
              <w:left w:val="nil"/>
              <w:bottom w:val="double" w:sz="6" w:space="0" w:color="auto"/>
              <w:right w:val="double" w:sz="6" w:space="0" w:color="auto"/>
            </w:tcBorders>
            <w:shd w:val="clear" w:color="auto" w:fill="auto"/>
            <w:noWrap/>
            <w:vAlign w:val="bottom"/>
            <w:hideMark/>
          </w:tcPr>
          <w:p w14:paraId="6D565AE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0,05</w:t>
            </w:r>
          </w:p>
        </w:tc>
        <w:tc>
          <w:tcPr>
            <w:tcW w:w="910" w:type="dxa"/>
            <w:tcBorders>
              <w:top w:val="nil"/>
              <w:left w:val="nil"/>
              <w:bottom w:val="double" w:sz="6" w:space="0" w:color="auto"/>
              <w:right w:val="double" w:sz="6" w:space="0" w:color="auto"/>
            </w:tcBorders>
            <w:shd w:val="clear" w:color="auto" w:fill="auto"/>
            <w:noWrap/>
            <w:vAlign w:val="bottom"/>
            <w:hideMark/>
          </w:tcPr>
          <w:p w14:paraId="24E9F5F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24,28</w:t>
            </w:r>
          </w:p>
        </w:tc>
        <w:tc>
          <w:tcPr>
            <w:tcW w:w="924" w:type="dxa"/>
            <w:tcBorders>
              <w:top w:val="nil"/>
              <w:left w:val="nil"/>
              <w:bottom w:val="double" w:sz="6" w:space="0" w:color="auto"/>
              <w:right w:val="double" w:sz="6" w:space="0" w:color="auto"/>
            </w:tcBorders>
            <w:shd w:val="clear" w:color="auto" w:fill="auto"/>
            <w:noWrap/>
            <w:vAlign w:val="bottom"/>
            <w:hideMark/>
          </w:tcPr>
          <w:p w14:paraId="3E8E828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0,14</w:t>
            </w:r>
          </w:p>
        </w:tc>
        <w:tc>
          <w:tcPr>
            <w:tcW w:w="892" w:type="dxa"/>
            <w:tcBorders>
              <w:top w:val="nil"/>
              <w:left w:val="nil"/>
              <w:bottom w:val="double" w:sz="6" w:space="0" w:color="auto"/>
              <w:right w:val="double" w:sz="6" w:space="0" w:color="auto"/>
            </w:tcBorders>
            <w:shd w:val="clear" w:color="auto" w:fill="auto"/>
            <w:noWrap/>
            <w:vAlign w:val="bottom"/>
            <w:hideMark/>
          </w:tcPr>
          <w:p w14:paraId="7C31BDB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18,70</w:t>
            </w:r>
          </w:p>
        </w:tc>
        <w:tc>
          <w:tcPr>
            <w:tcW w:w="925" w:type="dxa"/>
            <w:tcBorders>
              <w:top w:val="nil"/>
              <w:left w:val="nil"/>
              <w:bottom w:val="double" w:sz="6" w:space="0" w:color="auto"/>
              <w:right w:val="double" w:sz="6" w:space="0" w:color="auto"/>
            </w:tcBorders>
            <w:shd w:val="clear" w:color="auto" w:fill="auto"/>
            <w:noWrap/>
            <w:vAlign w:val="bottom"/>
            <w:hideMark/>
          </w:tcPr>
          <w:p w14:paraId="1B49204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5F68202E"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25,05</w:t>
            </w:r>
          </w:p>
        </w:tc>
        <w:tc>
          <w:tcPr>
            <w:tcW w:w="924" w:type="dxa"/>
            <w:tcBorders>
              <w:top w:val="nil"/>
              <w:left w:val="nil"/>
              <w:bottom w:val="double" w:sz="6" w:space="0" w:color="auto"/>
              <w:right w:val="double" w:sz="6" w:space="0" w:color="auto"/>
            </w:tcBorders>
            <w:shd w:val="clear" w:color="auto" w:fill="auto"/>
            <w:noWrap/>
            <w:vAlign w:val="bottom"/>
            <w:hideMark/>
          </w:tcPr>
          <w:p w14:paraId="38A75D2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66" w:type="dxa"/>
            <w:tcBorders>
              <w:top w:val="nil"/>
              <w:left w:val="nil"/>
              <w:bottom w:val="double" w:sz="6" w:space="0" w:color="auto"/>
              <w:right w:val="double" w:sz="6" w:space="0" w:color="auto"/>
            </w:tcBorders>
            <w:shd w:val="clear" w:color="auto" w:fill="auto"/>
            <w:noWrap/>
            <w:vAlign w:val="bottom"/>
            <w:hideMark/>
          </w:tcPr>
          <w:p w14:paraId="07AC7B5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66,19</w:t>
            </w:r>
          </w:p>
        </w:tc>
        <w:tc>
          <w:tcPr>
            <w:tcW w:w="924" w:type="dxa"/>
            <w:tcBorders>
              <w:top w:val="nil"/>
              <w:left w:val="nil"/>
              <w:bottom w:val="double" w:sz="6" w:space="0" w:color="auto"/>
              <w:right w:val="double" w:sz="6" w:space="0" w:color="auto"/>
            </w:tcBorders>
            <w:shd w:val="clear" w:color="auto" w:fill="auto"/>
            <w:noWrap/>
            <w:vAlign w:val="bottom"/>
            <w:hideMark/>
          </w:tcPr>
          <w:p w14:paraId="7F0506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0,12</w:t>
            </w:r>
          </w:p>
        </w:tc>
      </w:tr>
      <w:tr w:rsidR="001379D6" w:rsidRPr="003F30A8" w14:paraId="23811E7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333EE1"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SK</w:t>
            </w:r>
          </w:p>
        </w:tc>
        <w:tc>
          <w:tcPr>
            <w:tcW w:w="1093" w:type="dxa"/>
            <w:tcBorders>
              <w:top w:val="nil"/>
              <w:left w:val="nil"/>
              <w:bottom w:val="double" w:sz="6" w:space="0" w:color="auto"/>
              <w:right w:val="double" w:sz="6" w:space="0" w:color="auto"/>
            </w:tcBorders>
            <w:shd w:val="clear" w:color="auto" w:fill="auto"/>
            <w:noWrap/>
            <w:vAlign w:val="bottom"/>
            <w:hideMark/>
          </w:tcPr>
          <w:p w14:paraId="6AFFF24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12,19</w:t>
            </w:r>
          </w:p>
        </w:tc>
        <w:tc>
          <w:tcPr>
            <w:tcW w:w="1036" w:type="dxa"/>
            <w:tcBorders>
              <w:top w:val="nil"/>
              <w:left w:val="nil"/>
              <w:bottom w:val="double" w:sz="6" w:space="0" w:color="auto"/>
              <w:right w:val="double" w:sz="6" w:space="0" w:color="auto"/>
            </w:tcBorders>
            <w:shd w:val="clear" w:color="auto" w:fill="auto"/>
            <w:noWrap/>
            <w:vAlign w:val="bottom"/>
            <w:hideMark/>
          </w:tcPr>
          <w:p w14:paraId="77FDDAD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0C156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61,70</w:t>
            </w:r>
          </w:p>
        </w:tc>
        <w:tc>
          <w:tcPr>
            <w:tcW w:w="925" w:type="dxa"/>
            <w:tcBorders>
              <w:top w:val="nil"/>
              <w:left w:val="nil"/>
              <w:bottom w:val="double" w:sz="6" w:space="0" w:color="auto"/>
              <w:right w:val="double" w:sz="6" w:space="0" w:color="auto"/>
            </w:tcBorders>
            <w:shd w:val="clear" w:color="auto" w:fill="auto"/>
            <w:noWrap/>
            <w:vAlign w:val="bottom"/>
            <w:hideMark/>
          </w:tcPr>
          <w:p w14:paraId="74214C9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8404A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57,59</w:t>
            </w:r>
          </w:p>
        </w:tc>
        <w:tc>
          <w:tcPr>
            <w:tcW w:w="925" w:type="dxa"/>
            <w:tcBorders>
              <w:top w:val="nil"/>
              <w:left w:val="nil"/>
              <w:bottom w:val="double" w:sz="6" w:space="0" w:color="auto"/>
              <w:right w:val="double" w:sz="6" w:space="0" w:color="auto"/>
            </w:tcBorders>
            <w:shd w:val="clear" w:color="auto" w:fill="auto"/>
            <w:noWrap/>
            <w:vAlign w:val="bottom"/>
            <w:hideMark/>
          </w:tcPr>
          <w:p w14:paraId="2FB2BBA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0,04</w:t>
            </w:r>
          </w:p>
        </w:tc>
        <w:tc>
          <w:tcPr>
            <w:tcW w:w="910" w:type="dxa"/>
            <w:tcBorders>
              <w:top w:val="nil"/>
              <w:left w:val="nil"/>
              <w:bottom w:val="double" w:sz="6" w:space="0" w:color="auto"/>
              <w:right w:val="double" w:sz="6" w:space="0" w:color="auto"/>
            </w:tcBorders>
            <w:shd w:val="clear" w:color="auto" w:fill="auto"/>
            <w:noWrap/>
            <w:vAlign w:val="bottom"/>
            <w:hideMark/>
          </w:tcPr>
          <w:p w14:paraId="76D5D8B8"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84,31</w:t>
            </w:r>
          </w:p>
        </w:tc>
        <w:tc>
          <w:tcPr>
            <w:tcW w:w="924" w:type="dxa"/>
            <w:tcBorders>
              <w:top w:val="nil"/>
              <w:left w:val="nil"/>
              <w:bottom w:val="double" w:sz="6" w:space="0" w:color="auto"/>
              <w:right w:val="double" w:sz="6" w:space="0" w:color="auto"/>
            </w:tcBorders>
            <w:shd w:val="clear" w:color="auto" w:fill="auto"/>
            <w:noWrap/>
            <w:vAlign w:val="bottom"/>
            <w:hideMark/>
          </w:tcPr>
          <w:p w14:paraId="04E80FFF"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0,20</w:t>
            </w:r>
          </w:p>
        </w:tc>
        <w:tc>
          <w:tcPr>
            <w:tcW w:w="892" w:type="dxa"/>
            <w:tcBorders>
              <w:top w:val="nil"/>
              <w:left w:val="nil"/>
              <w:bottom w:val="double" w:sz="6" w:space="0" w:color="auto"/>
              <w:right w:val="double" w:sz="6" w:space="0" w:color="auto"/>
            </w:tcBorders>
            <w:shd w:val="clear" w:color="auto" w:fill="auto"/>
            <w:noWrap/>
            <w:vAlign w:val="bottom"/>
            <w:hideMark/>
          </w:tcPr>
          <w:p w14:paraId="55BA549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64,99</w:t>
            </w:r>
          </w:p>
        </w:tc>
        <w:tc>
          <w:tcPr>
            <w:tcW w:w="925" w:type="dxa"/>
            <w:tcBorders>
              <w:top w:val="nil"/>
              <w:left w:val="nil"/>
              <w:bottom w:val="double" w:sz="6" w:space="0" w:color="auto"/>
              <w:right w:val="double" w:sz="6" w:space="0" w:color="auto"/>
            </w:tcBorders>
            <w:shd w:val="clear" w:color="auto" w:fill="auto"/>
            <w:noWrap/>
            <w:vAlign w:val="bottom"/>
            <w:hideMark/>
          </w:tcPr>
          <w:p w14:paraId="684B41F3"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10" w:type="dxa"/>
            <w:tcBorders>
              <w:top w:val="nil"/>
              <w:left w:val="nil"/>
              <w:bottom w:val="double" w:sz="6" w:space="0" w:color="auto"/>
              <w:right w:val="double" w:sz="6" w:space="0" w:color="auto"/>
            </w:tcBorders>
            <w:shd w:val="clear" w:color="auto" w:fill="auto"/>
            <w:noWrap/>
            <w:vAlign w:val="bottom"/>
            <w:hideMark/>
          </w:tcPr>
          <w:p w14:paraId="2A2DEA1C"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87,01</w:t>
            </w:r>
          </w:p>
        </w:tc>
        <w:tc>
          <w:tcPr>
            <w:tcW w:w="924" w:type="dxa"/>
            <w:tcBorders>
              <w:top w:val="nil"/>
              <w:left w:val="nil"/>
              <w:bottom w:val="double" w:sz="6" w:space="0" w:color="auto"/>
              <w:right w:val="double" w:sz="6" w:space="0" w:color="auto"/>
            </w:tcBorders>
            <w:shd w:val="clear" w:color="auto" w:fill="auto"/>
            <w:noWrap/>
            <w:vAlign w:val="bottom"/>
            <w:hideMark/>
          </w:tcPr>
          <w:p w14:paraId="3E7AFE0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0,06</w:t>
            </w:r>
          </w:p>
        </w:tc>
        <w:tc>
          <w:tcPr>
            <w:tcW w:w="966" w:type="dxa"/>
            <w:tcBorders>
              <w:top w:val="nil"/>
              <w:left w:val="nil"/>
              <w:bottom w:val="double" w:sz="6" w:space="0" w:color="auto"/>
              <w:right w:val="double" w:sz="6" w:space="0" w:color="auto"/>
            </w:tcBorders>
            <w:shd w:val="clear" w:color="auto" w:fill="auto"/>
            <w:noWrap/>
            <w:vAlign w:val="bottom"/>
            <w:hideMark/>
          </w:tcPr>
          <w:p w14:paraId="0F71165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229,74</w:t>
            </w:r>
          </w:p>
        </w:tc>
        <w:tc>
          <w:tcPr>
            <w:tcW w:w="924" w:type="dxa"/>
            <w:tcBorders>
              <w:top w:val="nil"/>
              <w:left w:val="nil"/>
              <w:bottom w:val="double" w:sz="6" w:space="0" w:color="auto"/>
              <w:right w:val="double" w:sz="6" w:space="0" w:color="auto"/>
            </w:tcBorders>
            <w:shd w:val="clear" w:color="auto" w:fill="auto"/>
            <w:noWrap/>
            <w:vAlign w:val="bottom"/>
            <w:hideMark/>
          </w:tcPr>
          <w:p w14:paraId="0071A986"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0,18</w:t>
            </w:r>
          </w:p>
        </w:tc>
      </w:tr>
      <w:tr w:rsidR="001379D6" w:rsidRPr="003F30A8" w14:paraId="71FB89F9" w14:textId="77777777" w:rsidTr="00516F65">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7AC28E" w14:textId="77777777" w:rsidR="001379D6" w:rsidRPr="003F30A8" w:rsidRDefault="001379D6"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UK</w:t>
            </w:r>
          </w:p>
        </w:tc>
        <w:tc>
          <w:tcPr>
            <w:tcW w:w="1093" w:type="dxa"/>
            <w:tcBorders>
              <w:top w:val="nil"/>
              <w:left w:val="nil"/>
              <w:bottom w:val="double" w:sz="6" w:space="0" w:color="auto"/>
              <w:right w:val="double" w:sz="6" w:space="0" w:color="auto"/>
            </w:tcBorders>
            <w:shd w:val="clear" w:color="auto" w:fill="auto"/>
            <w:noWrap/>
            <w:vAlign w:val="bottom"/>
            <w:hideMark/>
          </w:tcPr>
          <w:p w14:paraId="1F868237"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75,74</w:t>
            </w:r>
          </w:p>
        </w:tc>
        <w:tc>
          <w:tcPr>
            <w:tcW w:w="1036" w:type="dxa"/>
            <w:tcBorders>
              <w:top w:val="nil"/>
              <w:left w:val="nil"/>
              <w:bottom w:val="double" w:sz="6" w:space="0" w:color="auto"/>
              <w:right w:val="double" w:sz="6" w:space="0" w:color="auto"/>
            </w:tcBorders>
            <w:shd w:val="clear" w:color="auto" w:fill="auto"/>
            <w:noWrap/>
            <w:vAlign w:val="bottom"/>
            <w:hideMark/>
          </w:tcPr>
          <w:p w14:paraId="063E31CB"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B08DE4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409,63</w:t>
            </w:r>
          </w:p>
        </w:tc>
        <w:tc>
          <w:tcPr>
            <w:tcW w:w="925" w:type="dxa"/>
            <w:tcBorders>
              <w:top w:val="nil"/>
              <w:left w:val="nil"/>
              <w:bottom w:val="double" w:sz="6" w:space="0" w:color="auto"/>
              <w:right w:val="double" w:sz="6" w:space="0" w:color="auto"/>
            </w:tcBorders>
            <w:shd w:val="clear" w:color="auto" w:fill="auto"/>
            <w:noWrap/>
            <w:vAlign w:val="bottom"/>
            <w:hideMark/>
          </w:tcPr>
          <w:p w14:paraId="3E43008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B76F60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387,42</w:t>
            </w:r>
          </w:p>
        </w:tc>
        <w:tc>
          <w:tcPr>
            <w:tcW w:w="925" w:type="dxa"/>
            <w:tcBorders>
              <w:top w:val="nil"/>
              <w:left w:val="nil"/>
              <w:bottom w:val="double" w:sz="6" w:space="0" w:color="auto"/>
              <w:right w:val="double" w:sz="6" w:space="0" w:color="auto"/>
            </w:tcBorders>
            <w:shd w:val="clear" w:color="auto" w:fill="auto"/>
            <w:noWrap/>
            <w:vAlign w:val="bottom"/>
            <w:hideMark/>
          </w:tcPr>
          <w:p w14:paraId="0DC8F2F0"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14,08</w:t>
            </w:r>
          </w:p>
        </w:tc>
        <w:tc>
          <w:tcPr>
            <w:tcW w:w="910" w:type="dxa"/>
            <w:tcBorders>
              <w:top w:val="nil"/>
              <w:left w:val="nil"/>
              <w:bottom w:val="double" w:sz="6" w:space="0" w:color="auto"/>
              <w:right w:val="double" w:sz="6" w:space="0" w:color="auto"/>
            </w:tcBorders>
            <w:shd w:val="clear" w:color="auto" w:fill="auto"/>
            <w:noWrap/>
            <w:vAlign w:val="bottom"/>
            <w:hideMark/>
          </w:tcPr>
          <w:p w14:paraId="711CA1D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567,72</w:t>
            </w:r>
          </w:p>
        </w:tc>
        <w:tc>
          <w:tcPr>
            <w:tcW w:w="924" w:type="dxa"/>
            <w:tcBorders>
              <w:top w:val="nil"/>
              <w:left w:val="nil"/>
              <w:bottom w:val="double" w:sz="6" w:space="0" w:color="auto"/>
              <w:right w:val="double" w:sz="6" w:space="0" w:color="auto"/>
            </w:tcBorders>
            <w:shd w:val="clear" w:color="auto" w:fill="auto"/>
            <w:noWrap/>
            <w:vAlign w:val="bottom"/>
            <w:hideMark/>
          </w:tcPr>
          <w:p w14:paraId="7279F8AA"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18,54</w:t>
            </w:r>
          </w:p>
        </w:tc>
        <w:tc>
          <w:tcPr>
            <w:tcW w:w="892" w:type="dxa"/>
            <w:tcBorders>
              <w:top w:val="nil"/>
              <w:left w:val="nil"/>
              <w:bottom w:val="double" w:sz="6" w:space="0" w:color="auto"/>
              <w:right w:val="double" w:sz="6" w:space="0" w:color="auto"/>
            </w:tcBorders>
            <w:shd w:val="clear" w:color="auto" w:fill="auto"/>
            <w:noWrap/>
            <w:vAlign w:val="bottom"/>
            <w:hideMark/>
          </w:tcPr>
          <w:p w14:paraId="4C459542"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418,96</w:t>
            </w:r>
          </w:p>
        </w:tc>
        <w:tc>
          <w:tcPr>
            <w:tcW w:w="925" w:type="dxa"/>
            <w:tcBorders>
              <w:top w:val="nil"/>
              <w:left w:val="nil"/>
              <w:bottom w:val="double" w:sz="6" w:space="0" w:color="auto"/>
              <w:right w:val="double" w:sz="6" w:space="0" w:color="auto"/>
            </w:tcBorders>
            <w:shd w:val="clear" w:color="auto" w:fill="auto"/>
            <w:noWrap/>
            <w:vAlign w:val="bottom"/>
            <w:hideMark/>
          </w:tcPr>
          <w:p w14:paraId="247BD66D"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5,37</w:t>
            </w:r>
          </w:p>
        </w:tc>
        <w:tc>
          <w:tcPr>
            <w:tcW w:w="910" w:type="dxa"/>
            <w:tcBorders>
              <w:top w:val="nil"/>
              <w:left w:val="nil"/>
              <w:bottom w:val="double" w:sz="6" w:space="0" w:color="auto"/>
              <w:right w:val="double" w:sz="6" w:space="0" w:color="auto"/>
            </w:tcBorders>
            <w:shd w:val="clear" w:color="auto" w:fill="auto"/>
            <w:noWrap/>
            <w:vAlign w:val="bottom"/>
            <w:hideMark/>
          </w:tcPr>
          <w:p w14:paraId="3DDDD815"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604,02</w:t>
            </w:r>
          </w:p>
        </w:tc>
        <w:tc>
          <w:tcPr>
            <w:tcW w:w="924" w:type="dxa"/>
            <w:tcBorders>
              <w:top w:val="nil"/>
              <w:left w:val="nil"/>
              <w:bottom w:val="double" w:sz="6" w:space="0" w:color="auto"/>
              <w:right w:val="double" w:sz="6" w:space="0" w:color="auto"/>
            </w:tcBorders>
            <w:shd w:val="clear" w:color="auto" w:fill="auto"/>
            <w:noWrap/>
            <w:vAlign w:val="bottom"/>
            <w:hideMark/>
          </w:tcPr>
          <w:p w14:paraId="02B7783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5,30</w:t>
            </w:r>
          </w:p>
        </w:tc>
        <w:tc>
          <w:tcPr>
            <w:tcW w:w="966" w:type="dxa"/>
            <w:tcBorders>
              <w:top w:val="nil"/>
              <w:left w:val="nil"/>
              <w:bottom w:val="double" w:sz="6" w:space="0" w:color="auto"/>
              <w:right w:val="double" w:sz="6" w:space="0" w:color="auto"/>
            </w:tcBorders>
            <w:shd w:val="clear" w:color="auto" w:fill="auto"/>
            <w:noWrap/>
            <w:vAlign w:val="bottom"/>
            <w:hideMark/>
          </w:tcPr>
          <w:p w14:paraId="538BC6F9"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1607,32</w:t>
            </w:r>
          </w:p>
        </w:tc>
        <w:tc>
          <w:tcPr>
            <w:tcW w:w="924" w:type="dxa"/>
            <w:tcBorders>
              <w:top w:val="nil"/>
              <w:left w:val="nil"/>
              <w:bottom w:val="double" w:sz="6" w:space="0" w:color="auto"/>
              <w:right w:val="double" w:sz="6" w:space="0" w:color="auto"/>
            </w:tcBorders>
            <w:shd w:val="clear" w:color="auto" w:fill="auto"/>
            <w:noWrap/>
            <w:vAlign w:val="bottom"/>
            <w:hideMark/>
          </w:tcPr>
          <w:p w14:paraId="345D1501" w14:textId="77777777" w:rsidR="001379D6" w:rsidRPr="003F30A8" w:rsidRDefault="001379D6" w:rsidP="001379D6">
            <w:pPr>
              <w:spacing w:after="0" w:line="240" w:lineRule="auto"/>
              <w:jc w:val="right"/>
              <w:rPr>
                <w:rFonts w:ascii="Times New Roman" w:eastAsia="Times New Roman" w:hAnsi="Times New Roman"/>
                <w:color w:val="000000"/>
                <w:sz w:val="20"/>
                <w:szCs w:val="20"/>
                <w:lang w:eastAsia="en-GB"/>
              </w:rPr>
            </w:pPr>
            <w:r w:rsidRPr="003F30A8">
              <w:rPr>
                <w:rFonts w:ascii="Times New Roman" w:eastAsia="Times New Roman" w:hAnsi="Times New Roman"/>
                <w:color w:val="000000"/>
                <w:sz w:val="20"/>
                <w:szCs w:val="20"/>
                <w:lang w:eastAsia="en-GB"/>
              </w:rPr>
              <w:t>0,00</w:t>
            </w:r>
          </w:p>
        </w:tc>
      </w:tr>
      <w:tr w:rsidR="00B014E1" w:rsidRPr="009743AF" w14:paraId="0D3F8AFB" w14:textId="77777777" w:rsidTr="00516F65">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14:paraId="59E901A7" w14:textId="77777777" w:rsidR="00B014E1" w:rsidRPr="003F30A8" w:rsidRDefault="00B014E1" w:rsidP="001379D6">
            <w:pPr>
              <w:spacing w:after="0" w:line="240" w:lineRule="auto"/>
              <w:rPr>
                <w:rFonts w:ascii="Times New Roman" w:eastAsia="Times New Roman" w:hAnsi="Times New Roman"/>
                <w:b/>
                <w:bCs/>
                <w:color w:val="000000"/>
                <w:sz w:val="20"/>
                <w:szCs w:val="20"/>
                <w:lang w:eastAsia="en-GB"/>
              </w:rPr>
            </w:pPr>
            <w:r w:rsidRPr="003F30A8">
              <w:rPr>
                <w:rFonts w:ascii="Times New Roman" w:eastAsia="Times New Roman" w:hAnsi="Times New Roman"/>
                <w:b/>
                <w:bCs/>
                <w:color w:val="000000"/>
                <w:sz w:val="20"/>
                <w:szCs w:val="20"/>
                <w:lang w:eastAsia="en-GB"/>
              </w:rPr>
              <w:t>TOTAL</w:t>
            </w:r>
          </w:p>
        </w:tc>
        <w:tc>
          <w:tcPr>
            <w:tcW w:w="1093" w:type="dxa"/>
            <w:tcBorders>
              <w:top w:val="double" w:sz="4" w:space="0" w:color="auto"/>
              <w:left w:val="nil"/>
              <w:bottom w:val="double" w:sz="6" w:space="0" w:color="auto"/>
              <w:right w:val="double" w:sz="6" w:space="0" w:color="auto"/>
            </w:tcBorders>
            <w:shd w:val="clear" w:color="auto" w:fill="auto"/>
            <w:noWrap/>
            <w:vAlign w:val="bottom"/>
          </w:tcPr>
          <w:p w14:paraId="5AF14898"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603</w:t>
            </w:r>
            <w:r w:rsidR="00326996" w:rsidRPr="003F30A8">
              <w:rPr>
                <w:rFonts w:ascii="Times New Roman" w:eastAsia="Times New Roman" w:hAnsi="Times New Roman"/>
                <w:b/>
                <w:color w:val="000000"/>
                <w:sz w:val="20"/>
                <w:szCs w:val="20"/>
                <w:lang w:eastAsia="en-GB"/>
              </w:rPr>
              <w:t>,52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14:paraId="757AE2C1" w14:textId="77777777" w:rsidR="00B014E1" w:rsidRPr="003F30A8" w:rsidRDefault="00AA7749"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17,</w:t>
            </w:r>
            <w:r w:rsidR="00326996" w:rsidRPr="003F30A8">
              <w:rPr>
                <w:rFonts w:ascii="Times New Roman" w:eastAsia="Times New Roman" w:hAnsi="Times New Roman"/>
                <w:b/>
                <w:color w:val="000000"/>
                <w:sz w:val="20"/>
                <w:szCs w:val="20"/>
                <w:lang w:eastAsia="en-GB"/>
              </w:rPr>
              <w:t>53</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065A09C4"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7355D39" w14:textId="77777777" w:rsidR="00B014E1" w:rsidRPr="003F30A8" w:rsidRDefault="00B2073D"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65463650"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519E7666" w14:textId="77777777" w:rsidR="00B014E1" w:rsidRPr="003F30A8" w:rsidRDefault="0008149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47311101"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4815,9</w:t>
            </w:r>
            <w:r w:rsidR="00326996" w:rsidRPr="003F30A8">
              <w:rPr>
                <w:rFonts w:ascii="Times New Roman" w:eastAsia="Times New Roman" w:hAnsi="Times New Roman"/>
                <w:b/>
                <w:color w:val="000000"/>
                <w:sz w:val="20"/>
                <w:szCs w:val="20"/>
                <w:lang w:eastAsia="en-GB"/>
              </w:rPr>
              <w:t>7</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4066270F" w14:textId="77777777" w:rsidR="00B014E1" w:rsidRPr="003F30A8" w:rsidRDefault="0008149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117,</w:t>
            </w:r>
            <w:r w:rsidR="00326996" w:rsidRPr="003F30A8">
              <w:rPr>
                <w:rFonts w:ascii="Times New Roman" w:eastAsia="Times New Roman" w:hAnsi="Times New Roman"/>
                <w:b/>
                <w:color w:val="000000"/>
                <w:sz w:val="20"/>
                <w:szCs w:val="20"/>
                <w:lang w:eastAsia="en-GB"/>
              </w:rPr>
              <w:t>26</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29F5402B" w14:textId="77777777" w:rsidR="00B014E1" w:rsidRPr="003F30A8" w:rsidRDefault="00B014E1"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0AB83AB" w14:textId="77777777" w:rsidR="00B014E1" w:rsidRPr="003F30A8" w:rsidRDefault="00103EE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0EE70CFE" w14:textId="77777777" w:rsidR="00B014E1" w:rsidRPr="003F30A8" w:rsidRDefault="00676CF0"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5490,60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50EA25E5" w14:textId="77777777" w:rsidR="00B014E1" w:rsidRPr="003F30A8" w:rsidRDefault="00103EE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14:paraId="41BC8FD1" w14:textId="77777777" w:rsidR="00B014E1" w:rsidRPr="003F30A8" w:rsidRDefault="00676CF0"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1409</w:t>
            </w:r>
            <w:r w:rsidR="00E55173">
              <w:rPr>
                <w:rFonts w:ascii="Times New Roman" w:eastAsia="Times New Roman" w:hAnsi="Times New Roman"/>
                <w:b/>
                <w:color w:val="000000"/>
                <w:sz w:val="20"/>
                <w:szCs w:val="20"/>
                <w:lang w:eastAsia="en-GB"/>
              </w:rPr>
              <w:t>0</w:t>
            </w:r>
            <w:r w:rsidRPr="003F30A8">
              <w:rPr>
                <w:rFonts w:ascii="Times New Roman" w:eastAsia="Times New Roman" w:hAnsi="Times New Roman"/>
                <w:b/>
                <w:color w:val="000000"/>
                <w:sz w:val="20"/>
                <w:szCs w:val="20"/>
                <w:lang w:eastAsia="en-GB"/>
              </w:rPr>
              <w:t>,</w:t>
            </w:r>
            <w:r w:rsidR="00E55173">
              <w:rPr>
                <w:rFonts w:ascii="Times New Roman" w:eastAsia="Times New Roman" w:hAnsi="Times New Roman"/>
                <w:b/>
                <w:color w:val="000000"/>
                <w:sz w:val="20"/>
                <w:szCs w:val="20"/>
                <w:lang w:eastAsia="en-GB"/>
              </w:rPr>
              <w:t>23</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79E625A8" w14:textId="77777777" w:rsidR="00B014E1" w:rsidRPr="003F30A8" w:rsidRDefault="00103EEF" w:rsidP="001379D6">
            <w:pPr>
              <w:spacing w:after="0" w:line="240" w:lineRule="auto"/>
              <w:jc w:val="right"/>
              <w:rPr>
                <w:rFonts w:ascii="Times New Roman" w:eastAsia="Times New Roman" w:hAnsi="Times New Roman"/>
                <w:b/>
                <w:color w:val="000000"/>
                <w:sz w:val="20"/>
                <w:szCs w:val="20"/>
                <w:lang w:eastAsia="en-GB"/>
              </w:rPr>
            </w:pPr>
            <w:r w:rsidRPr="003F30A8">
              <w:rPr>
                <w:rFonts w:ascii="Times New Roman" w:eastAsia="Times New Roman" w:hAnsi="Times New Roman"/>
                <w:b/>
                <w:color w:val="000000"/>
                <w:sz w:val="20"/>
                <w:szCs w:val="20"/>
                <w:lang w:eastAsia="en-GB"/>
              </w:rPr>
              <w:t>90,27</w:t>
            </w:r>
          </w:p>
        </w:tc>
      </w:tr>
    </w:tbl>
    <w:p w14:paraId="59C376DB" w14:textId="77777777" w:rsidR="00CA734B" w:rsidRDefault="00CA734B">
      <w:pPr>
        <w:rPr>
          <w:rFonts w:ascii="Times New Roman" w:hAnsi="Times New Roman"/>
          <w:b/>
          <w:noProof/>
        </w:rPr>
        <w:sectPr w:rsidR="00CA734B" w:rsidSect="002802C4">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14:paraId="3AB387D3" w14:textId="77777777" w:rsidR="005F6BD0" w:rsidRDefault="003A348D">
      <w:pPr>
        <w:rPr>
          <w:rFonts w:ascii="Times New Roman" w:hAnsi="Times New Roman"/>
          <w:b/>
          <w:noProof/>
        </w:rPr>
      </w:pPr>
      <w:r>
        <w:rPr>
          <w:rFonts w:ascii="Times New Roman" w:hAnsi="Times New Roman"/>
          <w:b/>
          <w:noProof/>
        </w:rPr>
        <w:t>Appendix 3</w:t>
      </w:r>
    </w:p>
    <w:p w14:paraId="146E8272" w14:textId="77777777" w:rsidR="00D812BF" w:rsidRDefault="00D812BF" w:rsidP="00D812BF">
      <w:pPr>
        <w:rPr>
          <w:rFonts w:ascii="Times New Roman" w:hAnsi="Times New Roman"/>
          <w:b/>
          <w:noProof/>
          <w:sz w:val="20"/>
          <w:szCs w:val="20"/>
        </w:rPr>
      </w:pPr>
      <w:r>
        <w:rPr>
          <w:rFonts w:ascii="Times New Roman" w:hAnsi="Times New Roman"/>
          <w:b/>
          <w:noProof/>
          <w:sz w:val="20"/>
          <w:szCs w:val="20"/>
        </w:rPr>
        <w:t xml:space="preserve">Table </w:t>
      </w:r>
      <w:r w:rsidR="00AA2E4B">
        <w:rPr>
          <w:rFonts w:ascii="Times New Roman" w:hAnsi="Times New Roman"/>
          <w:b/>
          <w:noProof/>
          <w:sz w:val="20"/>
          <w:szCs w:val="20"/>
        </w:rPr>
        <w:t>3.</w:t>
      </w:r>
      <w:r>
        <w:rPr>
          <w:rFonts w:ascii="Times New Roman" w:hAnsi="Times New Roman"/>
          <w:b/>
          <w:noProof/>
          <w:sz w:val="20"/>
          <w:szCs w:val="20"/>
        </w:rPr>
        <w:t>1: Summary of international credits exchange until end June 2019</w:t>
      </w:r>
      <w:r w:rsidR="00620C74">
        <w:rPr>
          <w:rStyle w:val="FootnoteReference"/>
          <w:rFonts w:ascii="Times New Roman" w:hAnsi="Times New Roman"/>
          <w:b/>
          <w:noProof/>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rsidR="00D812BF" w14:paraId="19942958" w14:textId="77777777" w:rsidTr="00601A28">
        <w:trPr>
          <w:trHeight w:val="238"/>
        </w:trPr>
        <w:tc>
          <w:tcPr>
            <w:tcW w:w="865" w:type="pct"/>
            <w:shd w:val="clear" w:color="auto" w:fill="auto"/>
            <w:noWrap/>
            <w:hideMark/>
          </w:tcPr>
          <w:p w14:paraId="6E8F0C41" w14:textId="77777777" w:rsidR="00D812BF" w:rsidRDefault="00D812BF" w:rsidP="00A16C99">
            <w:pPr>
              <w:spacing w:after="0" w:line="240" w:lineRule="auto"/>
              <w:ind w:right="57"/>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International credits exchanged by end June 2019</w:t>
            </w:r>
          </w:p>
        </w:tc>
        <w:tc>
          <w:tcPr>
            <w:tcW w:w="762" w:type="pct"/>
            <w:shd w:val="clear" w:color="auto" w:fill="auto"/>
            <w:noWrap/>
            <w:hideMark/>
          </w:tcPr>
          <w:p w14:paraId="00D60657"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million</w:t>
            </w:r>
          </w:p>
        </w:tc>
        <w:tc>
          <w:tcPr>
            <w:tcW w:w="844" w:type="pct"/>
            <w:shd w:val="clear" w:color="auto" w:fill="auto"/>
            <w:noWrap/>
            <w:hideMark/>
          </w:tcPr>
          <w:p w14:paraId="2DBDDA4C"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percentages</w:t>
            </w:r>
          </w:p>
        </w:tc>
        <w:tc>
          <w:tcPr>
            <w:tcW w:w="892" w:type="pct"/>
            <w:shd w:val="clear" w:color="auto" w:fill="auto"/>
            <w:noWrap/>
            <w:hideMark/>
          </w:tcPr>
          <w:p w14:paraId="676C7345" w14:textId="77777777" w:rsidR="00D812BF" w:rsidRDefault="00D812BF" w:rsidP="00A16C99">
            <w:pPr>
              <w:spacing w:after="0" w:line="240" w:lineRule="auto"/>
              <w:ind w:right="57"/>
              <w:jc w:val="center"/>
              <w:rPr>
                <w:rFonts w:ascii="Times New Roman" w:eastAsia="Times New Roman" w:hAnsi="Times New Roman"/>
                <w:b/>
                <w:noProof/>
                <w:color w:val="000000"/>
                <w:sz w:val="20"/>
                <w:szCs w:val="20"/>
                <w:lang w:eastAsia="en-GB"/>
              </w:rPr>
            </w:pPr>
            <w:r>
              <w:rPr>
                <w:rFonts w:ascii="Times New Roman" w:hAnsi="Times New Roman"/>
                <w:b/>
                <w:noProof/>
                <w:sz w:val="20"/>
                <w:szCs w:val="20"/>
              </w:rPr>
              <w:t>International credits exchanged by end June 2019</w:t>
            </w:r>
          </w:p>
        </w:tc>
        <w:tc>
          <w:tcPr>
            <w:tcW w:w="794" w:type="pct"/>
            <w:shd w:val="clear" w:color="auto" w:fill="auto"/>
            <w:noWrap/>
            <w:hideMark/>
          </w:tcPr>
          <w:p w14:paraId="468F055B" w14:textId="77777777" w:rsidR="00D812BF" w:rsidRDefault="00D812BF" w:rsidP="00A16C99">
            <w:pPr>
              <w:spacing w:after="0" w:line="240" w:lineRule="auto"/>
              <w:ind w:right="57"/>
              <w:jc w:val="center"/>
              <w:rPr>
                <w:rFonts w:ascii="Times New Roman" w:eastAsia="Times New Roman" w:hAnsi="Times New Roman"/>
                <w:b/>
                <w:noProof/>
                <w:color w:val="000000"/>
                <w:sz w:val="20"/>
                <w:szCs w:val="20"/>
                <w:lang w:eastAsia="en-GB"/>
              </w:rPr>
            </w:pPr>
            <w:r>
              <w:rPr>
                <w:rFonts w:ascii="Times New Roman" w:hAnsi="Times New Roman"/>
                <w:b/>
                <w:noProof/>
                <w:sz w:val="20"/>
                <w:szCs w:val="20"/>
              </w:rPr>
              <w:t>million</w:t>
            </w:r>
          </w:p>
        </w:tc>
        <w:tc>
          <w:tcPr>
            <w:tcW w:w="842" w:type="pct"/>
            <w:shd w:val="clear" w:color="auto" w:fill="auto"/>
            <w:noWrap/>
            <w:hideMark/>
          </w:tcPr>
          <w:p w14:paraId="77CD49C6" w14:textId="77777777" w:rsidR="00D812BF" w:rsidRDefault="00D812BF" w:rsidP="00A16C99">
            <w:pPr>
              <w:spacing w:after="0" w:line="240" w:lineRule="auto"/>
              <w:ind w:right="57"/>
              <w:jc w:val="center"/>
              <w:rPr>
                <w:rFonts w:ascii="Times New Roman" w:eastAsia="Times New Roman" w:hAnsi="Times New Roman"/>
                <w:b/>
                <w:noProof/>
                <w:color w:val="000000"/>
                <w:sz w:val="20"/>
                <w:szCs w:val="20"/>
                <w:lang w:eastAsia="en-GB"/>
              </w:rPr>
            </w:pPr>
            <w:r>
              <w:rPr>
                <w:rFonts w:ascii="Times New Roman" w:hAnsi="Times New Roman"/>
                <w:b/>
                <w:noProof/>
                <w:sz w:val="20"/>
                <w:szCs w:val="20"/>
              </w:rPr>
              <w:t>percentages</w:t>
            </w:r>
          </w:p>
        </w:tc>
      </w:tr>
      <w:tr w:rsidR="00D812BF" w14:paraId="2DF83359" w14:textId="77777777" w:rsidTr="00601A28">
        <w:trPr>
          <w:trHeight w:val="238"/>
        </w:trPr>
        <w:tc>
          <w:tcPr>
            <w:tcW w:w="865" w:type="pct"/>
            <w:shd w:val="clear" w:color="auto" w:fill="auto"/>
            <w:noWrap/>
            <w:hideMark/>
          </w:tcPr>
          <w:p w14:paraId="6402C48C" w14:textId="77777777" w:rsidR="00D812BF" w:rsidRDefault="00D812BF" w:rsidP="00A16C99">
            <w:pPr>
              <w:spacing w:after="120" w:line="240" w:lineRule="auto"/>
              <w:ind w:right="57"/>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CERs</w:t>
            </w:r>
          </w:p>
        </w:tc>
        <w:tc>
          <w:tcPr>
            <w:tcW w:w="762" w:type="pct"/>
            <w:shd w:val="clear" w:color="auto" w:fill="auto"/>
            <w:noWrap/>
            <w:hideMark/>
          </w:tcPr>
          <w:p w14:paraId="593B15CF" w14:textId="77777777" w:rsidR="00D812BF" w:rsidRDefault="00D812BF" w:rsidP="00A16C99">
            <w:pPr>
              <w:spacing w:after="12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 xml:space="preserve"> 261,42</w:t>
            </w:r>
          </w:p>
        </w:tc>
        <w:tc>
          <w:tcPr>
            <w:tcW w:w="844" w:type="pct"/>
            <w:shd w:val="clear" w:color="auto" w:fill="auto"/>
            <w:noWrap/>
            <w:hideMark/>
          </w:tcPr>
          <w:p w14:paraId="4AC09611" w14:textId="77777777" w:rsidR="00D812BF" w:rsidRDefault="00D812BF" w:rsidP="00A16C99">
            <w:pPr>
              <w:spacing w:after="120"/>
              <w:jc w:val="center"/>
              <w:rPr>
                <w:rFonts w:ascii="Times New Roman" w:hAnsi="Times New Roman"/>
                <w:b/>
                <w:noProof/>
                <w:sz w:val="20"/>
                <w:szCs w:val="20"/>
              </w:rPr>
            </w:pPr>
            <w:r>
              <w:rPr>
                <w:rFonts w:ascii="Times New Roman" w:hAnsi="Times New Roman"/>
                <w:b/>
                <w:noProof/>
                <w:sz w:val="20"/>
                <w:szCs w:val="20"/>
              </w:rPr>
              <w:t>57,65%</w:t>
            </w:r>
          </w:p>
        </w:tc>
        <w:tc>
          <w:tcPr>
            <w:tcW w:w="892" w:type="pct"/>
            <w:shd w:val="clear" w:color="auto" w:fill="auto"/>
            <w:noWrap/>
            <w:hideMark/>
          </w:tcPr>
          <w:p w14:paraId="5949EB48"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b/>
                <w:noProof/>
                <w:sz w:val="20"/>
                <w:szCs w:val="20"/>
                <w:lang w:eastAsia="en-GB"/>
              </w:rPr>
              <w:t>ERUs</w:t>
            </w:r>
          </w:p>
        </w:tc>
        <w:tc>
          <w:tcPr>
            <w:tcW w:w="794" w:type="pct"/>
            <w:shd w:val="clear" w:color="auto" w:fill="auto"/>
            <w:noWrap/>
            <w:hideMark/>
          </w:tcPr>
          <w:p w14:paraId="03D41296"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b/>
                <w:noProof/>
                <w:sz w:val="20"/>
                <w:szCs w:val="20"/>
                <w:lang w:eastAsia="en-GB"/>
              </w:rPr>
              <w:t>192,07</w:t>
            </w:r>
          </w:p>
        </w:tc>
        <w:tc>
          <w:tcPr>
            <w:tcW w:w="842" w:type="pct"/>
            <w:shd w:val="clear" w:color="auto" w:fill="auto"/>
            <w:noWrap/>
            <w:hideMark/>
          </w:tcPr>
          <w:p w14:paraId="79D9A768"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b/>
                <w:noProof/>
                <w:sz w:val="20"/>
                <w:szCs w:val="20"/>
              </w:rPr>
              <w:t>42,35%</w:t>
            </w:r>
          </w:p>
        </w:tc>
      </w:tr>
      <w:tr w:rsidR="00D812BF" w14:paraId="334B163A" w14:textId="77777777" w:rsidTr="00601A28">
        <w:trPr>
          <w:trHeight w:val="229"/>
        </w:trPr>
        <w:tc>
          <w:tcPr>
            <w:tcW w:w="865" w:type="pct"/>
            <w:shd w:val="clear" w:color="auto" w:fill="auto"/>
            <w:noWrap/>
            <w:hideMark/>
          </w:tcPr>
          <w:p w14:paraId="25D6ACD5"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China</w:t>
            </w:r>
          </w:p>
        </w:tc>
        <w:tc>
          <w:tcPr>
            <w:tcW w:w="762" w:type="pct"/>
            <w:shd w:val="clear" w:color="auto" w:fill="auto"/>
            <w:noWrap/>
          </w:tcPr>
          <w:p w14:paraId="37B13681"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195,20 </w:t>
            </w:r>
          </w:p>
        </w:tc>
        <w:tc>
          <w:tcPr>
            <w:tcW w:w="844" w:type="pct"/>
            <w:shd w:val="clear" w:color="auto" w:fill="auto"/>
            <w:noWrap/>
          </w:tcPr>
          <w:p w14:paraId="2484C583"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74,67 </w:t>
            </w:r>
          </w:p>
        </w:tc>
        <w:tc>
          <w:tcPr>
            <w:tcW w:w="892" w:type="pct"/>
            <w:shd w:val="clear" w:color="auto" w:fill="auto"/>
            <w:noWrap/>
            <w:hideMark/>
          </w:tcPr>
          <w:p w14:paraId="1499F37B"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Ukraine</w:t>
            </w:r>
          </w:p>
        </w:tc>
        <w:tc>
          <w:tcPr>
            <w:tcW w:w="794" w:type="pct"/>
            <w:shd w:val="clear" w:color="auto" w:fill="auto"/>
            <w:noWrap/>
            <w:hideMark/>
          </w:tcPr>
          <w:p w14:paraId="711E74B2"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147,69</w:t>
            </w:r>
          </w:p>
        </w:tc>
        <w:tc>
          <w:tcPr>
            <w:tcW w:w="842" w:type="pct"/>
            <w:shd w:val="clear" w:color="auto" w:fill="auto"/>
            <w:noWrap/>
            <w:hideMark/>
          </w:tcPr>
          <w:p w14:paraId="386FC7A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76,89%</w:t>
            </w:r>
          </w:p>
        </w:tc>
      </w:tr>
      <w:tr w:rsidR="00D812BF" w14:paraId="0F2406E9" w14:textId="77777777" w:rsidTr="00601A28">
        <w:trPr>
          <w:trHeight w:val="249"/>
        </w:trPr>
        <w:tc>
          <w:tcPr>
            <w:tcW w:w="865" w:type="pct"/>
            <w:shd w:val="clear" w:color="auto" w:fill="auto"/>
            <w:noWrap/>
            <w:hideMark/>
          </w:tcPr>
          <w:p w14:paraId="62A090A0"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India</w:t>
            </w:r>
          </w:p>
        </w:tc>
        <w:tc>
          <w:tcPr>
            <w:tcW w:w="762" w:type="pct"/>
            <w:shd w:val="clear" w:color="auto" w:fill="auto"/>
            <w:noWrap/>
          </w:tcPr>
          <w:p w14:paraId="44D936FF"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17,27 </w:t>
            </w:r>
          </w:p>
        </w:tc>
        <w:tc>
          <w:tcPr>
            <w:tcW w:w="844" w:type="pct"/>
            <w:shd w:val="clear" w:color="auto" w:fill="auto"/>
            <w:noWrap/>
          </w:tcPr>
          <w:p w14:paraId="5C1FAB8D"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6,61 </w:t>
            </w:r>
          </w:p>
        </w:tc>
        <w:tc>
          <w:tcPr>
            <w:tcW w:w="892" w:type="pct"/>
            <w:shd w:val="clear" w:color="auto" w:fill="auto"/>
            <w:noWrap/>
            <w:hideMark/>
          </w:tcPr>
          <w:p w14:paraId="46053509"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Russia</w:t>
            </w:r>
          </w:p>
        </w:tc>
        <w:tc>
          <w:tcPr>
            <w:tcW w:w="794" w:type="pct"/>
            <w:shd w:val="clear" w:color="auto" w:fill="auto"/>
            <w:noWrap/>
            <w:hideMark/>
          </w:tcPr>
          <w:p w14:paraId="50D07AED"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32,06</w:t>
            </w:r>
          </w:p>
        </w:tc>
        <w:tc>
          <w:tcPr>
            <w:tcW w:w="842" w:type="pct"/>
            <w:shd w:val="clear" w:color="auto" w:fill="auto"/>
            <w:noWrap/>
            <w:hideMark/>
          </w:tcPr>
          <w:p w14:paraId="6908BC13"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16,69%</w:t>
            </w:r>
          </w:p>
        </w:tc>
      </w:tr>
      <w:tr w:rsidR="00D812BF" w14:paraId="036F045A" w14:textId="77777777" w:rsidTr="00601A28">
        <w:trPr>
          <w:trHeight w:val="249"/>
        </w:trPr>
        <w:tc>
          <w:tcPr>
            <w:tcW w:w="865" w:type="pct"/>
            <w:shd w:val="clear" w:color="auto" w:fill="auto"/>
            <w:noWrap/>
            <w:hideMark/>
          </w:tcPr>
          <w:p w14:paraId="7429E299"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Uzbekistan</w:t>
            </w:r>
          </w:p>
        </w:tc>
        <w:tc>
          <w:tcPr>
            <w:tcW w:w="762" w:type="pct"/>
            <w:shd w:val="clear" w:color="auto" w:fill="auto"/>
            <w:noWrap/>
          </w:tcPr>
          <w:p w14:paraId="05E6EC24"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9,89 </w:t>
            </w:r>
          </w:p>
        </w:tc>
        <w:tc>
          <w:tcPr>
            <w:tcW w:w="844" w:type="pct"/>
            <w:shd w:val="clear" w:color="auto" w:fill="auto"/>
            <w:noWrap/>
          </w:tcPr>
          <w:p w14:paraId="06FDCB91"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3,79 </w:t>
            </w:r>
          </w:p>
        </w:tc>
        <w:tc>
          <w:tcPr>
            <w:tcW w:w="892" w:type="pct"/>
            <w:shd w:val="clear" w:color="auto" w:fill="auto"/>
            <w:noWrap/>
            <w:hideMark/>
          </w:tcPr>
          <w:p w14:paraId="51772CC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Poland</w:t>
            </w:r>
          </w:p>
        </w:tc>
        <w:tc>
          <w:tcPr>
            <w:tcW w:w="794" w:type="pct"/>
            <w:shd w:val="clear" w:color="auto" w:fill="auto"/>
            <w:noWrap/>
            <w:hideMark/>
          </w:tcPr>
          <w:p w14:paraId="63FDA37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2,82</w:t>
            </w:r>
          </w:p>
        </w:tc>
        <w:tc>
          <w:tcPr>
            <w:tcW w:w="842" w:type="pct"/>
            <w:shd w:val="clear" w:color="auto" w:fill="auto"/>
            <w:noWrap/>
            <w:hideMark/>
          </w:tcPr>
          <w:p w14:paraId="1475BA0B"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1,46%</w:t>
            </w:r>
          </w:p>
        </w:tc>
      </w:tr>
      <w:tr w:rsidR="00D812BF" w14:paraId="528817CD" w14:textId="77777777" w:rsidTr="00601A28">
        <w:trPr>
          <w:trHeight w:val="249"/>
        </w:trPr>
        <w:tc>
          <w:tcPr>
            <w:tcW w:w="865" w:type="pct"/>
            <w:shd w:val="clear" w:color="auto" w:fill="auto"/>
            <w:noWrap/>
            <w:hideMark/>
          </w:tcPr>
          <w:p w14:paraId="5506A7B1"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Brazil</w:t>
            </w:r>
          </w:p>
        </w:tc>
        <w:tc>
          <w:tcPr>
            <w:tcW w:w="762" w:type="pct"/>
            <w:shd w:val="clear" w:color="auto" w:fill="auto"/>
            <w:noWrap/>
          </w:tcPr>
          <w:p w14:paraId="7B5C1793"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5,43 </w:t>
            </w:r>
          </w:p>
        </w:tc>
        <w:tc>
          <w:tcPr>
            <w:tcW w:w="844" w:type="pct"/>
            <w:shd w:val="clear" w:color="auto" w:fill="auto"/>
            <w:noWrap/>
          </w:tcPr>
          <w:p w14:paraId="17016049"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2,08 </w:t>
            </w:r>
          </w:p>
        </w:tc>
        <w:tc>
          <w:tcPr>
            <w:tcW w:w="892" w:type="pct"/>
            <w:shd w:val="clear" w:color="auto" w:fill="auto"/>
            <w:noWrap/>
            <w:hideMark/>
          </w:tcPr>
          <w:p w14:paraId="2AD789FE"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Germany</w:t>
            </w:r>
          </w:p>
        </w:tc>
        <w:tc>
          <w:tcPr>
            <w:tcW w:w="794" w:type="pct"/>
            <w:shd w:val="clear" w:color="auto" w:fill="auto"/>
            <w:noWrap/>
            <w:hideMark/>
          </w:tcPr>
          <w:p w14:paraId="29D594F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1,65</w:t>
            </w:r>
          </w:p>
        </w:tc>
        <w:tc>
          <w:tcPr>
            <w:tcW w:w="842" w:type="pct"/>
            <w:shd w:val="clear" w:color="auto" w:fill="auto"/>
            <w:noWrap/>
            <w:hideMark/>
          </w:tcPr>
          <w:p w14:paraId="01C08A59"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0,85%</w:t>
            </w:r>
          </w:p>
        </w:tc>
      </w:tr>
      <w:tr w:rsidR="00D812BF" w14:paraId="3C698832" w14:textId="77777777" w:rsidTr="00601A28">
        <w:trPr>
          <w:trHeight w:val="249"/>
        </w:trPr>
        <w:tc>
          <w:tcPr>
            <w:tcW w:w="865" w:type="pct"/>
            <w:shd w:val="clear" w:color="auto" w:fill="auto"/>
            <w:noWrap/>
            <w:hideMark/>
          </w:tcPr>
          <w:p w14:paraId="4A05F867"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Chile</w:t>
            </w:r>
          </w:p>
        </w:tc>
        <w:tc>
          <w:tcPr>
            <w:tcW w:w="762" w:type="pct"/>
            <w:shd w:val="clear" w:color="auto" w:fill="auto"/>
            <w:noWrap/>
          </w:tcPr>
          <w:p w14:paraId="62176B98"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3,16</w:t>
            </w:r>
          </w:p>
        </w:tc>
        <w:tc>
          <w:tcPr>
            <w:tcW w:w="844" w:type="pct"/>
            <w:shd w:val="clear" w:color="auto" w:fill="auto"/>
            <w:noWrap/>
          </w:tcPr>
          <w:p w14:paraId="3787A0CD"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1,21 </w:t>
            </w:r>
          </w:p>
        </w:tc>
        <w:tc>
          <w:tcPr>
            <w:tcW w:w="892" w:type="pct"/>
            <w:shd w:val="clear" w:color="auto" w:fill="auto"/>
            <w:noWrap/>
            <w:hideMark/>
          </w:tcPr>
          <w:p w14:paraId="6930B89A"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France</w:t>
            </w:r>
          </w:p>
        </w:tc>
        <w:tc>
          <w:tcPr>
            <w:tcW w:w="794" w:type="pct"/>
            <w:shd w:val="clear" w:color="auto" w:fill="auto"/>
            <w:noWrap/>
            <w:hideMark/>
          </w:tcPr>
          <w:p w14:paraId="0D26EDE0"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1,24</w:t>
            </w:r>
          </w:p>
        </w:tc>
        <w:tc>
          <w:tcPr>
            <w:tcW w:w="842" w:type="pct"/>
            <w:shd w:val="clear" w:color="auto" w:fill="auto"/>
            <w:noWrap/>
            <w:hideMark/>
          </w:tcPr>
          <w:p w14:paraId="29805C81"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0,64%</w:t>
            </w:r>
          </w:p>
        </w:tc>
      </w:tr>
      <w:tr w:rsidR="00D812BF" w14:paraId="2737922B" w14:textId="77777777" w:rsidTr="00601A28">
        <w:trPr>
          <w:trHeight w:val="249"/>
        </w:trPr>
        <w:tc>
          <w:tcPr>
            <w:tcW w:w="865" w:type="pct"/>
            <w:shd w:val="clear" w:color="auto" w:fill="auto"/>
            <w:noWrap/>
            <w:hideMark/>
          </w:tcPr>
          <w:p w14:paraId="379ABD02"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Korea</w:t>
            </w:r>
          </w:p>
        </w:tc>
        <w:tc>
          <w:tcPr>
            <w:tcW w:w="762" w:type="pct"/>
            <w:shd w:val="clear" w:color="auto" w:fill="auto"/>
            <w:noWrap/>
          </w:tcPr>
          <w:p w14:paraId="4651BD35"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2,93</w:t>
            </w:r>
          </w:p>
        </w:tc>
        <w:tc>
          <w:tcPr>
            <w:tcW w:w="844" w:type="pct"/>
            <w:shd w:val="clear" w:color="auto" w:fill="auto"/>
            <w:noWrap/>
          </w:tcPr>
          <w:p w14:paraId="48D47F08"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1,12 </w:t>
            </w:r>
          </w:p>
        </w:tc>
        <w:tc>
          <w:tcPr>
            <w:tcW w:w="892" w:type="pct"/>
            <w:shd w:val="clear" w:color="auto" w:fill="auto"/>
            <w:noWrap/>
            <w:hideMark/>
          </w:tcPr>
          <w:p w14:paraId="1B1A3B83"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Bulgaria</w:t>
            </w:r>
          </w:p>
        </w:tc>
        <w:tc>
          <w:tcPr>
            <w:tcW w:w="794" w:type="pct"/>
            <w:shd w:val="clear" w:color="auto" w:fill="auto"/>
            <w:noWrap/>
            <w:hideMark/>
          </w:tcPr>
          <w:p w14:paraId="5869CFC1"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0,50</w:t>
            </w:r>
          </w:p>
        </w:tc>
        <w:tc>
          <w:tcPr>
            <w:tcW w:w="842" w:type="pct"/>
            <w:shd w:val="clear" w:color="auto" w:fill="auto"/>
            <w:noWrap/>
            <w:hideMark/>
          </w:tcPr>
          <w:p w14:paraId="6E53FDA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0,26%</w:t>
            </w:r>
          </w:p>
        </w:tc>
      </w:tr>
      <w:tr w:rsidR="00D812BF" w14:paraId="3DAD834C" w14:textId="77777777" w:rsidTr="00601A28">
        <w:trPr>
          <w:trHeight w:val="260"/>
        </w:trPr>
        <w:tc>
          <w:tcPr>
            <w:tcW w:w="865" w:type="pct"/>
            <w:shd w:val="clear" w:color="auto" w:fill="auto"/>
            <w:noWrap/>
            <w:hideMark/>
          </w:tcPr>
          <w:p w14:paraId="19EF37A4"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Mexico</w:t>
            </w:r>
          </w:p>
        </w:tc>
        <w:tc>
          <w:tcPr>
            <w:tcW w:w="762" w:type="pct"/>
            <w:shd w:val="clear" w:color="auto" w:fill="auto"/>
            <w:noWrap/>
          </w:tcPr>
          <w:p w14:paraId="09365504"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2,89 </w:t>
            </w:r>
          </w:p>
        </w:tc>
        <w:tc>
          <w:tcPr>
            <w:tcW w:w="844" w:type="pct"/>
            <w:shd w:val="clear" w:color="auto" w:fill="auto"/>
            <w:noWrap/>
          </w:tcPr>
          <w:p w14:paraId="0468240B"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1,10 </w:t>
            </w:r>
          </w:p>
        </w:tc>
        <w:tc>
          <w:tcPr>
            <w:tcW w:w="892" w:type="pct"/>
            <w:shd w:val="clear" w:color="auto" w:fill="auto"/>
            <w:noWrap/>
            <w:hideMark/>
          </w:tcPr>
          <w:p w14:paraId="2A3B6635"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Others</w:t>
            </w:r>
          </w:p>
        </w:tc>
        <w:tc>
          <w:tcPr>
            <w:tcW w:w="794" w:type="pct"/>
            <w:shd w:val="clear" w:color="auto" w:fill="auto"/>
            <w:noWrap/>
            <w:hideMark/>
          </w:tcPr>
          <w:p w14:paraId="43CCB92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6,11</w:t>
            </w:r>
          </w:p>
        </w:tc>
        <w:tc>
          <w:tcPr>
            <w:tcW w:w="842" w:type="pct"/>
            <w:shd w:val="clear" w:color="auto" w:fill="auto"/>
            <w:noWrap/>
            <w:hideMark/>
          </w:tcPr>
          <w:p w14:paraId="1FE8B67C"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hAnsi="Times New Roman"/>
                <w:noProof/>
                <w:sz w:val="20"/>
                <w:szCs w:val="20"/>
              </w:rPr>
              <w:t>3,21%</w:t>
            </w:r>
          </w:p>
        </w:tc>
      </w:tr>
      <w:tr w:rsidR="00D812BF" w14:paraId="3C5052DF" w14:textId="77777777" w:rsidTr="00601A28">
        <w:trPr>
          <w:trHeight w:val="260"/>
        </w:trPr>
        <w:tc>
          <w:tcPr>
            <w:tcW w:w="865" w:type="pct"/>
            <w:shd w:val="clear" w:color="auto" w:fill="auto"/>
            <w:noWrap/>
          </w:tcPr>
          <w:p w14:paraId="4492C2B1" w14:textId="77777777" w:rsidR="00D812BF" w:rsidRDefault="00D812BF" w:rsidP="00A16C99">
            <w:pPr>
              <w:spacing w:after="120" w:line="240" w:lineRule="auto"/>
              <w:ind w:right="57"/>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Others</w:t>
            </w:r>
          </w:p>
        </w:tc>
        <w:tc>
          <w:tcPr>
            <w:tcW w:w="762" w:type="pct"/>
            <w:shd w:val="clear" w:color="auto" w:fill="auto"/>
            <w:noWrap/>
          </w:tcPr>
          <w:p w14:paraId="4D43D019" w14:textId="77777777" w:rsidR="00D812BF"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 xml:space="preserve">24,65 </w:t>
            </w:r>
          </w:p>
        </w:tc>
        <w:tc>
          <w:tcPr>
            <w:tcW w:w="844" w:type="pct"/>
            <w:shd w:val="clear" w:color="auto" w:fill="auto"/>
            <w:noWrap/>
          </w:tcPr>
          <w:p w14:paraId="3D933A15" w14:textId="77777777" w:rsidR="00D812BF" w:rsidRDefault="00D812BF" w:rsidP="00A16C99">
            <w:pPr>
              <w:spacing w:after="120"/>
              <w:jc w:val="center"/>
              <w:rPr>
                <w:rFonts w:ascii="Times New Roman" w:hAnsi="Times New Roman"/>
                <w:noProof/>
                <w:sz w:val="20"/>
                <w:szCs w:val="20"/>
              </w:rPr>
            </w:pPr>
            <w:r>
              <w:rPr>
                <w:rFonts w:ascii="Times New Roman" w:hAnsi="Times New Roman"/>
                <w:noProof/>
                <w:sz w:val="20"/>
                <w:szCs w:val="20"/>
              </w:rPr>
              <w:t xml:space="preserve">9,43 </w:t>
            </w:r>
          </w:p>
        </w:tc>
        <w:tc>
          <w:tcPr>
            <w:tcW w:w="892" w:type="pct"/>
            <w:shd w:val="clear" w:color="auto" w:fill="auto"/>
            <w:noWrap/>
          </w:tcPr>
          <w:p w14:paraId="5427F9CA" w14:textId="77777777" w:rsidR="00D812BF" w:rsidRDefault="00D812BF" w:rsidP="00A16C99">
            <w:pPr>
              <w:spacing w:after="120" w:line="240" w:lineRule="auto"/>
              <w:ind w:right="57"/>
              <w:rPr>
                <w:rFonts w:ascii="Times New Roman" w:eastAsia="Times New Roman" w:hAnsi="Times New Roman"/>
                <w:noProof/>
                <w:color w:val="000000"/>
                <w:sz w:val="20"/>
                <w:szCs w:val="20"/>
                <w:highlight w:val="yellow"/>
                <w:lang w:eastAsia="en-GB"/>
              </w:rPr>
            </w:pPr>
          </w:p>
        </w:tc>
        <w:tc>
          <w:tcPr>
            <w:tcW w:w="794" w:type="pct"/>
            <w:shd w:val="clear" w:color="auto" w:fill="auto"/>
            <w:noWrap/>
          </w:tcPr>
          <w:p w14:paraId="1CA6A323" w14:textId="77777777" w:rsidR="00D812BF" w:rsidRDefault="00D812BF" w:rsidP="00A16C99">
            <w:pPr>
              <w:spacing w:after="120" w:line="240" w:lineRule="auto"/>
              <w:ind w:right="57"/>
              <w:rPr>
                <w:rFonts w:ascii="Times New Roman" w:eastAsia="Times New Roman" w:hAnsi="Times New Roman"/>
                <w:noProof/>
                <w:color w:val="000000"/>
                <w:sz w:val="20"/>
                <w:szCs w:val="20"/>
                <w:highlight w:val="yellow"/>
                <w:lang w:eastAsia="en-GB"/>
              </w:rPr>
            </w:pPr>
          </w:p>
        </w:tc>
        <w:tc>
          <w:tcPr>
            <w:tcW w:w="842" w:type="pct"/>
            <w:shd w:val="clear" w:color="auto" w:fill="auto"/>
            <w:noWrap/>
          </w:tcPr>
          <w:p w14:paraId="3FCD26A5" w14:textId="77777777" w:rsidR="00D812BF" w:rsidRDefault="00D812BF" w:rsidP="00A16C99">
            <w:pPr>
              <w:spacing w:after="120" w:line="240" w:lineRule="auto"/>
              <w:ind w:right="57"/>
              <w:rPr>
                <w:rFonts w:ascii="Times New Roman" w:eastAsia="Times New Roman" w:hAnsi="Times New Roman"/>
                <w:noProof/>
                <w:color w:val="000000"/>
                <w:sz w:val="20"/>
                <w:szCs w:val="20"/>
                <w:highlight w:val="yellow"/>
                <w:lang w:eastAsia="en-GB"/>
              </w:rPr>
            </w:pPr>
          </w:p>
        </w:tc>
      </w:tr>
      <w:tr w:rsidR="00D812BF" w14:paraId="3ACA0DB9" w14:textId="77777777" w:rsidTr="00601A28">
        <w:trPr>
          <w:trHeight w:val="260"/>
        </w:trPr>
        <w:tc>
          <w:tcPr>
            <w:tcW w:w="865" w:type="pct"/>
            <w:shd w:val="clear" w:color="auto" w:fill="auto"/>
            <w:noWrap/>
          </w:tcPr>
          <w:p w14:paraId="70880110" w14:textId="77777777" w:rsidR="00D812BF" w:rsidRDefault="00D812BF" w:rsidP="00A16C99">
            <w:pPr>
              <w:spacing w:after="120" w:line="240" w:lineRule="auto"/>
              <w:ind w:right="57"/>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TOTAL CERs and ERUs</w:t>
            </w:r>
          </w:p>
        </w:tc>
        <w:tc>
          <w:tcPr>
            <w:tcW w:w="762" w:type="pct"/>
            <w:shd w:val="clear" w:color="auto" w:fill="auto"/>
            <w:noWrap/>
          </w:tcPr>
          <w:p w14:paraId="2C9DAAAA" w14:textId="77777777" w:rsidR="00D812BF" w:rsidRDefault="00D812BF" w:rsidP="00A16C99">
            <w:pPr>
              <w:spacing w:after="120" w:line="240" w:lineRule="auto"/>
              <w:ind w:right="57"/>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 xml:space="preserve">453,49 </w:t>
            </w:r>
          </w:p>
        </w:tc>
        <w:tc>
          <w:tcPr>
            <w:tcW w:w="844" w:type="pct"/>
            <w:shd w:val="clear" w:color="auto" w:fill="auto"/>
            <w:noWrap/>
          </w:tcPr>
          <w:p w14:paraId="37A90C4E" w14:textId="77777777" w:rsidR="00D812BF" w:rsidRDefault="00D812BF" w:rsidP="00A16C99">
            <w:pPr>
              <w:spacing w:after="120"/>
              <w:jc w:val="center"/>
              <w:rPr>
                <w:rFonts w:ascii="Times New Roman" w:hAnsi="Times New Roman"/>
                <w:b/>
                <w:noProof/>
                <w:sz w:val="20"/>
                <w:szCs w:val="20"/>
              </w:rPr>
            </w:pPr>
            <w:r>
              <w:rPr>
                <w:rFonts w:ascii="Times New Roman" w:hAnsi="Times New Roman"/>
                <w:b/>
                <w:noProof/>
                <w:sz w:val="20"/>
                <w:szCs w:val="20"/>
              </w:rPr>
              <w:t>100%</w:t>
            </w:r>
          </w:p>
        </w:tc>
        <w:tc>
          <w:tcPr>
            <w:tcW w:w="892" w:type="pct"/>
            <w:shd w:val="clear" w:color="auto" w:fill="auto"/>
            <w:noWrap/>
          </w:tcPr>
          <w:p w14:paraId="6B49F04A" w14:textId="77777777" w:rsidR="00D812BF" w:rsidRDefault="00D812BF" w:rsidP="00A16C99">
            <w:pPr>
              <w:spacing w:after="120" w:line="240" w:lineRule="auto"/>
              <w:ind w:right="57"/>
              <w:rPr>
                <w:rFonts w:ascii="Times New Roman" w:eastAsia="Times New Roman" w:hAnsi="Times New Roman"/>
                <w:b/>
                <w:noProof/>
                <w:color w:val="000000"/>
                <w:sz w:val="20"/>
                <w:szCs w:val="20"/>
                <w:lang w:eastAsia="en-GB"/>
              </w:rPr>
            </w:pPr>
          </w:p>
        </w:tc>
        <w:tc>
          <w:tcPr>
            <w:tcW w:w="794" w:type="pct"/>
            <w:shd w:val="clear" w:color="auto" w:fill="auto"/>
            <w:noWrap/>
          </w:tcPr>
          <w:p w14:paraId="0E942C90" w14:textId="77777777" w:rsidR="00D812BF" w:rsidRDefault="00D812BF" w:rsidP="00A16C99">
            <w:pPr>
              <w:spacing w:after="120" w:line="240" w:lineRule="auto"/>
              <w:ind w:right="57"/>
              <w:rPr>
                <w:rFonts w:ascii="Times New Roman" w:eastAsia="Times New Roman" w:hAnsi="Times New Roman"/>
                <w:b/>
                <w:noProof/>
                <w:color w:val="000000"/>
                <w:sz w:val="20"/>
                <w:szCs w:val="20"/>
                <w:lang w:eastAsia="en-GB"/>
              </w:rPr>
            </w:pPr>
          </w:p>
        </w:tc>
        <w:tc>
          <w:tcPr>
            <w:tcW w:w="842" w:type="pct"/>
            <w:shd w:val="clear" w:color="auto" w:fill="auto"/>
            <w:noWrap/>
          </w:tcPr>
          <w:p w14:paraId="657E5685" w14:textId="77777777" w:rsidR="00D812BF" w:rsidRDefault="00D812BF" w:rsidP="00A16C99">
            <w:pPr>
              <w:spacing w:after="120" w:line="240" w:lineRule="auto"/>
              <w:ind w:right="57"/>
              <w:rPr>
                <w:rFonts w:ascii="Times New Roman" w:eastAsia="Times New Roman" w:hAnsi="Times New Roman"/>
                <w:b/>
                <w:noProof/>
                <w:color w:val="000000"/>
                <w:sz w:val="20"/>
                <w:szCs w:val="20"/>
                <w:lang w:eastAsia="en-GB"/>
              </w:rPr>
            </w:pPr>
          </w:p>
        </w:tc>
      </w:tr>
    </w:tbl>
    <w:p w14:paraId="747D5123" w14:textId="77777777" w:rsidR="00D812BF" w:rsidRPr="00276918" w:rsidRDefault="00626D3C" w:rsidP="00D812BF">
      <w:pPr>
        <w:rPr>
          <w:rFonts w:ascii="Times New Roman" w:hAnsi="Times New Roman"/>
          <w:b/>
          <w:noProof/>
          <w:sz w:val="18"/>
          <w:szCs w:val="18"/>
        </w:rPr>
      </w:pPr>
      <w:r w:rsidRPr="00276918">
        <w:rPr>
          <w:rFonts w:ascii="Times New Roman" w:hAnsi="Times New Roman"/>
          <w:b/>
          <w:noProof/>
          <w:sz w:val="18"/>
          <w:szCs w:val="18"/>
        </w:rPr>
        <w:t>Source: EUTL</w:t>
      </w:r>
    </w:p>
    <w:p w14:paraId="069EB13E" w14:textId="77777777" w:rsidR="00D812BF" w:rsidRDefault="00D812BF" w:rsidP="00D812BF">
      <w:pPr>
        <w:rPr>
          <w:rFonts w:ascii="Times New Roman" w:hAnsi="Times New Roman"/>
          <w:b/>
          <w:noProof/>
          <w:sz w:val="20"/>
          <w:szCs w:val="20"/>
        </w:rPr>
      </w:pPr>
      <w:r>
        <w:rPr>
          <w:rFonts w:ascii="Times New Roman" w:hAnsi="Times New Roman"/>
          <w:b/>
          <w:noProof/>
          <w:sz w:val="20"/>
          <w:szCs w:val="20"/>
        </w:rPr>
        <w:t xml:space="preserve">Table </w:t>
      </w:r>
      <w:r w:rsidR="00AA2E4B">
        <w:rPr>
          <w:rFonts w:ascii="Times New Roman" w:hAnsi="Times New Roman"/>
          <w:b/>
          <w:noProof/>
          <w:sz w:val="20"/>
          <w:szCs w:val="20"/>
        </w:rPr>
        <w:t>3.</w:t>
      </w:r>
      <w:r>
        <w:rPr>
          <w:rFonts w:ascii="Times New Roman" w:hAnsi="Times New Roman"/>
          <w:b/>
          <w:noProof/>
          <w:sz w:val="20"/>
          <w:szCs w:val="20"/>
        </w:rPr>
        <w:t xml:space="preserve">2: Summary of international credits exchange until end June 2019 by type of installations </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rsidR="00D812BF" w14:paraId="05A592FA" w14:textId="77777777" w:rsidTr="00E72EF9">
        <w:trPr>
          <w:trHeight w:val="247"/>
        </w:trPr>
        <w:tc>
          <w:tcPr>
            <w:tcW w:w="1667" w:type="pct"/>
            <w:shd w:val="clear" w:color="auto" w:fill="auto"/>
            <w:noWrap/>
            <w:hideMark/>
          </w:tcPr>
          <w:p w14:paraId="11023F04" w14:textId="77777777" w:rsidR="00D812BF" w:rsidRDefault="00D812BF" w:rsidP="00A16C99">
            <w:pPr>
              <w:spacing w:after="0" w:line="240" w:lineRule="auto"/>
              <w:ind w:right="57"/>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International credits exchanged by end June 2019 by:</w:t>
            </w:r>
          </w:p>
        </w:tc>
        <w:tc>
          <w:tcPr>
            <w:tcW w:w="1667" w:type="pct"/>
            <w:shd w:val="clear" w:color="auto" w:fill="auto"/>
            <w:noWrap/>
            <w:hideMark/>
          </w:tcPr>
          <w:p w14:paraId="1E38255E" w14:textId="77777777" w:rsidR="00D812BF" w:rsidRDefault="00D812BF" w:rsidP="00A16C99">
            <w:pPr>
              <w:spacing w:after="0" w:line="240" w:lineRule="auto"/>
              <w:ind w:right="57"/>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CERs</w:t>
            </w:r>
          </w:p>
          <w:p w14:paraId="6AFE415E"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 xml:space="preserve">in million  </w:t>
            </w:r>
          </w:p>
        </w:tc>
        <w:tc>
          <w:tcPr>
            <w:tcW w:w="1666" w:type="pct"/>
            <w:shd w:val="clear" w:color="auto" w:fill="auto"/>
            <w:noWrap/>
            <w:hideMark/>
          </w:tcPr>
          <w:p w14:paraId="371E9229" w14:textId="77777777" w:rsidR="00D812BF" w:rsidRDefault="00D812BF" w:rsidP="00A16C99">
            <w:pPr>
              <w:spacing w:after="0" w:line="240" w:lineRule="auto"/>
              <w:ind w:right="57"/>
              <w:jc w:val="center"/>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ERUs</w:t>
            </w:r>
          </w:p>
          <w:p w14:paraId="2AD9EEA9" w14:textId="77777777" w:rsidR="00D812BF" w:rsidRDefault="00D812BF" w:rsidP="00A16C99">
            <w:pPr>
              <w:spacing w:after="0" w:line="240" w:lineRule="auto"/>
              <w:ind w:right="57"/>
              <w:jc w:val="center"/>
              <w:rPr>
                <w:rFonts w:ascii="Times New Roman" w:eastAsia="Times New Roman" w:hAnsi="Times New Roman"/>
                <w:b/>
                <w:bCs/>
                <w:noProof/>
                <w:color w:val="000000"/>
                <w:sz w:val="20"/>
                <w:szCs w:val="20"/>
                <w:lang w:eastAsia="en-GB"/>
              </w:rPr>
            </w:pPr>
            <w:r>
              <w:rPr>
                <w:rFonts w:ascii="Times New Roman" w:eastAsia="Times New Roman" w:hAnsi="Times New Roman"/>
                <w:b/>
                <w:noProof/>
                <w:sz w:val="20"/>
                <w:szCs w:val="20"/>
                <w:lang w:eastAsia="en-GB"/>
              </w:rPr>
              <w:t xml:space="preserve">in million </w:t>
            </w:r>
          </w:p>
        </w:tc>
      </w:tr>
      <w:tr w:rsidR="00D812BF" w14:paraId="6865279C" w14:textId="77777777" w:rsidTr="00E72EF9">
        <w:trPr>
          <w:trHeight w:val="247"/>
        </w:trPr>
        <w:tc>
          <w:tcPr>
            <w:tcW w:w="1667" w:type="pct"/>
            <w:shd w:val="clear" w:color="auto" w:fill="auto"/>
            <w:noWrap/>
            <w:hideMark/>
          </w:tcPr>
          <w:p w14:paraId="3C044288" w14:textId="77777777" w:rsidR="00D812BF" w:rsidRPr="00084353" w:rsidRDefault="00D812BF" w:rsidP="00A16C99">
            <w:pPr>
              <w:spacing w:after="120" w:line="240" w:lineRule="auto"/>
              <w:ind w:right="57"/>
              <w:rPr>
                <w:rFonts w:ascii="Times New Roman" w:eastAsia="Times New Roman" w:hAnsi="Times New Roman"/>
                <w:bCs/>
                <w:noProof/>
                <w:color w:val="000000"/>
                <w:sz w:val="20"/>
                <w:szCs w:val="20"/>
                <w:lang w:eastAsia="en-GB"/>
              </w:rPr>
            </w:pPr>
            <w:r>
              <w:rPr>
                <w:rFonts w:ascii="Times New Roman" w:eastAsia="Times New Roman" w:hAnsi="Times New Roman"/>
                <w:noProof/>
                <w:sz w:val="20"/>
                <w:szCs w:val="20"/>
                <w:lang w:eastAsia="en-GB"/>
              </w:rPr>
              <w:t>Stationary installations</w:t>
            </w:r>
          </w:p>
        </w:tc>
        <w:tc>
          <w:tcPr>
            <w:tcW w:w="1667" w:type="pct"/>
            <w:shd w:val="clear" w:color="auto" w:fill="auto"/>
            <w:noWrap/>
            <w:hideMark/>
          </w:tcPr>
          <w:p w14:paraId="0A7940B7" w14:textId="77777777" w:rsidR="00D812BF" w:rsidRPr="00084353" w:rsidRDefault="00D812BF" w:rsidP="00A16C99">
            <w:pPr>
              <w:spacing w:after="120" w:line="240" w:lineRule="auto"/>
              <w:ind w:right="57"/>
              <w:jc w:val="center"/>
              <w:rPr>
                <w:rFonts w:ascii="Times New Roman" w:eastAsia="Times New Roman" w:hAnsi="Times New Roman"/>
                <w:bCs/>
                <w:noProof/>
                <w:color w:val="000000"/>
                <w:sz w:val="20"/>
                <w:szCs w:val="20"/>
                <w:lang w:eastAsia="en-GB"/>
              </w:rPr>
            </w:pPr>
            <w:r>
              <w:rPr>
                <w:rFonts w:ascii="Times New Roman" w:eastAsia="Times New Roman" w:hAnsi="Times New Roman"/>
                <w:noProof/>
                <w:sz w:val="20"/>
                <w:szCs w:val="20"/>
                <w:lang w:eastAsia="en-GB"/>
              </w:rPr>
              <w:t>256,46</w:t>
            </w:r>
          </w:p>
        </w:tc>
        <w:tc>
          <w:tcPr>
            <w:tcW w:w="1666" w:type="pct"/>
            <w:shd w:val="clear" w:color="auto" w:fill="auto"/>
            <w:noWrap/>
            <w:hideMark/>
          </w:tcPr>
          <w:p w14:paraId="68B44FC5" w14:textId="77777777" w:rsidR="00D812BF" w:rsidRPr="00084353" w:rsidRDefault="00D812BF" w:rsidP="00A16C99">
            <w:pPr>
              <w:spacing w:after="120"/>
              <w:jc w:val="center"/>
              <w:rPr>
                <w:rFonts w:ascii="Times New Roman" w:hAnsi="Times New Roman"/>
                <w:noProof/>
                <w:sz w:val="20"/>
                <w:szCs w:val="20"/>
              </w:rPr>
            </w:pPr>
            <w:r>
              <w:rPr>
                <w:rFonts w:ascii="Times New Roman" w:hAnsi="Times New Roman"/>
                <w:noProof/>
                <w:sz w:val="20"/>
                <w:szCs w:val="20"/>
              </w:rPr>
              <w:t>191,25</w:t>
            </w:r>
          </w:p>
        </w:tc>
      </w:tr>
      <w:tr w:rsidR="00D812BF" w14:paraId="1A0E4308" w14:textId="77777777" w:rsidTr="00E72EF9">
        <w:trPr>
          <w:trHeight w:val="237"/>
        </w:trPr>
        <w:tc>
          <w:tcPr>
            <w:tcW w:w="1667" w:type="pct"/>
            <w:shd w:val="clear" w:color="auto" w:fill="auto"/>
            <w:noWrap/>
            <w:hideMark/>
          </w:tcPr>
          <w:p w14:paraId="0BAD6CDB" w14:textId="77777777" w:rsidR="00D812BF" w:rsidRDefault="00D812BF" w:rsidP="00A16C99">
            <w:pPr>
              <w:spacing w:after="120" w:line="240" w:lineRule="auto"/>
              <w:ind w:right="57"/>
              <w:rPr>
                <w:rFonts w:ascii="Times New Roman" w:eastAsia="Times New Roman" w:hAnsi="Times New Roman"/>
                <w:noProof/>
                <w:color w:val="000000"/>
                <w:sz w:val="20"/>
                <w:szCs w:val="20"/>
                <w:lang w:eastAsia="en-GB"/>
              </w:rPr>
            </w:pPr>
            <w:r>
              <w:rPr>
                <w:rFonts w:ascii="Times New Roman" w:eastAsia="Times New Roman" w:hAnsi="Times New Roman"/>
                <w:noProof/>
                <w:sz w:val="20"/>
                <w:szCs w:val="20"/>
                <w:lang w:eastAsia="en-GB"/>
              </w:rPr>
              <w:t xml:space="preserve">Aviation operators </w:t>
            </w:r>
          </w:p>
        </w:tc>
        <w:tc>
          <w:tcPr>
            <w:tcW w:w="1667" w:type="pct"/>
            <w:shd w:val="clear" w:color="auto" w:fill="auto"/>
            <w:noWrap/>
          </w:tcPr>
          <w:p w14:paraId="1735D797" w14:textId="77777777" w:rsidR="00D812BF" w:rsidRPr="00084353" w:rsidRDefault="00D812BF" w:rsidP="00A16C99">
            <w:pPr>
              <w:spacing w:after="120" w:line="240" w:lineRule="auto"/>
              <w:ind w:right="57"/>
              <w:jc w:val="center"/>
              <w:rPr>
                <w:rFonts w:ascii="Times New Roman" w:eastAsia="Times New Roman" w:hAnsi="Times New Roman"/>
                <w:noProof/>
                <w:sz w:val="20"/>
                <w:szCs w:val="20"/>
                <w:lang w:eastAsia="en-GB"/>
              </w:rPr>
            </w:pPr>
            <w:r>
              <w:rPr>
                <w:rFonts w:ascii="Times New Roman" w:eastAsia="Times New Roman" w:hAnsi="Times New Roman"/>
                <w:noProof/>
                <w:sz w:val="20"/>
                <w:szCs w:val="20"/>
                <w:lang w:eastAsia="en-GB"/>
              </w:rPr>
              <w:t>4,96</w:t>
            </w:r>
          </w:p>
        </w:tc>
        <w:tc>
          <w:tcPr>
            <w:tcW w:w="1666" w:type="pct"/>
            <w:shd w:val="clear" w:color="auto" w:fill="auto"/>
            <w:noWrap/>
          </w:tcPr>
          <w:p w14:paraId="079C8105" w14:textId="77777777" w:rsidR="00D812BF" w:rsidRPr="005B1A95" w:rsidRDefault="00D812BF" w:rsidP="00A16C99">
            <w:pPr>
              <w:spacing w:after="120"/>
              <w:jc w:val="center"/>
              <w:rPr>
                <w:rFonts w:ascii="Times New Roman" w:hAnsi="Times New Roman"/>
                <w:noProof/>
                <w:sz w:val="20"/>
                <w:szCs w:val="20"/>
              </w:rPr>
            </w:pPr>
            <w:r>
              <w:rPr>
                <w:rFonts w:ascii="Times New Roman" w:hAnsi="Times New Roman"/>
                <w:noProof/>
                <w:sz w:val="20"/>
                <w:szCs w:val="20"/>
              </w:rPr>
              <w:t>0,82</w:t>
            </w:r>
          </w:p>
        </w:tc>
      </w:tr>
      <w:tr w:rsidR="00D812BF" w14:paraId="49FD20B1" w14:textId="77777777" w:rsidTr="00E72EF9">
        <w:trPr>
          <w:trHeight w:val="269"/>
        </w:trPr>
        <w:tc>
          <w:tcPr>
            <w:tcW w:w="1667" w:type="pct"/>
            <w:shd w:val="clear" w:color="auto" w:fill="auto"/>
            <w:noWrap/>
          </w:tcPr>
          <w:p w14:paraId="302E55CF" w14:textId="77777777" w:rsidR="00D812BF" w:rsidRDefault="00D812BF" w:rsidP="00A16C99">
            <w:pPr>
              <w:spacing w:after="120" w:line="240" w:lineRule="auto"/>
              <w:ind w:right="57"/>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TOTAL</w:t>
            </w:r>
          </w:p>
        </w:tc>
        <w:tc>
          <w:tcPr>
            <w:tcW w:w="1667" w:type="pct"/>
            <w:shd w:val="clear" w:color="auto" w:fill="auto"/>
            <w:noWrap/>
          </w:tcPr>
          <w:p w14:paraId="7C9EC01C" w14:textId="77777777" w:rsidR="00D812BF" w:rsidRDefault="00D812BF" w:rsidP="00A16C99">
            <w:pPr>
              <w:spacing w:after="120" w:line="240" w:lineRule="auto"/>
              <w:ind w:right="57"/>
              <w:jc w:val="center"/>
              <w:rPr>
                <w:rFonts w:ascii="Times New Roman" w:eastAsia="Times New Roman" w:hAnsi="Times New Roman"/>
                <w:b/>
                <w:noProof/>
                <w:sz w:val="20"/>
                <w:szCs w:val="20"/>
                <w:lang w:eastAsia="en-GB"/>
              </w:rPr>
            </w:pPr>
            <w:r w:rsidRPr="00071D9B">
              <w:rPr>
                <w:rFonts w:ascii="Times New Roman" w:eastAsia="Times New Roman" w:hAnsi="Times New Roman"/>
                <w:b/>
                <w:noProof/>
                <w:sz w:val="20"/>
                <w:szCs w:val="20"/>
                <w:lang w:eastAsia="en-GB"/>
              </w:rPr>
              <w:t>261,42</w:t>
            </w:r>
          </w:p>
        </w:tc>
        <w:tc>
          <w:tcPr>
            <w:tcW w:w="1666" w:type="pct"/>
            <w:shd w:val="clear" w:color="auto" w:fill="auto"/>
            <w:noWrap/>
          </w:tcPr>
          <w:p w14:paraId="713CF12C" w14:textId="77777777" w:rsidR="00D812BF" w:rsidRDefault="00D812BF" w:rsidP="00A16C99">
            <w:pPr>
              <w:spacing w:after="120"/>
              <w:jc w:val="center"/>
              <w:rPr>
                <w:rFonts w:ascii="Times New Roman" w:hAnsi="Times New Roman"/>
                <w:b/>
                <w:noProof/>
                <w:sz w:val="20"/>
                <w:szCs w:val="20"/>
              </w:rPr>
            </w:pPr>
            <w:r w:rsidRPr="0052738C">
              <w:rPr>
                <w:rFonts w:ascii="Times New Roman" w:hAnsi="Times New Roman"/>
                <w:b/>
                <w:noProof/>
                <w:sz w:val="20"/>
                <w:szCs w:val="20"/>
              </w:rPr>
              <w:t>192</w:t>
            </w:r>
            <w:r>
              <w:rPr>
                <w:rFonts w:ascii="Times New Roman" w:hAnsi="Times New Roman"/>
                <w:b/>
                <w:noProof/>
                <w:sz w:val="20"/>
                <w:szCs w:val="20"/>
              </w:rPr>
              <w:t>,</w:t>
            </w:r>
            <w:r w:rsidRPr="0052738C">
              <w:rPr>
                <w:rFonts w:ascii="Times New Roman" w:hAnsi="Times New Roman"/>
                <w:b/>
                <w:noProof/>
                <w:sz w:val="20"/>
                <w:szCs w:val="20"/>
              </w:rPr>
              <w:t>07</w:t>
            </w:r>
          </w:p>
        </w:tc>
      </w:tr>
    </w:tbl>
    <w:p w14:paraId="0EDBFBF2" w14:textId="77777777" w:rsidR="00D812BF" w:rsidRPr="00276918" w:rsidRDefault="00626D3C">
      <w:pPr>
        <w:rPr>
          <w:rFonts w:ascii="Times New Roman" w:hAnsi="Times New Roman"/>
          <w:b/>
          <w:noProof/>
          <w:sz w:val="18"/>
          <w:szCs w:val="18"/>
        </w:rPr>
      </w:pPr>
      <w:r w:rsidRPr="00276918">
        <w:rPr>
          <w:rFonts w:ascii="Times New Roman" w:hAnsi="Times New Roman"/>
          <w:b/>
          <w:noProof/>
          <w:sz w:val="18"/>
          <w:szCs w:val="18"/>
        </w:rPr>
        <w:t>Source: EUTL</w:t>
      </w:r>
    </w:p>
    <w:p w14:paraId="285D3DFE" w14:textId="77777777" w:rsidR="007F5B1E" w:rsidRDefault="007F5B1E" w:rsidP="001F1235">
      <w:pPr>
        <w:rPr>
          <w:rFonts w:ascii="Times New Roman" w:hAnsi="Times New Roman"/>
          <w:b/>
          <w:noProof/>
        </w:rPr>
      </w:pPr>
    </w:p>
    <w:p w14:paraId="1C201344" w14:textId="77777777" w:rsidR="001F1235" w:rsidRPr="009D6C7E" w:rsidRDefault="001F1235" w:rsidP="001F1235">
      <w:pPr>
        <w:rPr>
          <w:rFonts w:ascii="Times New Roman" w:hAnsi="Times New Roman"/>
          <w:b/>
          <w:noProof/>
        </w:rPr>
      </w:pPr>
      <w:r w:rsidRPr="009D6C7E">
        <w:rPr>
          <w:rFonts w:ascii="Times New Roman" w:hAnsi="Times New Roman"/>
          <w:b/>
          <w:noProof/>
        </w:rPr>
        <w:t>Appendix 4</w:t>
      </w:r>
    </w:p>
    <w:p w14:paraId="158FD0F4" w14:textId="77777777" w:rsidR="001F1235" w:rsidRPr="009D6C7E" w:rsidRDefault="001F1235" w:rsidP="001F1235">
      <w:pPr>
        <w:pStyle w:val="Caption"/>
        <w:keepNext/>
        <w:rPr>
          <w:rFonts w:ascii="Times New Roman" w:hAnsi="Times New Roman"/>
          <w:noProof/>
        </w:rPr>
      </w:pPr>
      <w:r w:rsidRPr="009D6C7E">
        <w:rPr>
          <w:rFonts w:ascii="Times New Roman" w:hAnsi="Times New Roman"/>
          <w:noProof/>
        </w:rPr>
        <w:t>Table</w:t>
      </w:r>
      <w:r w:rsidR="005A3492" w:rsidRPr="009D6C7E">
        <w:rPr>
          <w:rFonts w:ascii="Times New Roman" w:hAnsi="Times New Roman"/>
          <w:noProof/>
        </w:rPr>
        <w:t xml:space="preserve"> 4.</w:t>
      </w:r>
      <w:r w:rsidRPr="009D6C7E">
        <w:rPr>
          <w:rFonts w:ascii="Times New Roman" w:hAnsi="Times New Roman"/>
          <w:noProof/>
        </w:rPr>
        <w:t>1: ETS supply and demand elements</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4"/>
        <w:gridCol w:w="1183"/>
        <w:gridCol w:w="1710"/>
        <w:gridCol w:w="4595"/>
      </w:tblGrid>
      <w:tr w:rsidR="001F1235" w:rsidRPr="009D6C7E" w14:paraId="7AB6F662" w14:textId="77777777" w:rsidTr="00601A28">
        <w:trPr>
          <w:trHeight w:val="458"/>
        </w:trPr>
        <w:tc>
          <w:tcPr>
            <w:tcW w:w="949" w:type="pct"/>
            <w:shd w:val="clear" w:color="auto" w:fill="auto"/>
            <w:vAlign w:val="center"/>
          </w:tcPr>
          <w:p w14:paraId="494FCB6D"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Element</w:t>
            </w:r>
          </w:p>
        </w:tc>
        <w:tc>
          <w:tcPr>
            <w:tcW w:w="0" w:type="auto"/>
            <w:shd w:val="clear" w:color="auto" w:fill="auto"/>
            <w:vAlign w:val="center"/>
          </w:tcPr>
          <w:p w14:paraId="153BE393"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Supply or demand?</w:t>
            </w:r>
          </w:p>
        </w:tc>
        <w:tc>
          <w:tcPr>
            <w:tcW w:w="0" w:type="auto"/>
            <w:shd w:val="clear" w:color="auto" w:fill="auto"/>
            <w:vAlign w:val="center"/>
          </w:tcPr>
          <w:p w14:paraId="3596431D"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Publication</w:t>
            </w:r>
          </w:p>
        </w:tc>
        <w:tc>
          <w:tcPr>
            <w:tcW w:w="0" w:type="auto"/>
            <w:shd w:val="clear" w:color="auto" w:fill="auto"/>
            <w:vAlign w:val="center"/>
          </w:tcPr>
          <w:p w14:paraId="609978AA"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Update and uncertainties</w:t>
            </w:r>
          </w:p>
        </w:tc>
      </w:tr>
      <w:tr w:rsidR="001F1235" w:rsidRPr="009D6C7E" w14:paraId="08D4B096" w14:textId="77777777" w:rsidTr="00601A28">
        <w:trPr>
          <w:trHeight w:val="458"/>
        </w:trPr>
        <w:tc>
          <w:tcPr>
            <w:tcW w:w="949" w:type="pct"/>
            <w:shd w:val="clear" w:color="auto" w:fill="auto"/>
          </w:tcPr>
          <w:p w14:paraId="58170BA1"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Banking total phase 2</w:t>
            </w:r>
          </w:p>
        </w:tc>
        <w:tc>
          <w:tcPr>
            <w:tcW w:w="0" w:type="auto"/>
            <w:shd w:val="clear" w:color="auto" w:fill="auto"/>
          </w:tcPr>
          <w:p w14:paraId="07260D69"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59DD3A87"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Carbon market report</w:t>
            </w:r>
          </w:p>
        </w:tc>
        <w:tc>
          <w:tcPr>
            <w:tcW w:w="0" w:type="auto"/>
            <w:shd w:val="clear" w:color="auto" w:fill="auto"/>
          </w:tcPr>
          <w:p w14:paraId="171B2E87"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 xml:space="preserve">No update is foreseen as phase 2 ended. Final figure. </w:t>
            </w:r>
          </w:p>
        </w:tc>
      </w:tr>
      <w:tr w:rsidR="001F1235" w:rsidRPr="009D6C7E" w14:paraId="52C2E3F1" w14:textId="77777777" w:rsidTr="00601A28">
        <w:trPr>
          <w:trHeight w:val="687"/>
        </w:trPr>
        <w:tc>
          <w:tcPr>
            <w:tcW w:w="949" w:type="pct"/>
            <w:shd w:val="clear" w:color="auto" w:fill="auto"/>
          </w:tcPr>
          <w:p w14:paraId="62871F2A"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 xml:space="preserve">Early phase 3 auctions </w:t>
            </w:r>
          </w:p>
        </w:tc>
        <w:tc>
          <w:tcPr>
            <w:tcW w:w="0" w:type="auto"/>
            <w:shd w:val="clear" w:color="auto" w:fill="auto"/>
          </w:tcPr>
          <w:p w14:paraId="74C382B2"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0B79CAD9"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DG Climate website, EEX and ICE websites</w:t>
            </w:r>
          </w:p>
        </w:tc>
        <w:tc>
          <w:tcPr>
            <w:tcW w:w="0" w:type="auto"/>
            <w:shd w:val="clear" w:color="auto" w:fill="auto"/>
          </w:tcPr>
          <w:p w14:paraId="5A6794C3"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Not part of phase 2 banking total. Final figures.</w:t>
            </w:r>
          </w:p>
        </w:tc>
      </w:tr>
      <w:tr w:rsidR="001F1235" w:rsidRPr="009D6C7E" w14:paraId="385F9E67" w14:textId="77777777" w:rsidTr="00601A28">
        <w:trPr>
          <w:trHeight w:val="458"/>
        </w:trPr>
        <w:tc>
          <w:tcPr>
            <w:tcW w:w="949" w:type="pct"/>
            <w:shd w:val="clear" w:color="auto" w:fill="auto"/>
          </w:tcPr>
          <w:p w14:paraId="19AF6BFF"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Allowances for NER 300</w:t>
            </w:r>
          </w:p>
        </w:tc>
        <w:tc>
          <w:tcPr>
            <w:tcW w:w="0" w:type="auto"/>
            <w:shd w:val="clear" w:color="auto" w:fill="auto"/>
          </w:tcPr>
          <w:p w14:paraId="79CEC823"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0CE0D0E4"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EIB website</w:t>
            </w:r>
          </w:p>
        </w:tc>
        <w:tc>
          <w:tcPr>
            <w:tcW w:w="0" w:type="auto"/>
            <w:shd w:val="clear" w:color="auto" w:fill="auto"/>
          </w:tcPr>
          <w:p w14:paraId="27BA7D24"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300 million allowances were monetised in 2012-2014. Final figures.</w:t>
            </w:r>
          </w:p>
        </w:tc>
      </w:tr>
      <w:tr w:rsidR="001F1235" w:rsidRPr="009D6C7E" w14:paraId="5A53AF73" w14:textId="77777777" w:rsidTr="00601A28">
        <w:trPr>
          <w:trHeight w:val="915"/>
        </w:trPr>
        <w:tc>
          <w:tcPr>
            <w:tcW w:w="949" w:type="pct"/>
            <w:shd w:val="clear" w:color="auto" w:fill="auto"/>
          </w:tcPr>
          <w:p w14:paraId="474CA478"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Aviation auctions</w:t>
            </w:r>
          </w:p>
        </w:tc>
        <w:tc>
          <w:tcPr>
            <w:tcW w:w="0" w:type="auto"/>
            <w:shd w:val="clear" w:color="auto" w:fill="auto"/>
          </w:tcPr>
          <w:p w14:paraId="624E5B45"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73105170"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DG Climate website, EEX and ICE websites</w:t>
            </w:r>
          </w:p>
        </w:tc>
        <w:tc>
          <w:tcPr>
            <w:tcW w:w="0" w:type="auto"/>
            <w:shd w:val="clear" w:color="auto" w:fill="auto"/>
          </w:tcPr>
          <w:p w14:paraId="54111AB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No – adjustments are reflected in the volumes for the following year.</w:t>
            </w:r>
          </w:p>
          <w:p w14:paraId="2F39CC72"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p w14:paraId="57650A94"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2013 and 2014 auctions took place in 2015.</w:t>
            </w:r>
          </w:p>
        </w:tc>
      </w:tr>
      <w:tr w:rsidR="001F1235" w:rsidRPr="009D6C7E" w14:paraId="1EE03035" w14:textId="77777777" w:rsidTr="00601A28">
        <w:trPr>
          <w:trHeight w:val="1145"/>
        </w:trPr>
        <w:tc>
          <w:tcPr>
            <w:tcW w:w="949" w:type="pct"/>
            <w:shd w:val="clear" w:color="auto" w:fill="auto"/>
          </w:tcPr>
          <w:p w14:paraId="577EA6E4"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Phase 3 auctions</w:t>
            </w:r>
          </w:p>
        </w:tc>
        <w:tc>
          <w:tcPr>
            <w:tcW w:w="0" w:type="auto"/>
            <w:shd w:val="clear" w:color="auto" w:fill="auto"/>
          </w:tcPr>
          <w:p w14:paraId="30D56A0C"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06521372"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DG Climate website, EEX and ICE websites</w:t>
            </w:r>
          </w:p>
        </w:tc>
        <w:tc>
          <w:tcPr>
            <w:tcW w:w="0" w:type="auto"/>
            <w:shd w:val="clear" w:color="auto" w:fill="auto"/>
          </w:tcPr>
          <w:p w14:paraId="15C0C206"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No - the figure is not subject to revision. However, allowances (e.g. due to delays to start of auctioning for certain Member States, e.g. those for EEA-EFTA) withheld from auctions can be auctioned in subsequent years.</w:t>
            </w:r>
          </w:p>
        </w:tc>
      </w:tr>
      <w:tr w:rsidR="001F1235" w:rsidRPr="009D6C7E" w14:paraId="545F4A15" w14:textId="77777777" w:rsidTr="00601A28">
        <w:trPr>
          <w:trHeight w:val="1354"/>
        </w:trPr>
        <w:tc>
          <w:tcPr>
            <w:tcW w:w="949" w:type="pct"/>
            <w:shd w:val="clear" w:color="auto" w:fill="auto"/>
          </w:tcPr>
          <w:p w14:paraId="19A6146F"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 (NIMs)</w:t>
            </w:r>
          </w:p>
        </w:tc>
        <w:tc>
          <w:tcPr>
            <w:tcW w:w="0" w:type="auto"/>
            <w:shd w:val="clear" w:color="auto" w:fill="auto"/>
          </w:tcPr>
          <w:p w14:paraId="136A9C20"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7BF43B22"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tables</w:t>
            </w:r>
          </w:p>
        </w:tc>
        <w:tc>
          <w:tcPr>
            <w:tcW w:w="0" w:type="auto"/>
            <w:vMerge w:val="restart"/>
            <w:shd w:val="clear" w:color="auto" w:fill="auto"/>
          </w:tcPr>
          <w:p w14:paraId="638D7A7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 xml:space="preserve">These figures are updated throughout the year. </w:t>
            </w:r>
          </w:p>
          <w:p w14:paraId="459F1AE4"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p w14:paraId="03D76E8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 xml:space="preserve">- Member State may provide late submissions for previous years or actual allocation can be lower than the amount initially foreseen. </w:t>
            </w:r>
          </w:p>
          <w:p w14:paraId="7AB6FDE3"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p w14:paraId="5936E20D"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r w:rsidRPr="00516F65">
              <w:rPr>
                <w:rFonts w:ascii="Times New Roman" w:hAnsi="Times New Roman"/>
                <w:noProof/>
                <w:sz w:val="20"/>
                <w:szCs w:val="20"/>
                <w:lang w:val="en-GB"/>
              </w:rPr>
              <w:t>The EUTL provides an accurate state of play of actual allocation.</w:t>
            </w:r>
          </w:p>
          <w:p w14:paraId="298AFED7"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64CBBE80" w14:textId="77777777" w:rsidTr="00601A28">
        <w:trPr>
          <w:trHeight w:val="458"/>
        </w:trPr>
        <w:tc>
          <w:tcPr>
            <w:tcW w:w="949" w:type="pct"/>
            <w:shd w:val="clear" w:color="auto" w:fill="auto"/>
          </w:tcPr>
          <w:p w14:paraId="66A9E882"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 (NER)</w:t>
            </w:r>
          </w:p>
        </w:tc>
        <w:tc>
          <w:tcPr>
            <w:tcW w:w="0" w:type="auto"/>
            <w:shd w:val="clear" w:color="auto" w:fill="auto"/>
          </w:tcPr>
          <w:p w14:paraId="1F49BE1C"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6B0F0DD0"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tables</w:t>
            </w:r>
          </w:p>
        </w:tc>
        <w:tc>
          <w:tcPr>
            <w:tcW w:w="0" w:type="auto"/>
            <w:vMerge/>
            <w:shd w:val="clear" w:color="auto" w:fill="auto"/>
          </w:tcPr>
          <w:p w14:paraId="3B91D601"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3EE62C25" w14:textId="77777777" w:rsidTr="00601A28">
        <w:trPr>
          <w:trHeight w:val="687"/>
        </w:trPr>
        <w:tc>
          <w:tcPr>
            <w:tcW w:w="949" w:type="pct"/>
            <w:shd w:val="clear" w:color="auto" w:fill="auto"/>
          </w:tcPr>
          <w:p w14:paraId="7758220B"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w:t>
            </w:r>
          </w:p>
          <w:p w14:paraId="0B1EEF45"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(aviation)</w:t>
            </w:r>
          </w:p>
        </w:tc>
        <w:tc>
          <w:tcPr>
            <w:tcW w:w="0" w:type="auto"/>
            <w:shd w:val="clear" w:color="auto" w:fill="auto"/>
          </w:tcPr>
          <w:p w14:paraId="3CCDD381"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3F37C07F"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MS publication of allocation tables</w:t>
            </w:r>
          </w:p>
        </w:tc>
        <w:tc>
          <w:tcPr>
            <w:tcW w:w="0" w:type="auto"/>
            <w:vMerge/>
            <w:shd w:val="clear" w:color="auto" w:fill="auto"/>
          </w:tcPr>
          <w:p w14:paraId="58E0B0A9"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755A01D7" w14:textId="77777777" w:rsidTr="00601A28">
        <w:trPr>
          <w:trHeight w:val="458"/>
        </w:trPr>
        <w:tc>
          <w:tcPr>
            <w:tcW w:w="949" w:type="pct"/>
            <w:shd w:val="clear" w:color="auto" w:fill="auto"/>
          </w:tcPr>
          <w:p w14:paraId="1F385EBC"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Free allocation</w:t>
            </w:r>
          </w:p>
          <w:p w14:paraId="50971D39"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(Article 10c)</w:t>
            </w:r>
          </w:p>
        </w:tc>
        <w:tc>
          <w:tcPr>
            <w:tcW w:w="0" w:type="auto"/>
            <w:shd w:val="clear" w:color="auto" w:fill="auto"/>
          </w:tcPr>
          <w:p w14:paraId="5049061F"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Supply</w:t>
            </w:r>
          </w:p>
        </w:tc>
        <w:tc>
          <w:tcPr>
            <w:tcW w:w="0" w:type="auto"/>
            <w:shd w:val="clear" w:color="auto" w:fill="auto"/>
          </w:tcPr>
          <w:p w14:paraId="1C7CBB1D" w14:textId="77777777" w:rsidR="001F1235" w:rsidRPr="00516F65" w:rsidRDefault="001F1235" w:rsidP="004611B0">
            <w:pPr>
              <w:spacing w:after="0" w:line="240" w:lineRule="auto"/>
              <w:rPr>
                <w:rFonts w:ascii="Times New Roman" w:hAnsi="Times New Roman"/>
                <w:noProof/>
                <w:sz w:val="20"/>
                <w:szCs w:val="20"/>
              </w:rPr>
            </w:pPr>
            <w:r w:rsidRPr="00516F65">
              <w:rPr>
                <w:rFonts w:ascii="Times New Roman" w:hAnsi="Times New Roman"/>
                <w:noProof/>
                <w:sz w:val="20"/>
                <w:szCs w:val="20"/>
              </w:rPr>
              <w:t>EUTL, status table</w:t>
            </w:r>
          </w:p>
        </w:tc>
        <w:tc>
          <w:tcPr>
            <w:tcW w:w="0" w:type="auto"/>
            <w:vMerge/>
            <w:shd w:val="clear" w:color="auto" w:fill="auto"/>
          </w:tcPr>
          <w:p w14:paraId="782317EE" w14:textId="77777777" w:rsidR="001F1235" w:rsidRPr="00516F65" w:rsidRDefault="001F1235" w:rsidP="004611B0">
            <w:pPr>
              <w:pStyle w:val="ListParagraph"/>
              <w:spacing w:after="0" w:line="240" w:lineRule="auto"/>
              <w:ind w:left="0"/>
              <w:rPr>
                <w:rFonts w:ascii="Times New Roman" w:hAnsi="Times New Roman"/>
                <w:noProof/>
                <w:sz w:val="20"/>
                <w:szCs w:val="20"/>
                <w:lang w:val="en-GB"/>
              </w:rPr>
            </w:pPr>
          </w:p>
        </w:tc>
      </w:tr>
      <w:tr w:rsidR="001F1235" w:rsidRPr="009D6C7E" w14:paraId="310B2536" w14:textId="77777777" w:rsidTr="00601A28">
        <w:trPr>
          <w:trHeight w:val="1156"/>
        </w:trPr>
        <w:tc>
          <w:tcPr>
            <w:tcW w:w="949" w:type="pct"/>
            <w:shd w:val="clear" w:color="auto" w:fill="auto"/>
          </w:tcPr>
          <w:p w14:paraId="19058307"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Emissions (stationary installations)</w:t>
            </w:r>
          </w:p>
        </w:tc>
        <w:tc>
          <w:tcPr>
            <w:tcW w:w="0" w:type="auto"/>
            <w:shd w:val="clear" w:color="auto" w:fill="auto"/>
          </w:tcPr>
          <w:p w14:paraId="03806901"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Demand</w:t>
            </w:r>
          </w:p>
        </w:tc>
        <w:tc>
          <w:tcPr>
            <w:tcW w:w="0" w:type="auto"/>
            <w:shd w:val="clear" w:color="auto" w:fill="auto"/>
          </w:tcPr>
          <w:p w14:paraId="70490D73"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EUTL, compliance data</w:t>
            </w:r>
          </w:p>
        </w:tc>
        <w:tc>
          <w:tcPr>
            <w:tcW w:w="0" w:type="auto"/>
            <w:shd w:val="clear" w:color="auto" w:fill="auto"/>
          </w:tcPr>
          <w:p w14:paraId="3D95D68F"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Compliance data made public on 1 May shows emissions and surrendered allowances for installations that are in compliance (i.e. those installations reporting for all years concerned).</w:t>
            </w:r>
            <w:r w:rsidRPr="00516F65">
              <w:rPr>
                <w:rStyle w:val="FootnoteReference"/>
                <w:rFonts w:ascii="Times New Roman" w:hAnsi="Times New Roman"/>
                <w:noProof/>
                <w:sz w:val="20"/>
                <w:szCs w:val="20"/>
              </w:rPr>
              <w:footnoteReference w:id="79"/>
            </w:r>
          </w:p>
          <w:p w14:paraId="38550770" w14:textId="77777777" w:rsidR="001F1235" w:rsidRPr="00516F65" w:rsidRDefault="001F1235" w:rsidP="004611B0">
            <w:pPr>
              <w:spacing w:after="0" w:line="240" w:lineRule="auto"/>
              <w:jc w:val="both"/>
              <w:rPr>
                <w:rFonts w:ascii="Times New Roman" w:hAnsi="Times New Roman"/>
                <w:noProof/>
                <w:sz w:val="20"/>
                <w:szCs w:val="20"/>
              </w:rPr>
            </w:pPr>
          </w:p>
        </w:tc>
      </w:tr>
      <w:tr w:rsidR="001F1235" w:rsidRPr="009D6C7E" w14:paraId="4E8F3C5F" w14:textId="77777777" w:rsidTr="00601A28">
        <w:trPr>
          <w:trHeight w:val="469"/>
        </w:trPr>
        <w:tc>
          <w:tcPr>
            <w:tcW w:w="949" w:type="pct"/>
            <w:shd w:val="clear" w:color="auto" w:fill="auto"/>
          </w:tcPr>
          <w:p w14:paraId="139F5413"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Emissions (aviation)</w:t>
            </w:r>
          </w:p>
        </w:tc>
        <w:tc>
          <w:tcPr>
            <w:tcW w:w="0" w:type="auto"/>
            <w:shd w:val="clear" w:color="auto" w:fill="auto"/>
          </w:tcPr>
          <w:p w14:paraId="62690D01"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Demand</w:t>
            </w:r>
          </w:p>
        </w:tc>
        <w:tc>
          <w:tcPr>
            <w:tcW w:w="0" w:type="auto"/>
            <w:shd w:val="clear" w:color="auto" w:fill="auto"/>
          </w:tcPr>
          <w:p w14:paraId="7324D0BA" w14:textId="77777777" w:rsidR="001F1235" w:rsidRPr="00516F65" w:rsidRDefault="001F1235" w:rsidP="004611B0">
            <w:pPr>
              <w:spacing w:after="0" w:line="240" w:lineRule="auto"/>
              <w:jc w:val="both"/>
              <w:rPr>
                <w:rFonts w:ascii="Times New Roman" w:hAnsi="Times New Roman"/>
                <w:noProof/>
                <w:sz w:val="20"/>
                <w:szCs w:val="20"/>
              </w:rPr>
            </w:pPr>
          </w:p>
        </w:tc>
        <w:tc>
          <w:tcPr>
            <w:tcW w:w="0" w:type="auto"/>
            <w:shd w:val="clear" w:color="auto" w:fill="auto"/>
          </w:tcPr>
          <w:p w14:paraId="666868F4"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Compliance for aviation operators for both 2013 and 2014 took place in 2015.</w:t>
            </w:r>
          </w:p>
        </w:tc>
      </w:tr>
      <w:tr w:rsidR="001F1235" w:rsidRPr="009D6C7E" w14:paraId="20548487" w14:textId="77777777" w:rsidTr="00601A28">
        <w:trPr>
          <w:trHeight w:val="469"/>
        </w:trPr>
        <w:tc>
          <w:tcPr>
            <w:tcW w:w="949" w:type="pct"/>
            <w:shd w:val="clear" w:color="auto" w:fill="auto"/>
          </w:tcPr>
          <w:p w14:paraId="680BD948" w14:textId="77777777" w:rsidR="001F1235" w:rsidRPr="00516F65" w:rsidRDefault="001F1235" w:rsidP="004611B0">
            <w:pPr>
              <w:spacing w:after="0" w:line="240" w:lineRule="auto"/>
              <w:rPr>
                <w:rFonts w:ascii="Times New Roman" w:hAnsi="Times New Roman"/>
                <w:b/>
                <w:noProof/>
                <w:sz w:val="20"/>
                <w:szCs w:val="20"/>
              </w:rPr>
            </w:pPr>
            <w:r w:rsidRPr="00516F65">
              <w:rPr>
                <w:rFonts w:ascii="Times New Roman" w:hAnsi="Times New Roman"/>
                <w:b/>
                <w:noProof/>
                <w:sz w:val="20"/>
                <w:szCs w:val="20"/>
              </w:rPr>
              <w:t>Allowances cancelled</w:t>
            </w:r>
          </w:p>
        </w:tc>
        <w:tc>
          <w:tcPr>
            <w:tcW w:w="0" w:type="auto"/>
            <w:shd w:val="clear" w:color="auto" w:fill="auto"/>
          </w:tcPr>
          <w:p w14:paraId="299B9804" w14:textId="77777777" w:rsidR="001F1235" w:rsidRPr="00516F65"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Demand</w:t>
            </w:r>
          </w:p>
        </w:tc>
        <w:tc>
          <w:tcPr>
            <w:tcW w:w="0" w:type="auto"/>
            <w:shd w:val="clear" w:color="auto" w:fill="auto"/>
          </w:tcPr>
          <w:p w14:paraId="5123AAC4" w14:textId="77777777" w:rsidR="001F1235" w:rsidRPr="00516F65" w:rsidRDefault="001F1235" w:rsidP="004611B0">
            <w:pPr>
              <w:spacing w:after="0" w:line="240" w:lineRule="auto"/>
              <w:jc w:val="both"/>
              <w:rPr>
                <w:rFonts w:ascii="Times New Roman" w:hAnsi="Times New Roman"/>
                <w:noProof/>
                <w:sz w:val="20"/>
                <w:szCs w:val="20"/>
              </w:rPr>
            </w:pPr>
          </w:p>
        </w:tc>
        <w:tc>
          <w:tcPr>
            <w:tcW w:w="0" w:type="auto"/>
            <w:shd w:val="clear" w:color="auto" w:fill="auto"/>
          </w:tcPr>
          <w:p w14:paraId="605B0ED2" w14:textId="77777777" w:rsidR="001F1235" w:rsidRPr="009D6C7E" w:rsidRDefault="001F1235" w:rsidP="004611B0">
            <w:pPr>
              <w:spacing w:after="0" w:line="240" w:lineRule="auto"/>
              <w:jc w:val="both"/>
              <w:rPr>
                <w:rFonts w:ascii="Times New Roman" w:hAnsi="Times New Roman"/>
                <w:noProof/>
                <w:sz w:val="20"/>
                <w:szCs w:val="20"/>
              </w:rPr>
            </w:pPr>
            <w:r w:rsidRPr="00516F65">
              <w:rPr>
                <w:rFonts w:ascii="Times New Roman" w:hAnsi="Times New Roman"/>
                <w:noProof/>
                <w:sz w:val="20"/>
                <w:szCs w:val="20"/>
              </w:rPr>
              <w:t>Carbon market report</w:t>
            </w:r>
          </w:p>
        </w:tc>
      </w:tr>
    </w:tbl>
    <w:p w14:paraId="656CFAA5" w14:textId="77777777" w:rsidR="001F1235" w:rsidRPr="009D6C7E" w:rsidRDefault="001F1235" w:rsidP="001F1235">
      <w:pPr>
        <w:pStyle w:val="Caption"/>
        <w:keepNext/>
        <w:rPr>
          <w:noProof/>
          <w:sz w:val="22"/>
          <w:szCs w:val="22"/>
        </w:rPr>
      </w:pPr>
    </w:p>
    <w:p w14:paraId="20D87059" w14:textId="77777777" w:rsidR="001F1235" w:rsidRPr="009D6C7E" w:rsidRDefault="001F1235" w:rsidP="001F1235">
      <w:pPr>
        <w:pStyle w:val="Caption"/>
        <w:keepNext/>
        <w:rPr>
          <w:rFonts w:ascii="Times New Roman" w:hAnsi="Times New Roman"/>
          <w:noProof/>
        </w:rPr>
      </w:pPr>
      <w:r w:rsidRPr="009D6C7E">
        <w:rPr>
          <w:rFonts w:ascii="Times New Roman" w:hAnsi="Times New Roman"/>
          <w:noProof/>
        </w:rPr>
        <w:t xml:space="preserve">Table </w:t>
      </w:r>
      <w:r w:rsidR="005A3492" w:rsidRPr="009D6C7E">
        <w:rPr>
          <w:rFonts w:ascii="Times New Roman" w:hAnsi="Times New Roman"/>
          <w:noProof/>
        </w:rPr>
        <w:t>4.</w:t>
      </w:r>
      <w:r w:rsidRPr="009D6C7E">
        <w:rPr>
          <w:rFonts w:ascii="Times New Roman" w:hAnsi="Times New Roman"/>
          <w:noProof/>
        </w:rPr>
        <w:t xml:space="preserve">2: Timeline for data publication </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rsidR="001F1235" w:rsidRPr="009D6C7E" w14:paraId="05897E16" w14:textId="77777777" w:rsidTr="00601A28">
        <w:trPr>
          <w:trHeight w:val="375"/>
        </w:trPr>
        <w:tc>
          <w:tcPr>
            <w:tcW w:w="2372" w:type="dxa"/>
            <w:shd w:val="clear" w:color="auto" w:fill="auto"/>
            <w:vAlign w:val="center"/>
          </w:tcPr>
          <w:p w14:paraId="2A5AC918" w14:textId="77777777" w:rsidR="001F1235" w:rsidRPr="00516F65" w:rsidRDefault="001F1235" w:rsidP="004611B0">
            <w:pPr>
              <w:rPr>
                <w:rFonts w:ascii="Times New Roman" w:hAnsi="Times New Roman"/>
                <w:b/>
                <w:noProof/>
              </w:rPr>
            </w:pPr>
            <w:r w:rsidRPr="00516F65">
              <w:rPr>
                <w:rFonts w:ascii="Times New Roman" w:hAnsi="Times New Roman"/>
                <w:b/>
                <w:noProof/>
              </w:rPr>
              <w:t>Timing</w:t>
            </w:r>
          </w:p>
        </w:tc>
        <w:tc>
          <w:tcPr>
            <w:tcW w:w="3150" w:type="dxa"/>
            <w:shd w:val="clear" w:color="auto" w:fill="auto"/>
            <w:vAlign w:val="center"/>
          </w:tcPr>
          <w:p w14:paraId="77E1717C" w14:textId="77777777" w:rsidR="001F1235" w:rsidRPr="00516F65" w:rsidRDefault="001F1235" w:rsidP="004611B0">
            <w:pPr>
              <w:rPr>
                <w:rFonts w:ascii="Times New Roman" w:hAnsi="Times New Roman"/>
                <w:b/>
                <w:noProof/>
              </w:rPr>
            </w:pPr>
            <w:r w:rsidRPr="00516F65">
              <w:rPr>
                <w:rFonts w:ascii="Times New Roman" w:hAnsi="Times New Roman"/>
                <w:b/>
                <w:noProof/>
              </w:rPr>
              <w:t>Data</w:t>
            </w:r>
          </w:p>
        </w:tc>
        <w:tc>
          <w:tcPr>
            <w:tcW w:w="2916" w:type="dxa"/>
            <w:shd w:val="clear" w:color="auto" w:fill="auto"/>
            <w:vAlign w:val="center"/>
          </w:tcPr>
          <w:p w14:paraId="1ECBA519" w14:textId="77777777" w:rsidR="001F1235" w:rsidRPr="00516F65" w:rsidRDefault="001F1235" w:rsidP="004611B0">
            <w:pPr>
              <w:rPr>
                <w:rFonts w:ascii="Times New Roman" w:hAnsi="Times New Roman"/>
                <w:b/>
                <w:noProof/>
              </w:rPr>
            </w:pPr>
            <w:r w:rsidRPr="00516F65">
              <w:rPr>
                <w:rFonts w:ascii="Times New Roman" w:hAnsi="Times New Roman"/>
                <w:b/>
                <w:noProof/>
              </w:rPr>
              <w:t>Scope</w:t>
            </w:r>
          </w:p>
        </w:tc>
      </w:tr>
      <w:tr w:rsidR="001F1235" w:rsidRPr="009D6C7E" w14:paraId="3856F012" w14:textId="77777777" w:rsidTr="00601A28">
        <w:trPr>
          <w:trHeight w:val="594"/>
        </w:trPr>
        <w:tc>
          <w:tcPr>
            <w:tcW w:w="2372" w:type="dxa"/>
            <w:shd w:val="clear" w:color="auto" w:fill="auto"/>
          </w:tcPr>
          <w:p w14:paraId="06B6C8D8"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1 January – 30 April year x</w:t>
            </w:r>
          </w:p>
        </w:tc>
        <w:tc>
          <w:tcPr>
            <w:tcW w:w="3150" w:type="dxa"/>
            <w:shd w:val="clear" w:color="auto" w:fill="auto"/>
          </w:tcPr>
          <w:p w14:paraId="2D43B873"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 xml:space="preserve">Updates to free allocation to </w:t>
            </w:r>
            <w:r w:rsidR="008E46B6">
              <w:rPr>
                <w:rFonts w:ascii="Times New Roman" w:hAnsi="Times New Roman"/>
                <w:noProof/>
                <w:sz w:val="20"/>
                <w:szCs w:val="20"/>
              </w:rPr>
              <w:t>electricity and heat production</w:t>
            </w:r>
            <w:r w:rsidRPr="00516F65">
              <w:rPr>
                <w:rFonts w:ascii="Times New Roman" w:hAnsi="Times New Roman"/>
                <w:noProof/>
                <w:sz w:val="20"/>
                <w:szCs w:val="20"/>
              </w:rPr>
              <w:t xml:space="preserve"> (Article 10c)</w:t>
            </w:r>
          </w:p>
        </w:tc>
        <w:tc>
          <w:tcPr>
            <w:tcW w:w="2916" w:type="dxa"/>
            <w:shd w:val="clear" w:color="auto" w:fill="auto"/>
          </w:tcPr>
          <w:p w14:paraId="1A07CD2D"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42ED03B0" w14:textId="77777777" w:rsidTr="00601A28">
        <w:trPr>
          <w:trHeight w:val="969"/>
        </w:trPr>
        <w:tc>
          <w:tcPr>
            <w:tcW w:w="2372" w:type="dxa"/>
            <w:shd w:val="clear" w:color="auto" w:fill="auto"/>
          </w:tcPr>
          <w:p w14:paraId="7A44A945"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1 April year x</w:t>
            </w:r>
          </w:p>
        </w:tc>
        <w:tc>
          <w:tcPr>
            <w:tcW w:w="3150" w:type="dxa"/>
            <w:shd w:val="clear" w:color="auto" w:fill="auto"/>
          </w:tcPr>
          <w:p w14:paraId="371EA7E4"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Verified emissions</w:t>
            </w:r>
          </w:p>
          <w:p w14:paraId="2E1B97FE"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Free allocation (Article 10a(5) – NIMs)</w:t>
            </w:r>
          </w:p>
        </w:tc>
        <w:tc>
          <w:tcPr>
            <w:tcW w:w="2916" w:type="dxa"/>
            <w:shd w:val="clear" w:color="auto" w:fill="auto"/>
          </w:tcPr>
          <w:p w14:paraId="73A2ADA8"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48C83F57" w14:textId="77777777" w:rsidTr="00601A28">
        <w:trPr>
          <w:trHeight w:val="814"/>
        </w:trPr>
        <w:tc>
          <w:tcPr>
            <w:tcW w:w="2372" w:type="dxa"/>
            <w:shd w:val="clear" w:color="auto" w:fill="auto"/>
          </w:tcPr>
          <w:p w14:paraId="19B341F2"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1 May year x</w:t>
            </w:r>
          </w:p>
        </w:tc>
        <w:tc>
          <w:tcPr>
            <w:tcW w:w="3150" w:type="dxa"/>
            <w:shd w:val="clear" w:color="auto" w:fill="auto"/>
          </w:tcPr>
          <w:p w14:paraId="0CF58D93"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Compliance deadline: verified emissions and surrendered allowances</w:t>
            </w:r>
          </w:p>
        </w:tc>
        <w:tc>
          <w:tcPr>
            <w:tcW w:w="2916" w:type="dxa"/>
            <w:shd w:val="clear" w:color="auto" w:fill="auto"/>
          </w:tcPr>
          <w:p w14:paraId="4344FDC5"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7FF377F4" w14:textId="77777777" w:rsidTr="00601A28">
        <w:trPr>
          <w:trHeight w:val="375"/>
        </w:trPr>
        <w:tc>
          <w:tcPr>
            <w:tcW w:w="2372" w:type="dxa"/>
            <w:shd w:val="clear" w:color="auto" w:fill="auto"/>
          </w:tcPr>
          <w:p w14:paraId="4532BF1A"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May/October year x</w:t>
            </w:r>
          </w:p>
        </w:tc>
        <w:tc>
          <w:tcPr>
            <w:tcW w:w="3150" w:type="dxa"/>
            <w:shd w:val="clear" w:color="auto" w:fill="auto"/>
          </w:tcPr>
          <w:p w14:paraId="46DA21C2"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International credits exchanged</w:t>
            </w:r>
          </w:p>
        </w:tc>
        <w:tc>
          <w:tcPr>
            <w:tcW w:w="2916" w:type="dxa"/>
            <w:shd w:val="clear" w:color="auto" w:fill="auto"/>
          </w:tcPr>
          <w:p w14:paraId="394DFD19" w14:textId="77777777" w:rsidR="001F1235" w:rsidRPr="00516F65" w:rsidRDefault="001F1235" w:rsidP="004611B0">
            <w:pPr>
              <w:rPr>
                <w:rFonts w:ascii="Times New Roman" w:hAnsi="Times New Roman"/>
                <w:noProof/>
                <w:sz w:val="20"/>
                <w:szCs w:val="20"/>
              </w:rPr>
            </w:pPr>
          </w:p>
        </w:tc>
      </w:tr>
      <w:tr w:rsidR="001F1235" w:rsidRPr="00BD381F" w14:paraId="5F9DDA2F" w14:textId="77777777" w:rsidTr="00601A28">
        <w:trPr>
          <w:trHeight w:val="366"/>
        </w:trPr>
        <w:tc>
          <w:tcPr>
            <w:tcW w:w="2372" w:type="dxa"/>
            <w:shd w:val="clear" w:color="auto" w:fill="auto"/>
          </w:tcPr>
          <w:p w14:paraId="3A4DBD9B"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Last quarter of year x</w:t>
            </w:r>
          </w:p>
        </w:tc>
        <w:tc>
          <w:tcPr>
            <w:tcW w:w="3150" w:type="dxa"/>
            <w:shd w:val="clear" w:color="auto" w:fill="auto"/>
          </w:tcPr>
          <w:p w14:paraId="536FC7C9"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Carbon Market report</w:t>
            </w:r>
          </w:p>
        </w:tc>
        <w:tc>
          <w:tcPr>
            <w:tcW w:w="2916" w:type="dxa"/>
            <w:shd w:val="clear" w:color="auto" w:fill="auto"/>
          </w:tcPr>
          <w:p w14:paraId="02505A1E"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Year x-1</w:t>
            </w:r>
          </w:p>
        </w:tc>
      </w:tr>
      <w:tr w:rsidR="001F1235" w:rsidRPr="00BD381F" w14:paraId="2C1CF353" w14:textId="77777777" w:rsidTr="00601A28">
        <w:trPr>
          <w:trHeight w:val="594"/>
        </w:trPr>
        <w:tc>
          <w:tcPr>
            <w:tcW w:w="2372" w:type="dxa"/>
            <w:shd w:val="clear" w:color="auto" w:fill="auto"/>
          </w:tcPr>
          <w:p w14:paraId="45C81A23"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January/July year x</w:t>
            </w:r>
          </w:p>
        </w:tc>
        <w:tc>
          <w:tcPr>
            <w:tcW w:w="3150" w:type="dxa"/>
            <w:shd w:val="clear" w:color="auto" w:fill="auto"/>
          </w:tcPr>
          <w:p w14:paraId="289F9220"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Status of new entrants' reserve  - NER table</w:t>
            </w:r>
          </w:p>
        </w:tc>
        <w:tc>
          <w:tcPr>
            <w:tcW w:w="2916" w:type="dxa"/>
            <w:shd w:val="clear" w:color="auto" w:fill="auto"/>
          </w:tcPr>
          <w:p w14:paraId="0CB58E33" w14:textId="77777777" w:rsidR="001F1235" w:rsidRPr="00BD381F" w:rsidRDefault="001F1235" w:rsidP="004611B0">
            <w:pPr>
              <w:rPr>
                <w:rFonts w:ascii="Times New Roman" w:hAnsi="Times New Roman"/>
                <w:noProof/>
                <w:sz w:val="20"/>
                <w:szCs w:val="20"/>
                <w:highlight w:val="yellow"/>
              </w:rPr>
            </w:pPr>
          </w:p>
        </w:tc>
      </w:tr>
      <w:tr w:rsidR="001F1235" w14:paraId="76F0BFB6" w14:textId="77777777" w:rsidTr="00601A28">
        <w:trPr>
          <w:trHeight w:val="603"/>
        </w:trPr>
        <w:tc>
          <w:tcPr>
            <w:tcW w:w="2372" w:type="dxa"/>
            <w:shd w:val="clear" w:color="auto" w:fill="auto"/>
          </w:tcPr>
          <w:p w14:paraId="6DAF84DA" w14:textId="77777777" w:rsidR="001F1235" w:rsidRPr="00516F65" w:rsidRDefault="001F1235" w:rsidP="004611B0">
            <w:pPr>
              <w:rPr>
                <w:rFonts w:ascii="Times New Roman" w:hAnsi="Times New Roman"/>
                <w:noProof/>
                <w:sz w:val="20"/>
                <w:szCs w:val="20"/>
              </w:rPr>
            </w:pPr>
            <w:r w:rsidRPr="00516F65">
              <w:rPr>
                <w:rFonts w:ascii="Times New Roman" w:hAnsi="Times New Roman"/>
                <w:noProof/>
                <w:sz w:val="20"/>
                <w:szCs w:val="20"/>
              </w:rPr>
              <w:t>Not published at EU level</w:t>
            </w:r>
          </w:p>
        </w:tc>
        <w:tc>
          <w:tcPr>
            <w:tcW w:w="3150" w:type="dxa"/>
            <w:shd w:val="clear" w:color="auto" w:fill="auto"/>
          </w:tcPr>
          <w:p w14:paraId="018886E6" w14:textId="77777777" w:rsidR="001F1235" w:rsidRPr="009D6C7E" w:rsidRDefault="001F1235" w:rsidP="004611B0">
            <w:pPr>
              <w:rPr>
                <w:rFonts w:ascii="Times New Roman" w:hAnsi="Times New Roman"/>
                <w:noProof/>
                <w:sz w:val="20"/>
                <w:szCs w:val="20"/>
              </w:rPr>
            </w:pPr>
            <w:r w:rsidRPr="00516F65">
              <w:rPr>
                <w:rFonts w:ascii="Times New Roman" w:hAnsi="Times New Roman"/>
                <w:noProof/>
                <w:sz w:val="20"/>
                <w:szCs w:val="20"/>
              </w:rPr>
              <w:t>Free allocation to aviation published at Member States level</w:t>
            </w:r>
          </w:p>
        </w:tc>
        <w:tc>
          <w:tcPr>
            <w:tcW w:w="2916" w:type="dxa"/>
            <w:shd w:val="clear" w:color="auto" w:fill="auto"/>
          </w:tcPr>
          <w:p w14:paraId="6DABE803" w14:textId="77777777" w:rsidR="001F1235" w:rsidRDefault="001F1235" w:rsidP="004611B0">
            <w:pPr>
              <w:rPr>
                <w:rFonts w:ascii="Times New Roman" w:hAnsi="Times New Roman"/>
                <w:noProof/>
                <w:sz w:val="20"/>
                <w:szCs w:val="20"/>
              </w:rPr>
            </w:pPr>
          </w:p>
        </w:tc>
      </w:tr>
    </w:tbl>
    <w:p w14:paraId="0CF7A1D5" w14:textId="77777777" w:rsidR="007F5B1E" w:rsidRDefault="007F5B1E">
      <w:pPr>
        <w:rPr>
          <w:rFonts w:ascii="Times New Roman" w:hAnsi="Times New Roman"/>
          <w:b/>
          <w:noProof/>
          <w:highlight w:val="yellow"/>
        </w:rPr>
      </w:pPr>
    </w:p>
    <w:p w14:paraId="13080D79" w14:textId="77777777" w:rsidR="0057434D" w:rsidRPr="00264CAF" w:rsidRDefault="0057434D">
      <w:pPr>
        <w:rPr>
          <w:rFonts w:ascii="Times New Roman" w:hAnsi="Times New Roman"/>
          <w:b/>
          <w:noProof/>
        </w:rPr>
      </w:pPr>
      <w:r w:rsidRPr="00264CAF">
        <w:rPr>
          <w:rFonts w:ascii="Times New Roman" w:hAnsi="Times New Roman"/>
          <w:b/>
          <w:noProof/>
        </w:rPr>
        <w:t>Appendix 5</w:t>
      </w:r>
    </w:p>
    <w:p w14:paraId="36F98B10" w14:textId="77777777" w:rsidR="00E9293A" w:rsidRPr="00264CAF" w:rsidRDefault="00E9293A" w:rsidP="00E9293A">
      <w:pPr>
        <w:rPr>
          <w:rFonts w:ascii="Times New Roman" w:hAnsi="Times New Roman"/>
          <w:b/>
          <w:noProof/>
        </w:rPr>
      </w:pPr>
      <w:r w:rsidRPr="00264CAF">
        <w:rPr>
          <w:rFonts w:ascii="Times New Roman" w:hAnsi="Times New Roman"/>
          <w:b/>
          <w:noProof/>
          <w:sz w:val="20"/>
          <w:szCs w:val="20"/>
        </w:rPr>
        <w:t>Table 5.1 ETS verified non-</w:t>
      </w:r>
      <w:r w:rsidRPr="00264CAF">
        <w:rPr>
          <w:rFonts w:ascii="Times New Roman" w:hAnsi="Times New Roman"/>
          <w:b/>
          <w:bCs/>
          <w:color w:val="262626"/>
          <w:sz w:val="20"/>
          <w:szCs w:val="20"/>
        </w:rPr>
        <w:t>CO</w:t>
      </w:r>
      <w:r w:rsidRPr="00264CAF">
        <w:rPr>
          <w:rFonts w:ascii="Times New Roman" w:hAnsi="Times New Roman"/>
          <w:b/>
          <w:bCs/>
          <w:color w:val="262626"/>
          <w:sz w:val="20"/>
          <w:szCs w:val="20"/>
          <w:bdr w:val="none" w:sz="0" w:space="0" w:color="auto" w:frame="1"/>
          <w:vertAlign w:val="subscript"/>
        </w:rPr>
        <w:t>2</w:t>
      </w:r>
      <w:r w:rsidRPr="00264CAF">
        <w:rPr>
          <w:rFonts w:ascii="Times New Roman" w:hAnsi="Times New Roman"/>
          <w:b/>
          <w:noProof/>
          <w:sz w:val="20"/>
          <w:szCs w:val="20"/>
        </w:rPr>
        <w:t xml:space="preserve"> emissions from installations by type of greenhouse gas </w:t>
      </w:r>
      <w:r w:rsidR="00C94487" w:rsidRPr="00264CAF">
        <w:rPr>
          <w:rFonts w:ascii="Times New Roman" w:hAnsi="Times New Roman"/>
          <w:b/>
          <w:noProof/>
          <w:sz w:val="20"/>
          <w:szCs w:val="20"/>
        </w:rPr>
        <w:t xml:space="preserve">2013-2018 </w:t>
      </w:r>
      <w:r w:rsidRPr="00264CAF">
        <w:rPr>
          <w:rFonts w:ascii="Times New Roman" w:hAnsi="Times New Roman"/>
          <w:b/>
          <w:noProof/>
          <w:sz w:val="20"/>
          <w:szCs w:val="20"/>
        </w:rPr>
        <w:t xml:space="preserve">(in million </w:t>
      </w:r>
      <w:r w:rsidRPr="006A1212">
        <w:rPr>
          <w:rFonts w:ascii="Times New Roman" w:hAnsi="Times New Roman"/>
          <w:b/>
          <w:noProof/>
          <w:sz w:val="20"/>
          <w:szCs w:val="20"/>
        </w:rPr>
        <w:t>tonnes</w:t>
      </w:r>
      <w:r w:rsidRPr="006A1212">
        <w:rPr>
          <w:rFonts w:ascii="Times New Roman" w:hAnsi="Times New Roman"/>
          <w:b/>
          <w:noProof/>
        </w:rPr>
        <w:t>)</w:t>
      </w:r>
      <w:r w:rsidRPr="0046130B">
        <w:rPr>
          <w:rStyle w:val="FootnoteReference"/>
          <w:rFonts w:ascii="Times New Roman" w:hAnsi="Times New Roman"/>
          <w:b/>
          <w:noProof/>
        </w:rPr>
        <w:footnoteReference w:id="80"/>
      </w:r>
      <w:r w:rsidRPr="00264CAF">
        <w:rPr>
          <w:rFonts w:ascii="Times New Roman" w:hAnsi="Times New Roman"/>
          <w:b/>
        </w:rPr>
        <w:fldChar w:fldCharType="begin"/>
      </w:r>
      <w:r w:rsidRPr="00264CAF">
        <w:rPr>
          <w:rFonts w:ascii="Times New Roman" w:hAnsi="Times New Roman"/>
          <w:b/>
        </w:rPr>
        <w:instrText xml:space="preserve"> LINK Excel.Sheet.12 "\\\\net1.cec.eu.int\\CLIMA\\B\\1\\23.01 General\\23.01-7.6 Carbon market reports\\2019\\Copy of Report emissions_N2O_PFC_CO2.xlsx" Sheet1!R20C1:R24C9 \a \f 5 \h  \* MERGEFORMAT </w:instrText>
      </w:r>
      <w:r w:rsidRPr="00264CAF">
        <w:rPr>
          <w:rFonts w:ascii="Times New Roman" w:hAnsi="Times New Roman"/>
          <w:b/>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rsidR="00E9293A" w:rsidRPr="00264CAF" w14:paraId="3E6D9B55" w14:textId="77777777" w:rsidTr="007F5B1E">
        <w:trPr>
          <w:trHeight w:val="506"/>
        </w:trPr>
        <w:tc>
          <w:tcPr>
            <w:tcW w:w="972" w:type="dxa"/>
            <w:noWrap/>
            <w:vAlign w:val="center"/>
            <w:hideMark/>
          </w:tcPr>
          <w:p w14:paraId="1E58AFD1" w14:textId="77777777" w:rsidR="00E9293A" w:rsidRPr="00264CAF" w:rsidRDefault="00E9293A" w:rsidP="00B069B5">
            <w:pPr>
              <w:rPr>
                <w:rFonts w:ascii="Times New Roman" w:hAnsi="Times New Roman"/>
              </w:rPr>
            </w:pPr>
          </w:p>
        </w:tc>
        <w:tc>
          <w:tcPr>
            <w:tcW w:w="973" w:type="dxa"/>
            <w:noWrap/>
            <w:vAlign w:val="center"/>
            <w:hideMark/>
          </w:tcPr>
          <w:p w14:paraId="4B5DB7F2" w14:textId="77777777" w:rsidR="00E9293A" w:rsidRPr="00264CAF" w:rsidRDefault="00E9293A" w:rsidP="00B069B5">
            <w:pPr>
              <w:jc w:val="center"/>
              <w:rPr>
                <w:rFonts w:ascii="Times New Roman" w:hAnsi="Times New Roman"/>
                <w:b/>
              </w:rPr>
            </w:pPr>
            <w:r w:rsidRPr="00264CAF">
              <w:rPr>
                <w:rFonts w:ascii="Times New Roman" w:hAnsi="Times New Roman"/>
                <w:b/>
              </w:rPr>
              <w:t>2013</w:t>
            </w:r>
          </w:p>
        </w:tc>
        <w:tc>
          <w:tcPr>
            <w:tcW w:w="972" w:type="dxa"/>
            <w:noWrap/>
            <w:vAlign w:val="center"/>
            <w:hideMark/>
          </w:tcPr>
          <w:p w14:paraId="6566A2A4" w14:textId="77777777" w:rsidR="00E9293A" w:rsidRPr="00264CAF" w:rsidRDefault="00E9293A" w:rsidP="00B069B5">
            <w:pPr>
              <w:jc w:val="center"/>
              <w:rPr>
                <w:rFonts w:ascii="Times New Roman" w:hAnsi="Times New Roman"/>
                <w:b/>
              </w:rPr>
            </w:pPr>
            <w:r w:rsidRPr="00264CAF">
              <w:rPr>
                <w:rFonts w:ascii="Times New Roman" w:hAnsi="Times New Roman"/>
                <w:b/>
              </w:rPr>
              <w:t>2014</w:t>
            </w:r>
          </w:p>
        </w:tc>
        <w:tc>
          <w:tcPr>
            <w:tcW w:w="973" w:type="dxa"/>
            <w:noWrap/>
            <w:vAlign w:val="center"/>
            <w:hideMark/>
          </w:tcPr>
          <w:p w14:paraId="2D7A64B7" w14:textId="77777777" w:rsidR="00E9293A" w:rsidRPr="00264CAF" w:rsidRDefault="00E9293A" w:rsidP="00B069B5">
            <w:pPr>
              <w:jc w:val="center"/>
              <w:rPr>
                <w:rFonts w:ascii="Times New Roman" w:hAnsi="Times New Roman"/>
                <w:b/>
              </w:rPr>
            </w:pPr>
            <w:r w:rsidRPr="00264CAF">
              <w:rPr>
                <w:rFonts w:ascii="Times New Roman" w:hAnsi="Times New Roman"/>
                <w:b/>
              </w:rPr>
              <w:t>2015</w:t>
            </w:r>
          </w:p>
        </w:tc>
        <w:tc>
          <w:tcPr>
            <w:tcW w:w="973" w:type="dxa"/>
            <w:noWrap/>
            <w:vAlign w:val="center"/>
            <w:hideMark/>
          </w:tcPr>
          <w:p w14:paraId="4B7692FA" w14:textId="77777777" w:rsidR="00E9293A" w:rsidRPr="00264CAF" w:rsidRDefault="00E9293A" w:rsidP="00B069B5">
            <w:pPr>
              <w:jc w:val="center"/>
              <w:rPr>
                <w:rFonts w:ascii="Times New Roman" w:hAnsi="Times New Roman"/>
                <w:b/>
              </w:rPr>
            </w:pPr>
            <w:r w:rsidRPr="00264CAF">
              <w:rPr>
                <w:rFonts w:ascii="Times New Roman" w:hAnsi="Times New Roman"/>
                <w:b/>
              </w:rPr>
              <w:t>2016</w:t>
            </w:r>
          </w:p>
        </w:tc>
        <w:tc>
          <w:tcPr>
            <w:tcW w:w="973" w:type="dxa"/>
            <w:noWrap/>
            <w:vAlign w:val="center"/>
            <w:hideMark/>
          </w:tcPr>
          <w:p w14:paraId="1EF15A23" w14:textId="77777777" w:rsidR="00E9293A" w:rsidRPr="00264CAF" w:rsidRDefault="00E9293A" w:rsidP="00B069B5">
            <w:pPr>
              <w:jc w:val="center"/>
              <w:rPr>
                <w:rFonts w:ascii="Times New Roman" w:hAnsi="Times New Roman"/>
                <w:b/>
              </w:rPr>
            </w:pPr>
            <w:r w:rsidRPr="00264CAF">
              <w:rPr>
                <w:rFonts w:ascii="Times New Roman" w:hAnsi="Times New Roman"/>
                <w:b/>
              </w:rPr>
              <w:t>2017</w:t>
            </w:r>
          </w:p>
        </w:tc>
        <w:tc>
          <w:tcPr>
            <w:tcW w:w="973" w:type="dxa"/>
            <w:noWrap/>
            <w:vAlign w:val="center"/>
            <w:hideMark/>
          </w:tcPr>
          <w:p w14:paraId="2C1BB7F9" w14:textId="77777777" w:rsidR="00E9293A" w:rsidRPr="00264CAF" w:rsidRDefault="00E9293A" w:rsidP="00B069B5">
            <w:pPr>
              <w:jc w:val="center"/>
              <w:rPr>
                <w:rFonts w:ascii="Times New Roman" w:hAnsi="Times New Roman"/>
                <w:b/>
              </w:rPr>
            </w:pPr>
            <w:r w:rsidRPr="00264CAF">
              <w:rPr>
                <w:rFonts w:ascii="Times New Roman" w:hAnsi="Times New Roman"/>
                <w:b/>
              </w:rPr>
              <w:t>2018</w:t>
            </w:r>
          </w:p>
        </w:tc>
      </w:tr>
      <w:tr w:rsidR="00E9293A" w:rsidRPr="00264CAF" w14:paraId="37A0761C" w14:textId="77777777" w:rsidTr="007F5B1E">
        <w:trPr>
          <w:trHeight w:val="506"/>
        </w:trPr>
        <w:tc>
          <w:tcPr>
            <w:tcW w:w="972" w:type="dxa"/>
            <w:noWrap/>
            <w:vAlign w:val="center"/>
            <w:hideMark/>
          </w:tcPr>
          <w:p w14:paraId="0DECD77C" w14:textId="77777777" w:rsidR="00E9293A" w:rsidRPr="00264CAF" w:rsidRDefault="00E9293A" w:rsidP="00B069B5">
            <w:pPr>
              <w:rPr>
                <w:rFonts w:ascii="Times New Roman" w:hAnsi="Times New Roman"/>
                <w:b/>
              </w:rPr>
            </w:pPr>
            <w:r w:rsidRPr="00264CAF">
              <w:rPr>
                <w:rFonts w:ascii="Times New Roman" w:hAnsi="Times New Roman"/>
                <w:b/>
                <w:noProof/>
              </w:rPr>
              <w:t>PFCs</w:t>
            </w:r>
          </w:p>
        </w:tc>
        <w:tc>
          <w:tcPr>
            <w:tcW w:w="973" w:type="dxa"/>
            <w:noWrap/>
            <w:vAlign w:val="center"/>
            <w:hideMark/>
          </w:tcPr>
          <w:p w14:paraId="52136E16" w14:textId="77777777" w:rsidR="00E9293A" w:rsidRPr="00264CAF" w:rsidRDefault="00E9293A" w:rsidP="00B069B5">
            <w:pPr>
              <w:jc w:val="center"/>
              <w:rPr>
                <w:rFonts w:ascii="Times New Roman" w:hAnsi="Times New Roman"/>
              </w:rPr>
            </w:pPr>
            <w:r w:rsidRPr="00264CAF">
              <w:rPr>
                <w:rFonts w:ascii="Times New Roman" w:hAnsi="Times New Roman"/>
              </w:rPr>
              <w:t>0,40</w:t>
            </w:r>
          </w:p>
        </w:tc>
        <w:tc>
          <w:tcPr>
            <w:tcW w:w="972" w:type="dxa"/>
            <w:noWrap/>
            <w:vAlign w:val="center"/>
            <w:hideMark/>
          </w:tcPr>
          <w:p w14:paraId="4E732B1E" w14:textId="77777777" w:rsidR="00E9293A" w:rsidRPr="00264CAF" w:rsidRDefault="00E9293A" w:rsidP="00B069B5">
            <w:pPr>
              <w:jc w:val="center"/>
              <w:rPr>
                <w:rFonts w:ascii="Times New Roman" w:hAnsi="Times New Roman"/>
              </w:rPr>
            </w:pPr>
            <w:r w:rsidRPr="00264CAF">
              <w:rPr>
                <w:rFonts w:ascii="Times New Roman" w:hAnsi="Times New Roman"/>
              </w:rPr>
              <w:t>0,74</w:t>
            </w:r>
          </w:p>
        </w:tc>
        <w:tc>
          <w:tcPr>
            <w:tcW w:w="973" w:type="dxa"/>
            <w:noWrap/>
            <w:vAlign w:val="center"/>
            <w:hideMark/>
          </w:tcPr>
          <w:p w14:paraId="3349F1AB" w14:textId="77777777" w:rsidR="00E9293A" w:rsidRPr="00264CAF" w:rsidRDefault="00E9293A" w:rsidP="00B069B5">
            <w:pPr>
              <w:jc w:val="center"/>
              <w:rPr>
                <w:rFonts w:ascii="Times New Roman" w:hAnsi="Times New Roman"/>
              </w:rPr>
            </w:pPr>
            <w:r w:rsidRPr="00264CAF">
              <w:rPr>
                <w:rFonts w:ascii="Times New Roman" w:hAnsi="Times New Roman"/>
              </w:rPr>
              <w:t>0,58</w:t>
            </w:r>
          </w:p>
        </w:tc>
        <w:tc>
          <w:tcPr>
            <w:tcW w:w="973" w:type="dxa"/>
            <w:noWrap/>
            <w:vAlign w:val="center"/>
            <w:hideMark/>
          </w:tcPr>
          <w:p w14:paraId="36C909CF" w14:textId="77777777" w:rsidR="00E9293A" w:rsidRPr="00264CAF" w:rsidRDefault="00E9293A" w:rsidP="00B069B5">
            <w:pPr>
              <w:jc w:val="center"/>
              <w:rPr>
                <w:rFonts w:ascii="Times New Roman" w:hAnsi="Times New Roman"/>
              </w:rPr>
            </w:pPr>
            <w:r w:rsidRPr="00264CAF">
              <w:rPr>
                <w:rFonts w:ascii="Times New Roman" w:hAnsi="Times New Roman"/>
              </w:rPr>
              <w:t>0,64</w:t>
            </w:r>
          </w:p>
        </w:tc>
        <w:tc>
          <w:tcPr>
            <w:tcW w:w="973" w:type="dxa"/>
            <w:noWrap/>
            <w:vAlign w:val="center"/>
            <w:hideMark/>
          </w:tcPr>
          <w:p w14:paraId="598A1820" w14:textId="77777777" w:rsidR="00E9293A" w:rsidRPr="00264CAF" w:rsidRDefault="00E9293A" w:rsidP="00B069B5">
            <w:pPr>
              <w:jc w:val="center"/>
              <w:rPr>
                <w:rFonts w:ascii="Times New Roman" w:hAnsi="Times New Roman"/>
              </w:rPr>
            </w:pPr>
            <w:r w:rsidRPr="00264CAF">
              <w:rPr>
                <w:rFonts w:ascii="Times New Roman" w:hAnsi="Times New Roman"/>
              </w:rPr>
              <w:t>0,47</w:t>
            </w:r>
          </w:p>
        </w:tc>
        <w:tc>
          <w:tcPr>
            <w:tcW w:w="973" w:type="dxa"/>
            <w:noWrap/>
            <w:vAlign w:val="center"/>
            <w:hideMark/>
          </w:tcPr>
          <w:p w14:paraId="21CC59DF" w14:textId="77777777" w:rsidR="00E9293A" w:rsidRPr="00264CAF" w:rsidRDefault="00E9293A" w:rsidP="00B069B5">
            <w:pPr>
              <w:jc w:val="center"/>
              <w:rPr>
                <w:rFonts w:ascii="Times New Roman" w:hAnsi="Times New Roman"/>
              </w:rPr>
            </w:pPr>
            <w:r w:rsidRPr="00264CAF">
              <w:rPr>
                <w:rFonts w:ascii="Times New Roman" w:hAnsi="Times New Roman"/>
              </w:rPr>
              <w:t>0,60</w:t>
            </w:r>
          </w:p>
        </w:tc>
      </w:tr>
      <w:tr w:rsidR="00E9293A" w:rsidRPr="00264CAF" w14:paraId="698D48F6" w14:textId="77777777" w:rsidTr="007F5B1E">
        <w:trPr>
          <w:trHeight w:val="506"/>
        </w:trPr>
        <w:tc>
          <w:tcPr>
            <w:tcW w:w="972" w:type="dxa"/>
            <w:noWrap/>
            <w:vAlign w:val="center"/>
            <w:hideMark/>
          </w:tcPr>
          <w:p w14:paraId="21DFEF8F" w14:textId="77777777" w:rsidR="00E9293A" w:rsidRPr="00264CAF" w:rsidRDefault="00E9293A" w:rsidP="00B069B5">
            <w:pPr>
              <w:rPr>
                <w:rFonts w:ascii="Times New Roman" w:hAnsi="Times New Roman"/>
                <w:b/>
              </w:rPr>
            </w:pPr>
            <w:r w:rsidRPr="00264CAF">
              <w:rPr>
                <w:rFonts w:ascii="Times New Roman" w:hAnsi="Times New Roman"/>
                <w:b/>
                <w:bCs/>
                <w:color w:val="262626"/>
              </w:rPr>
              <w:t>N</w:t>
            </w:r>
            <w:r w:rsidRPr="00264CAF">
              <w:rPr>
                <w:rFonts w:ascii="Times New Roman" w:hAnsi="Times New Roman"/>
                <w:b/>
                <w:bCs/>
                <w:color w:val="262626"/>
                <w:bdr w:val="none" w:sz="0" w:space="0" w:color="auto" w:frame="1"/>
                <w:vertAlign w:val="subscript"/>
              </w:rPr>
              <w:t>2</w:t>
            </w:r>
            <w:r w:rsidRPr="00264CAF">
              <w:rPr>
                <w:rFonts w:ascii="Times New Roman" w:hAnsi="Times New Roman"/>
                <w:b/>
                <w:bCs/>
                <w:color w:val="262626"/>
              </w:rPr>
              <w:t>O</w:t>
            </w:r>
          </w:p>
        </w:tc>
        <w:tc>
          <w:tcPr>
            <w:tcW w:w="973" w:type="dxa"/>
            <w:noWrap/>
            <w:vAlign w:val="center"/>
            <w:hideMark/>
          </w:tcPr>
          <w:p w14:paraId="26F5FD32" w14:textId="77777777" w:rsidR="00E9293A" w:rsidRPr="00264CAF" w:rsidRDefault="00E9293A" w:rsidP="00B069B5">
            <w:pPr>
              <w:jc w:val="center"/>
              <w:rPr>
                <w:rFonts w:ascii="Times New Roman" w:hAnsi="Times New Roman"/>
              </w:rPr>
            </w:pPr>
            <w:r w:rsidRPr="00264CAF">
              <w:rPr>
                <w:rFonts w:ascii="Times New Roman" w:hAnsi="Times New Roman"/>
              </w:rPr>
              <w:t>2,47</w:t>
            </w:r>
          </w:p>
        </w:tc>
        <w:tc>
          <w:tcPr>
            <w:tcW w:w="972" w:type="dxa"/>
            <w:noWrap/>
            <w:vAlign w:val="center"/>
            <w:hideMark/>
          </w:tcPr>
          <w:p w14:paraId="45FF1C23" w14:textId="77777777" w:rsidR="00E9293A" w:rsidRPr="00264CAF" w:rsidRDefault="00E9293A" w:rsidP="00B069B5">
            <w:pPr>
              <w:jc w:val="center"/>
              <w:rPr>
                <w:rFonts w:ascii="Times New Roman" w:hAnsi="Times New Roman"/>
              </w:rPr>
            </w:pPr>
            <w:r w:rsidRPr="00264CAF">
              <w:rPr>
                <w:rFonts w:ascii="Times New Roman" w:hAnsi="Times New Roman"/>
              </w:rPr>
              <w:t>5,49</w:t>
            </w:r>
          </w:p>
        </w:tc>
        <w:tc>
          <w:tcPr>
            <w:tcW w:w="973" w:type="dxa"/>
            <w:noWrap/>
            <w:vAlign w:val="center"/>
            <w:hideMark/>
          </w:tcPr>
          <w:p w14:paraId="66E754A9" w14:textId="77777777" w:rsidR="00E9293A" w:rsidRPr="00264CAF" w:rsidRDefault="00E9293A" w:rsidP="00B069B5">
            <w:pPr>
              <w:jc w:val="center"/>
              <w:rPr>
                <w:rFonts w:ascii="Times New Roman" w:hAnsi="Times New Roman"/>
              </w:rPr>
            </w:pPr>
            <w:r w:rsidRPr="00264CAF">
              <w:rPr>
                <w:rFonts w:ascii="Times New Roman" w:hAnsi="Times New Roman"/>
              </w:rPr>
              <w:t>5,32</w:t>
            </w:r>
          </w:p>
        </w:tc>
        <w:tc>
          <w:tcPr>
            <w:tcW w:w="973" w:type="dxa"/>
            <w:noWrap/>
            <w:vAlign w:val="center"/>
            <w:hideMark/>
          </w:tcPr>
          <w:p w14:paraId="53A7D174" w14:textId="77777777" w:rsidR="00E9293A" w:rsidRPr="00264CAF" w:rsidRDefault="00E9293A" w:rsidP="00B069B5">
            <w:pPr>
              <w:jc w:val="center"/>
              <w:rPr>
                <w:rFonts w:ascii="Times New Roman" w:hAnsi="Times New Roman"/>
              </w:rPr>
            </w:pPr>
            <w:r w:rsidRPr="00264CAF">
              <w:rPr>
                <w:rFonts w:ascii="Times New Roman" w:hAnsi="Times New Roman"/>
              </w:rPr>
              <w:t>4,62</w:t>
            </w:r>
          </w:p>
        </w:tc>
        <w:tc>
          <w:tcPr>
            <w:tcW w:w="973" w:type="dxa"/>
            <w:noWrap/>
            <w:vAlign w:val="center"/>
            <w:hideMark/>
          </w:tcPr>
          <w:p w14:paraId="681B24DB" w14:textId="77777777" w:rsidR="00E9293A" w:rsidRPr="00264CAF" w:rsidRDefault="00E9293A" w:rsidP="00B069B5">
            <w:pPr>
              <w:jc w:val="center"/>
              <w:rPr>
                <w:rFonts w:ascii="Times New Roman" w:hAnsi="Times New Roman"/>
              </w:rPr>
            </w:pPr>
            <w:r w:rsidRPr="00264CAF">
              <w:rPr>
                <w:rFonts w:ascii="Times New Roman" w:hAnsi="Times New Roman"/>
              </w:rPr>
              <w:t>4,96</w:t>
            </w:r>
          </w:p>
        </w:tc>
        <w:tc>
          <w:tcPr>
            <w:tcW w:w="973" w:type="dxa"/>
            <w:noWrap/>
            <w:vAlign w:val="center"/>
            <w:hideMark/>
          </w:tcPr>
          <w:p w14:paraId="7461DDF7" w14:textId="77777777" w:rsidR="00E9293A" w:rsidRPr="00264CAF" w:rsidRDefault="00E9293A" w:rsidP="00B069B5">
            <w:pPr>
              <w:jc w:val="center"/>
              <w:rPr>
                <w:rFonts w:ascii="Times New Roman" w:hAnsi="Times New Roman"/>
              </w:rPr>
            </w:pPr>
            <w:r w:rsidRPr="00264CAF">
              <w:rPr>
                <w:rFonts w:ascii="Times New Roman" w:hAnsi="Times New Roman"/>
              </w:rPr>
              <w:t>4,11</w:t>
            </w:r>
          </w:p>
        </w:tc>
      </w:tr>
    </w:tbl>
    <w:p w14:paraId="6C34E57F" w14:textId="77777777" w:rsidR="007F5B1E" w:rsidRDefault="00E9293A">
      <w:pPr>
        <w:rPr>
          <w:rFonts w:ascii="Times New Roman" w:hAnsi="Times New Roman"/>
          <w:sz w:val="18"/>
          <w:szCs w:val="18"/>
        </w:rPr>
      </w:pPr>
      <w:r w:rsidRPr="00264CAF">
        <w:rPr>
          <w:rFonts w:ascii="Times New Roman" w:hAnsi="Times New Roman"/>
        </w:rPr>
        <w:fldChar w:fldCharType="end"/>
      </w:r>
      <w:r w:rsidR="001055F0" w:rsidRPr="00264CAF">
        <w:rPr>
          <w:rFonts w:ascii="Times New Roman" w:hAnsi="Times New Roman"/>
          <w:sz w:val="18"/>
          <w:szCs w:val="18"/>
        </w:rPr>
        <w:t>Source: EUTL</w:t>
      </w:r>
    </w:p>
    <w:p w14:paraId="44553B10" w14:textId="77777777" w:rsidR="007F5B1E" w:rsidRDefault="007F5B1E">
      <w:pPr>
        <w:rPr>
          <w:rFonts w:ascii="Times New Roman" w:hAnsi="Times New Roman"/>
          <w:b/>
          <w:noProof/>
        </w:rPr>
      </w:pPr>
    </w:p>
    <w:p w14:paraId="14C7AD75" w14:textId="77777777" w:rsidR="005F6BD0" w:rsidRDefault="003A348D">
      <w:pPr>
        <w:rPr>
          <w:rFonts w:ascii="Times New Roman" w:hAnsi="Times New Roman"/>
          <w:b/>
          <w:noProof/>
        </w:rPr>
      </w:pPr>
      <w:r w:rsidRPr="00276918">
        <w:rPr>
          <w:rFonts w:ascii="Times New Roman" w:hAnsi="Times New Roman"/>
          <w:b/>
          <w:noProof/>
        </w:rPr>
        <w:t xml:space="preserve">Appendix </w:t>
      </w:r>
      <w:r w:rsidR="0057434D" w:rsidRPr="00276918">
        <w:rPr>
          <w:rFonts w:ascii="Times New Roman" w:hAnsi="Times New Roman"/>
          <w:b/>
          <w:noProof/>
        </w:rPr>
        <w:t>6</w:t>
      </w:r>
    </w:p>
    <w:p w14:paraId="4B561069" w14:textId="77777777" w:rsidR="005F6BD0" w:rsidRDefault="003A348D">
      <w:pPr>
        <w:rPr>
          <w:rFonts w:ascii="Times New Roman" w:hAnsi="Times New Roman"/>
          <w:b/>
          <w:noProof/>
          <w:sz w:val="20"/>
          <w:szCs w:val="20"/>
        </w:rPr>
      </w:pPr>
      <w:r>
        <w:rPr>
          <w:rFonts w:ascii="Times New Roman" w:hAnsi="Times New Roman"/>
          <w:b/>
          <w:noProof/>
          <w:sz w:val="20"/>
          <w:szCs w:val="20"/>
        </w:rPr>
        <w:t xml:space="preserve">Table </w:t>
      </w:r>
      <w:r w:rsidR="00526348">
        <w:rPr>
          <w:rFonts w:ascii="Times New Roman" w:hAnsi="Times New Roman"/>
          <w:b/>
          <w:noProof/>
          <w:sz w:val="20"/>
          <w:szCs w:val="20"/>
        </w:rPr>
        <w:t>6</w:t>
      </w:r>
      <w:r w:rsidR="005A3492">
        <w:rPr>
          <w:rFonts w:ascii="Times New Roman" w:hAnsi="Times New Roman"/>
          <w:b/>
          <w:noProof/>
          <w:sz w:val="20"/>
          <w:szCs w:val="20"/>
        </w:rPr>
        <w:t>.</w:t>
      </w:r>
      <w:r>
        <w:rPr>
          <w:rFonts w:ascii="Times New Roman" w:hAnsi="Times New Roman"/>
          <w:b/>
          <w:noProof/>
          <w:sz w:val="20"/>
          <w:szCs w:val="20"/>
        </w:rPr>
        <w:t>1: Rulings of the Court of Justice of the EU relevant to the functioning of the EU ETS in the period July 201</w:t>
      </w:r>
      <w:r w:rsidR="003D7CEC">
        <w:rPr>
          <w:rFonts w:ascii="Times New Roman" w:hAnsi="Times New Roman"/>
          <w:b/>
          <w:noProof/>
          <w:sz w:val="20"/>
          <w:szCs w:val="20"/>
        </w:rPr>
        <w:t>8</w:t>
      </w:r>
      <w:r>
        <w:rPr>
          <w:rFonts w:ascii="Times New Roman" w:hAnsi="Times New Roman"/>
          <w:b/>
          <w:noProof/>
          <w:sz w:val="20"/>
          <w:szCs w:val="20"/>
        </w:rPr>
        <w:t xml:space="preserve"> to June 201</w:t>
      </w:r>
      <w:r w:rsidR="003D7CEC">
        <w:rPr>
          <w:rFonts w:ascii="Times New Roman" w:hAnsi="Times New Roman"/>
          <w:b/>
          <w:noProof/>
          <w:sz w:val="20"/>
          <w:szCs w:val="20"/>
        </w:rPr>
        <w:t>9</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rsidR="005F6BD0" w14:paraId="663D26AF" w14:textId="77777777" w:rsidTr="00601A28">
        <w:trPr>
          <w:trHeight w:val="551"/>
        </w:trPr>
        <w:tc>
          <w:tcPr>
            <w:tcW w:w="1005" w:type="dxa"/>
            <w:vAlign w:val="center"/>
            <w:hideMark/>
          </w:tcPr>
          <w:p w14:paraId="3FC05ABF" w14:textId="77777777" w:rsidR="005F6BD0" w:rsidRDefault="003A348D">
            <w:pPr>
              <w:rPr>
                <w:rFonts w:ascii="Times New Roman" w:hAnsi="Times New Roman"/>
                <w:b/>
                <w:bCs/>
                <w:noProof/>
                <w:sz w:val="20"/>
                <w:szCs w:val="20"/>
              </w:rPr>
            </w:pPr>
            <w:r>
              <w:rPr>
                <w:rFonts w:ascii="Times New Roman" w:hAnsi="Times New Roman"/>
                <w:b/>
                <w:bCs/>
                <w:noProof/>
                <w:sz w:val="20"/>
                <w:szCs w:val="20"/>
              </w:rPr>
              <w:t>Case reference</w:t>
            </w:r>
          </w:p>
        </w:tc>
        <w:tc>
          <w:tcPr>
            <w:tcW w:w="1382" w:type="dxa"/>
            <w:vAlign w:val="center"/>
          </w:tcPr>
          <w:p w14:paraId="5166199E" w14:textId="77777777" w:rsidR="005F6BD0" w:rsidRDefault="003A348D">
            <w:pPr>
              <w:rPr>
                <w:rFonts w:ascii="Times New Roman" w:hAnsi="Times New Roman"/>
                <w:b/>
                <w:noProof/>
                <w:sz w:val="20"/>
                <w:szCs w:val="20"/>
              </w:rPr>
            </w:pPr>
            <w:r>
              <w:rPr>
                <w:rFonts w:ascii="Times New Roman" w:hAnsi="Times New Roman"/>
                <w:b/>
                <w:noProof/>
                <w:sz w:val="20"/>
                <w:szCs w:val="20"/>
              </w:rPr>
              <w:t>Legislation Concerned</w:t>
            </w:r>
          </w:p>
        </w:tc>
        <w:tc>
          <w:tcPr>
            <w:tcW w:w="1382" w:type="dxa"/>
            <w:vAlign w:val="center"/>
          </w:tcPr>
          <w:p w14:paraId="54F1A022" w14:textId="77777777" w:rsidR="005F6BD0" w:rsidRDefault="003A348D">
            <w:pPr>
              <w:rPr>
                <w:rFonts w:ascii="Times New Roman" w:hAnsi="Times New Roman"/>
                <w:b/>
                <w:noProof/>
                <w:sz w:val="20"/>
                <w:szCs w:val="20"/>
              </w:rPr>
            </w:pPr>
            <w:r>
              <w:rPr>
                <w:rFonts w:ascii="Times New Roman" w:hAnsi="Times New Roman"/>
                <w:b/>
                <w:noProof/>
                <w:sz w:val="20"/>
                <w:szCs w:val="20"/>
              </w:rPr>
              <w:t>Parties</w:t>
            </w:r>
          </w:p>
        </w:tc>
        <w:tc>
          <w:tcPr>
            <w:tcW w:w="2640" w:type="dxa"/>
            <w:vAlign w:val="center"/>
          </w:tcPr>
          <w:p w14:paraId="54991B1B" w14:textId="77777777" w:rsidR="005F6BD0" w:rsidRDefault="003A348D">
            <w:pPr>
              <w:jc w:val="center"/>
              <w:rPr>
                <w:rFonts w:ascii="Times New Roman" w:hAnsi="Times New Roman"/>
                <w:b/>
                <w:bCs/>
                <w:noProof/>
                <w:sz w:val="20"/>
                <w:szCs w:val="20"/>
              </w:rPr>
            </w:pPr>
            <w:r>
              <w:rPr>
                <w:rFonts w:ascii="Times New Roman" w:hAnsi="Times New Roman"/>
                <w:b/>
                <w:bCs/>
                <w:noProof/>
                <w:sz w:val="20"/>
                <w:szCs w:val="20"/>
              </w:rPr>
              <w:t>Context of the case</w:t>
            </w:r>
          </w:p>
        </w:tc>
        <w:tc>
          <w:tcPr>
            <w:tcW w:w="753" w:type="dxa"/>
            <w:vAlign w:val="center"/>
            <w:hideMark/>
          </w:tcPr>
          <w:p w14:paraId="10B1C416" w14:textId="77777777" w:rsidR="005F6BD0" w:rsidRDefault="003A348D">
            <w:pPr>
              <w:jc w:val="center"/>
              <w:rPr>
                <w:rFonts w:ascii="Times New Roman" w:hAnsi="Times New Roman"/>
                <w:b/>
                <w:bCs/>
                <w:noProof/>
                <w:sz w:val="20"/>
                <w:szCs w:val="20"/>
              </w:rPr>
            </w:pPr>
            <w:r>
              <w:rPr>
                <w:rFonts w:ascii="Times New Roman" w:hAnsi="Times New Roman"/>
                <w:b/>
                <w:bCs/>
                <w:noProof/>
                <w:sz w:val="20"/>
                <w:szCs w:val="20"/>
              </w:rPr>
              <w:t>Date</w:t>
            </w:r>
          </w:p>
        </w:tc>
        <w:tc>
          <w:tcPr>
            <w:tcW w:w="2403" w:type="dxa"/>
            <w:vAlign w:val="center"/>
            <w:hideMark/>
          </w:tcPr>
          <w:p w14:paraId="0EBC3B57" w14:textId="77777777" w:rsidR="005F6BD0" w:rsidRDefault="003A348D">
            <w:pPr>
              <w:jc w:val="center"/>
              <w:rPr>
                <w:rFonts w:ascii="Times New Roman" w:hAnsi="Times New Roman"/>
                <w:b/>
                <w:bCs/>
                <w:noProof/>
                <w:sz w:val="20"/>
                <w:szCs w:val="20"/>
              </w:rPr>
            </w:pPr>
            <w:r>
              <w:rPr>
                <w:rFonts w:ascii="Times New Roman" w:hAnsi="Times New Roman"/>
                <w:b/>
                <w:bCs/>
                <w:noProof/>
                <w:sz w:val="20"/>
                <w:szCs w:val="20"/>
              </w:rPr>
              <w:t>Finding by the Court</w:t>
            </w:r>
          </w:p>
        </w:tc>
      </w:tr>
      <w:tr w:rsidR="003D7CEC" w:rsidRPr="00AA1C54" w14:paraId="5BE19430" w14:textId="77777777" w:rsidTr="00601A28">
        <w:trPr>
          <w:trHeight w:val="1384"/>
        </w:trPr>
        <w:tc>
          <w:tcPr>
            <w:tcW w:w="1005" w:type="dxa"/>
          </w:tcPr>
          <w:p w14:paraId="5301FC9D" w14:textId="77777777" w:rsidR="003D7CEC" w:rsidRDefault="00FA645E">
            <w:pPr>
              <w:rPr>
                <w:rFonts w:ascii="Times New Roman" w:hAnsi="Times New Roman"/>
                <w:bCs/>
                <w:noProof/>
                <w:sz w:val="20"/>
                <w:szCs w:val="20"/>
              </w:rPr>
            </w:pPr>
            <w:r>
              <w:rPr>
                <w:rFonts w:ascii="Times New Roman" w:hAnsi="Times New Roman"/>
                <w:bCs/>
                <w:noProof/>
                <w:sz w:val="20"/>
                <w:szCs w:val="20"/>
              </w:rPr>
              <w:t>Case C-682/17</w:t>
            </w:r>
          </w:p>
        </w:tc>
        <w:tc>
          <w:tcPr>
            <w:tcW w:w="1382" w:type="dxa"/>
          </w:tcPr>
          <w:p w14:paraId="0E44E23D" w14:textId="77777777" w:rsidR="00FA645E" w:rsidRPr="00FA645E" w:rsidRDefault="00FA645E" w:rsidP="00FA645E">
            <w:pPr>
              <w:rPr>
                <w:rFonts w:ascii="Times New Roman" w:hAnsi="Times New Roman"/>
                <w:noProof/>
                <w:sz w:val="20"/>
                <w:szCs w:val="20"/>
              </w:rPr>
            </w:pPr>
            <w:r w:rsidRPr="00FA645E">
              <w:rPr>
                <w:rFonts w:ascii="Times New Roman" w:hAnsi="Times New Roman"/>
                <w:noProof/>
                <w:sz w:val="20"/>
                <w:szCs w:val="20"/>
              </w:rPr>
              <w:t>Directive 2003/87/EC</w:t>
            </w:r>
            <w:r>
              <w:rPr>
                <w:rFonts w:ascii="Times New Roman" w:hAnsi="Times New Roman"/>
                <w:noProof/>
                <w:sz w:val="20"/>
                <w:szCs w:val="20"/>
              </w:rPr>
              <w:t>,</w:t>
            </w:r>
            <w:r w:rsidRPr="00FA645E">
              <w:rPr>
                <w:rFonts w:ascii="Times New Roman" w:hAnsi="Times New Roman"/>
                <w:noProof/>
                <w:sz w:val="20"/>
                <w:szCs w:val="20"/>
              </w:rPr>
              <w:t xml:space="preserve"> </w:t>
            </w:r>
          </w:p>
          <w:p w14:paraId="03A7F16A" w14:textId="77777777" w:rsidR="003D7CEC" w:rsidRDefault="00FA645E" w:rsidP="00FA645E">
            <w:pPr>
              <w:rPr>
                <w:rFonts w:ascii="Times New Roman" w:hAnsi="Times New Roman"/>
                <w:noProof/>
                <w:sz w:val="20"/>
                <w:szCs w:val="20"/>
              </w:rPr>
            </w:pPr>
            <w:r w:rsidRPr="00FA645E">
              <w:rPr>
                <w:rFonts w:ascii="Times New Roman" w:hAnsi="Times New Roman"/>
                <w:noProof/>
                <w:sz w:val="20"/>
                <w:szCs w:val="20"/>
              </w:rPr>
              <w:t>Decision 2011/278/EU</w:t>
            </w:r>
          </w:p>
        </w:tc>
        <w:tc>
          <w:tcPr>
            <w:tcW w:w="1382" w:type="dxa"/>
          </w:tcPr>
          <w:p w14:paraId="5CE52C46" w14:textId="77777777" w:rsidR="003D7CEC" w:rsidRPr="005A4F64" w:rsidRDefault="00FA645E">
            <w:pPr>
              <w:rPr>
                <w:rFonts w:ascii="Times New Roman" w:hAnsi="Times New Roman"/>
                <w:noProof/>
                <w:sz w:val="20"/>
                <w:szCs w:val="20"/>
                <w:lang w:val="de-DE"/>
              </w:rPr>
            </w:pPr>
            <w:r w:rsidRPr="005A4F64">
              <w:rPr>
                <w:rFonts w:ascii="Times New Roman" w:hAnsi="Times New Roman"/>
                <w:noProof/>
                <w:sz w:val="20"/>
                <w:szCs w:val="20"/>
                <w:lang w:val="de-DE"/>
              </w:rPr>
              <w:t>ExxonMobil Production Deutschland GmbH</w:t>
            </w:r>
            <w:r w:rsidR="00436204" w:rsidRPr="005A4F64">
              <w:rPr>
                <w:rFonts w:ascii="Times New Roman" w:hAnsi="Times New Roman"/>
                <w:noProof/>
                <w:sz w:val="20"/>
                <w:szCs w:val="20"/>
                <w:lang w:val="de-DE"/>
              </w:rPr>
              <w:t xml:space="preserve">/ </w:t>
            </w:r>
            <w:r w:rsidRPr="005A4F64">
              <w:rPr>
                <w:rFonts w:ascii="Times New Roman" w:hAnsi="Times New Roman"/>
                <w:noProof/>
                <w:sz w:val="20"/>
                <w:szCs w:val="20"/>
                <w:lang w:val="de-DE"/>
              </w:rPr>
              <w:t>DE</w:t>
            </w:r>
          </w:p>
        </w:tc>
        <w:tc>
          <w:tcPr>
            <w:tcW w:w="2640" w:type="dxa"/>
          </w:tcPr>
          <w:p w14:paraId="5EE05F2E" w14:textId="77777777" w:rsidR="003D7CEC" w:rsidRPr="00AA1C54" w:rsidRDefault="00AA1C54" w:rsidP="00415B88">
            <w:pPr>
              <w:rPr>
                <w:rFonts w:ascii="Times New Roman" w:hAnsi="Times New Roman"/>
                <w:bCs/>
                <w:noProof/>
                <w:sz w:val="20"/>
                <w:szCs w:val="20"/>
              </w:rPr>
            </w:pPr>
            <w:r w:rsidRPr="00415B88">
              <w:rPr>
                <w:rFonts w:ascii="Times New Roman" w:hAnsi="Times New Roman"/>
                <w:bCs/>
                <w:noProof/>
                <w:sz w:val="20"/>
                <w:szCs w:val="20"/>
              </w:rPr>
              <w:t>Shall</w:t>
            </w:r>
            <w:r w:rsidRPr="00AA1C54">
              <w:rPr>
                <w:rFonts w:ascii="Times New Roman" w:hAnsi="Times New Roman"/>
                <w:bCs/>
                <w:noProof/>
                <w:sz w:val="20"/>
                <w:szCs w:val="20"/>
              </w:rPr>
              <w:t xml:space="preserve"> a</w:t>
            </w:r>
            <w:r>
              <w:rPr>
                <w:rFonts w:ascii="Times New Roman" w:hAnsi="Times New Roman"/>
                <w:bCs/>
                <w:noProof/>
                <w:sz w:val="20"/>
                <w:szCs w:val="20"/>
              </w:rPr>
              <w:t>n</w:t>
            </w:r>
            <w:r w:rsidRPr="00AA1C54">
              <w:rPr>
                <w:rFonts w:ascii="Times New Roman" w:hAnsi="Times New Roman"/>
                <w:bCs/>
                <w:noProof/>
                <w:sz w:val="20"/>
                <w:szCs w:val="20"/>
              </w:rPr>
              <w:t xml:space="preserve"> installation be considered an</w:t>
            </w:r>
            <w:r w:rsidRPr="00415B88">
              <w:rPr>
                <w:rFonts w:ascii="Times New Roman" w:hAnsi="Times New Roman"/>
                <w:bCs/>
                <w:noProof/>
                <w:sz w:val="20"/>
                <w:szCs w:val="20"/>
              </w:rPr>
              <w:t xml:space="preserve"> electricity generator if there is no other</w:t>
            </w:r>
            <w:r w:rsidR="00D3027D">
              <w:rPr>
                <w:rFonts w:ascii="Times New Roman" w:hAnsi="Times New Roman"/>
                <w:bCs/>
                <w:noProof/>
                <w:sz w:val="20"/>
                <w:szCs w:val="20"/>
              </w:rPr>
              <w:t xml:space="preserve"> Annex I</w:t>
            </w:r>
            <w:r w:rsidRPr="00415B88">
              <w:rPr>
                <w:rFonts w:ascii="Times New Roman" w:hAnsi="Times New Roman"/>
                <w:bCs/>
                <w:noProof/>
                <w:sz w:val="20"/>
                <w:szCs w:val="20"/>
              </w:rPr>
              <w:t xml:space="preserve"> activity carried out there, on top of the generation of electri</w:t>
            </w:r>
            <w:r w:rsidRPr="00AA1C54">
              <w:rPr>
                <w:rFonts w:ascii="Times New Roman" w:hAnsi="Times New Roman"/>
                <w:bCs/>
                <w:noProof/>
                <w:sz w:val="20"/>
                <w:szCs w:val="20"/>
              </w:rPr>
              <w:t xml:space="preserve">city, and if yes, is it </w:t>
            </w:r>
            <w:r w:rsidRPr="00415B88">
              <w:rPr>
                <w:rFonts w:ascii="Times New Roman" w:hAnsi="Times New Roman"/>
                <w:bCs/>
                <w:noProof/>
                <w:sz w:val="20"/>
                <w:szCs w:val="20"/>
              </w:rPr>
              <w:t>entitled to free allocation</w:t>
            </w:r>
            <w:r w:rsidRPr="00AA1C54">
              <w:rPr>
                <w:rFonts w:ascii="Times New Roman" w:hAnsi="Times New Roman"/>
                <w:bCs/>
                <w:noProof/>
                <w:sz w:val="20"/>
                <w:szCs w:val="20"/>
              </w:rPr>
              <w:t>?</w:t>
            </w:r>
          </w:p>
        </w:tc>
        <w:tc>
          <w:tcPr>
            <w:tcW w:w="753" w:type="dxa"/>
          </w:tcPr>
          <w:p w14:paraId="60B05B2C" w14:textId="77777777" w:rsidR="003D7CEC" w:rsidRPr="00AA1C54" w:rsidRDefault="00AA1C54" w:rsidP="00415B88">
            <w:pPr>
              <w:rPr>
                <w:rFonts w:ascii="Times New Roman" w:hAnsi="Times New Roman"/>
                <w:bCs/>
                <w:noProof/>
                <w:sz w:val="20"/>
                <w:szCs w:val="20"/>
              </w:rPr>
            </w:pPr>
            <w:r>
              <w:rPr>
                <w:rFonts w:ascii="Times New Roman" w:hAnsi="Times New Roman"/>
                <w:bCs/>
                <w:noProof/>
                <w:sz w:val="20"/>
                <w:szCs w:val="20"/>
              </w:rPr>
              <w:t>20.06.2019</w:t>
            </w:r>
          </w:p>
        </w:tc>
        <w:tc>
          <w:tcPr>
            <w:tcW w:w="2403" w:type="dxa"/>
          </w:tcPr>
          <w:p w14:paraId="68A6A3AA" w14:textId="77777777" w:rsidR="003D7CEC" w:rsidRPr="00AA1C54" w:rsidRDefault="00AA1C54" w:rsidP="00415B88">
            <w:pPr>
              <w:rPr>
                <w:rFonts w:ascii="Times New Roman" w:hAnsi="Times New Roman"/>
                <w:bCs/>
                <w:noProof/>
                <w:sz w:val="20"/>
                <w:szCs w:val="20"/>
              </w:rPr>
            </w:pPr>
            <w:r>
              <w:rPr>
                <w:rFonts w:ascii="Times New Roman" w:hAnsi="Times New Roman"/>
                <w:bCs/>
                <w:noProof/>
                <w:sz w:val="20"/>
                <w:szCs w:val="20"/>
              </w:rPr>
              <w:t>T</w:t>
            </w:r>
            <w:r w:rsidRPr="00AA1C54">
              <w:rPr>
                <w:rFonts w:ascii="Times New Roman" w:hAnsi="Times New Roman"/>
                <w:bCs/>
                <w:noProof/>
                <w:sz w:val="20"/>
                <w:szCs w:val="20"/>
              </w:rPr>
              <w:t>he Court</w:t>
            </w:r>
            <w:r>
              <w:rPr>
                <w:rFonts w:ascii="Times New Roman" w:hAnsi="Times New Roman"/>
                <w:bCs/>
                <w:noProof/>
                <w:sz w:val="20"/>
                <w:szCs w:val="20"/>
              </w:rPr>
              <w:t xml:space="preserve"> confirmed</w:t>
            </w:r>
            <w:r w:rsidRPr="00AA1C54">
              <w:rPr>
                <w:rFonts w:ascii="Times New Roman" w:hAnsi="Times New Roman"/>
                <w:bCs/>
                <w:noProof/>
                <w:sz w:val="20"/>
                <w:szCs w:val="20"/>
              </w:rPr>
              <w:t xml:space="preserve"> the literal interpretation of the definition of electricity generator</w:t>
            </w:r>
            <w:r w:rsidR="00C04BC3">
              <w:rPr>
                <w:rFonts w:ascii="Times New Roman" w:hAnsi="Times New Roman"/>
                <w:bCs/>
                <w:noProof/>
                <w:sz w:val="20"/>
                <w:szCs w:val="20"/>
              </w:rPr>
              <w:t xml:space="preserve"> </w:t>
            </w:r>
            <w:r w:rsidR="00D3027D">
              <w:rPr>
                <w:rFonts w:ascii="Times New Roman" w:hAnsi="Times New Roman"/>
                <w:bCs/>
                <w:noProof/>
                <w:sz w:val="20"/>
                <w:szCs w:val="20"/>
              </w:rPr>
              <w:t xml:space="preserve">in </w:t>
            </w:r>
            <w:r w:rsidR="00C04BC3">
              <w:rPr>
                <w:rFonts w:ascii="Times New Roman" w:hAnsi="Times New Roman"/>
                <w:bCs/>
                <w:noProof/>
                <w:sz w:val="20"/>
                <w:szCs w:val="20"/>
              </w:rPr>
              <w:t xml:space="preserve"> </w:t>
            </w:r>
            <w:r w:rsidR="00C04BC3" w:rsidRPr="00C04BC3">
              <w:rPr>
                <w:rFonts w:ascii="Times New Roman" w:hAnsi="Times New Roman"/>
                <w:bCs/>
                <w:noProof/>
                <w:sz w:val="20"/>
                <w:szCs w:val="20"/>
              </w:rPr>
              <w:t>Directive 2003/87/EC</w:t>
            </w:r>
            <w:r w:rsidR="00D3027D">
              <w:rPr>
                <w:rFonts w:ascii="Times New Roman" w:hAnsi="Times New Roman"/>
                <w:bCs/>
                <w:noProof/>
                <w:sz w:val="20"/>
                <w:szCs w:val="20"/>
              </w:rPr>
              <w:t>.</w:t>
            </w:r>
          </w:p>
        </w:tc>
      </w:tr>
      <w:tr w:rsidR="00AA1C54" w:rsidRPr="00415B88" w14:paraId="30DE2FAD" w14:textId="77777777" w:rsidTr="00601A28">
        <w:trPr>
          <w:trHeight w:val="1384"/>
        </w:trPr>
        <w:tc>
          <w:tcPr>
            <w:tcW w:w="1005" w:type="dxa"/>
          </w:tcPr>
          <w:p w14:paraId="77FED0B2" w14:textId="77777777" w:rsidR="00AA1C54" w:rsidRDefault="00FA4E9C">
            <w:pPr>
              <w:rPr>
                <w:rFonts w:ascii="Times New Roman" w:hAnsi="Times New Roman"/>
                <w:bCs/>
                <w:noProof/>
                <w:sz w:val="20"/>
                <w:szCs w:val="20"/>
              </w:rPr>
            </w:pPr>
            <w:r>
              <w:rPr>
                <w:rFonts w:ascii="Times New Roman" w:hAnsi="Times New Roman"/>
                <w:bCs/>
                <w:noProof/>
                <w:sz w:val="20"/>
                <w:szCs w:val="20"/>
              </w:rPr>
              <w:t xml:space="preserve">Case </w:t>
            </w:r>
            <w:r w:rsidRPr="00FA4E9C">
              <w:rPr>
                <w:rFonts w:ascii="Times New Roman" w:hAnsi="Times New Roman"/>
                <w:bCs/>
                <w:noProof/>
                <w:sz w:val="20"/>
                <w:szCs w:val="20"/>
              </w:rPr>
              <w:t>T-330/18</w:t>
            </w:r>
          </w:p>
        </w:tc>
        <w:tc>
          <w:tcPr>
            <w:tcW w:w="1382" w:type="dxa"/>
          </w:tcPr>
          <w:p w14:paraId="05994603" w14:textId="77777777" w:rsidR="00AA1C54" w:rsidRPr="00415B88" w:rsidRDefault="00FA4E9C" w:rsidP="00FA645E">
            <w:pPr>
              <w:rPr>
                <w:rFonts w:ascii="Times New Roman" w:hAnsi="Times New Roman"/>
                <w:noProof/>
                <w:sz w:val="20"/>
                <w:szCs w:val="20"/>
                <w:lang w:val="fr-BE"/>
              </w:rPr>
            </w:pPr>
            <w:r w:rsidRPr="00415B88">
              <w:rPr>
                <w:rFonts w:ascii="Times New Roman" w:hAnsi="Times New Roman"/>
                <w:noProof/>
                <w:sz w:val="20"/>
                <w:szCs w:val="20"/>
                <w:lang w:val="fr-BE"/>
              </w:rPr>
              <w:t>Directi</w:t>
            </w:r>
            <w:r>
              <w:rPr>
                <w:rFonts w:ascii="Times New Roman" w:hAnsi="Times New Roman"/>
                <w:noProof/>
                <w:sz w:val="20"/>
                <w:szCs w:val="20"/>
                <w:lang w:val="fr-BE"/>
              </w:rPr>
              <w:t>ve (EU) 2018/410</w:t>
            </w:r>
            <w:r w:rsidRPr="00FA4E9C">
              <w:rPr>
                <w:rFonts w:ascii="Times New Roman" w:hAnsi="Times New Roman"/>
                <w:noProof/>
                <w:sz w:val="20"/>
                <w:szCs w:val="20"/>
                <w:lang w:val="fr-BE"/>
              </w:rPr>
              <w:t xml:space="preserve">, </w:t>
            </w:r>
            <w:r w:rsidRPr="00415B88">
              <w:rPr>
                <w:rFonts w:ascii="Times New Roman" w:hAnsi="Times New Roman"/>
                <w:noProof/>
                <w:sz w:val="20"/>
                <w:szCs w:val="20"/>
                <w:lang w:val="fr-BE"/>
              </w:rPr>
              <w:t xml:space="preserve">Regulation (EU) </w:t>
            </w:r>
            <w:r w:rsidRPr="00FA4E9C">
              <w:rPr>
                <w:rFonts w:ascii="Times New Roman" w:hAnsi="Times New Roman"/>
                <w:noProof/>
                <w:sz w:val="20"/>
                <w:szCs w:val="20"/>
                <w:lang w:val="fr-BE"/>
              </w:rPr>
              <w:t>2018/842,</w:t>
            </w:r>
            <w:r w:rsidRPr="00415B88">
              <w:rPr>
                <w:rFonts w:ascii="Times New Roman" w:hAnsi="Times New Roman"/>
                <w:noProof/>
                <w:sz w:val="20"/>
                <w:szCs w:val="20"/>
                <w:lang w:val="fr-BE"/>
              </w:rPr>
              <w:t xml:space="preserve"> Regulation (EU) 2018/841</w:t>
            </w:r>
          </w:p>
        </w:tc>
        <w:tc>
          <w:tcPr>
            <w:tcW w:w="1382" w:type="dxa"/>
          </w:tcPr>
          <w:p w14:paraId="641F929E" w14:textId="77777777" w:rsidR="00AA1C54" w:rsidRPr="00415B88" w:rsidRDefault="00FA4E9C">
            <w:pPr>
              <w:rPr>
                <w:rFonts w:ascii="Times New Roman" w:hAnsi="Times New Roman"/>
                <w:noProof/>
                <w:sz w:val="20"/>
                <w:szCs w:val="20"/>
              </w:rPr>
            </w:pPr>
            <w:r>
              <w:rPr>
                <w:rFonts w:ascii="Times New Roman" w:hAnsi="Times New Roman"/>
                <w:noProof/>
                <w:sz w:val="20"/>
                <w:szCs w:val="20"/>
              </w:rPr>
              <w:t>C</w:t>
            </w:r>
            <w:r w:rsidR="00436204" w:rsidRPr="00436204">
              <w:rPr>
                <w:rFonts w:ascii="Times New Roman" w:hAnsi="Times New Roman"/>
                <w:noProof/>
                <w:sz w:val="20"/>
                <w:szCs w:val="20"/>
              </w:rPr>
              <w:t>arvalho and Others</w:t>
            </w:r>
            <w:r w:rsidR="00436204">
              <w:rPr>
                <w:rFonts w:ascii="Times New Roman" w:hAnsi="Times New Roman"/>
                <w:noProof/>
                <w:sz w:val="20"/>
                <w:szCs w:val="20"/>
              </w:rPr>
              <w:t>/</w:t>
            </w:r>
            <w:r w:rsidRPr="00415B88">
              <w:rPr>
                <w:rFonts w:ascii="Times New Roman" w:hAnsi="Times New Roman"/>
                <w:noProof/>
                <w:sz w:val="20"/>
                <w:szCs w:val="20"/>
              </w:rPr>
              <w:t xml:space="preserve"> Parliament and Council</w:t>
            </w:r>
          </w:p>
        </w:tc>
        <w:tc>
          <w:tcPr>
            <w:tcW w:w="2640" w:type="dxa"/>
          </w:tcPr>
          <w:p w14:paraId="2A4893B6" w14:textId="77777777" w:rsidR="00DF6D22" w:rsidRPr="00DF6D22" w:rsidRDefault="00DF6D22" w:rsidP="00415B88">
            <w:pPr>
              <w:rPr>
                <w:rFonts w:ascii="Times New Roman" w:hAnsi="Times New Roman"/>
                <w:bCs/>
                <w:noProof/>
                <w:sz w:val="20"/>
                <w:szCs w:val="20"/>
              </w:rPr>
            </w:pPr>
            <w:r>
              <w:rPr>
                <w:rFonts w:ascii="Times New Roman" w:hAnsi="Times New Roman"/>
                <w:bCs/>
                <w:noProof/>
                <w:sz w:val="20"/>
                <w:szCs w:val="20"/>
              </w:rPr>
              <w:t xml:space="preserve">37 private persons requested </w:t>
            </w:r>
            <w:r w:rsidRPr="00DF6D22">
              <w:rPr>
                <w:rFonts w:ascii="Times New Roman" w:hAnsi="Times New Roman"/>
                <w:bCs/>
                <w:noProof/>
                <w:sz w:val="20"/>
                <w:szCs w:val="20"/>
              </w:rPr>
              <w:t>th</w:t>
            </w:r>
            <w:r w:rsidR="00376A62">
              <w:rPr>
                <w:rFonts w:ascii="Times New Roman" w:hAnsi="Times New Roman"/>
                <w:bCs/>
                <w:noProof/>
                <w:sz w:val="20"/>
                <w:szCs w:val="20"/>
              </w:rPr>
              <w:t xml:space="preserve">e annulment of Directive </w:t>
            </w:r>
            <w:r w:rsidR="00376A62" w:rsidRPr="00376A62">
              <w:rPr>
                <w:rFonts w:ascii="Times New Roman" w:hAnsi="Times New Roman"/>
                <w:bCs/>
                <w:noProof/>
                <w:sz w:val="20"/>
                <w:szCs w:val="20"/>
              </w:rPr>
              <w:t>2018/410</w:t>
            </w:r>
            <w:r w:rsidR="00376A62">
              <w:rPr>
                <w:rFonts w:ascii="Times New Roman" w:hAnsi="Times New Roman"/>
                <w:bCs/>
                <w:noProof/>
                <w:sz w:val="20"/>
                <w:szCs w:val="20"/>
              </w:rPr>
              <w:t xml:space="preserve">,  </w:t>
            </w:r>
            <w:r w:rsidR="00376A62" w:rsidRPr="00376A62">
              <w:rPr>
                <w:rFonts w:ascii="Times New Roman" w:hAnsi="Times New Roman"/>
                <w:bCs/>
                <w:noProof/>
                <w:sz w:val="20"/>
                <w:szCs w:val="20"/>
              </w:rPr>
              <w:t>Regulation (EU) 2018/842</w:t>
            </w:r>
            <w:r w:rsidR="00376A62">
              <w:rPr>
                <w:rFonts w:ascii="Times New Roman" w:hAnsi="Times New Roman"/>
                <w:bCs/>
                <w:noProof/>
                <w:sz w:val="20"/>
                <w:szCs w:val="20"/>
              </w:rPr>
              <w:t xml:space="preserve">, and Regulation (EU) 2018/841, claiming that the planned greenhouse gas reductionsns are </w:t>
            </w:r>
            <w:r w:rsidRPr="00DF6D22">
              <w:rPr>
                <w:rFonts w:ascii="Times New Roman" w:hAnsi="Times New Roman"/>
                <w:bCs/>
                <w:noProof/>
                <w:sz w:val="20"/>
                <w:szCs w:val="20"/>
              </w:rPr>
              <w:t xml:space="preserve">insufficient. </w:t>
            </w:r>
          </w:p>
          <w:p w14:paraId="3D577E91" w14:textId="77777777" w:rsidR="00AA1C54" w:rsidRPr="00FA4E9C" w:rsidRDefault="00376A62" w:rsidP="00415B88">
            <w:pPr>
              <w:rPr>
                <w:rFonts w:ascii="Times New Roman" w:hAnsi="Times New Roman"/>
                <w:bCs/>
                <w:noProof/>
                <w:sz w:val="20"/>
                <w:szCs w:val="20"/>
              </w:rPr>
            </w:pPr>
            <w:r>
              <w:rPr>
                <w:rFonts w:ascii="Times New Roman" w:hAnsi="Times New Roman"/>
                <w:bCs/>
                <w:noProof/>
                <w:sz w:val="20"/>
                <w:szCs w:val="20"/>
              </w:rPr>
              <w:t xml:space="preserve">The European </w:t>
            </w:r>
            <w:r w:rsidR="00DF6D22" w:rsidRPr="00DF6D22">
              <w:rPr>
                <w:rFonts w:ascii="Times New Roman" w:hAnsi="Times New Roman"/>
                <w:bCs/>
                <w:noProof/>
                <w:sz w:val="20"/>
                <w:szCs w:val="20"/>
              </w:rPr>
              <w:t xml:space="preserve">Parliament and </w:t>
            </w:r>
            <w:r>
              <w:rPr>
                <w:rFonts w:ascii="Times New Roman" w:hAnsi="Times New Roman"/>
                <w:bCs/>
                <w:noProof/>
                <w:sz w:val="20"/>
                <w:szCs w:val="20"/>
              </w:rPr>
              <w:t xml:space="preserve">the </w:t>
            </w:r>
            <w:r w:rsidR="00DF6D22" w:rsidRPr="00DF6D22">
              <w:rPr>
                <w:rFonts w:ascii="Times New Roman" w:hAnsi="Times New Roman"/>
                <w:bCs/>
                <w:noProof/>
                <w:sz w:val="20"/>
                <w:szCs w:val="20"/>
              </w:rPr>
              <w:t xml:space="preserve">Council </w:t>
            </w:r>
            <w:r>
              <w:rPr>
                <w:rFonts w:ascii="Times New Roman" w:hAnsi="Times New Roman"/>
                <w:bCs/>
                <w:noProof/>
                <w:sz w:val="20"/>
                <w:szCs w:val="20"/>
              </w:rPr>
              <w:t>of the EU requested non-admissibility.</w:t>
            </w:r>
          </w:p>
        </w:tc>
        <w:tc>
          <w:tcPr>
            <w:tcW w:w="753" w:type="dxa"/>
          </w:tcPr>
          <w:p w14:paraId="609F4529" w14:textId="77777777" w:rsidR="00AA1C54" w:rsidRPr="00FA4E9C" w:rsidRDefault="00A95247" w:rsidP="00415B88">
            <w:pPr>
              <w:rPr>
                <w:rFonts w:ascii="Times New Roman" w:hAnsi="Times New Roman"/>
                <w:bCs/>
                <w:noProof/>
                <w:sz w:val="20"/>
                <w:szCs w:val="20"/>
              </w:rPr>
            </w:pPr>
            <w:r>
              <w:rPr>
                <w:rFonts w:ascii="Times New Roman" w:hAnsi="Times New Roman"/>
                <w:bCs/>
                <w:noProof/>
                <w:sz w:val="20"/>
                <w:szCs w:val="20"/>
              </w:rPr>
              <w:t>08.05.2019</w:t>
            </w:r>
          </w:p>
        </w:tc>
        <w:tc>
          <w:tcPr>
            <w:tcW w:w="2403" w:type="dxa"/>
          </w:tcPr>
          <w:p w14:paraId="592D107B" w14:textId="77777777" w:rsidR="00AA1C54" w:rsidRPr="00C04BC3" w:rsidRDefault="00A95247" w:rsidP="00415B88">
            <w:pPr>
              <w:rPr>
                <w:rFonts w:ascii="Times New Roman" w:hAnsi="Times New Roman"/>
                <w:bCs/>
                <w:noProof/>
                <w:sz w:val="20"/>
                <w:szCs w:val="20"/>
              </w:rPr>
            </w:pPr>
            <w:r>
              <w:rPr>
                <w:rFonts w:ascii="Times New Roman" w:hAnsi="Times New Roman"/>
                <w:bCs/>
                <w:noProof/>
                <w:sz w:val="20"/>
                <w:szCs w:val="20"/>
              </w:rPr>
              <w:t>The Court  dismissed the action</w:t>
            </w:r>
            <w:r w:rsidRPr="00A95247">
              <w:rPr>
                <w:rFonts w:ascii="Times New Roman" w:hAnsi="Times New Roman"/>
                <w:bCs/>
                <w:noProof/>
                <w:sz w:val="20"/>
                <w:szCs w:val="20"/>
              </w:rPr>
              <w:t xml:space="preserve"> as inadmissible in its entirety.</w:t>
            </w:r>
          </w:p>
        </w:tc>
      </w:tr>
      <w:tr w:rsidR="00D3027D" w:rsidRPr="00415B88" w14:paraId="3720A04D" w14:textId="77777777" w:rsidTr="00601A28">
        <w:trPr>
          <w:trHeight w:val="1384"/>
        </w:trPr>
        <w:tc>
          <w:tcPr>
            <w:tcW w:w="1005" w:type="dxa"/>
          </w:tcPr>
          <w:p w14:paraId="56D7D664"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 xml:space="preserve">Case </w:t>
            </w:r>
            <w:r w:rsidRPr="00DF31D4">
              <w:rPr>
                <w:rFonts w:ascii="Times New Roman" w:hAnsi="Times New Roman"/>
                <w:bCs/>
                <w:noProof/>
                <w:sz w:val="20"/>
                <w:szCs w:val="20"/>
              </w:rPr>
              <w:t>C-561/18</w:t>
            </w:r>
          </w:p>
        </w:tc>
        <w:tc>
          <w:tcPr>
            <w:tcW w:w="1382" w:type="dxa"/>
          </w:tcPr>
          <w:p w14:paraId="31488C4D" w14:textId="77777777" w:rsidR="00D3027D" w:rsidRPr="00DF31D4" w:rsidRDefault="00D3027D" w:rsidP="00D3027D">
            <w:pPr>
              <w:rPr>
                <w:rFonts w:ascii="Times New Roman" w:hAnsi="Times New Roman"/>
                <w:noProof/>
                <w:sz w:val="20"/>
                <w:szCs w:val="20"/>
                <w:lang w:val="fr-BE"/>
              </w:rPr>
            </w:pPr>
            <w:r w:rsidRPr="00DF31D4">
              <w:rPr>
                <w:rFonts w:ascii="Times New Roman" w:hAnsi="Times New Roman"/>
                <w:noProof/>
                <w:sz w:val="20"/>
                <w:szCs w:val="20"/>
                <w:lang w:val="fr-BE"/>
              </w:rPr>
              <w:t>Commission Regulation (EU) No 601/2012</w:t>
            </w:r>
          </w:p>
        </w:tc>
        <w:tc>
          <w:tcPr>
            <w:tcW w:w="1382" w:type="dxa"/>
          </w:tcPr>
          <w:p w14:paraId="473B34DF" w14:textId="77777777" w:rsidR="00D3027D" w:rsidRDefault="00D3027D" w:rsidP="00D3027D">
            <w:pPr>
              <w:rPr>
                <w:rFonts w:ascii="Times New Roman" w:hAnsi="Times New Roman"/>
                <w:noProof/>
                <w:sz w:val="20"/>
                <w:szCs w:val="20"/>
              </w:rPr>
            </w:pPr>
            <w:r w:rsidRPr="004C18B2">
              <w:rPr>
                <w:rFonts w:ascii="Times New Roman" w:hAnsi="Times New Roman"/>
                <w:noProof/>
                <w:sz w:val="20"/>
                <w:szCs w:val="20"/>
              </w:rPr>
              <w:t>Solvay Chemicals G</w:t>
            </w:r>
            <w:r>
              <w:rPr>
                <w:rFonts w:ascii="Times New Roman" w:hAnsi="Times New Roman"/>
                <w:noProof/>
                <w:sz w:val="20"/>
                <w:szCs w:val="20"/>
              </w:rPr>
              <w:t>mbH/ DE</w:t>
            </w:r>
          </w:p>
        </w:tc>
        <w:tc>
          <w:tcPr>
            <w:tcW w:w="2640" w:type="dxa"/>
          </w:tcPr>
          <w:p w14:paraId="4568331E"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 Is Regulation (EU) 601/2012</w:t>
            </w:r>
            <w:r w:rsidRPr="00462E7F">
              <w:rPr>
                <w:rFonts w:ascii="Times New Roman" w:hAnsi="Times New Roman"/>
                <w:bCs/>
                <w:noProof/>
                <w:sz w:val="20"/>
                <w:szCs w:val="20"/>
              </w:rPr>
              <w:t xml:space="preserve"> invalid and does it infringe the</w:t>
            </w:r>
            <w:r>
              <w:rPr>
                <w:rFonts w:ascii="Times New Roman" w:hAnsi="Times New Roman"/>
                <w:bCs/>
                <w:noProof/>
                <w:sz w:val="20"/>
                <w:szCs w:val="20"/>
              </w:rPr>
              <w:t xml:space="preserve"> aims of Directive 2003/87 by providing that </w:t>
            </w:r>
            <w:r w:rsidRPr="007356C1">
              <w:rPr>
                <w:rFonts w:ascii="Times New Roman" w:hAnsi="Times New Roman"/>
                <w:color w:val="222222"/>
                <w:sz w:val="20"/>
                <w:szCs w:val="20"/>
              </w:rPr>
              <w:t>CO</w:t>
            </w:r>
            <w:r w:rsidRPr="007356C1">
              <w:rPr>
                <w:rFonts w:ascii="Times New Roman" w:hAnsi="Times New Roman"/>
                <w:color w:val="222222"/>
                <w:sz w:val="20"/>
                <w:szCs w:val="20"/>
                <w:vertAlign w:val="subscript"/>
              </w:rPr>
              <w:t>2</w:t>
            </w:r>
            <w:r w:rsidRPr="00462E7F">
              <w:rPr>
                <w:rFonts w:ascii="Times New Roman" w:hAnsi="Times New Roman"/>
                <w:bCs/>
                <w:noProof/>
                <w:sz w:val="20"/>
                <w:szCs w:val="20"/>
              </w:rPr>
              <w:t>that is not transferred within the meaning of the first subparagraph of Article 49(1) is to be considered emitted by th</w:t>
            </w:r>
            <w:r>
              <w:rPr>
                <w:rFonts w:ascii="Times New Roman" w:hAnsi="Times New Roman"/>
                <w:bCs/>
                <w:noProof/>
                <w:sz w:val="20"/>
                <w:szCs w:val="20"/>
              </w:rPr>
              <w:t>e installation producing the</w:t>
            </w:r>
            <w:r>
              <w:rPr>
                <w:rFonts w:ascii="Verdana" w:hAnsi="Verdana"/>
                <w:color w:val="333333"/>
                <w:sz w:val="18"/>
                <w:szCs w:val="18"/>
              </w:rPr>
              <w:t xml:space="preserve"> </w:t>
            </w:r>
            <w:r w:rsidRPr="007356C1">
              <w:rPr>
                <w:rFonts w:ascii="Times New Roman" w:hAnsi="Times New Roman"/>
                <w:color w:val="222222"/>
                <w:sz w:val="20"/>
                <w:szCs w:val="20"/>
              </w:rPr>
              <w:t>CO</w:t>
            </w:r>
            <w:r w:rsidRPr="007356C1">
              <w:rPr>
                <w:rFonts w:ascii="Times New Roman" w:hAnsi="Times New Roman"/>
                <w:color w:val="222222"/>
                <w:sz w:val="20"/>
                <w:szCs w:val="20"/>
                <w:vertAlign w:val="subscript"/>
              </w:rPr>
              <w:t>2</w:t>
            </w:r>
            <w:r w:rsidRPr="00462E7F">
              <w:rPr>
                <w:rFonts w:ascii="Times New Roman" w:hAnsi="Times New Roman"/>
                <w:bCs/>
                <w:noProof/>
                <w:sz w:val="20"/>
                <w:szCs w:val="20"/>
              </w:rPr>
              <w:t>, regardless of whether it was released into the atmosphere?</w:t>
            </w:r>
          </w:p>
          <w:p w14:paraId="497DD326" w14:textId="77777777" w:rsidR="00D3027D" w:rsidRPr="00462E7F" w:rsidRDefault="00D3027D" w:rsidP="00D3027D">
            <w:pPr>
              <w:rPr>
                <w:rFonts w:ascii="Times New Roman" w:hAnsi="Times New Roman"/>
                <w:bCs/>
                <w:noProof/>
                <w:sz w:val="20"/>
                <w:szCs w:val="20"/>
              </w:rPr>
            </w:pPr>
            <w:r w:rsidRPr="00462E7F">
              <w:rPr>
                <w:rFonts w:ascii="Times New Roman" w:hAnsi="Times New Roman"/>
                <w:bCs/>
                <w:noProof/>
                <w:sz w:val="20"/>
                <w:szCs w:val="20"/>
              </w:rPr>
              <w:t>-</w:t>
            </w:r>
            <w:r w:rsidRPr="00415B88">
              <w:rPr>
                <w:rFonts w:ascii="Times New Roman" w:hAnsi="Times New Roman"/>
                <w:color w:val="333333"/>
                <w:sz w:val="20"/>
                <w:szCs w:val="20"/>
              </w:rPr>
              <w:t xml:space="preserve">  Is Regulation (EU) 601/2012 invalid and does it infringe the aims of Directive 2003/87 by providing that the</w:t>
            </w:r>
            <w:r>
              <w:rPr>
                <w:rFonts w:ascii="Times New Roman" w:hAnsi="Times New Roman"/>
                <w:color w:val="333333"/>
                <w:sz w:val="20"/>
                <w:szCs w:val="20"/>
              </w:rPr>
              <w:t xml:space="preserve"> </w:t>
            </w:r>
            <w:r w:rsidRPr="007356C1">
              <w:rPr>
                <w:rFonts w:ascii="Times New Roman" w:hAnsi="Times New Roman"/>
                <w:color w:val="222222"/>
                <w:sz w:val="20"/>
                <w:szCs w:val="20"/>
              </w:rPr>
              <w:t>CO</w:t>
            </w:r>
            <w:r w:rsidRPr="007356C1">
              <w:rPr>
                <w:rFonts w:ascii="Times New Roman" w:hAnsi="Times New Roman"/>
                <w:color w:val="222222"/>
                <w:sz w:val="20"/>
                <w:szCs w:val="20"/>
                <w:vertAlign w:val="subscript"/>
              </w:rPr>
              <w:t>2</w:t>
            </w:r>
            <w:r w:rsidRPr="00415B88">
              <w:rPr>
                <w:rFonts w:ascii="Times New Roman" w:hAnsi="Times New Roman"/>
                <w:color w:val="333333"/>
                <w:sz w:val="20"/>
                <w:szCs w:val="20"/>
              </w:rPr>
              <w:t>that is transferred from a soda ash production installation to another installation for the purpose of PCC production must systematically be included in that installation’s emissions?</w:t>
            </w:r>
          </w:p>
        </w:tc>
        <w:tc>
          <w:tcPr>
            <w:tcW w:w="753" w:type="dxa"/>
          </w:tcPr>
          <w:p w14:paraId="7B1A3D0E"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06.02.2019</w:t>
            </w:r>
          </w:p>
        </w:tc>
        <w:tc>
          <w:tcPr>
            <w:tcW w:w="2403" w:type="dxa"/>
          </w:tcPr>
          <w:p w14:paraId="38A543A3" w14:textId="77777777" w:rsidR="00D3027D" w:rsidRDefault="00D3027D" w:rsidP="00D3027D">
            <w:pPr>
              <w:rPr>
                <w:rFonts w:ascii="Times New Roman" w:hAnsi="Times New Roman"/>
                <w:bCs/>
                <w:noProof/>
                <w:sz w:val="20"/>
                <w:szCs w:val="20"/>
              </w:rPr>
            </w:pPr>
            <w:r>
              <w:rPr>
                <w:rFonts w:ascii="Times New Roman" w:hAnsi="Times New Roman"/>
                <w:bCs/>
                <w:noProof/>
                <w:sz w:val="20"/>
                <w:szCs w:val="20"/>
              </w:rPr>
              <w:t xml:space="preserve">The Court declared </w:t>
            </w:r>
            <w:r w:rsidRPr="00462E7F">
              <w:rPr>
                <w:rFonts w:ascii="Times New Roman" w:hAnsi="Times New Roman"/>
                <w:bCs/>
                <w:noProof/>
                <w:sz w:val="20"/>
                <w:szCs w:val="20"/>
              </w:rPr>
              <w:t>the second subparagraph of Article 49(1) and point 20(B) of</w:t>
            </w:r>
            <w:r>
              <w:rPr>
                <w:rFonts w:ascii="Times New Roman" w:hAnsi="Times New Roman"/>
                <w:bCs/>
                <w:noProof/>
                <w:sz w:val="20"/>
                <w:szCs w:val="20"/>
              </w:rPr>
              <w:t xml:space="preserve"> Annex IV </w:t>
            </w:r>
            <w:r w:rsidRPr="00462E7F">
              <w:rPr>
                <w:rFonts w:ascii="Times New Roman" w:hAnsi="Times New Roman"/>
                <w:bCs/>
                <w:noProof/>
                <w:sz w:val="20"/>
                <w:szCs w:val="20"/>
              </w:rPr>
              <w:t>of Regulation No 601/2012 invalid in so far as the</w:t>
            </w:r>
            <w:r>
              <w:rPr>
                <w:rFonts w:ascii="Times New Roman" w:hAnsi="Times New Roman"/>
                <w:bCs/>
                <w:noProof/>
                <w:sz w:val="20"/>
                <w:szCs w:val="20"/>
              </w:rPr>
              <w:t>y systematically include the</w:t>
            </w:r>
            <w:r>
              <w:rPr>
                <w:rFonts w:ascii="Verdana" w:hAnsi="Verdana"/>
                <w:color w:val="333333"/>
                <w:sz w:val="18"/>
                <w:szCs w:val="18"/>
              </w:rPr>
              <w:t xml:space="preserve"> </w:t>
            </w:r>
            <w:r w:rsidRPr="00B46834">
              <w:rPr>
                <w:rFonts w:ascii="Times New Roman" w:hAnsi="Times New Roman"/>
                <w:bCs/>
                <w:noProof/>
                <w:sz w:val="20"/>
                <w:szCs w:val="20"/>
              </w:rPr>
              <w:t>CO</w:t>
            </w:r>
            <w:r w:rsidRPr="00B46834">
              <w:rPr>
                <w:rFonts w:ascii="Times New Roman" w:hAnsi="Times New Roman"/>
                <w:bCs/>
                <w:noProof/>
                <w:sz w:val="20"/>
                <w:szCs w:val="20"/>
                <w:vertAlign w:val="subscript"/>
              </w:rPr>
              <w:t xml:space="preserve">2  </w:t>
            </w:r>
            <w:r w:rsidRPr="00462E7F">
              <w:rPr>
                <w:rFonts w:ascii="Times New Roman" w:hAnsi="Times New Roman"/>
                <w:bCs/>
                <w:noProof/>
                <w:sz w:val="20"/>
                <w:szCs w:val="20"/>
              </w:rPr>
              <w:t>transferred to another installation for the production of</w:t>
            </w:r>
            <w:r>
              <w:rPr>
                <w:rFonts w:ascii="Segoe UI" w:hAnsi="Segoe UI" w:cs="Segoe UI"/>
                <w:color w:val="444444"/>
                <w:sz w:val="21"/>
                <w:szCs w:val="21"/>
              </w:rPr>
              <w:t xml:space="preserve"> </w:t>
            </w:r>
            <w:r w:rsidRPr="00E57EBA">
              <w:rPr>
                <w:rFonts w:ascii="Times New Roman" w:hAnsi="Times New Roman"/>
                <w:bCs/>
                <w:noProof/>
                <w:sz w:val="20"/>
                <w:szCs w:val="20"/>
              </w:rPr>
              <w:t>precipitated calcium carbonate (</w:t>
            </w:r>
            <w:r w:rsidRPr="00462E7F">
              <w:rPr>
                <w:rFonts w:ascii="Times New Roman" w:hAnsi="Times New Roman"/>
                <w:bCs/>
                <w:noProof/>
                <w:sz w:val="20"/>
                <w:szCs w:val="20"/>
              </w:rPr>
              <w:t>PCC</w:t>
            </w:r>
            <w:r>
              <w:rPr>
                <w:rFonts w:ascii="Times New Roman" w:hAnsi="Times New Roman"/>
                <w:bCs/>
                <w:noProof/>
                <w:sz w:val="20"/>
                <w:szCs w:val="20"/>
              </w:rPr>
              <w:t>)</w:t>
            </w:r>
            <w:r w:rsidRPr="00462E7F">
              <w:rPr>
                <w:rFonts w:ascii="Times New Roman" w:hAnsi="Times New Roman"/>
                <w:bCs/>
                <w:noProof/>
                <w:sz w:val="20"/>
                <w:szCs w:val="20"/>
              </w:rPr>
              <w:t xml:space="preserve"> in the emissions of the installation for production of soda ash, regardless of whether that </w:t>
            </w:r>
            <w:r w:rsidRPr="00B46834">
              <w:rPr>
                <w:rFonts w:ascii="Times New Roman" w:hAnsi="Times New Roman"/>
                <w:bCs/>
                <w:noProof/>
                <w:sz w:val="20"/>
                <w:szCs w:val="20"/>
              </w:rPr>
              <w:t>CO</w:t>
            </w:r>
            <w:r w:rsidRPr="00B46834">
              <w:rPr>
                <w:rFonts w:ascii="Times New Roman" w:hAnsi="Times New Roman"/>
                <w:bCs/>
                <w:noProof/>
                <w:sz w:val="20"/>
                <w:szCs w:val="20"/>
                <w:vertAlign w:val="subscript"/>
              </w:rPr>
              <w:t xml:space="preserve">2  </w:t>
            </w:r>
            <w:r w:rsidRPr="00462E7F">
              <w:rPr>
                <w:rFonts w:ascii="Times New Roman" w:hAnsi="Times New Roman"/>
                <w:bCs/>
                <w:noProof/>
                <w:sz w:val="20"/>
                <w:szCs w:val="20"/>
              </w:rPr>
              <w:t xml:space="preserve">is released into the atmosphere. </w:t>
            </w:r>
          </w:p>
        </w:tc>
      </w:tr>
    </w:tbl>
    <w:p w14:paraId="79B28CE0" w14:textId="77777777" w:rsidR="007F5B1E" w:rsidRDefault="007F5B1E">
      <w:pPr>
        <w:rPr>
          <w:rFonts w:ascii="Times New Roman" w:hAnsi="Times New Roman"/>
          <w:b/>
          <w:noProof/>
        </w:rPr>
      </w:pPr>
    </w:p>
    <w:p w14:paraId="51D36496" w14:textId="77777777" w:rsidR="005F6BD0" w:rsidRDefault="003A348D">
      <w:pPr>
        <w:rPr>
          <w:rFonts w:ascii="Times New Roman" w:hAnsi="Times New Roman"/>
          <w:b/>
          <w:noProof/>
        </w:rPr>
      </w:pPr>
      <w:r>
        <w:rPr>
          <w:rFonts w:ascii="Times New Roman" w:hAnsi="Times New Roman"/>
          <w:b/>
          <w:noProof/>
        </w:rPr>
        <w:t xml:space="preserve">Appendix </w:t>
      </w:r>
      <w:r w:rsidR="00526348">
        <w:rPr>
          <w:rFonts w:ascii="Times New Roman" w:hAnsi="Times New Roman"/>
          <w:b/>
          <w:noProof/>
        </w:rPr>
        <w:t>7</w:t>
      </w:r>
    </w:p>
    <w:p w14:paraId="35C6A808" w14:textId="77777777" w:rsidR="005F6BD0" w:rsidRDefault="003A348D">
      <w:pPr>
        <w:rPr>
          <w:rFonts w:ascii="Times New Roman" w:hAnsi="Times New Roman"/>
          <w:b/>
          <w:noProof/>
          <w:sz w:val="20"/>
          <w:szCs w:val="20"/>
        </w:rPr>
      </w:pPr>
      <w:r>
        <w:rPr>
          <w:rFonts w:ascii="Times New Roman" w:hAnsi="Times New Roman"/>
          <w:b/>
          <w:noProof/>
          <w:sz w:val="20"/>
          <w:szCs w:val="20"/>
        </w:rPr>
        <w:t>Table</w:t>
      </w:r>
      <w:r w:rsidR="003972C7">
        <w:rPr>
          <w:rFonts w:ascii="Times New Roman" w:hAnsi="Times New Roman"/>
          <w:b/>
          <w:noProof/>
          <w:sz w:val="20"/>
          <w:szCs w:val="20"/>
        </w:rPr>
        <w:t xml:space="preserve"> </w:t>
      </w:r>
      <w:r w:rsidR="00526348">
        <w:rPr>
          <w:rFonts w:ascii="Times New Roman" w:hAnsi="Times New Roman"/>
          <w:b/>
          <w:noProof/>
          <w:sz w:val="20"/>
          <w:szCs w:val="20"/>
        </w:rPr>
        <w:t>7</w:t>
      </w:r>
      <w:r w:rsidR="003972C7">
        <w:rPr>
          <w:rFonts w:ascii="Times New Roman" w:hAnsi="Times New Roman"/>
          <w:b/>
          <w:noProof/>
          <w:sz w:val="20"/>
          <w:szCs w:val="20"/>
        </w:rPr>
        <w:t>.</w:t>
      </w:r>
      <w:r>
        <w:rPr>
          <w:rFonts w:ascii="Times New Roman" w:hAnsi="Times New Roman"/>
          <w:b/>
          <w:noProof/>
          <w:sz w:val="20"/>
          <w:szCs w:val="20"/>
        </w:rPr>
        <w:t xml:space="preserve">1: State of play of EU ETS phase 4 implementation </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rsidR="005F6BD0" w14:paraId="67112C11" w14:textId="77777777" w:rsidTr="00601A28">
        <w:trPr>
          <w:trHeight w:val="230"/>
        </w:trPr>
        <w:tc>
          <w:tcPr>
            <w:tcW w:w="2030" w:type="dxa"/>
            <w:vMerge w:val="restart"/>
            <w:vAlign w:val="center"/>
          </w:tcPr>
          <w:p w14:paraId="21291712" w14:textId="77777777" w:rsidR="005F6BD0" w:rsidRDefault="003A348D">
            <w:pPr>
              <w:jc w:val="center"/>
              <w:rPr>
                <w:rFonts w:ascii="Times New Roman" w:hAnsi="Times New Roman"/>
                <w:b/>
                <w:noProof/>
              </w:rPr>
            </w:pPr>
            <w:r>
              <w:rPr>
                <w:rFonts w:ascii="Times New Roman" w:hAnsi="Times New Roman"/>
                <w:b/>
                <w:noProof/>
              </w:rPr>
              <w:t>Measure</w:t>
            </w:r>
          </w:p>
        </w:tc>
        <w:tc>
          <w:tcPr>
            <w:tcW w:w="3808" w:type="dxa"/>
            <w:vMerge w:val="restart"/>
            <w:vAlign w:val="center"/>
          </w:tcPr>
          <w:p w14:paraId="4066D10D" w14:textId="77777777" w:rsidR="005F6BD0" w:rsidRDefault="003A348D">
            <w:pPr>
              <w:jc w:val="center"/>
              <w:rPr>
                <w:rFonts w:ascii="Times New Roman" w:hAnsi="Times New Roman"/>
                <w:b/>
                <w:noProof/>
              </w:rPr>
            </w:pPr>
            <w:r>
              <w:rPr>
                <w:rFonts w:ascii="Times New Roman" w:hAnsi="Times New Roman"/>
                <w:b/>
                <w:noProof/>
              </w:rPr>
              <w:t>Purpose</w:t>
            </w:r>
          </w:p>
        </w:tc>
        <w:tc>
          <w:tcPr>
            <w:tcW w:w="1862" w:type="dxa"/>
            <w:vMerge w:val="restart"/>
            <w:vAlign w:val="center"/>
          </w:tcPr>
          <w:p w14:paraId="436EAC73" w14:textId="77777777" w:rsidR="005F6BD0" w:rsidRDefault="003A348D">
            <w:pPr>
              <w:jc w:val="center"/>
              <w:rPr>
                <w:rFonts w:ascii="Times New Roman" w:hAnsi="Times New Roman"/>
                <w:b/>
                <w:noProof/>
              </w:rPr>
            </w:pPr>
            <w:r>
              <w:rPr>
                <w:rFonts w:ascii="Times New Roman" w:hAnsi="Times New Roman"/>
                <w:b/>
                <w:noProof/>
              </w:rPr>
              <w:t>Type of legislative act</w:t>
            </w:r>
          </w:p>
        </w:tc>
        <w:tc>
          <w:tcPr>
            <w:tcW w:w="1994" w:type="dxa"/>
            <w:vMerge w:val="restart"/>
            <w:vAlign w:val="center"/>
          </w:tcPr>
          <w:p w14:paraId="07DA919F" w14:textId="77777777" w:rsidR="005F6BD0" w:rsidRDefault="003A348D">
            <w:pPr>
              <w:jc w:val="center"/>
              <w:rPr>
                <w:rFonts w:ascii="Times New Roman" w:hAnsi="Times New Roman"/>
                <w:b/>
                <w:noProof/>
              </w:rPr>
            </w:pPr>
            <w:r>
              <w:rPr>
                <w:rFonts w:ascii="Times New Roman" w:hAnsi="Times New Roman"/>
                <w:b/>
                <w:noProof/>
              </w:rPr>
              <w:t>Foreseen adoption</w:t>
            </w:r>
          </w:p>
        </w:tc>
      </w:tr>
      <w:tr w:rsidR="005F6BD0" w14:paraId="1591A0AE" w14:textId="77777777" w:rsidTr="00601A28">
        <w:trPr>
          <w:trHeight w:val="230"/>
        </w:trPr>
        <w:tc>
          <w:tcPr>
            <w:tcW w:w="2030" w:type="dxa"/>
            <w:vMerge/>
            <w:vAlign w:val="center"/>
          </w:tcPr>
          <w:p w14:paraId="18D487EE" w14:textId="77777777" w:rsidR="005F6BD0" w:rsidRDefault="005F6BD0">
            <w:pPr>
              <w:rPr>
                <w:rFonts w:ascii="Times New Roman" w:hAnsi="Times New Roman"/>
                <w:b/>
                <w:noProof/>
              </w:rPr>
            </w:pPr>
          </w:p>
        </w:tc>
        <w:tc>
          <w:tcPr>
            <w:tcW w:w="3808" w:type="dxa"/>
            <w:vMerge/>
          </w:tcPr>
          <w:p w14:paraId="2C6F83B0" w14:textId="77777777" w:rsidR="005F6BD0" w:rsidRDefault="005F6BD0">
            <w:pPr>
              <w:rPr>
                <w:rFonts w:ascii="Times New Roman" w:hAnsi="Times New Roman"/>
                <w:b/>
                <w:noProof/>
              </w:rPr>
            </w:pPr>
          </w:p>
        </w:tc>
        <w:tc>
          <w:tcPr>
            <w:tcW w:w="1862" w:type="dxa"/>
            <w:vMerge/>
            <w:vAlign w:val="center"/>
          </w:tcPr>
          <w:p w14:paraId="4D1BC2B1" w14:textId="77777777" w:rsidR="005F6BD0" w:rsidRDefault="005F6BD0">
            <w:pPr>
              <w:rPr>
                <w:rFonts w:ascii="Times New Roman" w:hAnsi="Times New Roman"/>
                <w:b/>
                <w:noProof/>
              </w:rPr>
            </w:pPr>
          </w:p>
        </w:tc>
        <w:tc>
          <w:tcPr>
            <w:tcW w:w="1994" w:type="dxa"/>
            <w:vMerge/>
            <w:vAlign w:val="center"/>
          </w:tcPr>
          <w:p w14:paraId="3D08CC47" w14:textId="77777777" w:rsidR="005F6BD0" w:rsidRDefault="005F6BD0">
            <w:pPr>
              <w:rPr>
                <w:rFonts w:ascii="Times New Roman" w:hAnsi="Times New Roman"/>
                <w:b/>
                <w:noProof/>
              </w:rPr>
            </w:pPr>
          </w:p>
        </w:tc>
      </w:tr>
      <w:tr w:rsidR="005F6BD0" w14:paraId="65A2B942" w14:textId="77777777" w:rsidTr="00601A28">
        <w:trPr>
          <w:trHeight w:val="247"/>
        </w:trPr>
        <w:tc>
          <w:tcPr>
            <w:tcW w:w="2030" w:type="dxa"/>
            <w:shd w:val="clear" w:color="auto" w:fill="CCFFCC"/>
            <w:vAlign w:val="center"/>
          </w:tcPr>
          <w:p w14:paraId="0ECDE15F" w14:textId="77777777" w:rsidR="005F6BD0" w:rsidRDefault="003A348D">
            <w:pPr>
              <w:rPr>
                <w:rFonts w:ascii="Times New Roman" w:hAnsi="Times New Roman"/>
                <w:noProof/>
              </w:rPr>
            </w:pPr>
            <w:r>
              <w:rPr>
                <w:rFonts w:ascii="Times New Roman" w:hAnsi="Times New Roman"/>
                <w:noProof/>
              </w:rPr>
              <w:t>Carbon Leakage List for 2021-2030</w:t>
            </w:r>
          </w:p>
        </w:tc>
        <w:tc>
          <w:tcPr>
            <w:tcW w:w="3808" w:type="dxa"/>
            <w:shd w:val="clear" w:color="auto" w:fill="CCFFCC"/>
            <w:vAlign w:val="center"/>
          </w:tcPr>
          <w:p w14:paraId="0B4BA8CC" w14:textId="77777777" w:rsidR="005F6BD0" w:rsidRDefault="003A348D">
            <w:pPr>
              <w:rPr>
                <w:rFonts w:ascii="Times New Roman" w:hAnsi="Times New Roman"/>
                <w:noProof/>
              </w:rPr>
            </w:pPr>
            <w:r>
              <w:rPr>
                <w:rFonts w:ascii="Times New Roman" w:hAnsi="Times New Roman"/>
                <w:noProof/>
              </w:rPr>
              <w:t>Establishing the new Carbon Leakage List for phase 4 of the EU ETS based on the criteria for determining sectors significantly exposed to the risk of carbon leakage</w:t>
            </w:r>
          </w:p>
        </w:tc>
        <w:tc>
          <w:tcPr>
            <w:tcW w:w="1862" w:type="dxa"/>
            <w:shd w:val="clear" w:color="auto" w:fill="CCFFCC"/>
            <w:vAlign w:val="center"/>
          </w:tcPr>
          <w:p w14:paraId="70973ED2" w14:textId="77777777" w:rsidR="005F6BD0" w:rsidRDefault="000E4949">
            <w:pPr>
              <w:jc w:val="center"/>
              <w:rPr>
                <w:rFonts w:ascii="Times New Roman" w:hAnsi="Times New Roman"/>
                <w:noProof/>
              </w:rPr>
            </w:pPr>
            <w:r>
              <w:rPr>
                <w:rFonts w:ascii="Times New Roman" w:hAnsi="Times New Roman"/>
                <w:noProof/>
              </w:rPr>
              <w:t>Commission D</w:t>
            </w:r>
            <w:r w:rsidR="00D4406F">
              <w:rPr>
                <w:rFonts w:ascii="Times New Roman" w:hAnsi="Times New Roman"/>
                <w:noProof/>
              </w:rPr>
              <w:t>elegated Decision</w:t>
            </w:r>
          </w:p>
        </w:tc>
        <w:tc>
          <w:tcPr>
            <w:tcW w:w="1994" w:type="dxa"/>
            <w:shd w:val="clear" w:color="auto" w:fill="CCFFCC"/>
            <w:vAlign w:val="center"/>
          </w:tcPr>
          <w:p w14:paraId="7551FEA3" w14:textId="77777777" w:rsidR="005F6BD0" w:rsidRDefault="00D4406F" w:rsidP="00971AA1">
            <w:pPr>
              <w:jc w:val="center"/>
              <w:rPr>
                <w:rFonts w:ascii="Times New Roman" w:hAnsi="Times New Roman"/>
                <w:noProof/>
              </w:rPr>
            </w:pPr>
            <w:r>
              <w:rPr>
                <w:rFonts w:ascii="Times New Roman" w:hAnsi="Times New Roman"/>
                <w:noProof/>
                <w:color w:val="000000" w:themeColor="text1"/>
              </w:rPr>
              <w:t>Adopted on 15 February 2019 and published in the Official Journal on 8 May 2019</w:t>
            </w:r>
            <w:r w:rsidR="00247798">
              <w:rPr>
                <w:rStyle w:val="FootnoteReference"/>
                <w:rFonts w:ascii="Times New Roman" w:hAnsi="Times New Roman"/>
                <w:noProof/>
                <w:color w:val="000000" w:themeColor="text1"/>
              </w:rPr>
              <w:footnoteReference w:id="81"/>
            </w:r>
          </w:p>
        </w:tc>
      </w:tr>
      <w:tr w:rsidR="005F6BD0" w14:paraId="2441DD23" w14:textId="77777777" w:rsidTr="00601A28">
        <w:trPr>
          <w:trHeight w:val="247"/>
        </w:trPr>
        <w:tc>
          <w:tcPr>
            <w:tcW w:w="2030" w:type="dxa"/>
            <w:shd w:val="clear" w:color="auto" w:fill="CCFFCC"/>
            <w:vAlign w:val="center"/>
          </w:tcPr>
          <w:p w14:paraId="2EAA1788" w14:textId="77777777" w:rsidR="005F6BD0" w:rsidRDefault="003A348D">
            <w:pPr>
              <w:rPr>
                <w:rFonts w:ascii="Times New Roman" w:hAnsi="Times New Roman"/>
                <w:noProof/>
              </w:rPr>
            </w:pPr>
            <w:r>
              <w:rPr>
                <w:rFonts w:ascii="Times New Roman" w:hAnsi="Times New Roman"/>
                <w:noProof/>
              </w:rPr>
              <w:t>Revision of the free allocation rules for 2021-2030</w:t>
            </w:r>
          </w:p>
        </w:tc>
        <w:tc>
          <w:tcPr>
            <w:tcW w:w="3808" w:type="dxa"/>
            <w:shd w:val="clear" w:color="auto" w:fill="CCFFCC"/>
            <w:vAlign w:val="center"/>
          </w:tcPr>
          <w:p w14:paraId="4E558E3A" w14:textId="77777777" w:rsidR="005F6BD0" w:rsidRDefault="003A348D">
            <w:pPr>
              <w:rPr>
                <w:rFonts w:ascii="Times New Roman" w:hAnsi="Times New Roman"/>
                <w:noProof/>
              </w:rPr>
            </w:pPr>
            <w:r>
              <w:rPr>
                <w:rFonts w:ascii="Times New Roman" w:hAnsi="Times New Roman"/>
                <w:noProof/>
              </w:rPr>
              <w:t>Revising Commission Decision 2011/278/EU on  determining transitional union-wide rules for harmonised free allocation so as adapt it to the new legal context set for phase 4</w:t>
            </w:r>
          </w:p>
        </w:tc>
        <w:tc>
          <w:tcPr>
            <w:tcW w:w="1862" w:type="dxa"/>
            <w:shd w:val="clear" w:color="auto" w:fill="CCFFCC"/>
            <w:vAlign w:val="center"/>
          </w:tcPr>
          <w:p w14:paraId="433E2E66" w14:textId="77777777" w:rsidR="005F6BD0" w:rsidRDefault="000E4949">
            <w:pPr>
              <w:jc w:val="center"/>
              <w:rPr>
                <w:rFonts w:ascii="Times New Roman" w:hAnsi="Times New Roman"/>
                <w:noProof/>
              </w:rPr>
            </w:pPr>
            <w:r>
              <w:rPr>
                <w:rFonts w:ascii="Times New Roman" w:hAnsi="Times New Roman"/>
                <w:noProof/>
              </w:rPr>
              <w:t>Commission D</w:t>
            </w:r>
            <w:r w:rsidR="00D4406F">
              <w:rPr>
                <w:rFonts w:ascii="Times New Roman" w:hAnsi="Times New Roman"/>
                <w:noProof/>
              </w:rPr>
              <w:t>elegated Regulation</w:t>
            </w:r>
          </w:p>
        </w:tc>
        <w:tc>
          <w:tcPr>
            <w:tcW w:w="1994" w:type="dxa"/>
            <w:shd w:val="clear" w:color="auto" w:fill="CCFFCC"/>
            <w:vAlign w:val="center"/>
          </w:tcPr>
          <w:p w14:paraId="4386C50A" w14:textId="77777777" w:rsidR="005F6BD0" w:rsidRDefault="00D4406F" w:rsidP="00971AA1">
            <w:pPr>
              <w:jc w:val="center"/>
              <w:rPr>
                <w:rFonts w:ascii="Times New Roman" w:hAnsi="Times New Roman"/>
                <w:noProof/>
              </w:rPr>
            </w:pPr>
            <w:r>
              <w:rPr>
                <w:rFonts w:ascii="Times New Roman" w:hAnsi="Times New Roman"/>
                <w:noProof/>
                <w:color w:val="000000" w:themeColor="text1"/>
              </w:rPr>
              <w:t>Adopted on 19 December 2018 and published in the Official Journal on 27 February 2019</w:t>
            </w:r>
            <w:r w:rsidR="00247798">
              <w:rPr>
                <w:rStyle w:val="FootnoteReference"/>
                <w:rFonts w:ascii="Times New Roman" w:hAnsi="Times New Roman"/>
                <w:noProof/>
                <w:color w:val="000000" w:themeColor="text1"/>
              </w:rPr>
              <w:footnoteReference w:id="82"/>
            </w:r>
          </w:p>
        </w:tc>
      </w:tr>
      <w:tr w:rsidR="005F6BD0" w14:paraId="16B65DAE" w14:textId="77777777" w:rsidTr="00601A28">
        <w:trPr>
          <w:trHeight w:val="247"/>
        </w:trPr>
        <w:tc>
          <w:tcPr>
            <w:tcW w:w="2030" w:type="dxa"/>
            <w:shd w:val="clear" w:color="auto" w:fill="FFFFCC"/>
            <w:vAlign w:val="center"/>
          </w:tcPr>
          <w:p w14:paraId="0DCD4CA7" w14:textId="77777777" w:rsidR="005F6BD0" w:rsidRDefault="003A348D">
            <w:pPr>
              <w:rPr>
                <w:rFonts w:ascii="Times New Roman" w:hAnsi="Times New Roman"/>
                <w:noProof/>
              </w:rPr>
            </w:pPr>
            <w:r>
              <w:rPr>
                <w:rFonts w:ascii="Times New Roman" w:hAnsi="Times New Roman"/>
                <w:noProof/>
              </w:rPr>
              <w:t>Adjustment to free allocation due to production changes</w:t>
            </w:r>
          </w:p>
        </w:tc>
        <w:tc>
          <w:tcPr>
            <w:tcW w:w="3808" w:type="dxa"/>
            <w:shd w:val="clear" w:color="auto" w:fill="FFFFCC"/>
            <w:vAlign w:val="center"/>
          </w:tcPr>
          <w:p w14:paraId="18025A58" w14:textId="77777777" w:rsidR="005F6BD0" w:rsidRDefault="003A348D">
            <w:pPr>
              <w:rPr>
                <w:rFonts w:ascii="Times New Roman" w:hAnsi="Times New Roman"/>
                <w:noProof/>
              </w:rPr>
            </w:pPr>
            <w:r>
              <w:rPr>
                <w:rFonts w:ascii="Times New Roman" w:hAnsi="Times New Roman"/>
                <w:noProof/>
              </w:rPr>
              <w:t>Defining the arrangement</w:t>
            </w:r>
            <w:r w:rsidR="001D30E4">
              <w:rPr>
                <w:rFonts w:ascii="Times New Roman" w:hAnsi="Times New Roman"/>
                <w:noProof/>
              </w:rPr>
              <w:t xml:space="preserve">s for </w:t>
            </w:r>
            <w:r>
              <w:rPr>
                <w:rFonts w:ascii="Times New Roman" w:hAnsi="Times New Roman"/>
                <w:noProof/>
              </w:rPr>
              <w:t xml:space="preserve">the adjustment of the level of free allocation to installations on the basis of changing levels of </w:t>
            </w:r>
            <w:r w:rsidR="00D4406F">
              <w:rPr>
                <w:rFonts w:ascii="Times New Roman" w:hAnsi="Times New Roman"/>
                <w:noProof/>
              </w:rPr>
              <w:t>operation</w:t>
            </w:r>
            <w:r>
              <w:rPr>
                <w:rFonts w:ascii="Times New Roman" w:hAnsi="Times New Roman"/>
                <w:noProof/>
              </w:rPr>
              <w:t xml:space="preserve"> of more than 15% upwards or downwards on average over a period of two years</w:t>
            </w:r>
          </w:p>
        </w:tc>
        <w:tc>
          <w:tcPr>
            <w:tcW w:w="1862" w:type="dxa"/>
            <w:shd w:val="clear" w:color="auto" w:fill="FFFFCC"/>
            <w:vAlign w:val="center"/>
          </w:tcPr>
          <w:p w14:paraId="2D5093DF" w14:textId="77777777" w:rsidR="005F6BD0" w:rsidRDefault="00D4406F">
            <w:pPr>
              <w:jc w:val="center"/>
              <w:rPr>
                <w:rFonts w:ascii="Times New Roman" w:hAnsi="Times New Roman"/>
                <w:noProof/>
              </w:rPr>
            </w:pPr>
            <w:r>
              <w:rPr>
                <w:rFonts w:ascii="Times New Roman" w:hAnsi="Times New Roman"/>
                <w:noProof/>
              </w:rPr>
              <w:t>Com</w:t>
            </w:r>
            <w:r w:rsidR="000E4949">
              <w:rPr>
                <w:rFonts w:ascii="Times New Roman" w:hAnsi="Times New Roman"/>
                <w:noProof/>
              </w:rPr>
              <w:t>mission I</w:t>
            </w:r>
            <w:r>
              <w:rPr>
                <w:rFonts w:ascii="Times New Roman" w:hAnsi="Times New Roman"/>
                <w:noProof/>
              </w:rPr>
              <w:t>mplementing Regulation</w:t>
            </w:r>
          </w:p>
        </w:tc>
        <w:tc>
          <w:tcPr>
            <w:tcW w:w="1994" w:type="dxa"/>
            <w:shd w:val="clear" w:color="auto" w:fill="FFFFCC"/>
            <w:vAlign w:val="center"/>
          </w:tcPr>
          <w:p w14:paraId="0745AACE" w14:textId="77777777" w:rsidR="005F6BD0" w:rsidRDefault="003A348D">
            <w:pPr>
              <w:jc w:val="center"/>
              <w:rPr>
                <w:rFonts w:ascii="Times New Roman" w:hAnsi="Times New Roman"/>
                <w:noProof/>
              </w:rPr>
            </w:pPr>
            <w:r>
              <w:rPr>
                <w:rFonts w:ascii="Times New Roman" w:hAnsi="Times New Roman"/>
                <w:noProof/>
              </w:rPr>
              <w:t>2019</w:t>
            </w:r>
          </w:p>
        </w:tc>
      </w:tr>
      <w:tr w:rsidR="005F6BD0" w14:paraId="1EEE4228" w14:textId="77777777" w:rsidTr="00601A28">
        <w:trPr>
          <w:trHeight w:val="247"/>
        </w:trPr>
        <w:tc>
          <w:tcPr>
            <w:tcW w:w="2030" w:type="dxa"/>
            <w:vAlign w:val="center"/>
          </w:tcPr>
          <w:p w14:paraId="6D34A291" w14:textId="77777777" w:rsidR="005F6BD0" w:rsidRDefault="003A348D">
            <w:pPr>
              <w:rPr>
                <w:rFonts w:ascii="Times New Roman" w:hAnsi="Times New Roman"/>
                <w:noProof/>
              </w:rPr>
            </w:pPr>
            <w:r>
              <w:rPr>
                <w:rFonts w:ascii="Times New Roman" w:hAnsi="Times New Roman"/>
                <w:noProof/>
              </w:rPr>
              <w:t>Update of the benchmark values for free allocation for 2021-2025</w:t>
            </w:r>
          </w:p>
        </w:tc>
        <w:tc>
          <w:tcPr>
            <w:tcW w:w="3808" w:type="dxa"/>
            <w:vAlign w:val="center"/>
          </w:tcPr>
          <w:p w14:paraId="174D8406" w14:textId="77777777" w:rsidR="005F6BD0" w:rsidRDefault="003A348D">
            <w:pPr>
              <w:rPr>
                <w:rFonts w:ascii="Times New Roman" w:hAnsi="Times New Roman"/>
                <w:noProof/>
              </w:rPr>
            </w:pPr>
            <w:r>
              <w:rPr>
                <w:rFonts w:ascii="Times New Roman" w:hAnsi="Times New Roman"/>
                <w:noProof/>
              </w:rPr>
              <w:t xml:space="preserve">Determining updated benchmarks for 2021-2025 on the basis of data submitted by Member States </w:t>
            </w:r>
            <w:r w:rsidR="00D4406F">
              <w:rPr>
                <w:rFonts w:ascii="Times New Roman" w:hAnsi="Times New Roman"/>
                <w:noProof/>
              </w:rPr>
              <w:t xml:space="preserve">by 30 September 2019 </w:t>
            </w:r>
            <w:r>
              <w:rPr>
                <w:rFonts w:ascii="Times New Roman" w:hAnsi="Times New Roman"/>
                <w:noProof/>
              </w:rPr>
              <w:t>for the years 2016 and 2017.</w:t>
            </w:r>
          </w:p>
        </w:tc>
        <w:tc>
          <w:tcPr>
            <w:tcW w:w="1862" w:type="dxa"/>
            <w:vAlign w:val="center"/>
          </w:tcPr>
          <w:p w14:paraId="13CE8AA9" w14:textId="77777777" w:rsidR="005F6BD0" w:rsidRDefault="003A348D">
            <w:pPr>
              <w:jc w:val="center"/>
              <w:rPr>
                <w:rFonts w:ascii="Times New Roman" w:hAnsi="Times New Roman"/>
                <w:noProof/>
              </w:rPr>
            </w:pPr>
            <w:r>
              <w:rPr>
                <w:rFonts w:ascii="Times New Roman" w:hAnsi="Times New Roman"/>
                <w:noProof/>
              </w:rPr>
              <w:t>Implementing act</w:t>
            </w:r>
          </w:p>
        </w:tc>
        <w:tc>
          <w:tcPr>
            <w:tcW w:w="1994" w:type="dxa"/>
            <w:vAlign w:val="center"/>
          </w:tcPr>
          <w:p w14:paraId="75AA3CE0" w14:textId="77777777" w:rsidR="005F6BD0" w:rsidRDefault="003A348D">
            <w:pPr>
              <w:jc w:val="center"/>
              <w:rPr>
                <w:rFonts w:ascii="Times New Roman" w:hAnsi="Times New Roman"/>
                <w:noProof/>
              </w:rPr>
            </w:pPr>
            <w:r>
              <w:rPr>
                <w:rFonts w:ascii="Times New Roman" w:hAnsi="Times New Roman"/>
                <w:noProof/>
              </w:rPr>
              <w:t>2020</w:t>
            </w:r>
          </w:p>
        </w:tc>
      </w:tr>
      <w:tr w:rsidR="005F6BD0" w14:paraId="3FC676C8" w14:textId="77777777" w:rsidTr="00601A28">
        <w:trPr>
          <w:trHeight w:val="259"/>
        </w:trPr>
        <w:tc>
          <w:tcPr>
            <w:tcW w:w="2030" w:type="dxa"/>
            <w:shd w:val="clear" w:color="auto" w:fill="CCFFCC"/>
            <w:vAlign w:val="center"/>
          </w:tcPr>
          <w:p w14:paraId="356CB7D9" w14:textId="77777777" w:rsidR="005F6BD0" w:rsidRDefault="003A348D">
            <w:pPr>
              <w:rPr>
                <w:rFonts w:ascii="Times New Roman" w:hAnsi="Times New Roman"/>
                <w:noProof/>
              </w:rPr>
            </w:pPr>
            <w:r>
              <w:rPr>
                <w:rFonts w:ascii="Times New Roman" w:hAnsi="Times New Roman"/>
                <w:noProof/>
              </w:rPr>
              <w:t>Establishment of the Innovation Fund</w:t>
            </w:r>
          </w:p>
        </w:tc>
        <w:tc>
          <w:tcPr>
            <w:tcW w:w="3808" w:type="dxa"/>
            <w:shd w:val="clear" w:color="auto" w:fill="CCFFCC"/>
            <w:vAlign w:val="center"/>
          </w:tcPr>
          <w:p w14:paraId="26D5C5F7" w14:textId="77777777" w:rsidR="005F6BD0" w:rsidRDefault="003A348D">
            <w:pPr>
              <w:rPr>
                <w:rFonts w:ascii="Times New Roman" w:hAnsi="Times New Roman"/>
                <w:noProof/>
              </w:rPr>
            </w:pPr>
            <w:r>
              <w:rPr>
                <w:rFonts w:ascii="Times New Roman" w:hAnsi="Times New Roman"/>
                <w:noProof/>
              </w:rPr>
              <w:t>Determining the rules on the operation of the Innovation Fund, including the selection procedure and criteria</w:t>
            </w:r>
          </w:p>
        </w:tc>
        <w:tc>
          <w:tcPr>
            <w:tcW w:w="1862" w:type="dxa"/>
            <w:shd w:val="clear" w:color="auto" w:fill="CCFFCC"/>
            <w:vAlign w:val="center"/>
          </w:tcPr>
          <w:p w14:paraId="72186F2B" w14:textId="77777777" w:rsidR="005F6BD0" w:rsidRDefault="000E4949">
            <w:pPr>
              <w:jc w:val="center"/>
              <w:rPr>
                <w:rFonts w:ascii="Times New Roman" w:hAnsi="Times New Roman"/>
                <w:noProof/>
              </w:rPr>
            </w:pPr>
            <w:r>
              <w:rPr>
                <w:rFonts w:ascii="Times New Roman" w:hAnsi="Times New Roman"/>
                <w:noProof/>
              </w:rPr>
              <w:t>Commission Delegated Regulation</w:t>
            </w:r>
          </w:p>
        </w:tc>
        <w:tc>
          <w:tcPr>
            <w:tcW w:w="1994" w:type="dxa"/>
            <w:shd w:val="clear" w:color="auto" w:fill="CCFFCC"/>
            <w:vAlign w:val="center"/>
          </w:tcPr>
          <w:p w14:paraId="2E6DA7AD" w14:textId="77777777" w:rsidR="005F6BD0" w:rsidRDefault="000E7891" w:rsidP="00971AA1">
            <w:pPr>
              <w:jc w:val="center"/>
              <w:rPr>
                <w:rFonts w:ascii="Times New Roman" w:hAnsi="Times New Roman"/>
                <w:noProof/>
              </w:rPr>
            </w:pPr>
            <w:r>
              <w:rPr>
                <w:rFonts w:ascii="Times New Roman" w:hAnsi="Times New Roman"/>
                <w:noProof/>
              </w:rPr>
              <w:t>Adopted on 26 February 2019 and published in the Official Journal on 28 May 2019</w:t>
            </w:r>
            <w:r w:rsidR="003972C7">
              <w:rPr>
                <w:rStyle w:val="FootnoteReference"/>
                <w:rFonts w:ascii="Times New Roman" w:hAnsi="Times New Roman"/>
                <w:noProof/>
              </w:rPr>
              <w:footnoteReference w:id="83"/>
            </w:r>
          </w:p>
        </w:tc>
      </w:tr>
      <w:tr w:rsidR="005F6BD0" w14:paraId="545A3AA7" w14:textId="77777777" w:rsidTr="00601A28">
        <w:trPr>
          <w:trHeight w:val="154"/>
        </w:trPr>
        <w:tc>
          <w:tcPr>
            <w:tcW w:w="2030" w:type="dxa"/>
            <w:shd w:val="clear" w:color="auto" w:fill="FFFFCC"/>
            <w:vAlign w:val="center"/>
          </w:tcPr>
          <w:p w14:paraId="3BC7B5D1" w14:textId="77777777" w:rsidR="005F6BD0" w:rsidRDefault="003A348D">
            <w:pPr>
              <w:rPr>
                <w:rFonts w:ascii="Times New Roman" w:hAnsi="Times New Roman"/>
                <w:noProof/>
              </w:rPr>
            </w:pPr>
            <w:r>
              <w:rPr>
                <w:rFonts w:ascii="Times New Roman" w:hAnsi="Times New Roman"/>
                <w:noProof/>
              </w:rPr>
              <w:t>Establishment of the Modernisation Fund</w:t>
            </w:r>
          </w:p>
        </w:tc>
        <w:tc>
          <w:tcPr>
            <w:tcW w:w="3808" w:type="dxa"/>
            <w:shd w:val="clear" w:color="auto" w:fill="FFFFCC"/>
            <w:vAlign w:val="center"/>
          </w:tcPr>
          <w:p w14:paraId="7796E0A0" w14:textId="77777777" w:rsidR="005F6BD0" w:rsidRDefault="003A348D">
            <w:pPr>
              <w:rPr>
                <w:rFonts w:ascii="Times New Roman" w:hAnsi="Times New Roman"/>
                <w:noProof/>
              </w:rPr>
            </w:pPr>
            <w:r>
              <w:rPr>
                <w:rFonts w:ascii="Times New Roman" w:hAnsi="Times New Roman"/>
                <w:noProof/>
              </w:rPr>
              <w:t>Determining the rules for the operation of the Modernisation Fund</w:t>
            </w:r>
          </w:p>
        </w:tc>
        <w:tc>
          <w:tcPr>
            <w:tcW w:w="1862" w:type="dxa"/>
            <w:shd w:val="clear" w:color="auto" w:fill="FFFFCC"/>
            <w:vAlign w:val="center"/>
          </w:tcPr>
          <w:p w14:paraId="723441D3" w14:textId="77777777" w:rsidR="005F6BD0" w:rsidRDefault="003A348D">
            <w:pPr>
              <w:jc w:val="center"/>
              <w:rPr>
                <w:rFonts w:ascii="Times New Roman" w:hAnsi="Times New Roman"/>
                <w:noProof/>
              </w:rPr>
            </w:pPr>
            <w:r>
              <w:rPr>
                <w:rFonts w:ascii="Times New Roman" w:hAnsi="Times New Roman"/>
                <w:noProof/>
              </w:rPr>
              <w:t>Implementing act</w:t>
            </w:r>
          </w:p>
        </w:tc>
        <w:tc>
          <w:tcPr>
            <w:tcW w:w="1994" w:type="dxa"/>
            <w:shd w:val="clear" w:color="auto" w:fill="FFFFCC"/>
            <w:vAlign w:val="center"/>
          </w:tcPr>
          <w:p w14:paraId="59CE247A" w14:textId="77777777" w:rsidR="005F6BD0" w:rsidRDefault="003A348D">
            <w:pPr>
              <w:jc w:val="center"/>
              <w:rPr>
                <w:rFonts w:ascii="Times New Roman" w:hAnsi="Times New Roman"/>
                <w:noProof/>
              </w:rPr>
            </w:pPr>
            <w:r>
              <w:rPr>
                <w:rFonts w:ascii="Times New Roman" w:hAnsi="Times New Roman"/>
                <w:noProof/>
              </w:rPr>
              <w:t>2020</w:t>
            </w:r>
          </w:p>
        </w:tc>
      </w:tr>
      <w:tr w:rsidR="005F6BD0" w14:paraId="657BE359" w14:textId="77777777" w:rsidTr="00601A28">
        <w:trPr>
          <w:trHeight w:val="154"/>
        </w:trPr>
        <w:tc>
          <w:tcPr>
            <w:tcW w:w="2030" w:type="dxa"/>
            <w:shd w:val="clear" w:color="auto" w:fill="CCFFCC"/>
            <w:vAlign w:val="center"/>
          </w:tcPr>
          <w:p w14:paraId="24890CCF" w14:textId="77777777" w:rsidR="005F6BD0" w:rsidRDefault="003A348D">
            <w:pPr>
              <w:rPr>
                <w:rFonts w:ascii="Times New Roman" w:hAnsi="Times New Roman"/>
                <w:noProof/>
              </w:rPr>
            </w:pPr>
            <w:r>
              <w:rPr>
                <w:rFonts w:ascii="Times New Roman" w:hAnsi="Times New Roman"/>
                <w:noProof/>
              </w:rPr>
              <w:t>Revision of Regulation (EU) No 389/2013 (the Registry Regulation)</w:t>
            </w:r>
          </w:p>
        </w:tc>
        <w:tc>
          <w:tcPr>
            <w:tcW w:w="3808" w:type="dxa"/>
            <w:shd w:val="clear" w:color="auto" w:fill="CCFFCC"/>
            <w:vAlign w:val="center"/>
          </w:tcPr>
          <w:p w14:paraId="38BD2981" w14:textId="77777777" w:rsidR="005F6BD0" w:rsidRDefault="003A348D">
            <w:pPr>
              <w:rPr>
                <w:rFonts w:ascii="Times New Roman" w:hAnsi="Times New Roman"/>
                <w:noProof/>
              </w:rPr>
            </w:pPr>
            <w:r>
              <w:rPr>
                <w:rFonts w:ascii="Times New Roman" w:hAnsi="Times New Roman"/>
                <w:noProof/>
              </w:rPr>
              <w:t>Laying down the requirements for the Union Registry for phase 4 in the form of standardised electronic databases containing common data elements to track the issue, holding, transfer and cancellation of allowances, and to provide for public access and confidentiality</w:t>
            </w:r>
          </w:p>
        </w:tc>
        <w:tc>
          <w:tcPr>
            <w:tcW w:w="1862" w:type="dxa"/>
            <w:shd w:val="clear" w:color="auto" w:fill="CCFFCC"/>
            <w:vAlign w:val="center"/>
          </w:tcPr>
          <w:p w14:paraId="4BEE1E91" w14:textId="77777777" w:rsidR="005F6BD0" w:rsidRDefault="000E4949">
            <w:pPr>
              <w:jc w:val="center"/>
              <w:rPr>
                <w:rFonts w:ascii="Times New Roman" w:hAnsi="Times New Roman"/>
                <w:noProof/>
              </w:rPr>
            </w:pPr>
            <w:r>
              <w:rPr>
                <w:rFonts w:ascii="Times New Roman" w:hAnsi="Times New Roman"/>
                <w:noProof/>
              </w:rPr>
              <w:t>Commission D</w:t>
            </w:r>
            <w:r w:rsidR="007E289C">
              <w:rPr>
                <w:rFonts w:ascii="Times New Roman" w:hAnsi="Times New Roman"/>
                <w:noProof/>
              </w:rPr>
              <w:t>elegated Regulation</w:t>
            </w:r>
          </w:p>
        </w:tc>
        <w:tc>
          <w:tcPr>
            <w:tcW w:w="1994" w:type="dxa"/>
            <w:shd w:val="clear" w:color="auto" w:fill="CCFFCC"/>
            <w:vAlign w:val="center"/>
          </w:tcPr>
          <w:p w14:paraId="09177F50" w14:textId="77777777" w:rsidR="005F6BD0" w:rsidRDefault="00970C68" w:rsidP="00971AA1">
            <w:pPr>
              <w:jc w:val="center"/>
              <w:rPr>
                <w:rFonts w:ascii="Times New Roman" w:hAnsi="Times New Roman"/>
                <w:noProof/>
              </w:rPr>
            </w:pPr>
            <w:r>
              <w:rPr>
                <w:rFonts w:ascii="Times New Roman" w:hAnsi="Times New Roman"/>
                <w:noProof/>
                <w:color w:val="000000" w:themeColor="text1"/>
              </w:rPr>
              <w:t>Adopted on 12 March 2019 and published in the Official Journal on 2 July 2019</w:t>
            </w:r>
            <w:r w:rsidR="00362D29">
              <w:rPr>
                <w:rStyle w:val="FootnoteReference"/>
                <w:rFonts w:ascii="Times New Roman" w:hAnsi="Times New Roman"/>
                <w:noProof/>
                <w:color w:val="000000" w:themeColor="text1"/>
              </w:rPr>
              <w:footnoteReference w:id="84"/>
            </w:r>
          </w:p>
        </w:tc>
      </w:tr>
      <w:tr w:rsidR="005F6BD0" w14:paraId="3E6D4906" w14:textId="77777777" w:rsidTr="00601A28">
        <w:trPr>
          <w:trHeight w:val="154"/>
        </w:trPr>
        <w:tc>
          <w:tcPr>
            <w:tcW w:w="2030" w:type="dxa"/>
            <w:shd w:val="clear" w:color="auto" w:fill="CCFFCC"/>
            <w:vAlign w:val="center"/>
          </w:tcPr>
          <w:p w14:paraId="5CCDAB84" w14:textId="77777777" w:rsidR="005F6BD0" w:rsidRDefault="003A348D">
            <w:pPr>
              <w:rPr>
                <w:rFonts w:ascii="Times New Roman" w:hAnsi="Times New Roman"/>
                <w:noProof/>
              </w:rPr>
            </w:pPr>
            <w:r>
              <w:rPr>
                <w:rFonts w:ascii="Times New Roman" w:hAnsi="Times New Roman"/>
                <w:noProof/>
              </w:rPr>
              <w:t>Amendment of Regulation (EU) No 1031/2010 (the Auctioning Regulation)</w:t>
            </w:r>
          </w:p>
        </w:tc>
        <w:tc>
          <w:tcPr>
            <w:tcW w:w="3808" w:type="dxa"/>
            <w:shd w:val="clear" w:color="auto" w:fill="CCFFCC"/>
            <w:vAlign w:val="center"/>
          </w:tcPr>
          <w:p w14:paraId="5939CD27" w14:textId="77777777" w:rsidR="005F6BD0" w:rsidRDefault="003A348D">
            <w:pPr>
              <w:rPr>
                <w:rFonts w:ascii="Times New Roman" w:hAnsi="Times New Roman"/>
                <w:noProof/>
              </w:rPr>
            </w:pPr>
            <w:r>
              <w:rPr>
                <w:rFonts w:ascii="Times New Roman" w:hAnsi="Times New Roman"/>
                <w:noProof/>
              </w:rPr>
              <w:t>Enabling the auctioning of the first 50 million allowances for the Innovation Fund taken from the Market Stability Reserve (MSR) in 2020</w:t>
            </w:r>
          </w:p>
        </w:tc>
        <w:tc>
          <w:tcPr>
            <w:tcW w:w="1862" w:type="dxa"/>
            <w:shd w:val="clear" w:color="auto" w:fill="CCFFCC"/>
            <w:vAlign w:val="center"/>
          </w:tcPr>
          <w:p w14:paraId="19804815" w14:textId="77777777" w:rsidR="005F6BD0" w:rsidRDefault="00EE5825">
            <w:pPr>
              <w:jc w:val="center"/>
              <w:rPr>
                <w:rFonts w:ascii="Times New Roman" w:hAnsi="Times New Roman"/>
                <w:noProof/>
              </w:rPr>
            </w:pPr>
            <w:r>
              <w:rPr>
                <w:rFonts w:ascii="Times New Roman" w:hAnsi="Times New Roman"/>
                <w:noProof/>
              </w:rPr>
              <w:t>C</w:t>
            </w:r>
            <w:r w:rsidR="000E4949">
              <w:rPr>
                <w:rFonts w:ascii="Times New Roman" w:hAnsi="Times New Roman"/>
                <w:noProof/>
              </w:rPr>
              <w:t>ommission D</w:t>
            </w:r>
            <w:r>
              <w:rPr>
                <w:rFonts w:ascii="Times New Roman" w:hAnsi="Times New Roman"/>
                <w:noProof/>
              </w:rPr>
              <w:t>elegated Regulation</w:t>
            </w:r>
          </w:p>
        </w:tc>
        <w:tc>
          <w:tcPr>
            <w:tcW w:w="1994" w:type="dxa"/>
            <w:shd w:val="clear" w:color="auto" w:fill="CCFFCC"/>
            <w:vAlign w:val="center"/>
          </w:tcPr>
          <w:p w14:paraId="695A0B38" w14:textId="77777777" w:rsidR="005F6BD0" w:rsidRDefault="00EE5825" w:rsidP="00971AA1">
            <w:pPr>
              <w:jc w:val="center"/>
              <w:rPr>
                <w:rFonts w:ascii="Times New Roman" w:hAnsi="Times New Roman"/>
                <w:noProof/>
              </w:rPr>
            </w:pPr>
            <w:r>
              <w:rPr>
                <w:rFonts w:ascii="Times New Roman" w:hAnsi="Times New Roman"/>
                <w:noProof/>
                <w:color w:val="000000" w:themeColor="text1"/>
              </w:rPr>
              <w:t>Adopted on 30 October 2018 and publsihed in the Official Journal on 4 January 2019</w:t>
            </w:r>
            <w:r w:rsidR="00C31FEB">
              <w:rPr>
                <w:rStyle w:val="FootnoteReference"/>
                <w:rFonts w:ascii="Times New Roman" w:hAnsi="Times New Roman"/>
                <w:noProof/>
                <w:color w:val="000000" w:themeColor="text1"/>
              </w:rPr>
              <w:footnoteReference w:id="85"/>
            </w:r>
          </w:p>
        </w:tc>
      </w:tr>
      <w:tr w:rsidR="005F6BD0" w14:paraId="1734A4E3" w14:textId="77777777" w:rsidTr="00601A28">
        <w:trPr>
          <w:trHeight w:val="154"/>
        </w:trPr>
        <w:tc>
          <w:tcPr>
            <w:tcW w:w="2030" w:type="dxa"/>
            <w:shd w:val="clear" w:color="auto" w:fill="FFFFCC"/>
            <w:vAlign w:val="center"/>
          </w:tcPr>
          <w:p w14:paraId="01973151" w14:textId="77777777" w:rsidR="005F6BD0" w:rsidRDefault="003A348D">
            <w:pPr>
              <w:rPr>
                <w:rFonts w:ascii="Times New Roman" w:hAnsi="Times New Roman"/>
                <w:noProof/>
              </w:rPr>
            </w:pPr>
            <w:r>
              <w:rPr>
                <w:rFonts w:ascii="Times New Roman" w:hAnsi="Times New Roman"/>
                <w:noProof/>
              </w:rPr>
              <w:t>Revision of Regulation (EU) No 1031/2010 (the Auctioning Regulation)</w:t>
            </w:r>
          </w:p>
        </w:tc>
        <w:tc>
          <w:tcPr>
            <w:tcW w:w="3808" w:type="dxa"/>
            <w:shd w:val="clear" w:color="auto" w:fill="FFFFCC"/>
            <w:vAlign w:val="center"/>
          </w:tcPr>
          <w:p w14:paraId="204BA481" w14:textId="77777777" w:rsidR="005F6BD0" w:rsidRDefault="003A348D">
            <w:pPr>
              <w:spacing w:after="120"/>
              <w:rPr>
                <w:rFonts w:ascii="Times New Roman" w:hAnsi="Times New Roman"/>
                <w:noProof/>
              </w:rPr>
            </w:pPr>
            <w:r>
              <w:rPr>
                <w:rFonts w:ascii="Times New Roman" w:hAnsi="Times New Roman"/>
                <w:noProof/>
              </w:rPr>
              <w:t xml:space="preserve">Revising some aspects of the auctioning process to implement requirements for phase 4, in particular to enable the auctioning of allowances for the Innovation Fund and the Modernisation Fund, as well as to reflect the classification of EU ETS allowances as financial instruments </w:t>
            </w:r>
            <w:r>
              <w:rPr>
                <w:rFonts w:ascii="Times New Roman" w:eastAsia="Times New Roman" w:hAnsi="Times New Roman"/>
                <w:noProof/>
              </w:rPr>
              <w:t xml:space="preserve"> under</w:t>
            </w:r>
            <w:r>
              <w:rPr>
                <w:noProof/>
              </w:rPr>
              <w:t xml:space="preserve"> </w:t>
            </w:r>
            <w:r>
              <w:rPr>
                <w:rFonts w:ascii="Times New Roman" w:eastAsia="Times New Roman" w:hAnsi="Times New Roman"/>
                <w:noProof/>
              </w:rPr>
              <w:t>Directive 2014/65/EU on markets in financial instruments (MiFID2).</w:t>
            </w:r>
          </w:p>
        </w:tc>
        <w:tc>
          <w:tcPr>
            <w:tcW w:w="1862" w:type="dxa"/>
            <w:shd w:val="clear" w:color="auto" w:fill="FFFFCC"/>
            <w:vAlign w:val="center"/>
          </w:tcPr>
          <w:p w14:paraId="10F2A58F" w14:textId="77777777" w:rsidR="005F6BD0" w:rsidRDefault="003A348D">
            <w:pPr>
              <w:jc w:val="center"/>
              <w:rPr>
                <w:rFonts w:ascii="Times New Roman" w:hAnsi="Times New Roman"/>
                <w:noProof/>
              </w:rPr>
            </w:pPr>
            <w:r>
              <w:rPr>
                <w:rFonts w:ascii="Times New Roman" w:hAnsi="Times New Roman"/>
                <w:noProof/>
              </w:rPr>
              <w:t>Delegated act</w:t>
            </w:r>
          </w:p>
        </w:tc>
        <w:tc>
          <w:tcPr>
            <w:tcW w:w="1994" w:type="dxa"/>
            <w:shd w:val="clear" w:color="auto" w:fill="FFFFCC"/>
            <w:vAlign w:val="center"/>
          </w:tcPr>
          <w:p w14:paraId="47C622DF" w14:textId="77777777" w:rsidR="005F6BD0" w:rsidRDefault="003A348D">
            <w:pPr>
              <w:jc w:val="center"/>
              <w:rPr>
                <w:rFonts w:ascii="Times New Roman" w:hAnsi="Times New Roman"/>
                <w:noProof/>
              </w:rPr>
            </w:pPr>
            <w:r>
              <w:rPr>
                <w:rFonts w:ascii="Times New Roman" w:hAnsi="Times New Roman"/>
                <w:noProof/>
              </w:rPr>
              <w:t>2019</w:t>
            </w:r>
          </w:p>
        </w:tc>
      </w:tr>
      <w:tr w:rsidR="005F6BD0" w14:paraId="10BEBB1D" w14:textId="77777777" w:rsidTr="00601A28">
        <w:trPr>
          <w:trHeight w:val="154"/>
        </w:trPr>
        <w:tc>
          <w:tcPr>
            <w:tcW w:w="2030" w:type="dxa"/>
            <w:shd w:val="clear" w:color="auto" w:fill="CCFFCC"/>
            <w:vAlign w:val="center"/>
          </w:tcPr>
          <w:p w14:paraId="59A6486B" w14:textId="77777777" w:rsidR="005F6BD0" w:rsidRDefault="003A348D">
            <w:pPr>
              <w:rPr>
                <w:rFonts w:ascii="Times New Roman" w:hAnsi="Times New Roman"/>
                <w:noProof/>
              </w:rPr>
            </w:pPr>
            <w:r>
              <w:rPr>
                <w:rFonts w:ascii="Times New Roman" w:hAnsi="Times New Roman"/>
                <w:noProof/>
              </w:rPr>
              <w:t>Revision of Regulation N° 601/2012 on Monitoring and Reporting</w:t>
            </w:r>
          </w:p>
        </w:tc>
        <w:tc>
          <w:tcPr>
            <w:tcW w:w="3808" w:type="dxa"/>
            <w:shd w:val="clear" w:color="auto" w:fill="CCFFCC"/>
            <w:vAlign w:val="center"/>
          </w:tcPr>
          <w:p w14:paraId="5B35144D" w14:textId="77777777" w:rsidR="005F6BD0" w:rsidRDefault="003A348D">
            <w:pPr>
              <w:rPr>
                <w:rFonts w:ascii="Times New Roman" w:hAnsi="Times New Roman"/>
                <w:noProof/>
              </w:rPr>
            </w:pPr>
            <w:r>
              <w:rPr>
                <w:rFonts w:ascii="Times New Roman" w:hAnsi="Times New Roman"/>
                <w:noProof/>
              </w:rPr>
              <w:t>Simplifying, improving and clarifying the monitoring and reporting rules and reducing administrative burden, based on implementation experience from phase 3</w:t>
            </w:r>
          </w:p>
        </w:tc>
        <w:tc>
          <w:tcPr>
            <w:tcW w:w="1862" w:type="dxa"/>
            <w:shd w:val="clear" w:color="auto" w:fill="CCFFCC"/>
            <w:vAlign w:val="center"/>
          </w:tcPr>
          <w:p w14:paraId="1E58A93D" w14:textId="77777777" w:rsidR="005F6BD0" w:rsidRDefault="002A3783">
            <w:pPr>
              <w:jc w:val="center"/>
              <w:rPr>
                <w:rFonts w:ascii="Times New Roman" w:hAnsi="Times New Roman"/>
                <w:noProof/>
              </w:rPr>
            </w:pPr>
            <w:r>
              <w:rPr>
                <w:rFonts w:ascii="Times New Roman" w:hAnsi="Times New Roman"/>
                <w:noProof/>
              </w:rPr>
              <w:t>Commission Implementing Regulation</w:t>
            </w:r>
          </w:p>
        </w:tc>
        <w:tc>
          <w:tcPr>
            <w:tcW w:w="1994" w:type="dxa"/>
            <w:shd w:val="clear" w:color="auto" w:fill="CCFFCC"/>
            <w:vAlign w:val="center"/>
          </w:tcPr>
          <w:p w14:paraId="4A6145C7" w14:textId="77777777" w:rsidR="005F6BD0" w:rsidRDefault="009A6369" w:rsidP="00971AA1">
            <w:pPr>
              <w:jc w:val="center"/>
              <w:rPr>
                <w:rFonts w:ascii="Times New Roman" w:hAnsi="Times New Roman"/>
                <w:noProof/>
              </w:rPr>
            </w:pPr>
            <w:r>
              <w:rPr>
                <w:rFonts w:ascii="Times New Roman" w:hAnsi="Times New Roman"/>
                <w:noProof/>
              </w:rPr>
              <w:t>Adopted on 19 December 2018 and published in the Offical Journal on 31 December 2018</w:t>
            </w:r>
            <w:r w:rsidR="00AF41CE">
              <w:rPr>
                <w:rStyle w:val="FootnoteReference"/>
                <w:rFonts w:ascii="Times New Roman" w:hAnsi="Times New Roman"/>
                <w:noProof/>
              </w:rPr>
              <w:footnoteReference w:id="86"/>
            </w:r>
          </w:p>
        </w:tc>
      </w:tr>
      <w:tr w:rsidR="005F6BD0" w14:paraId="7F53BE0B" w14:textId="77777777" w:rsidTr="00A324A5">
        <w:trPr>
          <w:trHeight w:val="154"/>
        </w:trPr>
        <w:tc>
          <w:tcPr>
            <w:tcW w:w="2030" w:type="dxa"/>
            <w:tcBorders>
              <w:bottom w:val="double" w:sz="4" w:space="0" w:color="auto"/>
            </w:tcBorders>
            <w:shd w:val="clear" w:color="auto" w:fill="CCFFCC"/>
            <w:vAlign w:val="center"/>
          </w:tcPr>
          <w:p w14:paraId="001CF685" w14:textId="77777777" w:rsidR="005F6BD0" w:rsidRDefault="003A348D">
            <w:pPr>
              <w:rPr>
                <w:rFonts w:ascii="Times New Roman" w:hAnsi="Times New Roman"/>
                <w:noProof/>
              </w:rPr>
            </w:pPr>
            <w:r>
              <w:rPr>
                <w:rFonts w:ascii="Times New Roman" w:hAnsi="Times New Roman"/>
                <w:noProof/>
              </w:rPr>
              <w:t>Revision of Regulation N° 600/2012 on Verification and Accreditation</w:t>
            </w:r>
          </w:p>
        </w:tc>
        <w:tc>
          <w:tcPr>
            <w:tcW w:w="3808" w:type="dxa"/>
            <w:tcBorders>
              <w:bottom w:val="double" w:sz="4" w:space="0" w:color="auto"/>
            </w:tcBorders>
            <w:shd w:val="clear" w:color="auto" w:fill="CCFFCC"/>
            <w:vAlign w:val="center"/>
          </w:tcPr>
          <w:p w14:paraId="7229FB85" w14:textId="77777777" w:rsidR="005F6BD0" w:rsidRDefault="003A348D">
            <w:pPr>
              <w:rPr>
                <w:rFonts w:ascii="Times New Roman" w:hAnsi="Times New Roman"/>
                <w:noProof/>
              </w:rPr>
            </w:pPr>
            <w:r>
              <w:rPr>
                <w:rFonts w:ascii="Times New Roman" w:hAnsi="Times New Roman"/>
                <w:noProof/>
              </w:rPr>
              <w:t>Simplifying, improving and clarifying the accreditation and verification rules and reducing administrative burden to the extent possible, based on implementation experience from phase 3</w:t>
            </w:r>
          </w:p>
        </w:tc>
        <w:tc>
          <w:tcPr>
            <w:tcW w:w="1862" w:type="dxa"/>
            <w:tcBorders>
              <w:bottom w:val="double" w:sz="4" w:space="0" w:color="auto"/>
            </w:tcBorders>
            <w:shd w:val="clear" w:color="auto" w:fill="CCFFCC"/>
            <w:vAlign w:val="center"/>
          </w:tcPr>
          <w:p w14:paraId="4FA307CA" w14:textId="77777777" w:rsidR="005F6BD0" w:rsidRDefault="009A6369">
            <w:pPr>
              <w:jc w:val="center"/>
              <w:rPr>
                <w:rFonts w:ascii="Times New Roman" w:hAnsi="Times New Roman"/>
                <w:noProof/>
              </w:rPr>
            </w:pPr>
            <w:r>
              <w:rPr>
                <w:rFonts w:ascii="Times New Roman" w:hAnsi="Times New Roman"/>
                <w:noProof/>
              </w:rPr>
              <w:t xml:space="preserve">Commission Implementing Regulation </w:t>
            </w:r>
          </w:p>
        </w:tc>
        <w:tc>
          <w:tcPr>
            <w:tcW w:w="1994" w:type="dxa"/>
            <w:tcBorders>
              <w:bottom w:val="double" w:sz="4" w:space="0" w:color="auto"/>
            </w:tcBorders>
            <w:shd w:val="clear" w:color="auto" w:fill="CCFFCC"/>
            <w:vAlign w:val="center"/>
          </w:tcPr>
          <w:p w14:paraId="3C6EBCF4" w14:textId="77777777" w:rsidR="005F6BD0" w:rsidRDefault="005F547A" w:rsidP="00971AA1">
            <w:pPr>
              <w:jc w:val="center"/>
              <w:rPr>
                <w:rFonts w:ascii="Times New Roman" w:hAnsi="Times New Roman"/>
                <w:noProof/>
              </w:rPr>
            </w:pPr>
            <w:r>
              <w:rPr>
                <w:rFonts w:ascii="Times New Roman" w:hAnsi="Times New Roman"/>
                <w:noProof/>
              </w:rPr>
              <w:t>Adopted on 19 December 2018 and publsihed in the Official Journal on 31 December 2018</w:t>
            </w:r>
            <w:r w:rsidR="00AF41CE">
              <w:rPr>
                <w:rStyle w:val="FootnoteReference"/>
                <w:rFonts w:ascii="Times New Roman" w:hAnsi="Times New Roman"/>
                <w:noProof/>
              </w:rPr>
              <w:footnoteReference w:id="87"/>
            </w:r>
          </w:p>
        </w:tc>
      </w:tr>
      <w:tr w:rsidR="00EE1C77" w14:paraId="0E1CEEA2" w14:textId="77777777" w:rsidTr="00A324A5">
        <w:trPr>
          <w:trHeight w:val="154"/>
        </w:trPr>
        <w:tc>
          <w:tcPr>
            <w:tcW w:w="2030" w:type="dxa"/>
            <w:shd w:val="clear" w:color="auto" w:fill="FFFFCC"/>
            <w:vAlign w:val="center"/>
          </w:tcPr>
          <w:p w14:paraId="4AAEB14B" w14:textId="77777777" w:rsidR="00EE1C77" w:rsidRDefault="00EE1C77">
            <w:pPr>
              <w:rPr>
                <w:rFonts w:ascii="Times New Roman" w:hAnsi="Times New Roman"/>
                <w:noProof/>
              </w:rPr>
            </w:pPr>
            <w:r>
              <w:rPr>
                <w:rFonts w:ascii="Times New Roman" w:hAnsi="Times New Roman"/>
                <w:noProof/>
              </w:rPr>
              <w:t xml:space="preserve">Regulation </w:t>
            </w:r>
            <w:r w:rsidRPr="00EE1C77">
              <w:rPr>
                <w:rFonts w:ascii="Times New Roman" w:hAnsi="Times New Roman"/>
                <w:noProof/>
              </w:rPr>
              <w:t>supplementing Directive 2003/</w:t>
            </w:r>
            <w:r>
              <w:rPr>
                <w:rFonts w:ascii="Times New Roman" w:hAnsi="Times New Roman"/>
                <w:noProof/>
              </w:rPr>
              <w:t>87/EC as regards CORSIA</w:t>
            </w:r>
          </w:p>
        </w:tc>
        <w:tc>
          <w:tcPr>
            <w:tcW w:w="3808" w:type="dxa"/>
            <w:shd w:val="clear" w:color="auto" w:fill="FFFFCC"/>
            <w:vAlign w:val="center"/>
          </w:tcPr>
          <w:p w14:paraId="2AD4697B" w14:textId="77777777" w:rsidR="00EE1C77" w:rsidRDefault="00EE1C77">
            <w:pPr>
              <w:rPr>
                <w:rFonts w:ascii="Times New Roman" w:hAnsi="Times New Roman"/>
                <w:noProof/>
              </w:rPr>
            </w:pPr>
            <w:r>
              <w:rPr>
                <w:rFonts w:ascii="Times New Roman" w:hAnsi="Times New Roman"/>
                <w:noProof/>
              </w:rPr>
              <w:t xml:space="preserve">Supplementing the EU ETS Directive </w:t>
            </w:r>
            <w:r w:rsidR="00E47391">
              <w:rPr>
                <w:rFonts w:ascii="Times New Roman" w:hAnsi="Times New Roman"/>
                <w:noProof/>
              </w:rPr>
              <w:t>as regards</w:t>
            </w:r>
            <w:r w:rsidRPr="00EE1C77">
              <w:rPr>
                <w:rFonts w:ascii="Times New Roman" w:hAnsi="Times New Roman"/>
                <w:noProof/>
              </w:rPr>
              <w:t xml:space="preserve"> measures adopted by the Internati</w:t>
            </w:r>
            <w:r>
              <w:rPr>
                <w:rFonts w:ascii="Times New Roman" w:hAnsi="Times New Roman"/>
                <w:noProof/>
              </w:rPr>
              <w:t>onal Civil Aviation Organisation</w:t>
            </w:r>
            <w:r w:rsidRPr="00EE1C77">
              <w:rPr>
                <w:rFonts w:ascii="Times New Roman" w:hAnsi="Times New Roman"/>
                <w:noProof/>
              </w:rPr>
              <w:t xml:space="preserve"> for the monitoring, reporting and verification of aviation emissions for the purpose of implement</w:t>
            </w:r>
            <w:r>
              <w:rPr>
                <w:rFonts w:ascii="Times New Roman" w:hAnsi="Times New Roman"/>
                <w:noProof/>
              </w:rPr>
              <w:t>ing CORSIA</w:t>
            </w:r>
          </w:p>
        </w:tc>
        <w:tc>
          <w:tcPr>
            <w:tcW w:w="1862" w:type="dxa"/>
            <w:shd w:val="clear" w:color="auto" w:fill="FFFFCC"/>
            <w:vAlign w:val="center"/>
          </w:tcPr>
          <w:p w14:paraId="31DF685B" w14:textId="77777777" w:rsidR="00EE1C77" w:rsidRDefault="00EE1C77">
            <w:pPr>
              <w:jc w:val="center"/>
              <w:rPr>
                <w:rFonts w:ascii="Times New Roman" w:hAnsi="Times New Roman"/>
                <w:noProof/>
              </w:rPr>
            </w:pPr>
            <w:r>
              <w:rPr>
                <w:rFonts w:ascii="Times New Roman" w:hAnsi="Times New Roman"/>
                <w:noProof/>
              </w:rPr>
              <w:t>Commission Delegated Regulation</w:t>
            </w:r>
          </w:p>
        </w:tc>
        <w:tc>
          <w:tcPr>
            <w:tcW w:w="1994" w:type="dxa"/>
            <w:shd w:val="clear" w:color="auto" w:fill="FFFFCC"/>
            <w:vAlign w:val="center"/>
          </w:tcPr>
          <w:p w14:paraId="62B32846" w14:textId="77777777" w:rsidR="00EE1C77" w:rsidRDefault="00EE1C77" w:rsidP="00971AA1">
            <w:pPr>
              <w:jc w:val="center"/>
              <w:rPr>
                <w:rFonts w:ascii="Times New Roman" w:hAnsi="Times New Roman"/>
                <w:noProof/>
              </w:rPr>
            </w:pPr>
            <w:r>
              <w:rPr>
                <w:rFonts w:ascii="Times New Roman" w:hAnsi="Times New Roman"/>
                <w:noProof/>
              </w:rPr>
              <w:t>2019</w:t>
            </w:r>
          </w:p>
        </w:tc>
      </w:tr>
      <w:tr w:rsidR="006E77EE" w14:paraId="61D9C793" w14:textId="77777777" w:rsidTr="00601A28">
        <w:trPr>
          <w:trHeight w:val="154"/>
        </w:trPr>
        <w:tc>
          <w:tcPr>
            <w:tcW w:w="2030" w:type="dxa"/>
            <w:shd w:val="clear" w:color="auto" w:fill="FFFFCC"/>
            <w:vAlign w:val="center"/>
          </w:tcPr>
          <w:p w14:paraId="06FB713B" w14:textId="77777777" w:rsidR="006E77EE" w:rsidRDefault="006E77EE">
            <w:pPr>
              <w:rPr>
                <w:rFonts w:ascii="Times New Roman" w:hAnsi="Times New Roman"/>
                <w:noProof/>
              </w:rPr>
            </w:pPr>
            <w:r>
              <w:rPr>
                <w:rFonts w:ascii="Times New Roman" w:hAnsi="Times New Roman"/>
                <w:noProof/>
              </w:rPr>
              <w:t>EU ETS State Aid Guidelines 2021-2030</w:t>
            </w:r>
          </w:p>
        </w:tc>
        <w:tc>
          <w:tcPr>
            <w:tcW w:w="3808" w:type="dxa"/>
            <w:shd w:val="clear" w:color="auto" w:fill="FFFFCC"/>
            <w:vAlign w:val="center"/>
          </w:tcPr>
          <w:p w14:paraId="773396A2" w14:textId="77777777" w:rsidR="006E77EE" w:rsidRDefault="006E77EE">
            <w:pPr>
              <w:rPr>
                <w:rFonts w:ascii="Times New Roman" w:hAnsi="Times New Roman"/>
                <w:noProof/>
              </w:rPr>
            </w:pPr>
            <w:r>
              <w:rPr>
                <w:rFonts w:ascii="Times New Roman" w:hAnsi="Times New Roman"/>
                <w:noProof/>
              </w:rPr>
              <w:t xml:space="preserve">Revising the EU ETS State Aid Guidelines </w:t>
            </w:r>
            <w:r w:rsidRPr="001B4818">
              <w:rPr>
                <w:rFonts w:ascii="Times New Roman" w:hAnsi="Times New Roman"/>
                <w:noProof/>
              </w:rPr>
              <w:t>for phase 4 to accommodate the new provisions introduced by the revised EU ETS Directive for indirect carbon</w:t>
            </w:r>
            <w:r>
              <w:rPr>
                <w:rFonts w:ascii="Times New Roman" w:hAnsi="Times New Roman"/>
                <w:noProof/>
              </w:rPr>
              <w:t xml:space="preserve"> cost compensation schemes</w:t>
            </w:r>
          </w:p>
        </w:tc>
        <w:tc>
          <w:tcPr>
            <w:tcW w:w="1862" w:type="dxa"/>
            <w:shd w:val="clear" w:color="auto" w:fill="FFFFCC"/>
            <w:vAlign w:val="center"/>
          </w:tcPr>
          <w:p w14:paraId="1126B985" w14:textId="77777777" w:rsidR="006E77EE" w:rsidRDefault="006E77EE">
            <w:pPr>
              <w:jc w:val="center"/>
              <w:rPr>
                <w:rFonts w:ascii="Times New Roman" w:hAnsi="Times New Roman"/>
                <w:noProof/>
              </w:rPr>
            </w:pPr>
            <w:r>
              <w:rPr>
                <w:rFonts w:ascii="Times New Roman" w:hAnsi="Times New Roman"/>
                <w:noProof/>
              </w:rPr>
              <w:t>Communication from the Commission</w:t>
            </w:r>
          </w:p>
        </w:tc>
        <w:tc>
          <w:tcPr>
            <w:tcW w:w="1994" w:type="dxa"/>
            <w:shd w:val="clear" w:color="auto" w:fill="FFFFCC"/>
            <w:vAlign w:val="center"/>
          </w:tcPr>
          <w:p w14:paraId="15A7CFC0" w14:textId="77777777" w:rsidR="006E77EE" w:rsidRDefault="006E77EE">
            <w:pPr>
              <w:jc w:val="center"/>
              <w:rPr>
                <w:rFonts w:ascii="Times New Roman" w:hAnsi="Times New Roman"/>
                <w:noProof/>
              </w:rPr>
            </w:pPr>
            <w:r>
              <w:rPr>
                <w:rFonts w:ascii="Times New Roman" w:hAnsi="Times New Roman"/>
                <w:noProof/>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rsidR="007F5B1E" w:rsidRPr="00467859" w14:paraId="398E9281" w14:textId="77777777" w:rsidTr="007F5B1E">
        <w:trPr>
          <w:trHeight w:val="251"/>
        </w:trPr>
        <w:tc>
          <w:tcPr>
            <w:tcW w:w="1851" w:type="dxa"/>
          </w:tcPr>
          <w:p w14:paraId="7ACA2F89" w14:textId="77777777" w:rsidR="007F5B1E" w:rsidRPr="007F5B1E" w:rsidRDefault="007F5B1E" w:rsidP="007F5B1E">
            <w:pPr>
              <w:rPr>
                <w:rFonts w:ascii="Times New Roman" w:hAnsi="Times New Roman"/>
                <w:b/>
                <w:noProof/>
              </w:rPr>
            </w:pPr>
            <w:r w:rsidRPr="007F5B1E">
              <w:rPr>
                <w:rFonts w:ascii="Times New Roman" w:hAnsi="Times New Roman"/>
                <w:b/>
                <w:noProof/>
              </w:rPr>
              <w:t xml:space="preserve">State of play </w:t>
            </w:r>
          </w:p>
        </w:tc>
      </w:tr>
      <w:tr w:rsidR="007F5B1E" w:rsidRPr="00467859" w14:paraId="1EEE117A" w14:textId="77777777" w:rsidTr="007F5B1E">
        <w:trPr>
          <w:trHeight w:val="251"/>
        </w:trPr>
        <w:tc>
          <w:tcPr>
            <w:tcW w:w="1851" w:type="dxa"/>
            <w:tcBorders>
              <w:bottom w:val="single" w:sz="4" w:space="0" w:color="auto"/>
            </w:tcBorders>
          </w:tcPr>
          <w:p w14:paraId="2D9742E5" w14:textId="77777777" w:rsidR="007F5B1E" w:rsidRPr="007F5B1E" w:rsidRDefault="007F5B1E" w:rsidP="007F5B1E">
            <w:pPr>
              <w:rPr>
                <w:rFonts w:ascii="Times New Roman" w:hAnsi="Times New Roman"/>
                <w:noProof/>
              </w:rPr>
            </w:pPr>
            <w:r w:rsidRPr="007F5B1E">
              <w:rPr>
                <w:rFonts w:ascii="Times New Roman" w:hAnsi="Times New Roman"/>
                <w:noProof/>
              </w:rPr>
              <w:t>Planned</w:t>
            </w:r>
          </w:p>
        </w:tc>
      </w:tr>
      <w:tr w:rsidR="007F5B1E" w:rsidRPr="00467859" w14:paraId="4B5492B1" w14:textId="77777777" w:rsidTr="007F5B1E">
        <w:trPr>
          <w:trHeight w:val="251"/>
        </w:trPr>
        <w:tc>
          <w:tcPr>
            <w:tcW w:w="1851" w:type="dxa"/>
            <w:tcBorders>
              <w:bottom w:val="single" w:sz="4" w:space="0" w:color="auto"/>
            </w:tcBorders>
            <w:shd w:val="clear" w:color="auto" w:fill="FFFFCC"/>
          </w:tcPr>
          <w:p w14:paraId="2E213755" w14:textId="77777777" w:rsidR="007F5B1E" w:rsidRPr="007F5B1E" w:rsidRDefault="007F5B1E" w:rsidP="007F5B1E">
            <w:pPr>
              <w:rPr>
                <w:rFonts w:ascii="Times New Roman" w:hAnsi="Times New Roman"/>
                <w:noProof/>
              </w:rPr>
            </w:pPr>
            <w:r w:rsidRPr="007F5B1E">
              <w:rPr>
                <w:rFonts w:ascii="Times New Roman" w:hAnsi="Times New Roman"/>
                <w:noProof/>
              </w:rPr>
              <w:t>Ongoing</w:t>
            </w:r>
          </w:p>
        </w:tc>
      </w:tr>
      <w:tr w:rsidR="007F5B1E" w:rsidRPr="00467859" w14:paraId="54AB2EEC" w14:textId="77777777" w:rsidTr="007F5B1E">
        <w:trPr>
          <w:trHeight w:val="264"/>
        </w:trPr>
        <w:tc>
          <w:tcPr>
            <w:tcW w:w="1851" w:type="dxa"/>
            <w:shd w:val="clear" w:color="auto" w:fill="CCFFCC"/>
          </w:tcPr>
          <w:p w14:paraId="068C6FD7" w14:textId="77777777" w:rsidR="007F5B1E" w:rsidRPr="007F5B1E" w:rsidRDefault="007F5B1E" w:rsidP="007F5B1E">
            <w:pPr>
              <w:rPr>
                <w:rFonts w:ascii="Times New Roman" w:hAnsi="Times New Roman"/>
                <w:noProof/>
              </w:rPr>
            </w:pPr>
            <w:r w:rsidRPr="007F5B1E">
              <w:rPr>
                <w:rFonts w:ascii="Times New Roman" w:hAnsi="Times New Roman"/>
                <w:noProof/>
              </w:rPr>
              <w:t>Done</w:t>
            </w:r>
          </w:p>
        </w:tc>
      </w:tr>
    </w:tbl>
    <w:p w14:paraId="4633E6D4" w14:textId="77777777" w:rsidR="005F6BD0" w:rsidRDefault="005F6BD0" w:rsidP="007F5B1E">
      <w:pPr>
        <w:spacing w:after="0"/>
        <w:rPr>
          <w:rFonts w:ascii="Times New Roman" w:hAnsi="Times New Roman"/>
          <w:b/>
          <w:noProof/>
        </w:rPr>
      </w:pPr>
    </w:p>
    <w:p w14:paraId="502B3DB6" w14:textId="77777777" w:rsidR="005F6BD0" w:rsidRDefault="005F6BD0">
      <w:pPr>
        <w:rPr>
          <w:rFonts w:ascii="Times New Roman" w:hAnsi="Times New Roman"/>
          <w:b/>
          <w:noProof/>
        </w:rPr>
      </w:pPr>
    </w:p>
    <w:p w14:paraId="25EB6222" w14:textId="77777777" w:rsidR="003B73EF" w:rsidRDefault="003B73EF">
      <w:pPr>
        <w:rPr>
          <w:rFonts w:ascii="Times New Roman" w:hAnsi="Times New Roman"/>
          <w:b/>
          <w:noProof/>
        </w:rPr>
      </w:pPr>
    </w:p>
    <w:p w14:paraId="52208539" w14:textId="77777777" w:rsidR="007F5B1E" w:rsidRDefault="007F5B1E">
      <w:pPr>
        <w:rPr>
          <w:rFonts w:ascii="Times New Roman" w:hAnsi="Times New Roman"/>
          <w:b/>
          <w:noProof/>
        </w:rPr>
      </w:pPr>
    </w:p>
    <w:p w14:paraId="44A3B180" w14:textId="77777777" w:rsidR="005F6BD0" w:rsidRDefault="003A348D">
      <w:pPr>
        <w:rPr>
          <w:rFonts w:ascii="Times New Roman" w:hAnsi="Times New Roman"/>
          <w:b/>
          <w:noProof/>
        </w:rPr>
      </w:pPr>
      <w:r>
        <w:rPr>
          <w:rFonts w:ascii="Times New Roman" w:hAnsi="Times New Roman"/>
          <w:b/>
          <w:noProof/>
        </w:rPr>
        <w:t xml:space="preserve">Appendix </w:t>
      </w:r>
      <w:r w:rsidR="00526348">
        <w:rPr>
          <w:rFonts w:ascii="Times New Roman" w:hAnsi="Times New Roman"/>
          <w:b/>
          <w:noProof/>
        </w:rPr>
        <w:t>8</w:t>
      </w:r>
    </w:p>
    <w:p w14:paraId="56DD5484" w14:textId="77777777" w:rsidR="00707619" w:rsidRPr="00516F65" w:rsidRDefault="00707619" w:rsidP="00707619">
      <w:pPr>
        <w:keepNext/>
        <w:rPr>
          <w:rFonts w:ascii="Times New Roman" w:hAnsi="Times New Roman"/>
          <w:b/>
          <w:bCs/>
          <w:noProof/>
          <w:sz w:val="20"/>
          <w:szCs w:val="20"/>
        </w:rPr>
      </w:pPr>
      <w:r w:rsidRPr="00516F65">
        <w:rPr>
          <w:rFonts w:ascii="Times New Roman" w:hAnsi="Times New Roman"/>
          <w:b/>
          <w:bCs/>
          <w:noProof/>
          <w:sz w:val="20"/>
          <w:szCs w:val="20"/>
        </w:rPr>
        <w:t xml:space="preserve">Table </w:t>
      </w:r>
      <w:r w:rsidR="00526348">
        <w:rPr>
          <w:rFonts w:ascii="Times New Roman" w:hAnsi="Times New Roman"/>
          <w:b/>
          <w:bCs/>
          <w:noProof/>
          <w:sz w:val="20"/>
          <w:szCs w:val="20"/>
        </w:rPr>
        <w:t>8</w:t>
      </w:r>
      <w:r w:rsidRPr="00516F65">
        <w:rPr>
          <w:rFonts w:ascii="Times New Roman" w:hAnsi="Times New Roman"/>
          <w:b/>
          <w:bCs/>
          <w:noProof/>
          <w:sz w:val="20"/>
          <w:szCs w:val="20"/>
        </w:rPr>
        <w:t>.1:</w:t>
      </w:r>
      <w:r w:rsidRPr="00516F65">
        <w:rPr>
          <w:b/>
          <w:bCs/>
          <w:noProof/>
          <w:sz w:val="20"/>
          <w:szCs w:val="20"/>
        </w:rPr>
        <w:t xml:space="preserve"> </w:t>
      </w:r>
      <w:r w:rsidRPr="00516F65">
        <w:rPr>
          <w:rFonts w:ascii="Times New Roman" w:hAnsi="Times New Roman"/>
          <w:b/>
          <w:bCs/>
          <w:noProof/>
          <w:sz w:val="20"/>
          <w:szCs w:val="20"/>
        </w:rPr>
        <w:t>Member State contributions  to the Market Stability Reserve  in 2019</w:t>
      </w:r>
      <w:r w:rsidRPr="00516F65">
        <w:rPr>
          <w:rStyle w:val="FootnoteReference"/>
          <w:b/>
          <w:noProof/>
          <w:sz w:val="20"/>
          <w:szCs w:val="20"/>
        </w:rPr>
        <w:footnoteReference w:id="88"/>
      </w:r>
      <w:r w:rsidRPr="00516F65">
        <w:rPr>
          <w:rFonts w:ascii="Times New Roman" w:hAnsi="Times New Roman"/>
          <w:b/>
          <w:bCs/>
          <w:noProof/>
          <w:sz w:val="20"/>
          <w:szCs w:val="20"/>
        </w:rPr>
        <w:t xml:space="preserve"> and 2020</w:t>
      </w:r>
      <w:r w:rsidRPr="00516F65">
        <w:rPr>
          <w:rStyle w:val="FootnoteReference"/>
          <w:b/>
          <w:noProof/>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rsidR="00707619" w:rsidRPr="009D6C7E" w14:paraId="4DD3BAAA" w14:textId="77777777" w:rsidTr="00601A28">
        <w:trPr>
          <w:trHeight w:val="1274"/>
        </w:trPr>
        <w:tc>
          <w:tcPr>
            <w:tcW w:w="3102" w:type="dxa"/>
            <w:shd w:val="clear" w:color="auto" w:fill="auto"/>
            <w:vAlign w:val="bottom"/>
            <w:hideMark/>
          </w:tcPr>
          <w:p w14:paraId="04001DB4" w14:textId="77777777" w:rsidR="00707619" w:rsidRPr="00516F65" w:rsidRDefault="00707619" w:rsidP="002C3142">
            <w:pPr>
              <w:spacing w:after="0" w:line="240" w:lineRule="auto"/>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Member State/ EEA</w:t>
            </w:r>
            <w:r w:rsidRPr="00516F65">
              <w:rPr>
                <w:rFonts w:ascii="Times New Roman" w:eastAsia="Times New Roman" w:hAnsi="Times New Roman"/>
                <w:b/>
                <w:bCs/>
                <w:sz w:val="20"/>
                <w:szCs w:val="20"/>
                <w:lang w:eastAsia="fr-BE"/>
              </w:rPr>
              <w:br/>
              <w:t>EFTA State</w:t>
            </w:r>
          </w:p>
        </w:tc>
        <w:tc>
          <w:tcPr>
            <w:tcW w:w="3100" w:type="dxa"/>
            <w:shd w:val="clear" w:color="auto" w:fill="auto"/>
            <w:vAlign w:val="bottom"/>
            <w:hideMark/>
          </w:tcPr>
          <w:p w14:paraId="13803C63" w14:textId="77777777" w:rsidR="00707619" w:rsidRPr="00516F65" w:rsidRDefault="00707619" w:rsidP="002C3142">
            <w:pPr>
              <w:spacing w:after="0" w:line="240" w:lineRule="auto"/>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MSR contributions in 2019</w:t>
            </w:r>
          </w:p>
        </w:tc>
        <w:tc>
          <w:tcPr>
            <w:tcW w:w="3100" w:type="dxa"/>
            <w:shd w:val="clear" w:color="auto" w:fill="auto"/>
            <w:vAlign w:val="bottom"/>
            <w:hideMark/>
          </w:tcPr>
          <w:p w14:paraId="39996C12" w14:textId="77777777" w:rsidR="00707619" w:rsidRPr="00516F65" w:rsidRDefault="00707619" w:rsidP="002C3142">
            <w:pPr>
              <w:spacing w:after="0" w:line="240" w:lineRule="auto"/>
              <w:rPr>
                <w:rFonts w:ascii="Times New Roman" w:eastAsia="Times New Roman" w:hAnsi="Times New Roman"/>
                <w:b/>
                <w:bCs/>
                <w:sz w:val="20"/>
                <w:szCs w:val="20"/>
                <w:lang w:eastAsia="fr-BE"/>
              </w:rPr>
            </w:pPr>
            <w:bookmarkStart w:id="70" w:name="RANGE!E1"/>
            <w:r w:rsidRPr="00516F65">
              <w:rPr>
                <w:rFonts w:ascii="Times New Roman" w:eastAsia="Times New Roman" w:hAnsi="Times New Roman"/>
                <w:b/>
                <w:bCs/>
                <w:sz w:val="20"/>
                <w:szCs w:val="20"/>
                <w:lang w:eastAsia="fr-BE"/>
              </w:rPr>
              <w:t>MSR known contributions in 2020</w:t>
            </w:r>
            <w:bookmarkEnd w:id="70"/>
            <w:r w:rsidRPr="00516F65">
              <w:rPr>
                <w:rStyle w:val="FootnoteReference"/>
                <w:rFonts w:ascii="Times New Roman" w:eastAsia="Times New Roman" w:hAnsi="Times New Roman"/>
                <w:b/>
                <w:bCs/>
                <w:sz w:val="20"/>
                <w:szCs w:val="20"/>
                <w:lang w:eastAsia="fr-BE"/>
              </w:rPr>
              <w:footnoteReference w:id="90"/>
            </w:r>
          </w:p>
        </w:tc>
      </w:tr>
      <w:tr w:rsidR="00707619" w:rsidRPr="009D6C7E" w14:paraId="777FF85C" w14:textId="77777777" w:rsidTr="00601A28">
        <w:trPr>
          <w:trHeight w:val="292"/>
        </w:trPr>
        <w:tc>
          <w:tcPr>
            <w:tcW w:w="3102" w:type="dxa"/>
            <w:shd w:val="clear" w:color="auto" w:fill="auto"/>
            <w:noWrap/>
            <w:vAlign w:val="bottom"/>
            <w:hideMark/>
          </w:tcPr>
          <w:p w14:paraId="4EACFA94"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Austria</w:t>
            </w:r>
          </w:p>
        </w:tc>
        <w:tc>
          <w:tcPr>
            <w:tcW w:w="3100" w:type="dxa"/>
            <w:shd w:val="clear" w:color="auto" w:fill="auto"/>
            <w:noWrap/>
            <w:vAlign w:val="bottom"/>
            <w:hideMark/>
          </w:tcPr>
          <w:p w14:paraId="5D15CC0B"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5 935 748</w:t>
            </w:r>
          </w:p>
        </w:tc>
        <w:tc>
          <w:tcPr>
            <w:tcW w:w="3100" w:type="dxa"/>
            <w:shd w:val="clear" w:color="auto" w:fill="auto"/>
            <w:noWrap/>
            <w:vAlign w:val="bottom"/>
            <w:hideMark/>
          </w:tcPr>
          <w:p w14:paraId="2841986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3 957 699</w:t>
            </w:r>
          </w:p>
        </w:tc>
      </w:tr>
      <w:tr w:rsidR="00707619" w:rsidRPr="009D6C7E" w14:paraId="7DE4C650" w14:textId="77777777" w:rsidTr="00601A28">
        <w:trPr>
          <w:trHeight w:val="292"/>
        </w:trPr>
        <w:tc>
          <w:tcPr>
            <w:tcW w:w="3102" w:type="dxa"/>
            <w:shd w:val="clear" w:color="auto" w:fill="auto"/>
            <w:noWrap/>
            <w:vAlign w:val="bottom"/>
            <w:hideMark/>
          </w:tcPr>
          <w:p w14:paraId="0367DEE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Belgium</w:t>
            </w:r>
          </w:p>
        </w:tc>
        <w:tc>
          <w:tcPr>
            <w:tcW w:w="3100" w:type="dxa"/>
            <w:shd w:val="clear" w:color="auto" w:fill="auto"/>
            <w:noWrap/>
            <w:vAlign w:val="bottom"/>
            <w:hideMark/>
          </w:tcPr>
          <w:p w14:paraId="42E00D8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9 846 994</w:t>
            </w:r>
          </w:p>
        </w:tc>
        <w:tc>
          <w:tcPr>
            <w:tcW w:w="3100" w:type="dxa"/>
            <w:shd w:val="clear" w:color="auto" w:fill="auto"/>
            <w:noWrap/>
            <w:vAlign w:val="bottom"/>
            <w:hideMark/>
          </w:tcPr>
          <w:p w14:paraId="2873CF4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6 565 549</w:t>
            </w:r>
          </w:p>
        </w:tc>
      </w:tr>
      <w:tr w:rsidR="00707619" w:rsidRPr="009D6C7E" w14:paraId="0CF67E75" w14:textId="77777777" w:rsidTr="00601A28">
        <w:trPr>
          <w:trHeight w:val="292"/>
        </w:trPr>
        <w:tc>
          <w:tcPr>
            <w:tcW w:w="3102" w:type="dxa"/>
            <w:shd w:val="clear" w:color="auto" w:fill="auto"/>
            <w:noWrap/>
            <w:vAlign w:val="bottom"/>
            <w:hideMark/>
          </w:tcPr>
          <w:p w14:paraId="4C98E93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Bulgaria</w:t>
            </w:r>
          </w:p>
        </w:tc>
        <w:tc>
          <w:tcPr>
            <w:tcW w:w="3100" w:type="dxa"/>
            <w:shd w:val="clear" w:color="auto" w:fill="auto"/>
            <w:noWrap/>
            <w:vAlign w:val="bottom"/>
            <w:hideMark/>
          </w:tcPr>
          <w:p w14:paraId="2138C4D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8 292 720</w:t>
            </w:r>
          </w:p>
        </w:tc>
        <w:tc>
          <w:tcPr>
            <w:tcW w:w="3100" w:type="dxa"/>
            <w:shd w:val="clear" w:color="auto" w:fill="auto"/>
            <w:noWrap/>
            <w:vAlign w:val="bottom"/>
            <w:hideMark/>
          </w:tcPr>
          <w:p w14:paraId="19E54E38"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5 529 227</w:t>
            </w:r>
          </w:p>
        </w:tc>
      </w:tr>
      <w:tr w:rsidR="00707619" w:rsidRPr="009D6C7E" w14:paraId="6E6E390F" w14:textId="77777777" w:rsidTr="00601A28">
        <w:trPr>
          <w:trHeight w:val="292"/>
        </w:trPr>
        <w:tc>
          <w:tcPr>
            <w:tcW w:w="3102" w:type="dxa"/>
            <w:shd w:val="clear" w:color="auto" w:fill="auto"/>
            <w:noWrap/>
            <w:vAlign w:val="bottom"/>
            <w:hideMark/>
          </w:tcPr>
          <w:p w14:paraId="675E0640"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Croatia</w:t>
            </w:r>
          </w:p>
        </w:tc>
        <w:tc>
          <w:tcPr>
            <w:tcW w:w="3100" w:type="dxa"/>
            <w:shd w:val="clear" w:color="auto" w:fill="auto"/>
            <w:noWrap/>
            <w:vAlign w:val="bottom"/>
            <w:hideMark/>
          </w:tcPr>
          <w:p w14:paraId="1D22A47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1 614 984</w:t>
            </w:r>
          </w:p>
        </w:tc>
        <w:tc>
          <w:tcPr>
            <w:tcW w:w="3100" w:type="dxa"/>
            <w:shd w:val="clear" w:color="auto" w:fill="auto"/>
            <w:noWrap/>
            <w:vAlign w:val="bottom"/>
            <w:hideMark/>
          </w:tcPr>
          <w:p w14:paraId="550CFDB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1 076 801</w:t>
            </w:r>
          </w:p>
        </w:tc>
      </w:tr>
      <w:tr w:rsidR="00707619" w:rsidRPr="009D6C7E" w14:paraId="3E404C9D" w14:textId="77777777" w:rsidTr="00601A28">
        <w:trPr>
          <w:trHeight w:val="292"/>
        </w:trPr>
        <w:tc>
          <w:tcPr>
            <w:tcW w:w="3102" w:type="dxa"/>
            <w:shd w:val="clear" w:color="auto" w:fill="auto"/>
            <w:noWrap/>
            <w:vAlign w:val="bottom"/>
            <w:hideMark/>
          </w:tcPr>
          <w:p w14:paraId="158FDDA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Cyprus</w:t>
            </w:r>
          </w:p>
        </w:tc>
        <w:tc>
          <w:tcPr>
            <w:tcW w:w="3100" w:type="dxa"/>
            <w:shd w:val="clear" w:color="auto" w:fill="auto"/>
            <w:noWrap/>
            <w:vAlign w:val="bottom"/>
            <w:hideMark/>
          </w:tcPr>
          <w:p w14:paraId="4B37040B"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932 844</w:t>
            </w:r>
          </w:p>
        </w:tc>
        <w:tc>
          <w:tcPr>
            <w:tcW w:w="3100" w:type="dxa"/>
            <w:shd w:val="clear" w:color="auto" w:fill="auto"/>
            <w:noWrap/>
            <w:vAlign w:val="bottom"/>
            <w:hideMark/>
          </w:tcPr>
          <w:p w14:paraId="18A2F290"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621 980</w:t>
            </w:r>
          </w:p>
        </w:tc>
      </w:tr>
      <w:tr w:rsidR="00707619" w:rsidRPr="009D6C7E" w14:paraId="19F268B7" w14:textId="77777777" w:rsidTr="00601A28">
        <w:trPr>
          <w:trHeight w:val="292"/>
        </w:trPr>
        <w:tc>
          <w:tcPr>
            <w:tcW w:w="3102" w:type="dxa"/>
            <w:shd w:val="clear" w:color="auto" w:fill="auto"/>
            <w:noWrap/>
            <w:vAlign w:val="bottom"/>
            <w:hideMark/>
          </w:tcPr>
          <w:p w14:paraId="43C7F5C2"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Czech Republic</w:t>
            </w:r>
          </w:p>
        </w:tc>
        <w:tc>
          <w:tcPr>
            <w:tcW w:w="3100" w:type="dxa"/>
            <w:shd w:val="clear" w:color="auto" w:fill="auto"/>
            <w:noWrap/>
            <w:vAlign w:val="bottom"/>
            <w:hideMark/>
          </w:tcPr>
          <w:p w14:paraId="692BDB55"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15 406 858</w:t>
            </w:r>
          </w:p>
        </w:tc>
        <w:tc>
          <w:tcPr>
            <w:tcW w:w="3100" w:type="dxa"/>
            <w:shd w:val="clear" w:color="auto" w:fill="auto"/>
            <w:noWrap/>
            <w:vAlign w:val="bottom"/>
            <w:hideMark/>
          </w:tcPr>
          <w:p w14:paraId="528A2D2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10 272 626</w:t>
            </w:r>
          </w:p>
        </w:tc>
      </w:tr>
      <w:tr w:rsidR="00707619" w:rsidRPr="009D6C7E" w14:paraId="158FE017" w14:textId="77777777" w:rsidTr="00601A28">
        <w:trPr>
          <w:trHeight w:val="292"/>
        </w:trPr>
        <w:tc>
          <w:tcPr>
            <w:tcW w:w="3102" w:type="dxa"/>
            <w:shd w:val="clear" w:color="auto" w:fill="auto"/>
            <w:noWrap/>
            <w:vAlign w:val="bottom"/>
            <w:hideMark/>
          </w:tcPr>
          <w:p w14:paraId="03A7F586"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Denmark</w:t>
            </w:r>
          </w:p>
        </w:tc>
        <w:tc>
          <w:tcPr>
            <w:tcW w:w="3100" w:type="dxa"/>
            <w:shd w:val="clear" w:color="auto" w:fill="auto"/>
            <w:noWrap/>
            <w:vAlign w:val="bottom"/>
            <w:hideMark/>
          </w:tcPr>
          <w:p w14:paraId="5D82BC4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5 340 750</w:t>
            </w:r>
          </w:p>
        </w:tc>
        <w:tc>
          <w:tcPr>
            <w:tcW w:w="3100" w:type="dxa"/>
            <w:shd w:val="clear" w:color="auto" w:fill="auto"/>
            <w:noWrap/>
            <w:vAlign w:val="bottom"/>
            <w:hideMark/>
          </w:tcPr>
          <w:p w14:paraId="7B7D6B7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3 560 981</w:t>
            </w:r>
          </w:p>
        </w:tc>
      </w:tr>
      <w:tr w:rsidR="00707619" w:rsidRPr="009D6C7E" w14:paraId="442C62CA" w14:textId="77777777" w:rsidTr="00601A28">
        <w:trPr>
          <w:trHeight w:val="292"/>
        </w:trPr>
        <w:tc>
          <w:tcPr>
            <w:tcW w:w="3102" w:type="dxa"/>
            <w:shd w:val="clear" w:color="auto" w:fill="auto"/>
            <w:noWrap/>
            <w:vAlign w:val="bottom"/>
            <w:hideMark/>
          </w:tcPr>
          <w:p w14:paraId="4B948695"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Estonia</w:t>
            </w:r>
          </w:p>
        </w:tc>
        <w:tc>
          <w:tcPr>
            <w:tcW w:w="3100" w:type="dxa"/>
            <w:shd w:val="clear" w:color="auto" w:fill="auto"/>
            <w:noWrap/>
            <w:vAlign w:val="bottom"/>
            <w:hideMark/>
          </w:tcPr>
          <w:p w14:paraId="1BFBCCC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2 904 319</w:t>
            </w:r>
          </w:p>
        </w:tc>
        <w:tc>
          <w:tcPr>
            <w:tcW w:w="3100" w:type="dxa"/>
            <w:shd w:val="clear" w:color="auto" w:fill="auto"/>
            <w:noWrap/>
            <w:vAlign w:val="bottom"/>
            <w:hideMark/>
          </w:tcPr>
          <w:p w14:paraId="25EB0505"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1 936 474</w:t>
            </w:r>
          </w:p>
        </w:tc>
      </w:tr>
      <w:tr w:rsidR="00707619" w:rsidRPr="009D6C7E" w14:paraId="5888A41C" w14:textId="77777777" w:rsidTr="00601A28">
        <w:trPr>
          <w:trHeight w:val="292"/>
        </w:trPr>
        <w:tc>
          <w:tcPr>
            <w:tcW w:w="3102" w:type="dxa"/>
            <w:shd w:val="clear" w:color="auto" w:fill="auto"/>
            <w:noWrap/>
            <w:vAlign w:val="bottom"/>
            <w:hideMark/>
          </w:tcPr>
          <w:p w14:paraId="75D6AE48"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Finland</w:t>
            </w:r>
          </w:p>
        </w:tc>
        <w:tc>
          <w:tcPr>
            <w:tcW w:w="3100" w:type="dxa"/>
            <w:shd w:val="clear" w:color="auto" w:fill="auto"/>
            <w:noWrap/>
            <w:vAlign w:val="bottom"/>
            <w:hideMark/>
          </w:tcPr>
          <w:p w14:paraId="47E8E44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7 130 025</w:t>
            </w:r>
          </w:p>
        </w:tc>
        <w:tc>
          <w:tcPr>
            <w:tcW w:w="3100" w:type="dxa"/>
            <w:shd w:val="clear" w:color="auto" w:fill="auto"/>
            <w:noWrap/>
            <w:vAlign w:val="bottom"/>
            <w:hideMark/>
          </w:tcPr>
          <w:p w14:paraId="4C89AB9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4 753 992</w:t>
            </w:r>
          </w:p>
        </w:tc>
      </w:tr>
      <w:tr w:rsidR="00707619" w:rsidRPr="009D6C7E" w14:paraId="3645574F" w14:textId="77777777" w:rsidTr="00601A28">
        <w:trPr>
          <w:trHeight w:val="292"/>
        </w:trPr>
        <w:tc>
          <w:tcPr>
            <w:tcW w:w="3102" w:type="dxa"/>
            <w:shd w:val="clear" w:color="auto" w:fill="auto"/>
            <w:noWrap/>
            <w:vAlign w:val="bottom"/>
            <w:hideMark/>
          </w:tcPr>
          <w:p w14:paraId="0D0CA15D"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France</w:t>
            </w:r>
          </w:p>
        </w:tc>
        <w:tc>
          <w:tcPr>
            <w:tcW w:w="3100" w:type="dxa"/>
            <w:shd w:val="clear" w:color="auto" w:fill="auto"/>
            <w:noWrap/>
            <w:vAlign w:val="bottom"/>
            <w:hideMark/>
          </w:tcPr>
          <w:p w14:paraId="3897226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23 346 791</w:t>
            </w:r>
          </w:p>
        </w:tc>
        <w:tc>
          <w:tcPr>
            <w:tcW w:w="3100" w:type="dxa"/>
            <w:shd w:val="clear" w:color="auto" w:fill="auto"/>
            <w:noWrap/>
            <w:vAlign w:val="bottom"/>
            <w:hideMark/>
          </w:tcPr>
          <w:p w14:paraId="1910D84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15 566 629</w:t>
            </w:r>
          </w:p>
        </w:tc>
      </w:tr>
      <w:tr w:rsidR="00707619" w:rsidRPr="009D6C7E" w14:paraId="14F46345" w14:textId="77777777" w:rsidTr="00601A28">
        <w:trPr>
          <w:trHeight w:val="292"/>
        </w:trPr>
        <w:tc>
          <w:tcPr>
            <w:tcW w:w="3102" w:type="dxa"/>
            <w:shd w:val="clear" w:color="auto" w:fill="auto"/>
            <w:noWrap/>
            <w:vAlign w:val="bottom"/>
            <w:hideMark/>
          </w:tcPr>
          <w:p w14:paraId="1D334AC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Germany</w:t>
            </w:r>
          </w:p>
        </w:tc>
        <w:tc>
          <w:tcPr>
            <w:tcW w:w="3100" w:type="dxa"/>
            <w:shd w:val="clear" w:color="auto" w:fill="auto"/>
            <w:noWrap/>
            <w:vAlign w:val="bottom"/>
            <w:hideMark/>
          </w:tcPr>
          <w:p w14:paraId="53C9001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85 389 770</w:t>
            </w:r>
          </w:p>
        </w:tc>
        <w:tc>
          <w:tcPr>
            <w:tcW w:w="3100" w:type="dxa"/>
            <w:shd w:val="clear" w:color="auto" w:fill="auto"/>
            <w:noWrap/>
            <w:vAlign w:val="bottom"/>
            <w:hideMark/>
          </w:tcPr>
          <w:p w14:paraId="61159B5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56 934 202</w:t>
            </w:r>
          </w:p>
        </w:tc>
      </w:tr>
      <w:tr w:rsidR="00707619" w:rsidRPr="009D6C7E" w14:paraId="03D83480" w14:textId="77777777" w:rsidTr="00601A28">
        <w:trPr>
          <w:trHeight w:val="292"/>
        </w:trPr>
        <w:tc>
          <w:tcPr>
            <w:tcW w:w="3102" w:type="dxa"/>
            <w:shd w:val="clear" w:color="auto" w:fill="auto"/>
            <w:noWrap/>
            <w:vAlign w:val="bottom"/>
            <w:hideMark/>
          </w:tcPr>
          <w:p w14:paraId="7E9116A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Greece</w:t>
            </w:r>
          </w:p>
        </w:tc>
        <w:tc>
          <w:tcPr>
            <w:tcW w:w="3100" w:type="dxa"/>
            <w:shd w:val="clear" w:color="auto" w:fill="auto"/>
            <w:noWrap/>
            <w:vAlign w:val="bottom"/>
            <w:hideMark/>
          </w:tcPr>
          <w:p w14:paraId="1F1F9EB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12 684 492</w:t>
            </w:r>
          </w:p>
        </w:tc>
        <w:tc>
          <w:tcPr>
            <w:tcW w:w="3100" w:type="dxa"/>
            <w:shd w:val="clear" w:color="auto" w:fill="auto"/>
            <w:noWrap/>
            <w:vAlign w:val="bottom"/>
            <w:hideMark/>
          </w:tcPr>
          <w:p w14:paraId="1B18072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8 457 470</w:t>
            </w:r>
          </w:p>
        </w:tc>
      </w:tr>
      <w:tr w:rsidR="00707619" w:rsidRPr="009D6C7E" w14:paraId="3313AF20" w14:textId="77777777" w:rsidTr="00601A28">
        <w:trPr>
          <w:trHeight w:val="292"/>
        </w:trPr>
        <w:tc>
          <w:tcPr>
            <w:tcW w:w="3102" w:type="dxa"/>
            <w:shd w:val="clear" w:color="auto" w:fill="auto"/>
            <w:noWrap/>
            <w:vAlign w:val="bottom"/>
            <w:hideMark/>
          </w:tcPr>
          <w:p w14:paraId="1862BC3D"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Hungary</w:t>
            </w:r>
          </w:p>
        </w:tc>
        <w:tc>
          <w:tcPr>
            <w:tcW w:w="3100" w:type="dxa"/>
            <w:shd w:val="clear" w:color="auto" w:fill="auto"/>
            <w:noWrap/>
            <w:vAlign w:val="bottom"/>
            <w:hideMark/>
          </w:tcPr>
          <w:p w14:paraId="1EDC2A4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5 115 708</w:t>
            </w:r>
          </w:p>
        </w:tc>
        <w:tc>
          <w:tcPr>
            <w:tcW w:w="3100" w:type="dxa"/>
            <w:shd w:val="clear" w:color="auto" w:fill="auto"/>
            <w:noWrap/>
            <w:vAlign w:val="bottom"/>
            <w:hideMark/>
          </w:tcPr>
          <w:p w14:paraId="7F4FCA60"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3 410 933</w:t>
            </w:r>
          </w:p>
        </w:tc>
      </w:tr>
      <w:tr w:rsidR="00707619" w:rsidRPr="009D6C7E" w14:paraId="44C56151" w14:textId="77777777" w:rsidTr="00601A28">
        <w:trPr>
          <w:trHeight w:val="292"/>
        </w:trPr>
        <w:tc>
          <w:tcPr>
            <w:tcW w:w="3102" w:type="dxa"/>
            <w:shd w:val="clear" w:color="auto" w:fill="auto"/>
            <w:noWrap/>
            <w:vAlign w:val="bottom"/>
            <w:hideMark/>
          </w:tcPr>
          <w:p w14:paraId="153227FC"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Iceland</w:t>
            </w:r>
          </w:p>
        </w:tc>
        <w:tc>
          <w:tcPr>
            <w:tcW w:w="3100" w:type="dxa"/>
            <w:shd w:val="clear" w:color="auto" w:fill="auto"/>
            <w:noWrap/>
            <w:vAlign w:val="bottom"/>
            <w:hideMark/>
          </w:tcPr>
          <w:p w14:paraId="40349B5B"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166 450</w:t>
            </w:r>
          </w:p>
        </w:tc>
        <w:tc>
          <w:tcPr>
            <w:tcW w:w="3100" w:type="dxa"/>
            <w:shd w:val="clear" w:color="auto" w:fill="auto"/>
            <w:noWrap/>
            <w:vAlign w:val="bottom"/>
            <w:hideMark/>
          </w:tcPr>
          <w:p w14:paraId="3D38BD5D"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110 982</w:t>
            </w:r>
          </w:p>
        </w:tc>
      </w:tr>
      <w:tr w:rsidR="00707619" w:rsidRPr="009D6C7E" w14:paraId="5F82ED15" w14:textId="77777777" w:rsidTr="00601A28">
        <w:trPr>
          <w:trHeight w:val="292"/>
        </w:trPr>
        <w:tc>
          <w:tcPr>
            <w:tcW w:w="3102" w:type="dxa"/>
            <w:shd w:val="clear" w:color="auto" w:fill="auto"/>
            <w:noWrap/>
            <w:vAlign w:val="bottom"/>
            <w:hideMark/>
          </w:tcPr>
          <w:p w14:paraId="633333A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Ireland</w:t>
            </w:r>
          </w:p>
        </w:tc>
        <w:tc>
          <w:tcPr>
            <w:tcW w:w="3100" w:type="dxa"/>
            <w:shd w:val="clear" w:color="auto" w:fill="auto"/>
            <w:noWrap/>
            <w:vAlign w:val="bottom"/>
            <w:hideMark/>
          </w:tcPr>
          <w:p w14:paraId="3E521FC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3 991 393</w:t>
            </w:r>
          </w:p>
        </w:tc>
        <w:tc>
          <w:tcPr>
            <w:tcW w:w="3100" w:type="dxa"/>
            <w:shd w:val="clear" w:color="auto" w:fill="auto"/>
            <w:noWrap/>
            <w:vAlign w:val="bottom"/>
            <w:hideMark/>
          </w:tcPr>
          <w:p w14:paraId="6F9919E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2 661 288</w:t>
            </w:r>
          </w:p>
        </w:tc>
      </w:tr>
      <w:tr w:rsidR="00707619" w:rsidRPr="009D6C7E" w14:paraId="04BB7FC1" w14:textId="77777777" w:rsidTr="00601A28">
        <w:trPr>
          <w:trHeight w:val="292"/>
        </w:trPr>
        <w:tc>
          <w:tcPr>
            <w:tcW w:w="3102" w:type="dxa"/>
            <w:shd w:val="clear" w:color="auto" w:fill="auto"/>
            <w:noWrap/>
            <w:vAlign w:val="bottom"/>
            <w:hideMark/>
          </w:tcPr>
          <w:p w14:paraId="3CCE33B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Italy</w:t>
            </w:r>
          </w:p>
        </w:tc>
        <w:tc>
          <w:tcPr>
            <w:tcW w:w="3100" w:type="dxa"/>
            <w:shd w:val="clear" w:color="auto" w:fill="auto"/>
            <w:noWrap/>
            <w:vAlign w:val="bottom"/>
            <w:hideMark/>
          </w:tcPr>
          <w:p w14:paraId="4DA3D63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40 304 729</w:t>
            </w:r>
          </w:p>
        </w:tc>
        <w:tc>
          <w:tcPr>
            <w:tcW w:w="3100" w:type="dxa"/>
            <w:shd w:val="clear" w:color="auto" w:fill="auto"/>
            <w:noWrap/>
            <w:vAlign w:val="bottom"/>
            <w:hideMark/>
          </w:tcPr>
          <w:p w14:paraId="215CEB4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26 873 449</w:t>
            </w:r>
          </w:p>
        </w:tc>
      </w:tr>
      <w:tr w:rsidR="00707619" w:rsidRPr="009D6C7E" w14:paraId="1EAF1743" w14:textId="77777777" w:rsidTr="00601A28">
        <w:trPr>
          <w:trHeight w:val="292"/>
        </w:trPr>
        <w:tc>
          <w:tcPr>
            <w:tcW w:w="3102" w:type="dxa"/>
            <w:shd w:val="clear" w:color="auto" w:fill="auto"/>
            <w:noWrap/>
            <w:vAlign w:val="bottom"/>
            <w:hideMark/>
          </w:tcPr>
          <w:p w14:paraId="2820CAFC"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Latvia</w:t>
            </w:r>
          </w:p>
        </w:tc>
        <w:tc>
          <w:tcPr>
            <w:tcW w:w="3100" w:type="dxa"/>
            <w:shd w:val="clear" w:color="auto" w:fill="auto"/>
            <w:noWrap/>
            <w:vAlign w:val="bottom"/>
            <w:hideMark/>
          </w:tcPr>
          <w:p w14:paraId="0D17DE0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865 501</w:t>
            </w:r>
          </w:p>
        </w:tc>
        <w:tc>
          <w:tcPr>
            <w:tcW w:w="3100" w:type="dxa"/>
            <w:shd w:val="clear" w:color="auto" w:fill="auto"/>
            <w:noWrap/>
            <w:vAlign w:val="bottom"/>
            <w:hideMark/>
          </w:tcPr>
          <w:p w14:paraId="67AE242F"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577 079</w:t>
            </w:r>
          </w:p>
        </w:tc>
      </w:tr>
      <w:tr w:rsidR="00707619" w:rsidRPr="009D6C7E" w14:paraId="1208642F" w14:textId="77777777" w:rsidTr="00601A28">
        <w:trPr>
          <w:trHeight w:val="292"/>
        </w:trPr>
        <w:tc>
          <w:tcPr>
            <w:tcW w:w="3102" w:type="dxa"/>
            <w:shd w:val="clear" w:color="auto" w:fill="auto"/>
            <w:noWrap/>
            <w:vAlign w:val="bottom"/>
            <w:hideMark/>
          </w:tcPr>
          <w:p w14:paraId="3E1C264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Liechtenstein</w:t>
            </w:r>
          </w:p>
        </w:tc>
        <w:tc>
          <w:tcPr>
            <w:tcW w:w="3100" w:type="dxa"/>
            <w:shd w:val="clear" w:color="auto" w:fill="auto"/>
            <w:noWrap/>
            <w:vAlign w:val="bottom"/>
            <w:hideMark/>
          </w:tcPr>
          <w:p w14:paraId="58F6445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3 725</w:t>
            </w:r>
          </w:p>
        </w:tc>
        <w:tc>
          <w:tcPr>
            <w:tcW w:w="3100" w:type="dxa"/>
            <w:shd w:val="clear" w:color="auto" w:fill="auto"/>
            <w:noWrap/>
            <w:vAlign w:val="bottom"/>
            <w:hideMark/>
          </w:tcPr>
          <w:p w14:paraId="7AA7CA4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2 484</w:t>
            </w:r>
          </w:p>
        </w:tc>
      </w:tr>
      <w:tr w:rsidR="00707619" w:rsidRPr="009D6C7E" w14:paraId="466C4BB5" w14:textId="77777777" w:rsidTr="00601A28">
        <w:trPr>
          <w:trHeight w:val="292"/>
        </w:trPr>
        <w:tc>
          <w:tcPr>
            <w:tcW w:w="3102" w:type="dxa"/>
            <w:shd w:val="clear" w:color="auto" w:fill="auto"/>
            <w:noWrap/>
            <w:vAlign w:val="bottom"/>
            <w:hideMark/>
          </w:tcPr>
          <w:p w14:paraId="66F816BE"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Lithuania</w:t>
            </w:r>
          </w:p>
        </w:tc>
        <w:tc>
          <w:tcPr>
            <w:tcW w:w="3100" w:type="dxa"/>
            <w:shd w:val="clear" w:color="auto" w:fill="auto"/>
            <w:noWrap/>
            <w:vAlign w:val="bottom"/>
            <w:hideMark/>
          </w:tcPr>
          <w:p w14:paraId="568D75A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1 792 324</w:t>
            </w:r>
          </w:p>
        </w:tc>
        <w:tc>
          <w:tcPr>
            <w:tcW w:w="3100" w:type="dxa"/>
            <w:shd w:val="clear" w:color="auto" w:fill="auto"/>
            <w:noWrap/>
            <w:vAlign w:val="bottom"/>
            <w:hideMark/>
          </w:tcPr>
          <w:p w14:paraId="0BE76076"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1 195 044</w:t>
            </w:r>
          </w:p>
        </w:tc>
      </w:tr>
      <w:tr w:rsidR="00707619" w:rsidRPr="009D6C7E" w14:paraId="20F109AB" w14:textId="77777777" w:rsidTr="00601A28">
        <w:trPr>
          <w:trHeight w:val="292"/>
        </w:trPr>
        <w:tc>
          <w:tcPr>
            <w:tcW w:w="3102" w:type="dxa"/>
            <w:shd w:val="clear" w:color="auto" w:fill="auto"/>
            <w:noWrap/>
            <w:vAlign w:val="bottom"/>
            <w:hideMark/>
          </w:tcPr>
          <w:p w14:paraId="43A14B7A"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Luxembourg</w:t>
            </w:r>
          </w:p>
        </w:tc>
        <w:tc>
          <w:tcPr>
            <w:tcW w:w="3100" w:type="dxa"/>
            <w:shd w:val="clear" w:color="auto" w:fill="auto"/>
            <w:noWrap/>
            <w:vAlign w:val="bottom"/>
            <w:hideMark/>
          </w:tcPr>
          <w:p w14:paraId="1DD9504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467 394</w:t>
            </w:r>
          </w:p>
        </w:tc>
        <w:tc>
          <w:tcPr>
            <w:tcW w:w="3100" w:type="dxa"/>
            <w:shd w:val="clear" w:color="auto" w:fill="auto"/>
            <w:noWrap/>
            <w:vAlign w:val="bottom"/>
            <w:hideMark/>
          </w:tcPr>
          <w:p w14:paraId="34EA70A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311 638</w:t>
            </w:r>
          </w:p>
        </w:tc>
      </w:tr>
      <w:tr w:rsidR="00707619" w:rsidRPr="009D6C7E" w14:paraId="2E0EF27F" w14:textId="77777777" w:rsidTr="00601A28">
        <w:trPr>
          <w:trHeight w:val="292"/>
        </w:trPr>
        <w:tc>
          <w:tcPr>
            <w:tcW w:w="3102" w:type="dxa"/>
            <w:shd w:val="clear" w:color="auto" w:fill="auto"/>
            <w:noWrap/>
            <w:vAlign w:val="bottom"/>
            <w:hideMark/>
          </w:tcPr>
          <w:p w14:paraId="5A0CABC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Malta</w:t>
            </w:r>
          </w:p>
        </w:tc>
        <w:tc>
          <w:tcPr>
            <w:tcW w:w="3100" w:type="dxa"/>
            <w:shd w:val="clear" w:color="auto" w:fill="auto"/>
            <w:noWrap/>
            <w:vAlign w:val="bottom"/>
            <w:hideMark/>
          </w:tcPr>
          <w:p w14:paraId="3326D626"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354 798</w:t>
            </w:r>
          </w:p>
        </w:tc>
        <w:tc>
          <w:tcPr>
            <w:tcW w:w="3100" w:type="dxa"/>
            <w:shd w:val="clear" w:color="auto" w:fill="auto"/>
            <w:noWrap/>
            <w:vAlign w:val="bottom"/>
            <w:hideMark/>
          </w:tcPr>
          <w:p w14:paraId="73F2360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236 564</w:t>
            </w:r>
          </w:p>
        </w:tc>
      </w:tr>
      <w:tr w:rsidR="00707619" w:rsidRPr="009D6C7E" w14:paraId="7D3CD558" w14:textId="77777777" w:rsidTr="00601A28">
        <w:trPr>
          <w:trHeight w:val="292"/>
        </w:trPr>
        <w:tc>
          <w:tcPr>
            <w:tcW w:w="3102" w:type="dxa"/>
            <w:shd w:val="clear" w:color="auto" w:fill="auto"/>
            <w:noWrap/>
            <w:vAlign w:val="bottom"/>
            <w:hideMark/>
          </w:tcPr>
          <w:p w14:paraId="0E79D113"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Netherlands</w:t>
            </w:r>
          </w:p>
        </w:tc>
        <w:tc>
          <w:tcPr>
            <w:tcW w:w="3100" w:type="dxa"/>
            <w:shd w:val="clear" w:color="auto" w:fill="auto"/>
            <w:noWrap/>
            <w:vAlign w:val="bottom"/>
            <w:hideMark/>
          </w:tcPr>
          <w:p w14:paraId="72567EB2"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14 291 411</w:t>
            </w:r>
          </w:p>
        </w:tc>
        <w:tc>
          <w:tcPr>
            <w:tcW w:w="3100" w:type="dxa"/>
            <w:shd w:val="clear" w:color="auto" w:fill="auto"/>
            <w:noWrap/>
            <w:vAlign w:val="bottom"/>
            <w:hideMark/>
          </w:tcPr>
          <w:p w14:paraId="7B4766B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9 528 894</w:t>
            </w:r>
          </w:p>
        </w:tc>
      </w:tr>
      <w:tr w:rsidR="00707619" w:rsidRPr="009D6C7E" w14:paraId="0F3D8F27" w14:textId="77777777" w:rsidTr="00601A28">
        <w:trPr>
          <w:trHeight w:val="292"/>
        </w:trPr>
        <w:tc>
          <w:tcPr>
            <w:tcW w:w="3102" w:type="dxa"/>
            <w:shd w:val="clear" w:color="auto" w:fill="auto"/>
            <w:noWrap/>
            <w:vAlign w:val="bottom"/>
            <w:hideMark/>
          </w:tcPr>
          <w:p w14:paraId="21D180D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Norway</w:t>
            </w:r>
          </w:p>
        </w:tc>
        <w:tc>
          <w:tcPr>
            <w:tcW w:w="3100" w:type="dxa"/>
            <w:shd w:val="clear" w:color="auto" w:fill="auto"/>
            <w:noWrap/>
            <w:vAlign w:val="bottom"/>
            <w:hideMark/>
          </w:tcPr>
          <w:p w14:paraId="7D4872E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3 314 570</w:t>
            </w:r>
          </w:p>
        </w:tc>
        <w:tc>
          <w:tcPr>
            <w:tcW w:w="3100" w:type="dxa"/>
            <w:shd w:val="clear" w:color="auto" w:fill="auto"/>
            <w:noWrap/>
            <w:vAlign w:val="bottom"/>
            <w:hideMark/>
          </w:tcPr>
          <w:p w14:paraId="5F6DB820"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2 210 012</w:t>
            </w:r>
          </w:p>
        </w:tc>
      </w:tr>
      <w:tr w:rsidR="00707619" w:rsidRPr="009D6C7E" w14:paraId="7DA928EE" w14:textId="77777777" w:rsidTr="00601A28">
        <w:trPr>
          <w:trHeight w:val="292"/>
        </w:trPr>
        <w:tc>
          <w:tcPr>
            <w:tcW w:w="3102" w:type="dxa"/>
            <w:shd w:val="clear" w:color="auto" w:fill="auto"/>
            <w:noWrap/>
            <w:vAlign w:val="bottom"/>
            <w:hideMark/>
          </w:tcPr>
          <w:p w14:paraId="47A97162"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Poland</w:t>
            </w:r>
          </w:p>
        </w:tc>
        <w:tc>
          <w:tcPr>
            <w:tcW w:w="3100" w:type="dxa"/>
            <w:shd w:val="clear" w:color="auto" w:fill="auto"/>
            <w:noWrap/>
            <w:vAlign w:val="bottom"/>
            <w:hideMark/>
          </w:tcPr>
          <w:p w14:paraId="4A6F8881"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39 282 170</w:t>
            </w:r>
          </w:p>
        </w:tc>
        <w:tc>
          <w:tcPr>
            <w:tcW w:w="3100" w:type="dxa"/>
            <w:shd w:val="clear" w:color="auto" w:fill="auto"/>
            <w:noWrap/>
            <w:vAlign w:val="bottom"/>
            <w:hideMark/>
          </w:tcPr>
          <w:p w14:paraId="33D496C7"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26 191 650</w:t>
            </w:r>
          </w:p>
        </w:tc>
      </w:tr>
      <w:tr w:rsidR="00707619" w:rsidRPr="009D6C7E" w14:paraId="3F22C055" w14:textId="77777777" w:rsidTr="00601A28">
        <w:trPr>
          <w:trHeight w:val="292"/>
        </w:trPr>
        <w:tc>
          <w:tcPr>
            <w:tcW w:w="3102" w:type="dxa"/>
            <w:shd w:val="clear" w:color="auto" w:fill="auto"/>
            <w:noWrap/>
            <w:vAlign w:val="bottom"/>
            <w:hideMark/>
          </w:tcPr>
          <w:p w14:paraId="5D942E1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Portugal</w:t>
            </w:r>
          </w:p>
        </w:tc>
        <w:tc>
          <w:tcPr>
            <w:tcW w:w="3100" w:type="dxa"/>
            <w:shd w:val="clear" w:color="auto" w:fill="auto"/>
            <w:noWrap/>
            <w:vAlign w:val="bottom"/>
            <w:hideMark/>
          </w:tcPr>
          <w:p w14:paraId="18B91D7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6 478 775</w:t>
            </w:r>
          </w:p>
        </w:tc>
        <w:tc>
          <w:tcPr>
            <w:tcW w:w="3100" w:type="dxa"/>
            <w:shd w:val="clear" w:color="auto" w:fill="auto"/>
            <w:noWrap/>
            <w:vAlign w:val="bottom"/>
            <w:hideMark/>
          </w:tcPr>
          <w:p w14:paraId="10AC5AC4"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4 319 767</w:t>
            </w:r>
          </w:p>
        </w:tc>
      </w:tr>
      <w:tr w:rsidR="00707619" w:rsidRPr="009D6C7E" w14:paraId="65281759" w14:textId="77777777" w:rsidTr="00601A28">
        <w:trPr>
          <w:trHeight w:val="292"/>
        </w:trPr>
        <w:tc>
          <w:tcPr>
            <w:tcW w:w="3102" w:type="dxa"/>
            <w:shd w:val="clear" w:color="auto" w:fill="auto"/>
            <w:noWrap/>
            <w:vAlign w:val="bottom"/>
            <w:hideMark/>
          </w:tcPr>
          <w:p w14:paraId="33396063"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Romania</w:t>
            </w:r>
          </w:p>
        </w:tc>
        <w:tc>
          <w:tcPr>
            <w:tcW w:w="3100" w:type="dxa"/>
            <w:shd w:val="clear" w:color="auto" w:fill="auto"/>
            <w:noWrap/>
            <w:vAlign w:val="bottom"/>
            <w:hideMark/>
          </w:tcPr>
          <w:p w14:paraId="3B3371D5"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14 941 290</w:t>
            </w:r>
          </w:p>
        </w:tc>
        <w:tc>
          <w:tcPr>
            <w:tcW w:w="3100" w:type="dxa"/>
            <w:shd w:val="clear" w:color="auto" w:fill="auto"/>
            <w:noWrap/>
            <w:vAlign w:val="bottom"/>
            <w:hideMark/>
          </w:tcPr>
          <w:p w14:paraId="3FA2D73D"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9 962 205</w:t>
            </w:r>
          </w:p>
        </w:tc>
      </w:tr>
      <w:tr w:rsidR="00707619" w:rsidRPr="009D6C7E" w14:paraId="664D3594" w14:textId="77777777" w:rsidTr="00601A28">
        <w:trPr>
          <w:trHeight w:val="292"/>
        </w:trPr>
        <w:tc>
          <w:tcPr>
            <w:tcW w:w="3102" w:type="dxa"/>
            <w:shd w:val="clear" w:color="auto" w:fill="auto"/>
            <w:noWrap/>
            <w:vAlign w:val="bottom"/>
            <w:hideMark/>
          </w:tcPr>
          <w:p w14:paraId="4E14A984"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Slovakia</w:t>
            </w:r>
          </w:p>
        </w:tc>
        <w:tc>
          <w:tcPr>
            <w:tcW w:w="3100" w:type="dxa"/>
            <w:shd w:val="clear" w:color="auto" w:fill="auto"/>
            <w:noWrap/>
            <w:vAlign w:val="bottom"/>
            <w:hideMark/>
          </w:tcPr>
          <w:p w14:paraId="09B81448"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4 752 513</w:t>
            </w:r>
          </w:p>
        </w:tc>
        <w:tc>
          <w:tcPr>
            <w:tcW w:w="3100" w:type="dxa"/>
            <w:shd w:val="clear" w:color="auto" w:fill="auto"/>
            <w:noWrap/>
            <w:vAlign w:val="bottom"/>
            <w:hideMark/>
          </w:tcPr>
          <w:p w14:paraId="75EED423"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3 168 770</w:t>
            </w:r>
          </w:p>
        </w:tc>
      </w:tr>
      <w:tr w:rsidR="00707619" w:rsidRPr="009D6C7E" w14:paraId="7DAB0E12" w14:textId="77777777" w:rsidTr="00601A28">
        <w:trPr>
          <w:trHeight w:val="292"/>
        </w:trPr>
        <w:tc>
          <w:tcPr>
            <w:tcW w:w="3102" w:type="dxa"/>
            <w:shd w:val="clear" w:color="auto" w:fill="auto"/>
            <w:noWrap/>
            <w:vAlign w:val="bottom"/>
            <w:hideMark/>
          </w:tcPr>
          <w:p w14:paraId="3B0D5A23"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Slovenia</w:t>
            </w:r>
          </w:p>
        </w:tc>
        <w:tc>
          <w:tcPr>
            <w:tcW w:w="3100" w:type="dxa"/>
            <w:shd w:val="clear" w:color="auto" w:fill="auto"/>
            <w:noWrap/>
            <w:vAlign w:val="bottom"/>
            <w:hideMark/>
          </w:tcPr>
          <w:p w14:paraId="0A47D5B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1 577 714</w:t>
            </w:r>
          </w:p>
        </w:tc>
        <w:tc>
          <w:tcPr>
            <w:tcW w:w="3100" w:type="dxa"/>
            <w:shd w:val="clear" w:color="auto" w:fill="auto"/>
            <w:noWrap/>
            <w:vAlign w:val="bottom"/>
            <w:hideMark/>
          </w:tcPr>
          <w:p w14:paraId="00DEC7FE"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1 051 951</w:t>
            </w:r>
          </w:p>
        </w:tc>
      </w:tr>
      <w:tr w:rsidR="00707619" w:rsidRPr="009D6C7E" w14:paraId="4CE5242E" w14:textId="77777777" w:rsidTr="00601A28">
        <w:trPr>
          <w:trHeight w:val="292"/>
        </w:trPr>
        <w:tc>
          <w:tcPr>
            <w:tcW w:w="3102" w:type="dxa"/>
            <w:shd w:val="clear" w:color="auto" w:fill="auto"/>
            <w:noWrap/>
            <w:vAlign w:val="bottom"/>
            <w:hideMark/>
          </w:tcPr>
          <w:p w14:paraId="2647CE97"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Spain</w:t>
            </w:r>
          </w:p>
        </w:tc>
        <w:tc>
          <w:tcPr>
            <w:tcW w:w="3100" w:type="dxa"/>
            <w:shd w:val="clear" w:color="auto" w:fill="auto"/>
            <w:noWrap/>
            <w:vAlign w:val="bottom"/>
            <w:hideMark/>
          </w:tcPr>
          <w:p w14:paraId="2BCD343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32 660 234</w:t>
            </w:r>
          </w:p>
        </w:tc>
        <w:tc>
          <w:tcPr>
            <w:tcW w:w="3100" w:type="dxa"/>
            <w:shd w:val="clear" w:color="auto" w:fill="auto"/>
            <w:noWrap/>
            <w:vAlign w:val="bottom"/>
            <w:hideMark/>
          </w:tcPr>
          <w:p w14:paraId="7A593F7A"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21 776 430</w:t>
            </w:r>
          </w:p>
        </w:tc>
      </w:tr>
      <w:tr w:rsidR="00707619" w:rsidRPr="009D6C7E" w14:paraId="59699F23" w14:textId="77777777" w:rsidTr="00601A28">
        <w:trPr>
          <w:trHeight w:val="292"/>
        </w:trPr>
        <w:tc>
          <w:tcPr>
            <w:tcW w:w="3102" w:type="dxa"/>
            <w:shd w:val="clear" w:color="auto" w:fill="auto"/>
            <w:noWrap/>
            <w:vAlign w:val="bottom"/>
            <w:hideMark/>
          </w:tcPr>
          <w:p w14:paraId="0DA9D21B"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Sweden</w:t>
            </w:r>
          </w:p>
        </w:tc>
        <w:tc>
          <w:tcPr>
            <w:tcW w:w="3100" w:type="dxa"/>
            <w:shd w:val="clear" w:color="auto" w:fill="auto"/>
            <w:noWrap/>
            <w:vAlign w:val="bottom"/>
            <w:hideMark/>
          </w:tcPr>
          <w:p w14:paraId="46EDFDAC"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3 457 106</w:t>
            </w:r>
          </w:p>
        </w:tc>
        <w:tc>
          <w:tcPr>
            <w:tcW w:w="3100" w:type="dxa"/>
            <w:shd w:val="clear" w:color="auto" w:fill="auto"/>
            <w:noWrap/>
            <w:vAlign w:val="bottom"/>
            <w:hideMark/>
          </w:tcPr>
          <w:p w14:paraId="33297B3D"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2 305 049</w:t>
            </w:r>
          </w:p>
        </w:tc>
      </w:tr>
      <w:tr w:rsidR="00707619" w:rsidRPr="009D6C7E" w14:paraId="79F9E881" w14:textId="77777777" w:rsidTr="00601A28">
        <w:trPr>
          <w:trHeight w:val="292"/>
        </w:trPr>
        <w:tc>
          <w:tcPr>
            <w:tcW w:w="3102" w:type="dxa"/>
            <w:shd w:val="clear" w:color="auto" w:fill="auto"/>
            <w:noWrap/>
            <w:vAlign w:val="bottom"/>
            <w:hideMark/>
          </w:tcPr>
          <w:p w14:paraId="440AE299" w14:textId="77777777" w:rsidR="00707619" w:rsidRPr="00516F65" w:rsidRDefault="00707619" w:rsidP="002C3142">
            <w:pPr>
              <w:spacing w:after="0" w:line="240" w:lineRule="auto"/>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United Kingdom</w:t>
            </w:r>
          </w:p>
        </w:tc>
        <w:tc>
          <w:tcPr>
            <w:tcW w:w="3100" w:type="dxa"/>
            <w:shd w:val="clear" w:color="auto" w:fill="auto"/>
            <w:noWrap/>
            <w:vAlign w:val="bottom"/>
            <w:hideMark/>
          </w:tcPr>
          <w:p w14:paraId="70A3DC19"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44 480 623</w:t>
            </w:r>
          </w:p>
        </w:tc>
        <w:tc>
          <w:tcPr>
            <w:tcW w:w="3100" w:type="dxa"/>
            <w:shd w:val="clear" w:color="auto" w:fill="auto"/>
            <w:noWrap/>
            <w:vAlign w:val="bottom"/>
            <w:hideMark/>
          </w:tcPr>
          <w:p w14:paraId="593FA716" w14:textId="77777777" w:rsidR="00707619" w:rsidRPr="00516F65" w:rsidRDefault="00707619" w:rsidP="002C3142">
            <w:pPr>
              <w:spacing w:after="0" w:line="240" w:lineRule="auto"/>
              <w:jc w:val="right"/>
              <w:rPr>
                <w:rFonts w:ascii="Times New Roman" w:eastAsia="Times New Roman" w:hAnsi="Times New Roman"/>
                <w:sz w:val="20"/>
                <w:szCs w:val="20"/>
                <w:lang w:eastAsia="fr-BE"/>
              </w:rPr>
            </w:pPr>
            <w:r w:rsidRPr="00516F65">
              <w:rPr>
                <w:rFonts w:ascii="Times New Roman" w:eastAsia="Times New Roman" w:hAnsi="Times New Roman"/>
                <w:sz w:val="20"/>
                <w:szCs w:val="20"/>
                <w:lang w:eastAsia="fr-BE"/>
              </w:rPr>
              <w:t>29 657 753</w:t>
            </w:r>
          </w:p>
        </w:tc>
      </w:tr>
      <w:tr w:rsidR="00707619" w:rsidRPr="009D6C7E" w14:paraId="40842BFA" w14:textId="77777777" w:rsidTr="00601A28">
        <w:trPr>
          <w:trHeight w:val="292"/>
        </w:trPr>
        <w:tc>
          <w:tcPr>
            <w:tcW w:w="3102" w:type="dxa"/>
            <w:shd w:val="clear" w:color="auto" w:fill="auto"/>
            <w:noWrap/>
            <w:vAlign w:val="bottom"/>
            <w:hideMark/>
          </w:tcPr>
          <w:p w14:paraId="0359A430" w14:textId="77777777" w:rsidR="00707619" w:rsidRPr="00516F65" w:rsidRDefault="00707619" w:rsidP="002C3142">
            <w:pPr>
              <w:spacing w:after="0" w:line="240" w:lineRule="auto"/>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Total</w:t>
            </w:r>
          </w:p>
        </w:tc>
        <w:tc>
          <w:tcPr>
            <w:tcW w:w="3100" w:type="dxa"/>
            <w:shd w:val="clear" w:color="auto" w:fill="auto"/>
            <w:noWrap/>
            <w:vAlign w:val="bottom"/>
            <w:hideMark/>
          </w:tcPr>
          <w:p w14:paraId="20FC7AB7" w14:textId="77777777" w:rsidR="00707619" w:rsidRPr="00516F65" w:rsidRDefault="00707619" w:rsidP="002C3142">
            <w:pPr>
              <w:spacing w:after="0" w:line="240" w:lineRule="auto"/>
              <w:jc w:val="right"/>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397 124 723</w:t>
            </w:r>
          </w:p>
        </w:tc>
        <w:tc>
          <w:tcPr>
            <w:tcW w:w="3100" w:type="dxa"/>
            <w:shd w:val="clear" w:color="auto" w:fill="auto"/>
            <w:noWrap/>
            <w:vAlign w:val="bottom"/>
            <w:hideMark/>
          </w:tcPr>
          <w:p w14:paraId="10FC7794" w14:textId="77777777" w:rsidR="00707619" w:rsidRPr="009D6C7E" w:rsidRDefault="00707619" w:rsidP="002C3142">
            <w:pPr>
              <w:spacing w:after="0" w:line="240" w:lineRule="auto"/>
              <w:jc w:val="right"/>
              <w:rPr>
                <w:rFonts w:ascii="Times New Roman" w:eastAsia="Times New Roman" w:hAnsi="Times New Roman"/>
                <w:b/>
                <w:bCs/>
                <w:sz w:val="20"/>
                <w:szCs w:val="20"/>
                <w:lang w:eastAsia="fr-BE"/>
              </w:rPr>
            </w:pPr>
            <w:r w:rsidRPr="00516F65">
              <w:rPr>
                <w:rFonts w:ascii="Times New Roman" w:eastAsia="Times New Roman" w:hAnsi="Times New Roman"/>
                <w:b/>
                <w:bCs/>
                <w:sz w:val="20"/>
                <w:szCs w:val="20"/>
                <w:lang w:eastAsia="fr-BE"/>
              </w:rPr>
              <w:t>264 785 572</w:t>
            </w:r>
          </w:p>
        </w:tc>
      </w:tr>
    </w:tbl>
    <w:p w14:paraId="2997ED0A" w14:textId="77777777" w:rsidR="00707619" w:rsidRPr="009D6C7E" w:rsidRDefault="00707619" w:rsidP="00707619">
      <w:pPr>
        <w:tabs>
          <w:tab w:val="left" w:pos="3491"/>
        </w:tabs>
      </w:pPr>
      <w:r w:rsidRPr="009D6C7E">
        <w:rPr>
          <w:noProof/>
        </w:rPr>
        <w:tab/>
      </w:r>
    </w:p>
    <w:p w14:paraId="446D5C98" w14:textId="77777777" w:rsidR="005A3492" w:rsidRPr="009D6C7E" w:rsidRDefault="00862924" w:rsidP="00862924">
      <w:pPr>
        <w:rPr>
          <w:rFonts w:ascii="Times New Roman" w:hAnsi="Times New Roman"/>
          <w:b/>
          <w:noProof/>
        </w:rPr>
      </w:pPr>
      <w:r w:rsidRPr="00516F65">
        <w:rPr>
          <w:rFonts w:ascii="Times New Roman" w:hAnsi="Times New Roman"/>
          <w:b/>
          <w:noProof/>
        </w:rPr>
        <w:t xml:space="preserve">Appendix </w:t>
      </w:r>
      <w:r w:rsidR="00526348">
        <w:rPr>
          <w:rFonts w:ascii="Times New Roman" w:hAnsi="Times New Roman"/>
          <w:b/>
          <w:noProof/>
        </w:rPr>
        <w:t>9</w:t>
      </w:r>
    </w:p>
    <w:p w14:paraId="32860365" w14:textId="77777777" w:rsidR="00862924" w:rsidRPr="009D6C7E" w:rsidRDefault="00862924" w:rsidP="00862924">
      <w:pPr>
        <w:rPr>
          <w:rFonts w:ascii="Times New Roman" w:hAnsi="Times New Roman"/>
          <w:b/>
          <w:noProof/>
          <w:sz w:val="20"/>
          <w:szCs w:val="20"/>
        </w:rPr>
      </w:pPr>
      <w:r w:rsidRPr="009D6C7E">
        <w:rPr>
          <w:rFonts w:ascii="Times New Roman" w:hAnsi="Times New Roman"/>
          <w:b/>
          <w:noProof/>
          <w:sz w:val="20"/>
          <w:szCs w:val="20"/>
        </w:rPr>
        <w:t>Table</w:t>
      </w:r>
      <w:r w:rsidR="005A3492" w:rsidRPr="009D6C7E">
        <w:rPr>
          <w:rFonts w:ascii="Times New Roman" w:hAnsi="Times New Roman"/>
          <w:b/>
          <w:noProof/>
          <w:sz w:val="20"/>
          <w:szCs w:val="20"/>
        </w:rPr>
        <w:t xml:space="preserve"> </w:t>
      </w:r>
      <w:r w:rsidR="00526348">
        <w:rPr>
          <w:rFonts w:ascii="Times New Roman" w:hAnsi="Times New Roman"/>
          <w:b/>
          <w:noProof/>
          <w:sz w:val="20"/>
          <w:szCs w:val="20"/>
        </w:rPr>
        <w:t>9</w:t>
      </w:r>
      <w:r w:rsidR="00350319" w:rsidRPr="009D6C7E">
        <w:rPr>
          <w:rFonts w:ascii="Times New Roman" w:hAnsi="Times New Roman"/>
          <w:b/>
          <w:noProof/>
          <w:sz w:val="20"/>
          <w:szCs w:val="20"/>
        </w:rPr>
        <w:t>.</w:t>
      </w:r>
      <w:r w:rsidRPr="009D6C7E">
        <w:rPr>
          <w:rFonts w:ascii="Times New Roman" w:hAnsi="Times New Roman"/>
          <w:b/>
          <w:noProof/>
          <w:sz w:val="20"/>
          <w:szCs w:val="20"/>
        </w:rPr>
        <w:t>1: NER300 unspent funds under the InnovFin EDP: supported projects</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rsidR="00862924" w:rsidRPr="009D6C7E" w14:paraId="09597A6C" w14:textId="77777777" w:rsidTr="00601A28">
        <w:trPr>
          <w:trHeight w:val="178"/>
        </w:trPr>
        <w:tc>
          <w:tcPr>
            <w:tcW w:w="2838" w:type="dxa"/>
            <w:shd w:val="clear" w:color="auto" w:fill="D9D9D9" w:themeFill="background1" w:themeFillShade="D9"/>
          </w:tcPr>
          <w:p w14:paraId="5A3CFACE" w14:textId="77777777" w:rsidR="00862924" w:rsidRPr="00516F65" w:rsidRDefault="00862924" w:rsidP="00A16C99">
            <w:pPr>
              <w:rPr>
                <w:rFonts w:ascii="Times New Roman" w:hAnsi="Times New Roman"/>
                <w:b/>
                <w:noProof/>
              </w:rPr>
            </w:pPr>
            <w:r w:rsidRPr="00516F65">
              <w:rPr>
                <w:rFonts w:ascii="Times New Roman" w:hAnsi="Times New Roman"/>
                <w:b/>
                <w:noProof/>
              </w:rPr>
              <w:t>Project title</w:t>
            </w:r>
          </w:p>
        </w:tc>
        <w:tc>
          <w:tcPr>
            <w:tcW w:w="2893" w:type="dxa"/>
            <w:shd w:val="clear" w:color="auto" w:fill="D9D9D9" w:themeFill="background1" w:themeFillShade="D9"/>
          </w:tcPr>
          <w:p w14:paraId="706E84C1" w14:textId="77777777" w:rsidR="00862924" w:rsidRPr="00516F65" w:rsidRDefault="00862924" w:rsidP="00A16C99">
            <w:pPr>
              <w:rPr>
                <w:rFonts w:ascii="Times New Roman" w:hAnsi="Times New Roman"/>
                <w:b/>
                <w:noProof/>
              </w:rPr>
            </w:pPr>
            <w:r w:rsidRPr="00516F65">
              <w:rPr>
                <w:rFonts w:ascii="Times New Roman" w:hAnsi="Times New Roman"/>
                <w:b/>
                <w:noProof/>
              </w:rPr>
              <w:t>Description</w:t>
            </w:r>
          </w:p>
        </w:tc>
        <w:tc>
          <w:tcPr>
            <w:tcW w:w="4140" w:type="dxa"/>
            <w:shd w:val="clear" w:color="auto" w:fill="D9D9D9" w:themeFill="background1" w:themeFillShade="D9"/>
          </w:tcPr>
          <w:p w14:paraId="5AE7CABC" w14:textId="77777777" w:rsidR="00862924" w:rsidRPr="00516F65" w:rsidRDefault="00862924" w:rsidP="00A16C99">
            <w:pPr>
              <w:rPr>
                <w:rFonts w:ascii="Times New Roman" w:hAnsi="Times New Roman"/>
                <w:b/>
                <w:noProof/>
              </w:rPr>
            </w:pPr>
            <w:r w:rsidRPr="00516F65">
              <w:rPr>
                <w:rFonts w:ascii="Times New Roman" w:hAnsi="Times New Roman"/>
                <w:b/>
                <w:noProof/>
              </w:rPr>
              <w:t>Picture</w:t>
            </w:r>
          </w:p>
        </w:tc>
      </w:tr>
      <w:tr w:rsidR="00862924" w:rsidRPr="009D6C7E" w14:paraId="6A65AE4E" w14:textId="77777777" w:rsidTr="00601A28">
        <w:trPr>
          <w:trHeight w:val="2161"/>
        </w:trPr>
        <w:tc>
          <w:tcPr>
            <w:tcW w:w="2838" w:type="dxa"/>
          </w:tcPr>
          <w:p w14:paraId="48BA38D5" w14:textId="77777777" w:rsidR="00862924" w:rsidRPr="00516F65" w:rsidRDefault="00862924" w:rsidP="00A16C99">
            <w:pPr>
              <w:rPr>
                <w:rFonts w:ascii="Times New Roman" w:hAnsi="Times New Roman"/>
                <w:noProof/>
              </w:rPr>
            </w:pPr>
            <w:r w:rsidRPr="00516F65">
              <w:rPr>
                <w:rFonts w:ascii="Times New Roman" w:hAnsi="Times New Roman"/>
                <w:noProof/>
              </w:rPr>
              <w:t>WAVE ROLLER</w:t>
            </w:r>
          </w:p>
        </w:tc>
        <w:tc>
          <w:tcPr>
            <w:tcW w:w="2893" w:type="dxa"/>
          </w:tcPr>
          <w:p w14:paraId="2B2314AD" w14:textId="77777777" w:rsidR="00862924" w:rsidRPr="00516F65" w:rsidRDefault="00862924" w:rsidP="00986C32">
            <w:pPr>
              <w:rPr>
                <w:rFonts w:ascii="Times New Roman" w:hAnsi="Times New Roman"/>
                <w:noProof/>
              </w:rPr>
            </w:pPr>
            <w:r w:rsidRPr="00516F65">
              <w:rPr>
                <w:rFonts w:ascii="Times New Roman" w:hAnsi="Times New Roman"/>
                <w:noProof/>
              </w:rPr>
              <w:t>Wave Roller aims to demonstrate the feasibility of wave energy technology at commercial scale</w:t>
            </w:r>
            <w:r w:rsidR="00986C32" w:rsidRPr="00516F65">
              <w:rPr>
                <w:rFonts w:ascii="Times New Roman" w:hAnsi="Times New Roman"/>
                <w:noProof/>
              </w:rPr>
              <w:t>,</w:t>
            </w:r>
            <w:r w:rsidRPr="00516F65">
              <w:rPr>
                <w:rFonts w:ascii="Times New Roman" w:hAnsi="Times New Roman"/>
                <w:noProof/>
              </w:rPr>
              <w:t xml:space="preserve"> </w:t>
            </w:r>
            <w:r w:rsidR="00564618" w:rsidRPr="00516F65">
              <w:rPr>
                <w:rFonts w:ascii="Times New Roman" w:hAnsi="Times New Roman"/>
                <w:noProof/>
              </w:rPr>
              <w:t>by</w:t>
            </w:r>
            <w:r w:rsidRPr="00516F65">
              <w:rPr>
                <w:rFonts w:ascii="Times New Roman" w:hAnsi="Times New Roman"/>
                <w:noProof/>
              </w:rPr>
              <w:t>bridg</w:t>
            </w:r>
            <w:r w:rsidR="00564618" w:rsidRPr="00516F65">
              <w:rPr>
                <w:rFonts w:ascii="Times New Roman" w:hAnsi="Times New Roman"/>
                <w:noProof/>
              </w:rPr>
              <w:t xml:space="preserve">ing </w:t>
            </w:r>
            <w:r w:rsidRPr="00516F65">
              <w:rPr>
                <w:rFonts w:ascii="Times New Roman" w:hAnsi="Times New Roman"/>
                <w:noProof/>
              </w:rPr>
              <w:t xml:space="preserve"> the gap between the demonstration installation and the commercial deployment of a near-shore Oscillating Wave Surge Converter (OWSC) that converts wave energy into electric power.</w:t>
            </w:r>
            <w:r w:rsidR="00350319" w:rsidRPr="00516F65">
              <w:t xml:space="preserve"> </w:t>
            </w:r>
            <w:r w:rsidR="00350319" w:rsidRPr="00516F65">
              <w:rPr>
                <w:rFonts w:ascii="Times New Roman" w:hAnsi="Times New Roman"/>
              </w:rPr>
              <w:t>The</w:t>
            </w:r>
            <w:r w:rsidR="00350319" w:rsidRPr="00516F65">
              <w:rPr>
                <w:rFonts w:ascii="Times New Roman" w:hAnsi="Times New Roman"/>
                <w:noProof/>
              </w:rPr>
              <w:t xml:space="preserve"> NER300 contribution will amount to EUR 10 million.</w:t>
            </w:r>
          </w:p>
        </w:tc>
        <w:tc>
          <w:tcPr>
            <w:tcW w:w="4140" w:type="dxa"/>
          </w:tcPr>
          <w:p w14:paraId="7BDD0DC1" w14:textId="77777777" w:rsidR="00862924" w:rsidRPr="00516F65" w:rsidRDefault="00862924" w:rsidP="00BD381F">
            <w:pPr>
              <w:jc w:val="center"/>
              <w:rPr>
                <w:rFonts w:ascii="Times New Roman" w:hAnsi="Times New Roman"/>
                <w:noProof/>
              </w:rPr>
            </w:pPr>
            <w:r w:rsidRPr="00516F65">
              <w:rPr>
                <w:rFonts w:ascii="Times New Roman" w:hAnsi="Times New Roman"/>
                <w:b/>
                <w:noProof/>
              </w:rPr>
              <w:drawing>
                <wp:inline distT="0" distB="0" distL="0" distR="0" wp14:anchorId="19546FE2" wp14:editId="5754F609">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rsidR="00862924" w:rsidRPr="00BD381F" w14:paraId="6C25214E" w14:textId="77777777" w:rsidTr="00601A28">
        <w:trPr>
          <w:trHeight w:val="4681"/>
        </w:trPr>
        <w:tc>
          <w:tcPr>
            <w:tcW w:w="2838" w:type="dxa"/>
          </w:tcPr>
          <w:p w14:paraId="59DCD6A7" w14:textId="77777777" w:rsidR="00862924" w:rsidRPr="00516F65" w:rsidRDefault="00862924" w:rsidP="00A16C99">
            <w:pPr>
              <w:rPr>
                <w:rFonts w:ascii="Times New Roman" w:hAnsi="Times New Roman"/>
                <w:noProof/>
              </w:rPr>
            </w:pPr>
            <w:r w:rsidRPr="00516F65">
              <w:rPr>
                <w:rFonts w:ascii="Times New Roman" w:hAnsi="Times New Roman"/>
                <w:noProof/>
              </w:rPr>
              <w:t>WINDFLOAT</w:t>
            </w:r>
          </w:p>
        </w:tc>
        <w:tc>
          <w:tcPr>
            <w:tcW w:w="2893" w:type="dxa"/>
          </w:tcPr>
          <w:p w14:paraId="0823A93A" w14:textId="77777777" w:rsidR="00862924" w:rsidRPr="00516F65" w:rsidRDefault="00862924" w:rsidP="00332674">
            <w:pPr>
              <w:rPr>
                <w:rFonts w:ascii="Times New Roman" w:hAnsi="Times New Roman"/>
                <w:noProof/>
              </w:rPr>
            </w:pPr>
            <w:r w:rsidRPr="00516F65">
              <w:rPr>
                <w:rFonts w:ascii="Times New Roman" w:hAnsi="Times New Roman"/>
                <w:noProof/>
              </w:rPr>
              <w:t>The Windfloat project is an innovative offshore windfarm employing a floating semi-submersible platform</w:t>
            </w:r>
            <w:r w:rsidR="00986C32" w:rsidRPr="00516F65">
              <w:rPr>
                <w:rFonts w:ascii="Times New Roman" w:hAnsi="Times New Roman"/>
                <w:noProof/>
              </w:rPr>
              <w:t xml:space="preserve"> around 20 km off the coast of Portugal</w:t>
            </w:r>
            <w:r w:rsidR="00564618" w:rsidRPr="00516F65">
              <w:rPr>
                <w:rFonts w:ascii="Times New Roman" w:hAnsi="Times New Roman"/>
                <w:noProof/>
              </w:rPr>
              <w:t>.</w:t>
            </w:r>
            <w:r w:rsidRPr="00516F65">
              <w:rPr>
                <w:rFonts w:ascii="Times New Roman" w:hAnsi="Times New Roman"/>
                <w:noProof/>
              </w:rPr>
              <w:t xml:space="preserve"> The project intends to advance the state-of-the-art of floating support structures by demonstrating the scalability of the WindFloat concept for hosting larger turbines. It will then foster the deployment of wind farms deep offshore.</w:t>
            </w:r>
            <w:r w:rsidR="00332674" w:rsidRPr="00516F65">
              <w:t xml:space="preserve"> </w:t>
            </w:r>
            <w:r w:rsidR="00332674" w:rsidRPr="00516F65">
              <w:rPr>
                <w:rFonts w:ascii="Times New Roman" w:hAnsi="Times New Roman"/>
                <w:noProof/>
              </w:rPr>
              <w:t>The NER300 contribution under InnovFin EDP will amount to EUR 60 million. WindFloat also benefits from a grant of almost EUR 30 million under the original NER300 programme.</w:t>
            </w:r>
          </w:p>
        </w:tc>
        <w:tc>
          <w:tcPr>
            <w:tcW w:w="4140" w:type="dxa"/>
          </w:tcPr>
          <w:p w14:paraId="5B1FC067" w14:textId="77777777" w:rsidR="00862924" w:rsidRPr="00516F65" w:rsidRDefault="00862924" w:rsidP="00BD381F">
            <w:pPr>
              <w:jc w:val="center"/>
              <w:rPr>
                <w:rFonts w:ascii="Times New Roman" w:hAnsi="Times New Roman"/>
                <w:noProof/>
              </w:rPr>
            </w:pPr>
            <w:r w:rsidRPr="00516F65">
              <w:rPr>
                <w:rFonts w:ascii="Times New Roman" w:hAnsi="Times New Roman"/>
                <w:b/>
                <w:noProof/>
              </w:rPr>
              <w:drawing>
                <wp:inline distT="0" distB="0" distL="0" distR="0" wp14:anchorId="716F954D" wp14:editId="60BFA99A">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rsidR="00862924" w:rsidRPr="00777DC1" w14:paraId="087EE2EC" w14:textId="77777777" w:rsidTr="00601A28">
        <w:trPr>
          <w:trHeight w:val="3604"/>
        </w:trPr>
        <w:tc>
          <w:tcPr>
            <w:tcW w:w="2838" w:type="dxa"/>
          </w:tcPr>
          <w:p w14:paraId="677BB122" w14:textId="77777777" w:rsidR="00862924" w:rsidRPr="00516F65" w:rsidRDefault="00862924" w:rsidP="00A16C99">
            <w:pPr>
              <w:rPr>
                <w:rFonts w:ascii="Times New Roman" w:hAnsi="Times New Roman"/>
                <w:noProof/>
              </w:rPr>
            </w:pPr>
            <w:r w:rsidRPr="00516F65">
              <w:rPr>
                <w:rFonts w:ascii="Times New Roman" w:hAnsi="Times New Roman"/>
                <w:noProof/>
              </w:rPr>
              <w:t>GREENWAY EV CHARGING NETWORK</w:t>
            </w:r>
          </w:p>
        </w:tc>
        <w:tc>
          <w:tcPr>
            <w:tcW w:w="2893" w:type="dxa"/>
          </w:tcPr>
          <w:p w14:paraId="0F4752AD" w14:textId="77777777" w:rsidR="00862924" w:rsidRPr="00516F65" w:rsidRDefault="00862924" w:rsidP="004D266B">
            <w:pPr>
              <w:rPr>
                <w:rFonts w:ascii="Times New Roman" w:hAnsi="Times New Roman"/>
                <w:noProof/>
              </w:rPr>
            </w:pPr>
            <w:r w:rsidRPr="00516F65">
              <w:rPr>
                <w:rFonts w:ascii="Times New Roman" w:hAnsi="Times New Roman"/>
                <w:noProof/>
              </w:rPr>
              <w:t>The project will support  accelerated deployment of electric vehicle infrastructure.</w:t>
            </w:r>
            <w:r w:rsidR="004D266B" w:rsidRPr="00516F65">
              <w:rPr>
                <w:rFonts w:ascii="Times New Roman" w:hAnsi="Times New Roman"/>
                <w:noProof/>
              </w:rPr>
              <w:t xml:space="preserve"> It</w:t>
            </w:r>
            <w:r w:rsidRPr="00516F65">
              <w:rPr>
                <w:rFonts w:ascii="Times New Roman" w:hAnsi="Times New Roman"/>
                <w:noProof/>
              </w:rPr>
              <w:t xml:space="preserve">demonstrates the feasibility of </w:t>
            </w:r>
            <w:r w:rsidR="004D266B" w:rsidRPr="00516F65">
              <w:rPr>
                <w:rFonts w:ascii="Times New Roman" w:hAnsi="Times New Roman"/>
                <w:noProof/>
              </w:rPr>
              <w:t xml:space="preserve">the </w:t>
            </w:r>
            <w:r w:rsidRPr="00516F65">
              <w:rPr>
                <w:rFonts w:ascii="Times New Roman" w:hAnsi="Times New Roman"/>
                <w:noProof/>
              </w:rPr>
              <w:t>commercial-scale deployment of ultra-fast charging stations for electric vehicles and the pilot of an integrated battery energy storage system. Demonstration will be located in Slovakia, Poland</w:t>
            </w:r>
            <w:r w:rsidR="004D266B" w:rsidRPr="00516F65">
              <w:rPr>
                <w:rFonts w:ascii="Times New Roman" w:hAnsi="Times New Roman"/>
                <w:noProof/>
              </w:rPr>
              <w:t>,</w:t>
            </w:r>
            <w:r w:rsidRPr="00516F65">
              <w:rPr>
                <w:rFonts w:ascii="Times New Roman" w:hAnsi="Times New Roman"/>
                <w:noProof/>
              </w:rPr>
              <w:t xml:space="preserve"> </w:t>
            </w:r>
            <w:r w:rsidR="004D266B" w:rsidRPr="00516F65">
              <w:rPr>
                <w:rFonts w:ascii="Times New Roman" w:hAnsi="Times New Roman"/>
                <w:noProof/>
              </w:rPr>
              <w:t xml:space="preserve">the </w:t>
            </w:r>
            <w:r w:rsidRPr="00516F65">
              <w:rPr>
                <w:rFonts w:ascii="Times New Roman" w:hAnsi="Times New Roman"/>
                <w:noProof/>
              </w:rPr>
              <w:t xml:space="preserve">Czech Republic and </w:t>
            </w:r>
            <w:r w:rsidR="004D266B" w:rsidRPr="00516F65">
              <w:rPr>
                <w:rFonts w:ascii="Times New Roman" w:hAnsi="Times New Roman"/>
                <w:noProof/>
              </w:rPr>
              <w:t xml:space="preserve">the </w:t>
            </w:r>
            <w:r w:rsidRPr="00516F65">
              <w:rPr>
                <w:rFonts w:ascii="Times New Roman" w:hAnsi="Times New Roman"/>
                <w:noProof/>
              </w:rPr>
              <w:t>Baltic countries.</w:t>
            </w:r>
            <w:r w:rsidR="00332674" w:rsidRPr="00516F65">
              <w:t xml:space="preserve"> </w:t>
            </w:r>
            <w:r w:rsidR="00332674" w:rsidRPr="00516F65">
              <w:rPr>
                <w:rFonts w:ascii="Times New Roman" w:hAnsi="Times New Roman"/>
                <w:noProof/>
              </w:rPr>
              <w:t>Financing under the InnovFin EDP amounts to EUR 17 million, of which almost EUR 3 million are backed by the NER 300 unspent funds.</w:t>
            </w:r>
          </w:p>
        </w:tc>
        <w:tc>
          <w:tcPr>
            <w:tcW w:w="4140" w:type="dxa"/>
          </w:tcPr>
          <w:p w14:paraId="3E3B6AD9" w14:textId="77777777" w:rsidR="00862924" w:rsidRPr="00516F65" w:rsidRDefault="00862924" w:rsidP="00073948">
            <w:pPr>
              <w:jc w:val="center"/>
              <w:rPr>
                <w:rFonts w:ascii="Times New Roman" w:hAnsi="Times New Roman"/>
                <w:noProof/>
              </w:rPr>
            </w:pPr>
            <w:r w:rsidRPr="00516F65">
              <w:rPr>
                <w:rFonts w:ascii="Times New Roman" w:hAnsi="Times New Roman"/>
                <w:noProof/>
              </w:rPr>
              <w:drawing>
                <wp:inline distT="0" distB="0" distL="0" distR="0" wp14:anchorId="33DA51E3" wp14:editId="59843C3E">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14:paraId="06D43448" w14:textId="77777777" w:rsidR="005F6BD0" w:rsidRPr="004B4F5B" w:rsidRDefault="005F6BD0">
      <w:pPr>
        <w:rPr>
          <w:rFonts w:ascii="Times New Roman" w:hAnsi="Times New Roman"/>
          <w:noProof/>
          <w:sz w:val="20"/>
          <w:szCs w:val="20"/>
        </w:rPr>
      </w:pPr>
    </w:p>
    <w:sectPr w:rsidR="005F6BD0" w:rsidRPr="004B4F5B" w:rsidSect="002802C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B3ADA" w14:textId="77777777" w:rsidR="0041035E" w:rsidRDefault="0041035E">
      <w:pPr>
        <w:spacing w:after="0" w:line="240" w:lineRule="auto"/>
      </w:pPr>
      <w:r>
        <w:separator/>
      </w:r>
    </w:p>
  </w:endnote>
  <w:endnote w:type="continuationSeparator" w:id="0">
    <w:p w14:paraId="475CE3A1" w14:textId="77777777" w:rsidR="0041035E" w:rsidRDefault="0041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193B1" w14:textId="77777777" w:rsidR="00EE4E05" w:rsidRPr="00EE4E05" w:rsidRDefault="00EE4E05" w:rsidP="00EE4E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6B33D" w14:textId="77777777" w:rsidR="005F25BA" w:rsidRDefault="005F25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0636" w14:textId="77777777" w:rsidR="005F25BA" w:rsidRDefault="005F25BA">
    <w:pPr>
      <w:pStyle w:val="Footer"/>
      <w:jc w:val="center"/>
    </w:pPr>
    <w:r>
      <w:fldChar w:fldCharType="begin"/>
    </w:r>
    <w:r>
      <w:instrText xml:space="preserve"> PAGE   \* MERGEFORMAT </w:instrText>
    </w:r>
    <w:r>
      <w:fldChar w:fldCharType="separate"/>
    </w:r>
    <w:r>
      <w:rPr>
        <w:noProof/>
      </w:rPr>
      <w:t>1</w:t>
    </w:r>
    <w:r>
      <w:rPr>
        <w:noProof/>
      </w:rPr>
      <w:fldChar w:fldCharType="end"/>
    </w:r>
  </w:p>
  <w:p w14:paraId="6AF13A47" w14:textId="77777777" w:rsidR="005F25BA" w:rsidRDefault="005F25B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90C05" w14:textId="77777777" w:rsidR="005F25BA" w:rsidRDefault="005F2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D4B1" w14:textId="0411423A" w:rsidR="00EE4E05" w:rsidRPr="00EE4E05" w:rsidRDefault="00EE4E05" w:rsidP="00EE4E05">
    <w:pPr>
      <w:pStyle w:val="FooterCoverPage"/>
      <w:rPr>
        <w:rFonts w:ascii="Arial" w:hAnsi="Arial" w:cs="Arial"/>
        <w:b/>
        <w:sz w:val="48"/>
      </w:rPr>
    </w:pPr>
    <w:r w:rsidRPr="00EE4E05">
      <w:rPr>
        <w:rFonts w:ascii="Arial" w:hAnsi="Arial" w:cs="Arial"/>
        <w:b/>
        <w:sz w:val="48"/>
      </w:rPr>
      <w:t>EN</w:t>
    </w:r>
    <w:r w:rsidRPr="00EE4E05">
      <w:rPr>
        <w:rFonts w:ascii="Arial" w:hAnsi="Arial" w:cs="Arial"/>
        <w:b/>
        <w:sz w:val="48"/>
      </w:rPr>
      <w:tab/>
    </w:r>
    <w:r w:rsidRPr="00EE4E05">
      <w:rPr>
        <w:rFonts w:ascii="Arial" w:hAnsi="Arial" w:cs="Arial"/>
        <w:b/>
        <w:sz w:val="48"/>
      </w:rPr>
      <w:tab/>
    </w:r>
    <w:r w:rsidRPr="00EE4E05">
      <w:tab/>
    </w:r>
    <w:r w:rsidRPr="00EE4E05">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26E3" w14:textId="77777777" w:rsidR="00EE4E05" w:rsidRPr="00EE4E05" w:rsidRDefault="00EE4E05" w:rsidP="00EE4E0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7BF0" w14:textId="77777777" w:rsidR="00516F65" w:rsidRDefault="00516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F087" w14:textId="26B15C2B" w:rsidR="00516F65" w:rsidRDefault="00516F65">
    <w:pPr>
      <w:pStyle w:val="Footer"/>
      <w:jc w:val="center"/>
    </w:pPr>
    <w:r>
      <w:fldChar w:fldCharType="begin"/>
    </w:r>
    <w:r>
      <w:instrText xml:space="preserve"> PAGE   \* MERGEFORMAT </w:instrText>
    </w:r>
    <w:r>
      <w:fldChar w:fldCharType="separate"/>
    </w:r>
    <w:r w:rsidR="00EE4E05">
      <w:rPr>
        <w:noProof/>
      </w:rPr>
      <w:t>1</w:t>
    </w:r>
    <w:r>
      <w:rPr>
        <w:noProof/>
      </w:rPr>
      <w:fldChar w:fldCharType="end"/>
    </w:r>
  </w:p>
  <w:p w14:paraId="1D6D3F6A" w14:textId="77777777" w:rsidR="00516F65" w:rsidRDefault="00516F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2645" w14:textId="77777777" w:rsidR="00516F65" w:rsidRDefault="00516F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8FAA" w14:textId="77777777" w:rsidR="005F25BA" w:rsidRDefault="005F25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48E7C" w14:textId="77777777" w:rsidR="005F25BA" w:rsidRDefault="005F25BA">
    <w:pPr>
      <w:pStyle w:val="Footer"/>
      <w:jc w:val="center"/>
    </w:pPr>
    <w:r>
      <w:fldChar w:fldCharType="begin"/>
    </w:r>
    <w:r>
      <w:instrText xml:space="preserve"> PAGE   \* MERGEFORMAT </w:instrText>
    </w:r>
    <w:r>
      <w:fldChar w:fldCharType="separate"/>
    </w:r>
    <w:r>
      <w:rPr>
        <w:noProof/>
      </w:rPr>
      <w:t>1</w:t>
    </w:r>
    <w:r>
      <w:rPr>
        <w:noProof/>
      </w:rPr>
      <w:fldChar w:fldCharType="end"/>
    </w:r>
  </w:p>
  <w:p w14:paraId="4DAB0051" w14:textId="77777777" w:rsidR="005F25BA" w:rsidRDefault="005F25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4F0A3" w14:textId="77777777" w:rsidR="005F25BA" w:rsidRDefault="005F2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36A9" w14:textId="77777777" w:rsidR="0041035E" w:rsidRDefault="0041035E">
      <w:pPr>
        <w:spacing w:after="0" w:line="240" w:lineRule="auto"/>
      </w:pPr>
      <w:r>
        <w:separator/>
      </w:r>
    </w:p>
  </w:footnote>
  <w:footnote w:type="continuationSeparator" w:id="0">
    <w:p w14:paraId="30DAD5DC" w14:textId="77777777" w:rsidR="0041035E" w:rsidRDefault="0041035E">
      <w:pPr>
        <w:spacing w:after="0" w:line="240" w:lineRule="auto"/>
      </w:pPr>
      <w:r>
        <w:continuationSeparator/>
      </w:r>
    </w:p>
  </w:footnote>
  <w:footnote w:id="1">
    <w:p w14:paraId="2C3470E2" w14:textId="77777777" w:rsidR="00516F65" w:rsidRDefault="00516F65" w:rsidP="001055F0">
      <w:pPr>
        <w:pStyle w:val="FootnoteText"/>
      </w:pPr>
      <w:r>
        <w:rPr>
          <w:rStyle w:val="FootnoteReference"/>
        </w:rPr>
        <w:footnoteRef/>
      </w:r>
      <w:r>
        <w:t xml:space="preserve"> </w:t>
      </w:r>
      <w:r w:rsidRPr="004B05D2">
        <w:t>https://ec.europa.eu/commission/sites/beta-political/files/political-guidelines-next-commission_en.pdf</w:t>
      </w:r>
    </w:p>
  </w:footnote>
  <w:footnote w:id="2">
    <w:p w14:paraId="72DB6577" w14:textId="77777777" w:rsidR="00516F65" w:rsidRDefault="00516F65" w:rsidP="001055F0">
      <w:pPr>
        <w:pStyle w:val="FootnoteText"/>
      </w:pPr>
      <w:r>
        <w:rPr>
          <w:rStyle w:val="FootnoteReference"/>
        </w:rPr>
        <w:footnoteRef/>
      </w:r>
      <w:r>
        <w:t xml:space="preserve"> Directive (EU) 2018/410 of the European Parliament and of the Council of 14 March 2018 amending Directive 2003/87/EC to enhance cost-effective emission reductions and low-carbon investments, and Decision (EU) 2015/1814, OJ L 76, 19.03.2018, p.3</w:t>
      </w:r>
    </w:p>
  </w:footnote>
  <w:footnote w:id="3">
    <w:p w14:paraId="65D07E7D" w14:textId="77777777" w:rsidR="00516F65" w:rsidRDefault="00516F65" w:rsidP="00232561">
      <w:pPr>
        <w:pStyle w:val="FootnoteText"/>
        <w:jc w:val="both"/>
      </w:pPr>
      <w:r>
        <w:rPr>
          <w:rStyle w:val="FootnoteReference"/>
        </w:rPr>
        <w:footnoteRef/>
      </w:r>
      <w:r>
        <w:t xml:space="preserve"> Directive 2003/87/EC of the European Parliament and of the Council of 13 October 2003 establishing a scheme for greenhouse gas emission allowance trading within the Community and amending Council Directive 96/61/EC, OJ L 275, 25.10.2003, p. 32.</w:t>
      </w:r>
    </w:p>
  </w:footnote>
  <w:footnote w:id="4">
    <w:p w14:paraId="0A916FC8" w14:textId="77777777" w:rsidR="00516F65" w:rsidRDefault="00516F65" w:rsidP="00232561">
      <w:pPr>
        <w:pStyle w:val="FootnoteText"/>
        <w:jc w:val="both"/>
      </w:pPr>
      <w:r>
        <w:rPr>
          <w:rStyle w:val="FootnoteReference"/>
        </w:rPr>
        <w:footnoteRef/>
      </w:r>
      <w:r>
        <w:t xml:space="preserve"> The cut-off date used is 28 June 2019. </w:t>
      </w:r>
    </w:p>
  </w:footnote>
  <w:footnote w:id="5">
    <w:p w14:paraId="087A147E" w14:textId="77777777" w:rsidR="00516F65" w:rsidRDefault="00516F65" w:rsidP="001055F0">
      <w:pPr>
        <w:pStyle w:val="FootnoteText"/>
      </w:pPr>
      <w:r>
        <w:rPr>
          <w:rStyle w:val="FootnoteReference"/>
        </w:rPr>
        <w:footnoteRef/>
      </w:r>
      <w:r>
        <w:t xml:space="preserve"> For the reference to Article 21 reports, "participating countries" or simply "countries" include the 28 EU Member States plus EEA countries (Iceland, Norway and Liechtenstein).</w:t>
      </w:r>
    </w:p>
  </w:footnote>
  <w:footnote w:id="6">
    <w:p w14:paraId="4E70C82A" w14:textId="77777777" w:rsidR="00516F65" w:rsidRDefault="00516F65" w:rsidP="00232561">
      <w:pPr>
        <w:pStyle w:val="FootnoteText"/>
        <w:jc w:val="both"/>
      </w:pPr>
      <w:r>
        <w:rPr>
          <w:rStyle w:val="FootnoteReference"/>
        </w:rPr>
        <w:footnoteRef/>
      </w:r>
      <w:r>
        <w:t xml:space="preserve"> </w:t>
      </w:r>
      <w:r w:rsidRPr="003F30A8">
        <w:t xml:space="preserve">In the EU ETS, the emission factor of biomass </w:t>
      </w:r>
      <w:r w:rsidR="00880749">
        <w:t>is</w:t>
      </w:r>
      <w:r w:rsidRPr="003F30A8">
        <w:t xml:space="preserve"> set to zero if the definition of the term “biomass” is fulfilled and where– if biofuels or bio-liquids are concerned – the sustainability criteria pursuant to Article 17(1) of Directive 2009/28/EC (the Renewable Energy Directive) are met. No allowances have to be surrendered for zero-rated emissions.</w:t>
      </w:r>
      <w:r w:rsidRPr="00171CDC">
        <w:t xml:space="preserve"> </w:t>
      </w:r>
      <w:r w:rsidRPr="003F30A8">
        <w:t>In the 2019 Article 21 submissions, three participating countries (LV, LT, and DK) only reported the energy content of zero-rated biomass, and not the actual emissions. Their emissions are therefore not taken into account in the total provided.</w:t>
      </w:r>
      <w:r>
        <w:t xml:space="preserve"> </w:t>
      </w:r>
    </w:p>
  </w:footnote>
  <w:footnote w:id="7">
    <w:p w14:paraId="57BBDB68" w14:textId="77777777" w:rsidR="00516F65" w:rsidRDefault="00516F65" w:rsidP="00232561">
      <w:pPr>
        <w:pStyle w:val="FootnoteText"/>
        <w:jc w:val="both"/>
      </w:pPr>
      <w:r>
        <w:rPr>
          <w:rStyle w:val="FootnoteReference"/>
        </w:rPr>
        <w:footnoteRef/>
      </w:r>
      <w:r>
        <w:t xml:space="preserve"> Category C installations emit more than 500 000 tonnes CO</w:t>
      </w:r>
      <w:r>
        <w:rPr>
          <w:vertAlign w:val="subscript"/>
        </w:rPr>
        <w:t>2</w:t>
      </w:r>
      <w:r>
        <w:t>e per year, category B installations emit between 500000 and 50000 tonnes CO</w:t>
      </w:r>
      <w:r>
        <w:rPr>
          <w:vertAlign w:val="subscript"/>
        </w:rPr>
        <w:t>2</w:t>
      </w:r>
      <w:r>
        <w:t>e per year, and category A installations emit less than 50000 tonnes CO</w:t>
      </w:r>
      <w:r>
        <w:rPr>
          <w:vertAlign w:val="subscript"/>
        </w:rPr>
        <w:t>2</w:t>
      </w:r>
      <w:r>
        <w:t>e per year. See Commission Regulation (EU) No 601/2012 of 21 June 2012 on the monitoring and reporting of GHG emissions pursuant to Directive 2003/87/EC of the European Parliament and of the Council, OJ L 181, 12.7.2012, p. 30</w:t>
      </w:r>
    </w:p>
  </w:footnote>
  <w:footnote w:id="8">
    <w:p w14:paraId="5CDD110D" w14:textId="16CF3687" w:rsidR="00880749" w:rsidRDefault="00880749" w:rsidP="00232561">
      <w:pPr>
        <w:pStyle w:val="FootnoteText"/>
        <w:jc w:val="both"/>
      </w:pPr>
      <w:r>
        <w:rPr>
          <w:rStyle w:val="FootnoteReference"/>
        </w:rPr>
        <w:footnoteRef/>
      </w:r>
      <w:r>
        <w:t xml:space="preserve"> Installations with low emissions are a sub-set within category A </w:t>
      </w:r>
      <w:r w:rsidR="00B75E76">
        <w:t>installations, which</w:t>
      </w:r>
      <w:r>
        <w:t xml:space="preserve"> emit less than 25 000 tonnes CO</w:t>
      </w:r>
      <w:r>
        <w:rPr>
          <w:vertAlign w:val="subscript"/>
        </w:rPr>
        <w:t>2</w:t>
      </w:r>
      <w:r>
        <w:t xml:space="preserve">e per year (see </w:t>
      </w:r>
      <w:r w:rsidRPr="00880749">
        <w:t>Article 47(2) of Regulation (EU) No 601/2012</w:t>
      </w:r>
      <w:r>
        <w:t xml:space="preserve">). </w:t>
      </w:r>
    </w:p>
  </w:footnote>
  <w:footnote w:id="9">
    <w:p w14:paraId="27E40B9F" w14:textId="77777777" w:rsidR="00516F65" w:rsidRDefault="00516F65" w:rsidP="00232561">
      <w:pPr>
        <w:pStyle w:val="FootnoteText"/>
        <w:jc w:val="both"/>
      </w:pPr>
      <w:r>
        <w:rPr>
          <w:rStyle w:val="FootnoteReference"/>
        </w:rPr>
        <w:footnoteRef/>
      </w:r>
      <w:r>
        <w:t xml:space="preserve"> Commission Regulation (EU) No 601/2012 of 21 June 2012 on the monitoring and reporting of greenhouse gas emissions pursuant to Directive 2003/87/EC of the European Parliament and of the Council, OJ L 181, 12.7.2012, p. 30.</w:t>
      </w:r>
    </w:p>
  </w:footnote>
  <w:footnote w:id="10">
    <w:p w14:paraId="729E9BD0" w14:textId="77777777" w:rsidR="00516F65" w:rsidRDefault="00516F65" w:rsidP="00232561">
      <w:pPr>
        <w:pStyle w:val="FootnoteText"/>
        <w:jc w:val="both"/>
      </w:pPr>
      <w:r>
        <w:rPr>
          <w:rStyle w:val="FootnoteReference"/>
        </w:rPr>
        <w:footnoteRef/>
      </w:r>
      <w:r>
        <w:t xml:space="preserve"> An example of a commercial aircraft operator would be a passenger airline providing services to the general public. An example of a non-commercial aircraft operator would be a privately owned aircraft.</w:t>
      </w:r>
    </w:p>
  </w:footnote>
  <w:footnote w:id="11">
    <w:p w14:paraId="49CC7E96" w14:textId="77777777" w:rsidR="00516F65" w:rsidRDefault="00516F65" w:rsidP="00232561">
      <w:pPr>
        <w:pStyle w:val="FootnoteText"/>
        <w:jc w:val="both"/>
      </w:pPr>
      <w:r>
        <w:rPr>
          <w:rStyle w:val="FootnoteReference"/>
        </w:rPr>
        <w:footnoteRef/>
      </w:r>
      <w:r>
        <w:t xml:space="preserve"> Commission Decision C(2018) 8707 of 17.12.2018 on instructing the central administrator to temporarily suspend the acceptance by the European Union Transaction Log of relevant processes for the United Kingdom relating to free allocation, auctioning and the exchange of international credits </w:t>
      </w:r>
    </w:p>
  </w:footnote>
  <w:footnote w:id="12">
    <w:p w14:paraId="45211C6E" w14:textId="77777777" w:rsidR="00516F65" w:rsidRDefault="00516F65" w:rsidP="00232561">
      <w:pPr>
        <w:pStyle w:val="FootnoteText"/>
        <w:jc w:val="both"/>
      </w:pPr>
      <w:r>
        <w:rPr>
          <w:rStyle w:val="FootnoteReference"/>
        </w:rPr>
        <w:footnoteRef/>
      </w:r>
      <w:r>
        <w:t xml:space="preserve"> Commission Regulation (EU) 2018/208 of 12 February 2018 amending Regulation (EU) No 389/2013 establishing a Union Registry, OJ L 39/3, 13.02.2018, p.3.</w:t>
      </w:r>
    </w:p>
  </w:footnote>
  <w:footnote w:id="13">
    <w:p w14:paraId="224C7CEF" w14:textId="77777777" w:rsidR="00516F65" w:rsidRDefault="00516F65" w:rsidP="00232561">
      <w:pPr>
        <w:pStyle w:val="FootnoteText"/>
        <w:jc w:val="both"/>
      </w:pPr>
      <w:r>
        <w:rPr>
          <w:rStyle w:val="FootnoteReference"/>
        </w:rPr>
        <w:footnoteRef/>
      </w:r>
      <w:r>
        <w:t xml:space="preserve"> </w:t>
      </w:r>
      <w:r w:rsidRPr="00324F32">
        <w:t xml:space="preserve">  Commission Delegated Regulation (EU) 2019/1122 of 12 March 2019 supplementing Directive 2003/87/EC of the European Parliament and of the Council as regards the functioning of the Union R</w:t>
      </w:r>
      <w:r>
        <w:t>egistry, OJ L 177, 2.7.2019, p. 3</w:t>
      </w:r>
      <w:r w:rsidRPr="00324F32">
        <w:t>.</w:t>
      </w:r>
    </w:p>
  </w:footnote>
  <w:footnote w:id="14">
    <w:p w14:paraId="6B618F8C" w14:textId="77777777" w:rsidR="00516F65" w:rsidRPr="00F75C7F" w:rsidRDefault="00516F65" w:rsidP="001055F0">
      <w:pPr>
        <w:pStyle w:val="FootnoteText"/>
      </w:pPr>
      <w:r>
        <w:rPr>
          <w:rStyle w:val="FootnoteReference"/>
        </w:rPr>
        <w:footnoteRef/>
      </w:r>
      <w:r>
        <w:t xml:space="preserve"> </w:t>
      </w:r>
      <w:r w:rsidRPr="00F75C7F">
        <w:t>Directive 2014/65/EU of the European Parliament and of the Council of 15 May 2014 on markets in financial instruments and amending Directive 2002/92/EC and Directive 2011/61/EU</w:t>
      </w:r>
    </w:p>
  </w:footnote>
  <w:footnote w:id="15">
    <w:p w14:paraId="18CCECF1" w14:textId="77777777" w:rsidR="00516F65" w:rsidRDefault="00516F65" w:rsidP="00232561">
      <w:pPr>
        <w:pStyle w:val="FootnoteText"/>
        <w:jc w:val="both"/>
      </w:pPr>
      <w:r>
        <w:rPr>
          <w:rStyle w:val="FootnoteReference"/>
        </w:rPr>
        <w:footnoteRef/>
      </w:r>
      <w:r>
        <w:t xml:space="preserve"> The number of aviation allowances put into circulation since 2013 is the result of a bottom-up approach starting from free allocation (determined on the basis of activity-based benchmarks for operators' activity within the EEA). The number of allowances auctioned is then derived based on the fact that free allocation (including a special reserve for later distribution to fast-growing aircraft operators and new entrants) should be 85% of the total and auctioning should be 15%.</w:t>
      </w:r>
    </w:p>
  </w:footnote>
  <w:footnote w:id="16">
    <w:p w14:paraId="08AA8F6E" w14:textId="77777777" w:rsidR="00516F65" w:rsidRDefault="00516F65" w:rsidP="00232561">
      <w:pPr>
        <w:pStyle w:val="FootnoteText"/>
        <w:jc w:val="both"/>
      </w:pPr>
      <w:r>
        <w:rPr>
          <w:rStyle w:val="FootnoteReference"/>
        </w:rPr>
        <w:footnoteRef/>
      </w:r>
      <w:r>
        <w:t xml:space="preserve"> The updated figures include exchanges of international credits besides the free allocation and auctioned amounts. </w:t>
      </w:r>
    </w:p>
  </w:footnote>
  <w:footnote w:id="17">
    <w:p w14:paraId="124D1314" w14:textId="77777777" w:rsidR="00516F65" w:rsidRDefault="00516F65" w:rsidP="00232561">
      <w:pPr>
        <w:pStyle w:val="FootnoteText"/>
        <w:jc w:val="both"/>
      </w:pPr>
      <w:r>
        <w:rPr>
          <w:rStyle w:val="FootnoteReference"/>
        </w:rPr>
        <w:footnoteRef/>
      </w:r>
      <w:r>
        <w:t xml:space="preserve"> </w:t>
      </w:r>
      <w:r w:rsidRPr="00161F92">
        <w:t>In</w:t>
      </w:r>
      <w:r>
        <w:t>cludes information from the 2019</w:t>
      </w:r>
      <w:r w:rsidRPr="00161F92">
        <w:t xml:space="preserve"> aviation auction calendar</w:t>
      </w:r>
      <w:r w:rsidR="00522018">
        <w:t xml:space="preserve">. </w:t>
      </w:r>
      <w:r w:rsidR="004C64C5" w:rsidRPr="00264CAF">
        <w:t>UK data for 2019 is not included</w:t>
      </w:r>
      <w:r w:rsidR="009D1D9B" w:rsidRPr="00264CAF">
        <w:t xml:space="preserve"> </w:t>
      </w:r>
      <w:r w:rsidR="004C64C5" w:rsidRPr="00264CAF">
        <w:t>due to the safeguard measures adopted b</w:t>
      </w:r>
      <w:r w:rsidR="00AA45F2" w:rsidRPr="00264CAF">
        <w:t xml:space="preserve">y the Commission to protect </w:t>
      </w:r>
      <w:r w:rsidR="004C64C5" w:rsidRPr="00264CAF">
        <w:t>the environmental integrity of the EU ETS in cases where EU law ceases to apply to a Member State withdrawing from the EU (see chapter 2.2).</w:t>
      </w:r>
    </w:p>
  </w:footnote>
  <w:footnote w:id="18">
    <w:p w14:paraId="31E1AEDF" w14:textId="77777777" w:rsidR="00516F65" w:rsidRDefault="00516F65" w:rsidP="001055F0">
      <w:pPr>
        <w:pStyle w:val="FootnoteText"/>
      </w:pPr>
      <w:r>
        <w:rPr>
          <w:rStyle w:val="FootnoteReference"/>
        </w:rPr>
        <w:footnoteRef/>
      </w:r>
      <w:r>
        <w:t xml:space="preserve"> The figures include notifications by Member States received until June 2019 and may be subject to changes due to later notifications.</w:t>
      </w:r>
    </w:p>
  </w:footnote>
  <w:footnote w:id="19">
    <w:p w14:paraId="39FE7B3A" w14:textId="77777777" w:rsidR="00516F65" w:rsidRDefault="00516F65" w:rsidP="00E55173">
      <w:pPr>
        <w:pStyle w:val="FootnoteText"/>
      </w:pPr>
      <w:r>
        <w:rPr>
          <w:rStyle w:val="FootnoteReference"/>
        </w:rPr>
        <w:footnoteRef/>
      </w:r>
      <w:r>
        <w:t xml:space="preserve"> Initial amount, before application of the reductions mentioned below. </w:t>
      </w:r>
    </w:p>
  </w:footnote>
  <w:footnote w:id="20">
    <w:p w14:paraId="72CA2E38" w14:textId="77777777" w:rsidR="009B58A9" w:rsidRPr="00264CAF" w:rsidRDefault="009B58A9" w:rsidP="007F5B1E">
      <w:pPr>
        <w:pStyle w:val="FootnoteText"/>
        <w:jc w:val="both"/>
      </w:pPr>
      <w:r>
        <w:rPr>
          <w:rStyle w:val="FootnoteReference"/>
        </w:rPr>
        <w:footnoteRef/>
      </w:r>
      <w:r w:rsidRPr="009B58A9">
        <w:t xml:space="preserve"> </w:t>
      </w:r>
      <w:r w:rsidRPr="00264CAF">
        <w:t xml:space="preserve">Allocation concerning </w:t>
      </w:r>
      <w:r w:rsidR="00BE6633" w:rsidRPr="00264CAF">
        <w:t xml:space="preserve">the </w:t>
      </w:r>
      <w:r w:rsidRPr="00264CAF">
        <w:t>UK (48.0 million allowances of the total for 2019) was suspended due to the safeguard measures adopted by the Commission to protect the environmental integrity of the EU ETS in cases where EU law ceases to apply to a Member State withdrawing from the EU (see chapter 2.2).</w:t>
      </w:r>
    </w:p>
  </w:footnote>
  <w:footnote w:id="21">
    <w:p w14:paraId="515C057E" w14:textId="77777777" w:rsidR="00516F65" w:rsidRPr="00516F65" w:rsidRDefault="00516F65" w:rsidP="007F5B1E">
      <w:pPr>
        <w:pStyle w:val="FootnoteText"/>
        <w:jc w:val="both"/>
        <w:rPr>
          <w:lang w:val="fr-BE"/>
        </w:rPr>
      </w:pPr>
      <w:r w:rsidRPr="00264CAF">
        <w:rPr>
          <w:rStyle w:val="FootnoteReference"/>
        </w:rPr>
        <w:footnoteRef/>
      </w:r>
      <w:r w:rsidRPr="00264CAF">
        <w:rPr>
          <w:lang w:val="fr-BE"/>
        </w:rPr>
        <w:t xml:space="preserve"> Commission Decision 2013/448/EU, OJ L 240, 7.9.2013, p.27.</w:t>
      </w:r>
    </w:p>
  </w:footnote>
  <w:footnote w:id="22">
    <w:p w14:paraId="524B8305" w14:textId="77777777" w:rsidR="00516F65" w:rsidRPr="00516F65" w:rsidRDefault="00516F65" w:rsidP="007F5B1E">
      <w:pPr>
        <w:pStyle w:val="FootnoteText"/>
        <w:jc w:val="both"/>
        <w:rPr>
          <w:lang w:val="fr-BE"/>
        </w:rPr>
      </w:pPr>
      <w:r>
        <w:rPr>
          <w:rStyle w:val="FootnoteReference"/>
        </w:rPr>
        <w:footnoteRef/>
      </w:r>
      <w:r w:rsidRPr="00516F65">
        <w:rPr>
          <w:lang w:val="fr-BE"/>
        </w:rPr>
        <w:t xml:space="preserve"> Commission Decision 2017/126/EU, OJ L 19, 25.1.2017, p. 93.</w:t>
      </w:r>
    </w:p>
  </w:footnote>
  <w:footnote w:id="23">
    <w:p w14:paraId="35EE4543" w14:textId="77777777" w:rsidR="00516F65" w:rsidRPr="00465A10" w:rsidRDefault="00516F65" w:rsidP="007F5B1E">
      <w:pPr>
        <w:pStyle w:val="FootnoteText"/>
        <w:jc w:val="both"/>
      </w:pPr>
      <w:r>
        <w:rPr>
          <w:rStyle w:val="FootnoteReference"/>
        </w:rPr>
        <w:footnoteRef/>
      </w:r>
      <w:r>
        <w:t xml:space="preserve"> Commission Delegated Decision (EU) 2019/708, </w:t>
      </w:r>
      <w:r w:rsidRPr="00465A10">
        <w:t>https://eur-lex.europa.eu/legal-content/EN/TXT/PDF/?uri=OJ:L:2019:120:FULL&amp;from=EN</w:t>
      </w:r>
    </w:p>
  </w:footnote>
  <w:footnote w:id="24">
    <w:p w14:paraId="10E3EB24" w14:textId="77777777" w:rsidR="00516F65" w:rsidRDefault="00516F65" w:rsidP="00BE6633">
      <w:pPr>
        <w:pStyle w:val="FootnoteText"/>
      </w:pPr>
      <w:r>
        <w:rPr>
          <w:rStyle w:val="FootnoteReference"/>
        </w:rPr>
        <w:footnoteRef/>
      </w:r>
      <w:r>
        <w:t xml:space="preserve"> Commission Delegated Regulation (EU) 2019/331, </w:t>
      </w:r>
      <w:r w:rsidRPr="00ED3A8F">
        <w:t>https://eur-lex.europa.eu/legal-content/EN/TXT/PDF/?uri=OJ:L:2019:059:FULL&amp;from=EN</w:t>
      </w:r>
    </w:p>
  </w:footnote>
  <w:footnote w:id="25">
    <w:p w14:paraId="12C088B7" w14:textId="77777777" w:rsidR="00516F65" w:rsidRDefault="00516F65" w:rsidP="00BE6633">
      <w:pPr>
        <w:pStyle w:val="FootnoteText"/>
      </w:pPr>
      <w:r>
        <w:rPr>
          <w:rStyle w:val="FootnoteReference"/>
        </w:rPr>
        <w:footnoteRef/>
      </w:r>
      <w:r>
        <w:t xml:space="preserve"> Commission Decision (EU) 2017/2172 of 20 November 2017 amending Decision 2010/670/EU as regards the deployment of non-disbursed revenues from the first round of calls for proposals.</w:t>
      </w:r>
    </w:p>
  </w:footnote>
  <w:footnote w:id="26">
    <w:p w14:paraId="7F4996A3" w14:textId="77777777" w:rsidR="00516F65" w:rsidRDefault="00516F65" w:rsidP="004F7E89">
      <w:pPr>
        <w:pStyle w:val="FootnoteText"/>
        <w:jc w:val="both"/>
      </w:pPr>
      <w:r>
        <w:rPr>
          <w:rStyle w:val="FootnoteReference"/>
        </w:rPr>
        <w:footnoteRef/>
      </w:r>
      <w:r>
        <w:t xml:space="preserve"> In line with Commission Decision 2010/670/EU, projects awarded under the first call had to reach final investment decision by end 2016, while projects awarded under the second call had to do so by end June 2018.</w:t>
      </w:r>
    </w:p>
  </w:footnote>
  <w:footnote w:id="27">
    <w:p w14:paraId="4524FA54" w14:textId="77777777" w:rsidR="00516F65" w:rsidRPr="004724FA" w:rsidRDefault="00516F65" w:rsidP="004F7E89">
      <w:pPr>
        <w:pStyle w:val="FootnoteText"/>
        <w:jc w:val="both"/>
      </w:pPr>
      <w:r w:rsidRPr="00516F65">
        <w:rPr>
          <w:rStyle w:val="FootnoteReference"/>
        </w:rPr>
        <w:footnoteRef/>
      </w:r>
      <w:r w:rsidRPr="00516F65">
        <w:t xml:space="preserve"> The value of 450 million allowances available for the fund will depend on the carbon price. With an average price of EUR 25 per allowance, resources for the fund would amount to EUR 11.3 billion.</w:t>
      </w:r>
      <w:r w:rsidRPr="004724FA">
        <w:t xml:space="preserve"> </w:t>
      </w:r>
    </w:p>
  </w:footnote>
  <w:footnote w:id="28">
    <w:p w14:paraId="36A43FF5" w14:textId="77777777" w:rsidR="00516F65" w:rsidRPr="00926977" w:rsidRDefault="00516F65" w:rsidP="004F7E89">
      <w:pPr>
        <w:pStyle w:val="FootnoteText"/>
        <w:jc w:val="both"/>
        <w:rPr>
          <w:lang w:val="en-IE"/>
        </w:rPr>
      </w:pPr>
      <w:r w:rsidRPr="004724FA">
        <w:rPr>
          <w:rStyle w:val="FootnoteReference"/>
        </w:rPr>
        <w:footnoteRef/>
      </w:r>
      <w:r w:rsidRPr="004724FA">
        <w:t xml:space="preserve"> Commission Delegated Regulation (EU) 2019/856 of 26 February 2019 supplementing</w:t>
      </w:r>
      <w:r w:rsidRPr="0081096C">
        <w:t xml:space="preserve"> Directive 2003/87/EC of the European Parliament and of the Council with regard to the operation of the Innovation Fund</w:t>
      </w:r>
      <w:r>
        <w:t xml:space="preserve">, </w:t>
      </w:r>
      <w:r w:rsidRPr="0081096C">
        <w:t xml:space="preserve"> </w:t>
      </w:r>
      <w:r w:rsidRPr="00AD3BCF">
        <w:t>OJ L 140, 28.5.2019, p. 6–17</w:t>
      </w:r>
    </w:p>
  </w:footnote>
  <w:footnote w:id="29">
    <w:p w14:paraId="563672DE" w14:textId="77777777" w:rsidR="00516F65" w:rsidRPr="00B77AB3" w:rsidRDefault="00516F65" w:rsidP="002C43D3">
      <w:pPr>
        <w:pStyle w:val="FootnoteText"/>
      </w:pPr>
      <w:r w:rsidRPr="00B77AB3">
        <w:rPr>
          <w:rStyle w:val="FootnoteReference"/>
        </w:rPr>
        <w:footnoteRef/>
      </w:r>
      <w:r>
        <w:t xml:space="preserve"> In addition, modifica</w:t>
      </w:r>
      <w:r w:rsidRPr="00B77AB3">
        <w:t>tions have been adopted to the French</w:t>
      </w:r>
      <w:r>
        <w:t xml:space="preserve"> and Spanish</w:t>
      </w:r>
      <w:r w:rsidRPr="00B77AB3">
        <w:t xml:space="preserve"> schemes.</w:t>
      </w:r>
    </w:p>
  </w:footnote>
  <w:footnote w:id="30">
    <w:p w14:paraId="01E198D3" w14:textId="77777777" w:rsidR="006B0912" w:rsidRDefault="006B0912" w:rsidP="002C43D3">
      <w:pPr>
        <w:pStyle w:val="FootnoteText"/>
      </w:pPr>
      <w:r>
        <w:rPr>
          <w:rStyle w:val="FootnoteReference"/>
        </w:rPr>
        <w:footnoteRef/>
      </w:r>
      <w:r>
        <w:t xml:space="preserve"> Information on the disbursed compensation and the number of beneficiaries is based on the reporting obligation under Article 10a(6) of </w:t>
      </w:r>
      <w:r w:rsidRPr="006B0912">
        <w:t>Directive (EU) 2018/410</w:t>
      </w:r>
      <w:r>
        <w:t>.</w:t>
      </w:r>
    </w:p>
  </w:footnote>
  <w:footnote w:id="31">
    <w:p w14:paraId="46B098E4" w14:textId="77777777" w:rsidR="00516F65" w:rsidRDefault="00516F65">
      <w:pPr>
        <w:pStyle w:val="FootnoteText"/>
      </w:pPr>
      <w:r>
        <w:rPr>
          <w:rStyle w:val="FootnoteReference"/>
        </w:rPr>
        <w:footnoteRef/>
      </w:r>
      <w:r>
        <w:t xml:space="preserve"> GBP </w:t>
      </w:r>
      <w:r w:rsidRPr="007C2B4B">
        <w:t xml:space="preserve">19.7 </w:t>
      </w:r>
      <w:r>
        <w:t>million</w:t>
      </w:r>
      <w:r w:rsidRPr="007C2B4B">
        <w:t xml:space="preserve"> (for IC incurred in 2018)</w:t>
      </w:r>
      <w:r>
        <w:t xml:space="preserve">, based on an </w:t>
      </w:r>
      <w:r w:rsidRPr="007C2B4B">
        <w:t>averag</w:t>
      </w:r>
      <w:r>
        <w:t>e exchange rate GBP/EUR 1.1355.</w:t>
      </w:r>
    </w:p>
  </w:footnote>
  <w:footnote w:id="32">
    <w:p w14:paraId="7FE62C2F" w14:textId="77777777" w:rsidR="006B0912" w:rsidRDefault="006B0912">
      <w:pPr>
        <w:pStyle w:val="FootnoteText"/>
      </w:pPr>
      <w:r>
        <w:rPr>
          <w:rStyle w:val="FootnoteReference"/>
        </w:rPr>
        <w:footnoteRef/>
      </w:r>
      <w:r>
        <w:t xml:space="preserve"> The UK has not reported installations, but businesses.</w:t>
      </w:r>
    </w:p>
  </w:footnote>
  <w:footnote w:id="33">
    <w:p w14:paraId="3C39F140" w14:textId="77777777" w:rsidR="00513707" w:rsidRPr="00171CDC" w:rsidRDefault="00513707">
      <w:pPr>
        <w:pStyle w:val="FootnoteText"/>
      </w:pPr>
      <w:r>
        <w:rPr>
          <w:rStyle w:val="FootnoteReference"/>
        </w:rPr>
        <w:footnoteRef/>
      </w:r>
      <w:r>
        <w:t xml:space="preserve"> </w:t>
      </w:r>
      <w:r w:rsidRPr="003F30A8">
        <w:t>Please note that the United K</w:t>
      </w:r>
      <w:r w:rsidR="00E41CBA">
        <w:t xml:space="preserve">ingdom </w:t>
      </w:r>
      <w:r w:rsidRPr="003F30A8">
        <w:t>has paid out 2019 support for indirect cos</w:t>
      </w:r>
      <w:r w:rsidR="00E41CBA">
        <w:t>ts incurred in 2018. That is why auction revenues from</w:t>
      </w:r>
      <w:r w:rsidRPr="003F30A8">
        <w:t xml:space="preserve"> 2018 are shown for the UK.</w:t>
      </w:r>
      <w:r w:rsidRPr="00171CDC">
        <w:t xml:space="preserve"> </w:t>
      </w:r>
    </w:p>
  </w:footnote>
  <w:footnote w:id="34">
    <w:p w14:paraId="15E8E690" w14:textId="77777777" w:rsidR="001B4818" w:rsidRDefault="001B4818">
      <w:pPr>
        <w:pStyle w:val="FootnoteText"/>
      </w:pPr>
      <w:r>
        <w:rPr>
          <w:rStyle w:val="FootnoteReference"/>
        </w:rPr>
        <w:footnoteRef/>
      </w:r>
      <w:r>
        <w:t xml:space="preserve"> Poland is not included here, as it will </w:t>
      </w:r>
      <w:r w:rsidRPr="001B4818">
        <w:t>start paying out support in 2020 for indirect costs incurred in 2019.</w:t>
      </w:r>
    </w:p>
  </w:footnote>
  <w:footnote w:id="35">
    <w:p w14:paraId="22E1F2A3" w14:textId="77777777" w:rsidR="00516F65" w:rsidRPr="003F30A8" w:rsidRDefault="00516F65">
      <w:pPr>
        <w:pStyle w:val="FootnoteText"/>
      </w:pPr>
      <w:r w:rsidRPr="00171CDC">
        <w:rPr>
          <w:rStyle w:val="FootnoteReference"/>
        </w:rPr>
        <w:footnoteRef/>
      </w:r>
      <w:r w:rsidRPr="00171CDC">
        <w:t xml:space="preserve"> The reason for comparing 2018 pay-outs with 2017 auction revenues is that 2018 pay-outs generally constitute compensation for indirect costs incurred by consumer</w:t>
      </w:r>
      <w:r w:rsidRPr="003F30A8">
        <w:t>s</w:t>
      </w:r>
      <w:r w:rsidR="0042672C">
        <w:t xml:space="preserve"> </w:t>
      </w:r>
      <w:r w:rsidRPr="003F30A8">
        <w:t xml:space="preserve">in calendar year 2017. </w:t>
      </w:r>
    </w:p>
  </w:footnote>
  <w:footnote w:id="36">
    <w:p w14:paraId="51262643" w14:textId="77777777" w:rsidR="00516F65" w:rsidRDefault="00516F65">
      <w:pPr>
        <w:pStyle w:val="FootnoteText"/>
      </w:pPr>
      <w:r>
        <w:rPr>
          <w:rStyle w:val="FootnoteReference"/>
        </w:rPr>
        <w:footnoteRef/>
      </w:r>
      <w:r>
        <w:t xml:space="preserve"> </w:t>
      </w:r>
      <w:r w:rsidRPr="000B7105">
        <w:t>Commission Delegated Regulation (EU) 2019/7 of 30 October 2018 amending Regulation (EU) No 1031/2010 as regards the auctioning of 50 million unallocated allowances from the market stability reserve for the innovation fund and to list an auction platf</w:t>
      </w:r>
      <w:r>
        <w:t>orm to be appointed by Germany, OJ L 2, 04.01.2019, p.1-5.</w:t>
      </w:r>
    </w:p>
  </w:footnote>
  <w:footnote w:id="37">
    <w:p w14:paraId="3F96CA62" w14:textId="77777777" w:rsidR="00516F65" w:rsidRDefault="00516F65">
      <w:pPr>
        <w:pStyle w:val="FootnoteText"/>
      </w:pPr>
      <w:r>
        <w:rPr>
          <w:rStyle w:val="FootnoteReference"/>
        </w:rPr>
        <w:footnoteRef/>
      </w:r>
      <w:r>
        <w:t xml:space="preserve"> The volumes of general allowances have been determined taking into account Decision 1359/2013/EU. The volumes of aviation allowances have been determined taking into account Decision No 377/2013/EU and Regulation (EU) No 421/2014.</w:t>
      </w:r>
    </w:p>
  </w:footnote>
  <w:footnote w:id="38">
    <w:p w14:paraId="16DED69D" w14:textId="77777777" w:rsidR="00516F65" w:rsidRDefault="00516F65">
      <w:pPr>
        <w:pStyle w:val="FootnoteText"/>
      </w:pPr>
      <w:r>
        <w:rPr>
          <w:rStyle w:val="FootnoteReference"/>
        </w:rPr>
        <w:footnoteRef/>
      </w:r>
      <w:r>
        <w:rPr>
          <w:rStyle w:val="FootnoteReference"/>
        </w:rPr>
        <w:t xml:space="preserve"> </w:t>
      </w:r>
      <w:r>
        <w:t xml:space="preserve">Early auctions of allowances in phase 3 were performed in 2012 in view of the widespread commercial practice in the electricity sector of selling </w:t>
      </w:r>
      <w:r w:rsidR="008E46B6">
        <w:t>electricity</w:t>
      </w:r>
      <w:r>
        <w:t xml:space="preserve"> on a forward basis and purchasing the required inputs (including allowances) when they sell their output.</w:t>
      </w:r>
    </w:p>
  </w:footnote>
  <w:footnote w:id="39">
    <w:p w14:paraId="7DDC03AC" w14:textId="77777777" w:rsidR="007C76F9" w:rsidRDefault="007C76F9">
      <w:pPr>
        <w:pStyle w:val="FootnoteText"/>
      </w:pPr>
      <w:r>
        <w:rPr>
          <w:rStyle w:val="FootnoteReference"/>
        </w:rPr>
        <w:footnoteRef/>
      </w:r>
      <w:r>
        <w:t xml:space="preserve"> </w:t>
      </w:r>
      <w:r w:rsidRPr="007C76F9">
        <w:t>UK data for 2019 is not included due to the safeguard measures adopted by the Commission to protect the environmental integrity of the EU ETS in cases where EU law ceases to apply to a Member State withdrawing from the EU (see chapter 2.2).</w:t>
      </w:r>
    </w:p>
  </w:footnote>
  <w:footnote w:id="40">
    <w:p w14:paraId="7C85D7FD" w14:textId="77777777" w:rsidR="00516F65" w:rsidRDefault="00516F65">
      <w:pPr>
        <w:pStyle w:val="FootnoteText"/>
      </w:pPr>
      <w:r>
        <w:rPr>
          <w:rStyle w:val="FootnoteReference"/>
        </w:rPr>
        <w:footnoteRef/>
      </w:r>
      <w:r>
        <w:t xml:space="preserve"> </w:t>
      </w:r>
      <w:hyperlink r:id="rId1" w:history="1">
        <w:r>
          <w:rPr>
            <w:rStyle w:val="Hyperlink"/>
            <w:color w:val="auto"/>
          </w:rPr>
          <w:t>http://ec.europa.eu/clima/policies/ets/auctioning/documentation_en.htm</w:t>
        </w:r>
      </w:hyperlink>
    </w:p>
  </w:footnote>
  <w:footnote w:id="41">
    <w:p w14:paraId="35BC0484" w14:textId="77777777" w:rsidR="00516F65" w:rsidRDefault="00516F65">
      <w:pPr>
        <w:pStyle w:val="FootnoteText"/>
      </w:pPr>
      <w:r>
        <w:rPr>
          <w:rStyle w:val="FootnoteReference"/>
        </w:rPr>
        <w:footnoteRef/>
      </w:r>
      <w:r w:rsidR="003424FE">
        <w:t xml:space="preserve"> The figures</w:t>
      </w:r>
      <w:r>
        <w:t xml:space="preserve"> include amounts to auction from the 2019 auctioning calendar, so the 55.8 million unallocated allowances that Poland requested to auction in 2019 are reflected.</w:t>
      </w:r>
    </w:p>
  </w:footnote>
  <w:footnote w:id="42">
    <w:p w14:paraId="0905FC52" w14:textId="1AD71895" w:rsidR="00516F65" w:rsidRDefault="00516F65">
      <w:pPr>
        <w:pStyle w:val="FootnoteText"/>
      </w:pPr>
      <w:r>
        <w:rPr>
          <w:rStyle w:val="FootnoteReference"/>
        </w:rPr>
        <w:footnoteRef/>
      </w:r>
      <w:r w:rsidR="003424FE">
        <w:t xml:space="preserve"> The figues include amounts to auction from the 2019 auction calendar (from allocation years 2013-2018</w:t>
      </w:r>
      <w:r w:rsidR="00B75E76">
        <w:t xml:space="preserve">). </w:t>
      </w:r>
    </w:p>
  </w:footnote>
  <w:footnote w:id="43">
    <w:p w14:paraId="45AD8A64" w14:textId="77777777" w:rsidR="00516F65" w:rsidRPr="00F14010" w:rsidRDefault="00516F65">
      <w:pPr>
        <w:pStyle w:val="FootnoteText"/>
      </w:pPr>
      <w:r>
        <w:rPr>
          <w:rStyle w:val="FootnoteReference"/>
        </w:rPr>
        <w:footnoteRef/>
      </w:r>
      <w:r>
        <w:t xml:space="preserve"> </w:t>
      </w:r>
      <w:r w:rsidRPr="00F14010">
        <w:t xml:space="preserve">The classification </w:t>
      </w:r>
      <w:r>
        <w:t xml:space="preserve">into </w:t>
      </w:r>
      <w:r w:rsidR="008E46B6">
        <w:t xml:space="preserve">electricity and heat production </w:t>
      </w:r>
      <w:r>
        <w:t xml:space="preserve">and industry categories used in </w:t>
      </w:r>
      <w:r w:rsidRPr="002802C4">
        <w:t>Table 7 is</w:t>
      </w:r>
      <w:r>
        <w:t xml:space="preserve"> consistent with the phase 4 </w:t>
      </w:r>
      <w:r w:rsidRPr="00F14010">
        <w:t xml:space="preserve">NACE classification </w:t>
      </w:r>
      <w:r>
        <w:t>used for the establishment of the Carbon Leakage List for the next trading period.</w:t>
      </w:r>
    </w:p>
  </w:footnote>
  <w:footnote w:id="44">
    <w:p w14:paraId="2DA2E570" w14:textId="77777777" w:rsidR="00516F65" w:rsidRDefault="00516F65" w:rsidP="00232561">
      <w:pPr>
        <w:pStyle w:val="FootnoteText"/>
        <w:jc w:val="both"/>
      </w:pPr>
      <w:r>
        <w:rPr>
          <w:rStyle w:val="FootnoteReference"/>
        </w:rPr>
        <w:footnoteRef/>
      </w:r>
      <w:r>
        <w:t xml:space="preserve"> Decision (EU) 2015/1814 of the European Parliament and of the Council of 6 October 2015 concerning the establishment and operation of a market stability reserve for the Union greenhouse gas emission trading scheme and amending Directive 2003/87/EC, OJ L 264, 9.10.2015, p. 1.</w:t>
      </w:r>
    </w:p>
  </w:footnote>
  <w:footnote w:id="45">
    <w:p w14:paraId="5D48BB9F" w14:textId="77777777" w:rsidR="00516F65" w:rsidRDefault="00516F65" w:rsidP="00232561">
      <w:pPr>
        <w:pStyle w:val="FootnoteText"/>
        <w:jc w:val="both"/>
      </w:pPr>
      <w:r>
        <w:rPr>
          <w:rStyle w:val="FootnoteReference"/>
        </w:rPr>
        <w:footnoteRef/>
      </w:r>
      <w:r>
        <w:t xml:space="preserve"> Directive (EU) 2018/410 of the European Parliament and of the Council of 14 March 2018 amending Directive 2003/87/EC to enhance cost-effective emission reductions and low-carbon investments, and Decision (EU) 2015/1814, (OJ L 76, 19 March 2018, p. 3); available at: </w:t>
      </w:r>
      <w:hyperlink r:id="rId2" w:history="1">
        <w:r>
          <w:rPr>
            <w:rStyle w:val="Hyperlink"/>
          </w:rPr>
          <w:t>http://eur-lex.europa.eu/legal-content/EN/TXT/?uri=uriserv:OJ.L_.2018.076.01.0003.01.ENG&amp;toc=OJ:L:2018:076:TOC</w:t>
        </w:r>
      </w:hyperlink>
      <w:r>
        <w:t xml:space="preserve"> </w:t>
      </w:r>
    </w:p>
  </w:footnote>
  <w:footnote w:id="46">
    <w:p w14:paraId="4A52BCF8" w14:textId="77777777" w:rsidR="00516F65" w:rsidRPr="00232561" w:rsidRDefault="00516F65" w:rsidP="00EB4AF8">
      <w:pPr>
        <w:pStyle w:val="Default"/>
        <w:rPr>
          <w:color w:val="auto"/>
          <w:sz w:val="18"/>
          <w:szCs w:val="18"/>
        </w:rPr>
      </w:pPr>
      <w:r>
        <w:rPr>
          <w:rStyle w:val="FootnoteReference"/>
          <w:color w:val="auto"/>
          <w:sz w:val="20"/>
          <w:szCs w:val="20"/>
        </w:rPr>
        <w:footnoteRef/>
      </w:r>
      <w:r>
        <w:rPr>
          <w:color w:val="auto"/>
          <w:sz w:val="20"/>
          <w:szCs w:val="20"/>
        </w:rPr>
        <w:t xml:space="preserve"> </w:t>
      </w:r>
      <w:r w:rsidRPr="00232561">
        <w:rPr>
          <w:color w:val="auto"/>
          <w:sz w:val="18"/>
          <w:szCs w:val="18"/>
        </w:rPr>
        <w:t>C(2019) 3288 final, https://ec.europa.eu/clima/sites/clima/files/ets/reform/docs/c_2019_3288_en.pdf</w:t>
      </w:r>
    </w:p>
  </w:footnote>
  <w:footnote w:id="47">
    <w:p w14:paraId="632859BF" w14:textId="77777777" w:rsidR="00516F65" w:rsidRDefault="00516F65" w:rsidP="00232561">
      <w:pPr>
        <w:pStyle w:val="FootnoteText"/>
        <w:jc w:val="both"/>
        <w:rPr>
          <w:lang w:val="en-US"/>
        </w:rPr>
      </w:pPr>
      <w:r>
        <w:rPr>
          <w:rStyle w:val="FootnoteReference"/>
        </w:rPr>
        <w:footnoteRef/>
      </w:r>
      <w:r>
        <w:t xml:space="preserve"> C(2017) 3228 final, https://ec.europa.eu/clima/sites/clima/files/ets/reform/docs/c_2017_3228_en.pdf</w:t>
      </w:r>
    </w:p>
  </w:footnote>
  <w:footnote w:id="48">
    <w:p w14:paraId="1E07E48F" w14:textId="77777777" w:rsidR="00516F65" w:rsidRDefault="00516F65" w:rsidP="00232561">
      <w:pPr>
        <w:pStyle w:val="FootnoteText"/>
        <w:jc w:val="both"/>
      </w:pPr>
      <w:r>
        <w:rPr>
          <w:rStyle w:val="FootnoteReference"/>
        </w:rPr>
        <w:footnoteRef/>
      </w:r>
      <w:r>
        <w:t xml:space="preserve"> C(2019) 3288 final, https://ec.europa.eu/clima/sites/clima/files/ets/reform/docs/c_2019_3288_en.pdf</w:t>
      </w:r>
    </w:p>
  </w:footnote>
  <w:footnote w:id="49">
    <w:p w14:paraId="2FD7F234" w14:textId="77777777" w:rsidR="00516F65" w:rsidRPr="00516F65" w:rsidRDefault="00516F65" w:rsidP="00232561">
      <w:pPr>
        <w:pStyle w:val="FootnoteText"/>
        <w:jc w:val="both"/>
      </w:pPr>
      <w:r w:rsidRPr="00516F65">
        <w:rPr>
          <w:rStyle w:val="FootnoteReference"/>
        </w:rPr>
        <w:footnoteRef/>
      </w:r>
      <w:r w:rsidRPr="00516F65">
        <w:t xml:space="preserve"> The volume to be added to the MSR for the period between 1 January and 31 August 2020 was determined by the 2019 publication of the surplus indicator, and amounted to nearly 265 million allowances. The rest of the volumes to be added to the MSR in 2020 will be determined by the 2020 publication of the surplus indicator.</w:t>
      </w:r>
    </w:p>
  </w:footnote>
  <w:footnote w:id="50">
    <w:p w14:paraId="0A738DD6" w14:textId="77777777" w:rsidR="00516F65" w:rsidRPr="00171CDC" w:rsidRDefault="00516F65" w:rsidP="00232561">
      <w:pPr>
        <w:pStyle w:val="FootnoteText"/>
        <w:jc w:val="both"/>
      </w:pPr>
      <w:r w:rsidRPr="003F30A8">
        <w:rPr>
          <w:rStyle w:val="FootnoteReference"/>
        </w:rPr>
        <w:footnoteRef/>
      </w:r>
      <w:r w:rsidRPr="003F30A8">
        <w:t xml:space="preserve"> Noting that the actual auctioned volumes depend also on other factors, such as the auctioning of leftovers from the Article 10(c) derogation and the participation of EEA/EFTA states in the EU ETS.</w:t>
      </w:r>
    </w:p>
  </w:footnote>
  <w:footnote w:id="51">
    <w:p w14:paraId="0E14EF29" w14:textId="77777777" w:rsidR="00516F65" w:rsidRPr="00426C20" w:rsidRDefault="00516F65" w:rsidP="00232561">
      <w:pPr>
        <w:pStyle w:val="FootnoteText"/>
        <w:jc w:val="both"/>
      </w:pPr>
      <w:r w:rsidRPr="00171CDC">
        <w:rPr>
          <w:rStyle w:val="FootnoteReference"/>
        </w:rPr>
        <w:footnoteRef/>
      </w:r>
      <w:r w:rsidRPr="00171CDC">
        <w:t xml:space="preserve"> Taking into account that auction volumes from January to August 2019 were already reduced by</w:t>
      </w:r>
      <w:r w:rsidRPr="00516F65">
        <w:t xml:space="preserve"> the MSR based on the 2017 surplus figure.</w:t>
      </w:r>
    </w:p>
  </w:footnote>
  <w:footnote w:id="52">
    <w:p w14:paraId="5427B602" w14:textId="77777777" w:rsidR="00516F65" w:rsidRPr="00BA6B2E" w:rsidRDefault="00516F65" w:rsidP="00232561">
      <w:pPr>
        <w:pStyle w:val="FootnoteText"/>
        <w:jc w:val="both"/>
        <w:rPr>
          <w:lang w:val="en-US"/>
        </w:rPr>
      </w:pPr>
      <w:r>
        <w:rPr>
          <w:rStyle w:val="FootnoteReference"/>
        </w:rPr>
        <w:footnoteRef/>
      </w:r>
      <w:r>
        <w:t xml:space="preserve"> </w:t>
      </w:r>
      <w:r w:rsidRPr="00BA6B2E">
        <w:t>These numbers do not take into account</w:t>
      </w:r>
      <w:r>
        <w:t xml:space="preserve"> all</w:t>
      </w:r>
      <w:r w:rsidRPr="00BA6B2E">
        <w:t xml:space="preserve"> closures of aircraft operators.</w:t>
      </w:r>
    </w:p>
  </w:footnote>
  <w:footnote w:id="53">
    <w:p w14:paraId="127E5AD3" w14:textId="77777777" w:rsidR="00BE6633" w:rsidRPr="00264CAF" w:rsidRDefault="00BE6633" w:rsidP="00232561">
      <w:pPr>
        <w:pStyle w:val="FootnoteText"/>
        <w:jc w:val="both"/>
      </w:pPr>
      <w:r>
        <w:rPr>
          <w:rStyle w:val="FootnoteReference"/>
        </w:rPr>
        <w:footnoteRef/>
      </w:r>
      <w:r>
        <w:t xml:space="preserve"> </w:t>
      </w:r>
      <w:r w:rsidRPr="00264CAF">
        <w:t>Allocation concerning the UK (4.31 million a</w:t>
      </w:r>
      <w:r w:rsidR="002C43D3" w:rsidRPr="00264CAF">
        <w:t>llowances of the total</w:t>
      </w:r>
      <w:r w:rsidRPr="00264CAF">
        <w:t xml:space="preserve"> for 2019) was suspended due to the safeguard measures adopted by the Commission to protect the environmental integrity of the EU ETS in cases where EU law ceases to apply to a Member State withdrawing from the EU (see chapter 2.2).</w:t>
      </w:r>
    </w:p>
  </w:footnote>
  <w:footnote w:id="54">
    <w:p w14:paraId="146EF9F1" w14:textId="77777777" w:rsidR="00516F65" w:rsidRPr="00BA6B2E" w:rsidRDefault="00516F65" w:rsidP="00232561">
      <w:pPr>
        <w:pStyle w:val="FootnoteText"/>
        <w:jc w:val="both"/>
      </w:pPr>
      <w:r w:rsidRPr="00264CAF">
        <w:rPr>
          <w:rStyle w:val="FootnoteReference"/>
        </w:rPr>
        <w:footnoteRef/>
      </w:r>
      <w:r w:rsidRPr="00264CAF">
        <w:t xml:space="preserve"> Until end June 2019</w:t>
      </w:r>
    </w:p>
  </w:footnote>
  <w:footnote w:id="55">
    <w:p w14:paraId="00774941" w14:textId="77777777" w:rsidR="00516F65" w:rsidRDefault="00516F65" w:rsidP="00232561">
      <w:pPr>
        <w:pStyle w:val="FootnoteText"/>
        <w:jc w:val="both"/>
      </w:pPr>
      <w:r>
        <w:rPr>
          <w:rStyle w:val="FootnoteReference"/>
        </w:rPr>
        <w:footnoteRef/>
      </w:r>
      <w:r>
        <w:t xml:space="preserve"> Decision No 377/2013/EU of the European Parliament and of the Council of 24 April 2013 derogating temporarily from Directive 2003/87/EC establishing a scheme for greenhouse gas emission allowance trading within the Community Text with EEA relevance, OJ L 113, 25.4.2013, p. 1.</w:t>
      </w:r>
    </w:p>
  </w:footnote>
  <w:footnote w:id="56">
    <w:p w14:paraId="7B41E6A7" w14:textId="77777777" w:rsidR="00516F65" w:rsidRPr="00516F65" w:rsidRDefault="00516F65" w:rsidP="00232561">
      <w:pPr>
        <w:pStyle w:val="FootnoteText"/>
        <w:jc w:val="both"/>
      </w:pPr>
      <w:r w:rsidRPr="00516F65">
        <w:rPr>
          <w:rStyle w:val="FootnoteReference"/>
        </w:rPr>
        <w:footnoteRef/>
      </w:r>
      <w:r w:rsidRPr="00516F65">
        <w:t xml:space="preserve"> https://www.icao.int/environmental-protection/CORSIA/Pages/SARPs-Annex-16-Volume-IV.aspx</w:t>
      </w:r>
    </w:p>
  </w:footnote>
  <w:footnote w:id="57">
    <w:p w14:paraId="2A3A7CAC" w14:textId="77777777" w:rsidR="000E17BF" w:rsidRDefault="000E17BF" w:rsidP="00232561">
      <w:pPr>
        <w:pStyle w:val="FootnoteText"/>
        <w:jc w:val="both"/>
      </w:pPr>
      <w:r>
        <w:rPr>
          <w:rStyle w:val="FootnoteReference"/>
        </w:rPr>
        <w:footnoteRef/>
      </w:r>
      <w:r>
        <w:t xml:space="preserve"> </w:t>
      </w:r>
      <w:r w:rsidRPr="000E17BF">
        <w:t>Council Decision (EU) 2018/2027 of 29 November 2018 on the position to be taken on behalf of the European Union within the International Civil Aviation Organization in respect of the First Edition of the International Standards and Recommended Practices on Environmental Protection — Carbon Offsetting and Reduction Scheme for International Aviation (CORSIA)</w:t>
      </w:r>
      <w:r>
        <w:t xml:space="preserve">, </w:t>
      </w:r>
      <w:r w:rsidRPr="000E17BF">
        <w:t>OJ L 325, 20.12.2018, p. 25–28</w:t>
      </w:r>
    </w:p>
  </w:footnote>
  <w:footnote w:id="58">
    <w:p w14:paraId="20CD95FF" w14:textId="77777777" w:rsidR="00B508EC" w:rsidRDefault="00B508EC" w:rsidP="00232561">
      <w:pPr>
        <w:pStyle w:val="FootnoteText"/>
        <w:jc w:val="both"/>
      </w:pPr>
      <w:r>
        <w:rPr>
          <w:rStyle w:val="FootnoteReference"/>
        </w:rPr>
        <w:footnoteRef/>
      </w:r>
      <w:r>
        <w:t xml:space="preserve"> </w:t>
      </w:r>
      <w:r w:rsidRPr="003F30A8">
        <w:t>All data is taken from the Common Auction Platform (CAP2) monthly reports to the Commission.</w:t>
      </w:r>
    </w:p>
  </w:footnote>
  <w:footnote w:id="59">
    <w:p w14:paraId="0A00245E" w14:textId="77777777" w:rsidR="00516F65" w:rsidRDefault="00516F65" w:rsidP="00232561">
      <w:pPr>
        <w:pStyle w:val="FootnoteText"/>
        <w:jc w:val="both"/>
      </w:pPr>
      <w:r>
        <w:rPr>
          <w:rStyle w:val="FootnoteReference"/>
        </w:rPr>
        <w:footnoteRef/>
      </w:r>
      <w:r>
        <w:t xml:space="preserve"> </w:t>
      </w:r>
      <w:r w:rsidRPr="00700391">
        <w:t> According to Article 18 (2) Auctioning Regulation</w:t>
      </w:r>
      <w:r>
        <w:t>.</w:t>
      </w:r>
    </w:p>
  </w:footnote>
  <w:footnote w:id="60">
    <w:p w14:paraId="427FDDA0" w14:textId="77777777" w:rsidR="00516F65" w:rsidRDefault="00516F65" w:rsidP="00232561">
      <w:pPr>
        <w:pStyle w:val="FootnoteText"/>
        <w:jc w:val="both"/>
      </w:pPr>
      <w:r>
        <w:rPr>
          <w:rStyle w:val="FootnoteReference"/>
        </w:rPr>
        <w:footnoteRef/>
      </w:r>
      <w:r>
        <w:t xml:space="preserve"> </w:t>
      </w:r>
      <w:r w:rsidRPr="007A13AC">
        <w:t xml:space="preserve">The list of national competent authorities is available at: https://ec.europa.eu/info/system/files/mar-2014-596-art-22-list_en.pdf  </w:t>
      </w:r>
    </w:p>
  </w:footnote>
  <w:footnote w:id="61">
    <w:p w14:paraId="3E6614CC" w14:textId="77777777" w:rsidR="00516F65" w:rsidRPr="003F30A8" w:rsidRDefault="00516F65" w:rsidP="00232561">
      <w:pPr>
        <w:pStyle w:val="FootnoteText"/>
        <w:jc w:val="both"/>
      </w:pPr>
      <w:r w:rsidRPr="00171CDC">
        <w:rPr>
          <w:rStyle w:val="FootnoteReference"/>
        </w:rPr>
        <w:footnoteRef/>
      </w:r>
      <w:r w:rsidRPr="00171CDC">
        <w:t xml:space="preserve"> </w:t>
      </w:r>
      <w:r w:rsidRPr="003F30A8">
        <w:t>Under</w:t>
      </w:r>
      <w:r w:rsidR="00B508EC" w:rsidRPr="003F30A8">
        <w:t xml:space="preserve"> Article 26 of</w:t>
      </w:r>
      <w:r w:rsidRPr="003F30A8">
        <w:t xml:space="preserve"> Regulation (EU) No 600</w:t>
      </w:r>
      <w:r w:rsidRPr="00171CDC">
        <w:t>/2014 of the European Parliament and of the Council of 14 May 2014 on markets in financial instruments (MiFIR), trading venues and investment firms are to report detailed data concerning transactions in allowances and derivatives thereof to competent autho</w:t>
      </w:r>
      <w:r w:rsidRPr="003F30A8">
        <w:t>rities.</w:t>
      </w:r>
    </w:p>
  </w:footnote>
  <w:footnote w:id="62">
    <w:p w14:paraId="6D38AF7F" w14:textId="77777777" w:rsidR="00516F65" w:rsidRPr="003F30A8" w:rsidRDefault="00516F65" w:rsidP="00232561">
      <w:pPr>
        <w:pStyle w:val="FootnoteText"/>
        <w:jc w:val="both"/>
      </w:pPr>
      <w:r w:rsidRPr="00171CDC">
        <w:rPr>
          <w:rStyle w:val="FootnoteReference"/>
        </w:rPr>
        <w:footnoteRef/>
      </w:r>
      <w:r w:rsidRPr="00171CDC">
        <w:t xml:space="preserve"> </w:t>
      </w:r>
      <w:r w:rsidRPr="003F30A8">
        <w:t xml:space="preserve">The purpose of the position reporting obligation under Article 58 </w:t>
      </w:r>
      <w:r w:rsidR="002C021B">
        <w:t xml:space="preserve">of </w:t>
      </w:r>
      <w:r w:rsidRPr="003F30A8">
        <w:t xml:space="preserve">MiFID2 is </w:t>
      </w:r>
      <w:r w:rsidR="00B508EC" w:rsidRPr="003F30A8">
        <w:t>to allow the monitoring of</w:t>
      </w:r>
      <w:r w:rsidRPr="003F30A8">
        <w:t xml:space="preserve"> positions held by different categories of persons with regards to emission allowances.</w:t>
      </w:r>
    </w:p>
  </w:footnote>
  <w:footnote w:id="63">
    <w:p w14:paraId="32B18FBA" w14:textId="77777777" w:rsidR="00B508EC" w:rsidRPr="003F30A8" w:rsidRDefault="00B508EC" w:rsidP="00232561">
      <w:pPr>
        <w:pStyle w:val="FootnoteText"/>
        <w:jc w:val="both"/>
      </w:pPr>
      <w:r w:rsidRPr="003F30A8">
        <w:rPr>
          <w:rStyle w:val="FootnoteReference"/>
        </w:rPr>
        <w:footnoteRef/>
      </w:r>
      <w:r w:rsidRPr="003F30A8">
        <w:t xml:space="preserve"> The pre-/post-trade transparency regime established by articles 8, 10 and 21 of MiFIR aims to ensure that market participants have more reliable and accessible information on trading opportunities and prices.</w:t>
      </w:r>
    </w:p>
  </w:footnote>
  <w:footnote w:id="64">
    <w:p w14:paraId="60E39E52" w14:textId="19786A34" w:rsidR="00516F65" w:rsidRDefault="00516F65" w:rsidP="00232561">
      <w:pPr>
        <w:pStyle w:val="FootnoteText"/>
        <w:jc w:val="both"/>
      </w:pPr>
      <w:r w:rsidRPr="003F30A8">
        <w:rPr>
          <w:rStyle w:val="FootnoteReference"/>
        </w:rPr>
        <w:footnoteRef/>
      </w:r>
      <w:r w:rsidRPr="003F30A8">
        <w:t xml:space="preserve">  Publicly available </w:t>
      </w:r>
      <w:r w:rsidR="00B508EC" w:rsidRPr="003F30A8">
        <w:t xml:space="preserve">weekly reports on </w:t>
      </w:r>
      <w:r w:rsidRPr="003F30A8">
        <w:t>position</w:t>
      </w:r>
      <w:r w:rsidR="00B508EC" w:rsidRPr="003F30A8">
        <w:t>s</w:t>
      </w:r>
      <w:r w:rsidRPr="003F30A8">
        <w:t xml:space="preserve"> provide transparency about the view of the market that certain categories of traders may be taking.</w:t>
      </w:r>
    </w:p>
  </w:footnote>
  <w:footnote w:id="65">
    <w:p w14:paraId="173DA222" w14:textId="77777777" w:rsidR="00516F65" w:rsidRDefault="00516F65" w:rsidP="00232561">
      <w:pPr>
        <w:pStyle w:val="FootnoteText"/>
        <w:jc w:val="both"/>
      </w:pPr>
      <w:r>
        <w:rPr>
          <w:rStyle w:val="FootnoteReference"/>
        </w:rPr>
        <w:footnoteRef/>
      </w:r>
      <w:r>
        <w:t xml:space="preserve"> The study can be accessed here: </w:t>
      </w:r>
      <w:r w:rsidRPr="000836BF">
        <w:t>https://publications.europa.eu/en/publication-detail/-/publication/9d985256-a6a9-11e9-9d01-01aa75ed71a1/language-en</w:t>
      </w:r>
    </w:p>
  </w:footnote>
  <w:footnote w:id="66">
    <w:p w14:paraId="3281ACDF" w14:textId="77777777" w:rsidR="00516F65" w:rsidRPr="00D804BF" w:rsidRDefault="00516F65" w:rsidP="00232561">
      <w:pPr>
        <w:pStyle w:val="FootnoteText"/>
        <w:jc w:val="both"/>
        <w:rPr>
          <w:sz w:val="16"/>
          <w:szCs w:val="16"/>
        </w:rPr>
      </w:pPr>
      <w:r>
        <w:rPr>
          <w:rStyle w:val="FootnoteReference"/>
        </w:rPr>
        <w:footnoteRef/>
      </w:r>
      <w:r>
        <w:t xml:space="preserve"> </w:t>
      </w:r>
      <w:r w:rsidRPr="0032395B">
        <w:t xml:space="preserve">Directive 2014/65/EU of the European Parliament and of the Council of 15 May 2014 on markets in financial instruments and amending Directive 2002/92/EC and Directive 2011/61/EU, OJ L 173 12.6.2014, p.349. </w:t>
      </w:r>
      <w:r w:rsidRPr="00D804BF">
        <w:t xml:space="preserve">Available at: </w:t>
      </w:r>
      <w:hyperlink r:id="rId3" w:history="1">
        <w:r w:rsidRPr="00D804BF">
          <w:rPr>
            <w:rStyle w:val="Hyperlink"/>
            <w:sz w:val="16"/>
            <w:szCs w:val="16"/>
          </w:rPr>
          <w:t>https://eur-lex.europa.eu/legal-content/EN/TXT/?qid=1536584176375&amp;uri=CELEX:02014L0065-20160701</w:t>
        </w:r>
      </w:hyperlink>
    </w:p>
  </w:footnote>
  <w:footnote w:id="67">
    <w:p w14:paraId="33D1BB88" w14:textId="77777777" w:rsidR="00516F65" w:rsidRDefault="00516F65" w:rsidP="00232561">
      <w:pPr>
        <w:pStyle w:val="FootnoteText"/>
        <w:jc w:val="both"/>
      </w:pPr>
      <w:r>
        <w:rPr>
          <w:rStyle w:val="FootnoteReference"/>
        </w:rPr>
        <w:footnoteRef/>
      </w:r>
      <w:r>
        <w:t xml:space="preserve"> Council Directive (EU) 2018/1695 of 6 November 2018 amending Directive 2006/112/EC on the common system of value added tax as regards the period of application of the optional reverse charge mechanism in relation to supplies of certain goods and services susceptible to fraud and of the Quick Reaction Mechanism against VAT fraud, OJ L 282, 12.11.2018, p. 5–7</w:t>
      </w:r>
    </w:p>
  </w:footnote>
  <w:footnote w:id="68">
    <w:p w14:paraId="1014260D" w14:textId="77777777" w:rsidR="00516F65" w:rsidRPr="00E40734" w:rsidRDefault="00516F65" w:rsidP="00232561">
      <w:pPr>
        <w:pStyle w:val="FootnoteText"/>
        <w:jc w:val="both"/>
      </w:pPr>
      <w:r>
        <w:rPr>
          <w:rStyle w:val="FootnoteReference"/>
        </w:rPr>
        <w:footnoteRef/>
      </w:r>
      <w:r>
        <w:t xml:space="preserve"> Commission Implementing Regulation (EU) 2018/2066 of 19 December 2018 on the monitoring and reporting of greenhouse gas emissions pursuant to Directive 2003/87/EC of the European Parliament and of the Council and amending Commission Regulation (EU) No 601/2012, </w:t>
      </w:r>
      <w:r w:rsidRPr="008B0D81">
        <w:t>OJ L 334, 31.12.2018, p. 1–93</w:t>
      </w:r>
    </w:p>
  </w:footnote>
  <w:footnote w:id="69">
    <w:p w14:paraId="70048BCC" w14:textId="77777777" w:rsidR="00516F65" w:rsidRPr="00E40734" w:rsidRDefault="00516F65" w:rsidP="00232561">
      <w:pPr>
        <w:pStyle w:val="FootnoteText"/>
        <w:jc w:val="both"/>
      </w:pPr>
      <w:r>
        <w:rPr>
          <w:rStyle w:val="FootnoteReference"/>
        </w:rPr>
        <w:footnoteRef/>
      </w:r>
      <w:r>
        <w:t xml:space="preserve"> </w:t>
      </w:r>
      <w:r w:rsidRPr="00CA7EC1">
        <w:t>Commission Implementing Regulation (EU) 2018/2067 of 19 December 2018 on the verification of data and on the accreditation of verifiers pursuant to Directive 2003/87/EC of the European Parliament and of the Council</w:t>
      </w:r>
      <w:r>
        <w:t xml:space="preserve">, </w:t>
      </w:r>
      <w:r w:rsidRPr="00CA7EC1">
        <w:t>OJ L 334, 31.12.2018, p. 94–134</w:t>
      </w:r>
    </w:p>
  </w:footnote>
  <w:footnote w:id="70">
    <w:p w14:paraId="79741175" w14:textId="77777777" w:rsidR="00516F65" w:rsidRDefault="00516F65" w:rsidP="00232561">
      <w:pPr>
        <w:pStyle w:val="FootnoteText"/>
        <w:jc w:val="both"/>
      </w:pPr>
      <w:r>
        <w:rPr>
          <w:rStyle w:val="FootnoteReference"/>
        </w:rPr>
        <w:footnoteRef/>
      </w:r>
      <w:r>
        <w:t xml:space="preserve"> The main reason for this is that the measurement-based methodology involves the deployment of significant resources and know-how for the continuous measurement of the concentration of relevant GHGs, which a lot of smaller operators do not have.</w:t>
      </w:r>
    </w:p>
  </w:footnote>
  <w:footnote w:id="71">
    <w:p w14:paraId="74CEBB8C" w14:textId="77777777" w:rsidR="00516F65" w:rsidRDefault="00516F65" w:rsidP="00232561">
      <w:pPr>
        <w:pStyle w:val="FootnoteText"/>
        <w:jc w:val="both"/>
      </w:pPr>
      <w:r>
        <w:rPr>
          <w:rStyle w:val="FootnoteReference"/>
        </w:rPr>
        <w:footnoteRef/>
      </w:r>
      <w:r>
        <w:t xml:space="preserve"> Commission Regulation (EU) No 601/2012 requires all operators to meet certain minimum tiers, with larger emission sources required to meet higher tiers (involving more reliable data quality), while for cost-efficiency reasons less strict requirements apply for smaller sources.</w:t>
      </w:r>
    </w:p>
  </w:footnote>
  <w:footnote w:id="72">
    <w:p w14:paraId="39FDE86A" w14:textId="77777777" w:rsidR="00516F65" w:rsidRDefault="00516F65" w:rsidP="00232561">
      <w:pPr>
        <w:pStyle w:val="FootnoteText"/>
        <w:jc w:val="both"/>
      </w:pPr>
      <w:r>
        <w:rPr>
          <w:rStyle w:val="FootnoteReference"/>
        </w:rPr>
        <w:footnoteRef/>
      </w:r>
      <w:r>
        <w:t xml:space="preserve"> EA list of access points to NABs accrediting verifiers for EU ETS: </w:t>
      </w:r>
      <w:r w:rsidRPr="00921249">
        <w:t>https://european-accreditation.org/national-accreditation-bodies-having-successfully-undergone-peer-evaluation-by-ea/</w:t>
      </w:r>
    </w:p>
  </w:footnote>
  <w:footnote w:id="73">
    <w:p w14:paraId="5CC9FC67" w14:textId="7F82D2B7" w:rsidR="00516F65" w:rsidRDefault="00516F65" w:rsidP="00232561">
      <w:pPr>
        <w:pStyle w:val="FootnoteText"/>
        <w:jc w:val="both"/>
      </w:pPr>
      <w:r>
        <w:rPr>
          <w:rStyle w:val="FootnoteReference"/>
        </w:rPr>
        <w:footnoteRef/>
      </w:r>
      <w:r>
        <w:t xml:space="preserve"> In some </w:t>
      </w:r>
      <w:r w:rsidR="00B75E76">
        <w:t>cases,</w:t>
      </w:r>
      <w:r>
        <w:t xml:space="preserve"> countries may be reporting a multiple number of regional/local authorities as one competent authority.</w:t>
      </w:r>
    </w:p>
  </w:footnote>
  <w:footnote w:id="74">
    <w:p w14:paraId="4BE4E9B6" w14:textId="77777777" w:rsidR="00516F65" w:rsidRDefault="00516F65" w:rsidP="00BE6633">
      <w:pPr>
        <w:pStyle w:val="FootnoteText"/>
      </w:pPr>
      <w:r>
        <w:rPr>
          <w:rStyle w:val="FootnoteReference"/>
        </w:rPr>
        <w:footnoteRef/>
      </w:r>
      <w:r>
        <w:t xml:space="preserve"> This total excludes fines imposed to the aviation sector in Portugal as the fine values were not yet determined due to ongoing sanctioning processes. </w:t>
      </w:r>
    </w:p>
  </w:footnote>
  <w:footnote w:id="75">
    <w:p w14:paraId="27E6D358" w14:textId="77777777" w:rsidR="00516F65" w:rsidRDefault="00516F65" w:rsidP="00BE6633">
      <w:pPr>
        <w:pStyle w:val="FootnoteText"/>
      </w:pPr>
      <w:r>
        <w:rPr>
          <w:rStyle w:val="FootnoteReference"/>
        </w:rPr>
        <w:footnoteRef/>
      </w:r>
      <w:r>
        <w:t xml:space="preserve"> HU made use of the Article 10c derogation only in 2013. </w:t>
      </w:r>
    </w:p>
  </w:footnote>
  <w:footnote w:id="76">
    <w:p w14:paraId="5D46A3D8" w14:textId="77777777" w:rsidR="00516F65" w:rsidRPr="007708E7" w:rsidRDefault="00516F65" w:rsidP="00BE6633">
      <w:pPr>
        <w:pStyle w:val="FootnoteText"/>
      </w:pPr>
      <w:r>
        <w:rPr>
          <w:rStyle w:val="FootnoteReference"/>
        </w:rPr>
        <w:footnoteRef/>
      </w:r>
      <w:r>
        <w:t xml:space="preserve"> No unused Article 10c allowances were auctioned in 2013 and 2014.</w:t>
      </w:r>
    </w:p>
  </w:footnote>
  <w:footnote w:id="77">
    <w:p w14:paraId="7A087D3E" w14:textId="77777777" w:rsidR="00526348" w:rsidRPr="001055F0" w:rsidRDefault="00526348" w:rsidP="00BE6633">
      <w:pPr>
        <w:pStyle w:val="FootnoteText"/>
      </w:pPr>
      <w:r w:rsidRPr="001055F0">
        <w:rPr>
          <w:rStyle w:val="FootnoteReference"/>
        </w:rPr>
        <w:footnoteRef/>
      </w:r>
      <w:r w:rsidRPr="001055F0">
        <w:t xml:space="preserve"> Source: EEX</w:t>
      </w:r>
    </w:p>
  </w:footnote>
  <w:footnote w:id="78">
    <w:p w14:paraId="32B9A351" w14:textId="77777777" w:rsidR="00620C74" w:rsidRDefault="00620C74">
      <w:pPr>
        <w:pStyle w:val="FootnoteText"/>
      </w:pPr>
      <w:r w:rsidRPr="00264CAF">
        <w:rPr>
          <w:rStyle w:val="FootnoteReference"/>
        </w:rPr>
        <w:footnoteRef/>
      </w:r>
      <w:r w:rsidRPr="00264CAF">
        <w:t xml:space="preserve"> For Tables 3.1 and 3.2, UK data for 2019 is not included due to the safeguard measures adopted by the Commission to protect the environmental integrity of the EU ETS in cases where EU law ceases to apply to a Member State withdrawing from the EU (see chapter 2.2).</w:t>
      </w:r>
    </w:p>
  </w:footnote>
  <w:footnote w:id="79">
    <w:p w14:paraId="16BB3491" w14:textId="77777777" w:rsidR="00516F65" w:rsidRDefault="00516F65" w:rsidP="00BE6633">
      <w:pPr>
        <w:pStyle w:val="FootnoteText"/>
      </w:pPr>
      <w:r>
        <w:rPr>
          <w:rStyle w:val="FootnoteReference"/>
        </w:rPr>
        <w:footnoteRef/>
      </w:r>
      <w:r>
        <w:t xml:space="preserve"> Compliance data for previous years can be retroactively corrected due to e.g. late submissions.</w:t>
      </w:r>
    </w:p>
  </w:footnote>
  <w:footnote w:id="80">
    <w:p w14:paraId="26DC65DC" w14:textId="77777777" w:rsidR="00E9293A" w:rsidRPr="00276918" w:rsidRDefault="00E9293A" w:rsidP="007F5B1E">
      <w:pPr>
        <w:pStyle w:val="FootnoteText"/>
        <w:jc w:val="both"/>
        <w:rPr>
          <w:lang w:val="en-US"/>
        </w:rPr>
      </w:pPr>
      <w:r w:rsidRPr="00264CAF">
        <w:rPr>
          <w:rStyle w:val="FootnoteReference"/>
        </w:rPr>
        <w:footnoteRef/>
      </w:r>
      <w:r w:rsidRPr="00264CAF">
        <w:t xml:space="preserve"> For some installations, emissions from </w:t>
      </w:r>
      <w:r w:rsidRPr="00264CAF">
        <w:rPr>
          <w:bCs/>
          <w:color w:val="262626"/>
        </w:rPr>
        <w:t>N</w:t>
      </w:r>
      <w:r w:rsidRPr="00264CAF">
        <w:rPr>
          <w:bCs/>
          <w:color w:val="262626"/>
          <w:bdr w:val="none" w:sz="0" w:space="0" w:color="auto" w:frame="1"/>
          <w:vertAlign w:val="subscript"/>
        </w:rPr>
        <w:t>2</w:t>
      </w:r>
      <w:r w:rsidRPr="00264CAF">
        <w:rPr>
          <w:bCs/>
          <w:color w:val="262626"/>
        </w:rPr>
        <w:t>O</w:t>
      </w:r>
      <w:r w:rsidRPr="00264CAF">
        <w:t xml:space="preserve"> or</w:t>
      </w:r>
      <w:r w:rsidRPr="00264CAF">
        <w:rPr>
          <w:noProof/>
        </w:rPr>
        <w:t xml:space="preserve"> PFCs</w:t>
      </w:r>
      <w:r w:rsidR="00C94487" w:rsidRPr="00264CAF">
        <w:t xml:space="preserve"> might not</w:t>
      </w:r>
      <w:r w:rsidRPr="00264CAF">
        <w:t xml:space="preserve"> have been reported separately in the Union Registry, with the total emissions</w:t>
      </w:r>
      <w:r w:rsidR="00C94487" w:rsidRPr="00264CAF">
        <w:t xml:space="preserve"> reported </w:t>
      </w:r>
      <w:r w:rsidRPr="00264CAF">
        <w:t xml:space="preserve">in tonnes of </w:t>
      </w:r>
      <w:r w:rsidRPr="00264CAF">
        <w:rPr>
          <w:bCs/>
          <w:color w:val="262626"/>
        </w:rPr>
        <w:t>CO</w:t>
      </w:r>
      <w:r w:rsidRPr="00264CAF">
        <w:rPr>
          <w:bCs/>
          <w:color w:val="262626"/>
          <w:bdr w:val="none" w:sz="0" w:space="0" w:color="auto" w:frame="1"/>
          <w:vertAlign w:val="subscript"/>
        </w:rPr>
        <w:t xml:space="preserve">2 </w:t>
      </w:r>
      <w:r w:rsidRPr="00264CAF">
        <w:t xml:space="preserve">equivalent instead. The data in the table reflects the breakdown of emissions by GHG as available in the Union Registry. Emissions </w:t>
      </w:r>
      <w:r w:rsidR="00D45E17" w:rsidRPr="00264CAF">
        <w:t>of</w:t>
      </w:r>
      <w:r w:rsidRPr="00264CAF">
        <w:t xml:space="preserve"> </w:t>
      </w:r>
      <w:r w:rsidRPr="00264CAF">
        <w:rPr>
          <w:bCs/>
          <w:color w:val="262626"/>
        </w:rPr>
        <w:t>N</w:t>
      </w:r>
      <w:r w:rsidRPr="00264CAF">
        <w:rPr>
          <w:bCs/>
          <w:color w:val="262626"/>
          <w:bdr w:val="none" w:sz="0" w:space="0" w:color="auto" w:frame="1"/>
          <w:vertAlign w:val="subscript"/>
        </w:rPr>
        <w:t>2</w:t>
      </w:r>
      <w:r w:rsidRPr="00264CAF">
        <w:rPr>
          <w:bCs/>
          <w:color w:val="262626"/>
        </w:rPr>
        <w:t xml:space="preserve">O </w:t>
      </w:r>
      <w:r w:rsidR="00C94487" w:rsidRPr="00264CAF">
        <w:rPr>
          <w:bCs/>
          <w:color w:val="262626"/>
        </w:rPr>
        <w:t xml:space="preserve">were included </w:t>
      </w:r>
      <w:r w:rsidRPr="00264CAF">
        <w:rPr>
          <w:bCs/>
          <w:color w:val="262626"/>
        </w:rPr>
        <w:t xml:space="preserve">in the EU ETS as of phase </w:t>
      </w:r>
      <w:r w:rsidR="00C94487" w:rsidRPr="00264CAF">
        <w:rPr>
          <w:bCs/>
          <w:color w:val="262626"/>
        </w:rPr>
        <w:t>2</w:t>
      </w:r>
      <w:r w:rsidR="00D45E17" w:rsidRPr="00264CAF">
        <w:rPr>
          <w:bCs/>
          <w:color w:val="262626"/>
        </w:rPr>
        <w:t xml:space="preserve"> (from 2008)</w:t>
      </w:r>
      <w:r w:rsidR="00C94487" w:rsidRPr="00264CAF">
        <w:rPr>
          <w:bCs/>
          <w:color w:val="262626"/>
        </w:rPr>
        <w:t xml:space="preserve"> as a voluntary opt-in by </w:t>
      </w:r>
      <w:r w:rsidR="00D45E17" w:rsidRPr="00264CAF">
        <w:rPr>
          <w:bCs/>
          <w:color w:val="262626"/>
        </w:rPr>
        <w:t xml:space="preserve">some </w:t>
      </w:r>
      <w:r w:rsidR="00C94487" w:rsidRPr="00264CAF">
        <w:rPr>
          <w:bCs/>
          <w:color w:val="262626"/>
        </w:rPr>
        <w:t>Member States, and together with</w:t>
      </w:r>
      <w:r w:rsidRPr="00264CAF">
        <w:rPr>
          <w:bCs/>
          <w:color w:val="262626"/>
        </w:rPr>
        <w:t xml:space="preserve"> PFCs </w:t>
      </w:r>
      <w:r w:rsidR="00C94487" w:rsidRPr="00264CAF">
        <w:rPr>
          <w:bCs/>
          <w:color w:val="262626"/>
        </w:rPr>
        <w:t>on a mandatory basis</w:t>
      </w:r>
      <w:r w:rsidRPr="00264CAF">
        <w:rPr>
          <w:bCs/>
          <w:color w:val="262626"/>
        </w:rPr>
        <w:t>– as of phase 3</w:t>
      </w:r>
      <w:r w:rsidR="00D45E17" w:rsidRPr="00264CAF">
        <w:rPr>
          <w:bCs/>
          <w:color w:val="262626"/>
        </w:rPr>
        <w:t xml:space="preserve"> (from 2013)</w:t>
      </w:r>
      <w:r w:rsidR="00C94487" w:rsidRPr="00264CAF">
        <w:rPr>
          <w:bCs/>
          <w:color w:val="262626"/>
        </w:rPr>
        <w:t>.</w:t>
      </w:r>
    </w:p>
  </w:footnote>
  <w:footnote w:id="81">
    <w:p w14:paraId="703C71D3" w14:textId="77777777" w:rsidR="00516F65" w:rsidRPr="00516F65" w:rsidRDefault="00516F65" w:rsidP="00BE6633">
      <w:pPr>
        <w:pStyle w:val="FootnoteText"/>
      </w:pPr>
      <w:r w:rsidRPr="00516F65">
        <w:rPr>
          <w:rStyle w:val="FootnoteReference"/>
        </w:rPr>
        <w:footnoteRef/>
      </w:r>
      <w:r w:rsidRPr="00516F65">
        <w:t>https://eur-lex.europa.eu/legal-content/EN/TXT/PDF/?uri=OJ:L:2019:120:FULL&amp;from=EN</w:t>
      </w:r>
    </w:p>
  </w:footnote>
  <w:footnote w:id="82">
    <w:p w14:paraId="59E7A1BD" w14:textId="77777777" w:rsidR="00516F65" w:rsidRPr="00516F65" w:rsidRDefault="00516F65" w:rsidP="00BE6633">
      <w:pPr>
        <w:pStyle w:val="FootnoteText"/>
      </w:pPr>
      <w:r w:rsidRPr="00516F65">
        <w:rPr>
          <w:rStyle w:val="FootnoteReference"/>
        </w:rPr>
        <w:footnoteRef/>
      </w:r>
      <w:r w:rsidRPr="00516F65">
        <w:t>https://eur-lex.europa.eu/legal-content/EN/TXT/PDF/?uri=CELEX:32019R0331&amp;from=EN</w:t>
      </w:r>
    </w:p>
  </w:footnote>
  <w:footnote w:id="83">
    <w:p w14:paraId="2634B3B1" w14:textId="77777777" w:rsidR="00516F65" w:rsidRPr="00516F65" w:rsidRDefault="00516F65" w:rsidP="002C43D3">
      <w:pPr>
        <w:pStyle w:val="FootnoteText"/>
      </w:pPr>
      <w:r w:rsidRPr="00516F65">
        <w:rPr>
          <w:rStyle w:val="FootnoteReference"/>
        </w:rPr>
        <w:footnoteRef/>
      </w:r>
      <w:r w:rsidRPr="00516F65">
        <w:t>https://eur-lex.europa.eu/legal-content/EN/TXT/PDF/?uri=CELEX:32019R0856&amp;from=EN</w:t>
      </w:r>
    </w:p>
  </w:footnote>
  <w:footnote w:id="84">
    <w:p w14:paraId="4EDE5395" w14:textId="77777777" w:rsidR="00516F65" w:rsidRPr="00516F65" w:rsidRDefault="00516F65">
      <w:pPr>
        <w:pStyle w:val="FootnoteText"/>
      </w:pPr>
      <w:r w:rsidRPr="00516F65">
        <w:rPr>
          <w:rStyle w:val="FootnoteReference"/>
        </w:rPr>
        <w:footnoteRef/>
      </w:r>
      <w:r w:rsidRPr="00516F65">
        <w:t xml:space="preserve"> https://eur-lex.europa.eu/legal-content/EN/TXT/PDF/?uri=CELEX:32019R1122&amp;from=EN</w:t>
      </w:r>
    </w:p>
  </w:footnote>
  <w:footnote w:id="85">
    <w:p w14:paraId="42396381" w14:textId="77777777" w:rsidR="00516F65" w:rsidRPr="00516F65" w:rsidRDefault="00516F65">
      <w:pPr>
        <w:pStyle w:val="FootnoteText"/>
      </w:pPr>
      <w:r w:rsidRPr="00516F65">
        <w:rPr>
          <w:rStyle w:val="FootnoteReference"/>
        </w:rPr>
        <w:footnoteRef/>
      </w:r>
      <w:r w:rsidRPr="00516F65">
        <w:t xml:space="preserve"> https://eur-lex.europa.eu/legal-content/EN/TXT/PDF/?uri=CELEX:32019R0007</w:t>
      </w:r>
    </w:p>
  </w:footnote>
  <w:footnote w:id="86">
    <w:p w14:paraId="2EAB26AE" w14:textId="77777777" w:rsidR="00516F65" w:rsidRPr="00516F65" w:rsidRDefault="00516F65">
      <w:pPr>
        <w:pStyle w:val="FootnoteText"/>
      </w:pPr>
      <w:r w:rsidRPr="00516F65">
        <w:rPr>
          <w:rStyle w:val="FootnoteReference"/>
        </w:rPr>
        <w:footnoteRef/>
      </w:r>
      <w:r w:rsidRPr="00516F65">
        <w:t xml:space="preserve"> https://eur-lex.europa.eu/legal-content/EN/TXT/PDF/?uri=CELEX:32018R2066</w:t>
      </w:r>
    </w:p>
  </w:footnote>
  <w:footnote w:id="87">
    <w:p w14:paraId="76F79A61" w14:textId="77777777" w:rsidR="00516F65" w:rsidRDefault="00516F65">
      <w:pPr>
        <w:pStyle w:val="FootnoteText"/>
      </w:pPr>
      <w:r w:rsidRPr="00516F65">
        <w:rPr>
          <w:rStyle w:val="FootnoteReference"/>
        </w:rPr>
        <w:footnoteRef/>
      </w:r>
      <w:r w:rsidRPr="00516F65">
        <w:t xml:space="preserve"> https://eur-lex.europa.eu/legal-content/EN/TXT/PDF/?uri=CELEX:32018R2067&amp;from=EN</w:t>
      </w:r>
    </w:p>
  </w:footnote>
  <w:footnote w:id="88">
    <w:p w14:paraId="13EA6BC9" w14:textId="77777777" w:rsidR="00516F65" w:rsidRPr="00AC50A6" w:rsidRDefault="00516F65">
      <w:pPr>
        <w:pStyle w:val="FootnoteText"/>
      </w:pPr>
      <w:r>
        <w:rPr>
          <w:rStyle w:val="FootnoteReference"/>
        </w:rPr>
        <w:footnoteRef/>
      </w:r>
      <w:r>
        <w:t xml:space="preserve"> For the period January to August 2019, the figures are based on the Communication from the Commission C(2018) 2801 final of 15.5.2018, available at  </w:t>
      </w:r>
      <w:hyperlink r:id="rId4" w:history="1">
        <w:r>
          <w:rPr>
            <w:rStyle w:val="Hyperlink"/>
          </w:rPr>
          <w:t>https://ec.europa.eu/clima/sites/clima/files/ets/reform/docs/c_2018_2801_en.pdf</w:t>
        </w:r>
      </w:hyperlink>
      <w:r>
        <w:t xml:space="preserve">  </w:t>
      </w:r>
    </w:p>
  </w:footnote>
  <w:footnote w:id="89">
    <w:p w14:paraId="2335AAE7" w14:textId="77777777" w:rsidR="00516F65" w:rsidRPr="00CA3C32" w:rsidRDefault="00516F65">
      <w:pPr>
        <w:pStyle w:val="FootnoteText"/>
      </w:pPr>
      <w:r>
        <w:rPr>
          <w:rStyle w:val="FootnoteReference"/>
        </w:rPr>
        <w:footnoteRef/>
      </w:r>
      <w:r>
        <w:t xml:space="preserve"> For the periods September to December 2019 and January to August 2020, the figures are based on the Communication from the Commission C(2019) 3288 final, available at </w:t>
      </w:r>
      <w:hyperlink r:id="rId5" w:history="1">
        <w:r w:rsidRPr="00B056F9">
          <w:rPr>
            <w:rStyle w:val="Hyperlink"/>
          </w:rPr>
          <w:t>https://ec.europa.eu/clima/sites/clima/files/ets/reform/docs/c_2019_3288_en.pdf</w:t>
        </w:r>
      </w:hyperlink>
      <w:r>
        <w:t xml:space="preserve"> </w:t>
      </w:r>
    </w:p>
  </w:footnote>
  <w:footnote w:id="90">
    <w:p w14:paraId="5CEA3230" w14:textId="77777777" w:rsidR="00516F65" w:rsidRDefault="00516F65">
      <w:pPr>
        <w:pStyle w:val="FootnoteText"/>
      </w:pPr>
      <w:r>
        <w:rPr>
          <w:rStyle w:val="FootnoteReference"/>
        </w:rPr>
        <w:footnoteRef/>
      </w:r>
      <w:r>
        <w:t xml:space="preserve"> P</w:t>
      </w:r>
      <w:r w:rsidRPr="00707619">
        <w:t>art of the Member States contributions to the MSR in 2020 will be determined after the 2020 publication of the surplus indicator.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96CF7" w14:textId="77777777" w:rsidR="00EE4E05" w:rsidRPr="00EE4E05" w:rsidRDefault="00EE4E05" w:rsidP="00EE4E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57E7A" w14:textId="77777777" w:rsidR="005F25BA" w:rsidRDefault="005F25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7C685" w14:textId="77777777" w:rsidR="005F25BA" w:rsidRDefault="005F25B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C28FE" w14:textId="77777777" w:rsidR="005F25BA" w:rsidRDefault="005F2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85B06" w14:textId="77777777" w:rsidR="00EE4E05" w:rsidRPr="00EE4E05" w:rsidRDefault="00EE4E05" w:rsidP="00EE4E0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3E3C9" w14:textId="77777777" w:rsidR="00EE4E05" w:rsidRPr="00EE4E05" w:rsidRDefault="00EE4E05" w:rsidP="00EE4E0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D9FA" w14:textId="77777777" w:rsidR="00516F65" w:rsidRDefault="00516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8593" w14:textId="77777777" w:rsidR="00516F65" w:rsidRDefault="00516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4A4C" w14:textId="77777777" w:rsidR="00516F65" w:rsidRDefault="00516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38020" w14:textId="77777777" w:rsidR="005F25BA" w:rsidRDefault="005F25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D47DF" w14:textId="77777777" w:rsidR="005F25BA" w:rsidRDefault="005F25B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00684" w14:textId="77777777" w:rsidR="005F25BA" w:rsidRDefault="005F2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61CABF1-3602-4CD3-8C1B-E8F850FEC225"/>
    <w:docVar w:name="LW_COVERPAGE_TYPE" w:val="1"/>
    <w:docVar w:name="LW_CROSSREFERENCE" w:val="&lt;UNUSED&gt;"/>
    <w:docVar w:name="LW_DocType" w:val="NORMAL"/>
    <w:docVar w:name="LW_EMISSION" w:val="31.10.2019"/>
    <w:docVar w:name="LW_EMISSION_ISODATE" w:val="2019-10-31"/>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Report on the functioning of the European carbon market"/>
    <w:docVar w:name="LW_TYPE.DOC.CP" w:val="REPORT FROM THE COMMISSION TO THE EUROPEAN PARLIAMENT AND THE COUNCIL"/>
  </w:docVars>
  <w:rsids>
    <w:rsidRoot w:val="005F6BD0"/>
    <w:rsid w:val="00000FE6"/>
    <w:rsid w:val="00007933"/>
    <w:rsid w:val="00013E53"/>
    <w:rsid w:val="00024429"/>
    <w:rsid w:val="0004122A"/>
    <w:rsid w:val="0004344A"/>
    <w:rsid w:val="000453E7"/>
    <w:rsid w:val="00055907"/>
    <w:rsid w:val="00067B35"/>
    <w:rsid w:val="00071A92"/>
    <w:rsid w:val="00073948"/>
    <w:rsid w:val="00076507"/>
    <w:rsid w:val="00076795"/>
    <w:rsid w:val="00080803"/>
    <w:rsid w:val="0008149F"/>
    <w:rsid w:val="00081E9A"/>
    <w:rsid w:val="000836BF"/>
    <w:rsid w:val="000847E3"/>
    <w:rsid w:val="00090912"/>
    <w:rsid w:val="00093351"/>
    <w:rsid w:val="00096C9D"/>
    <w:rsid w:val="000971D6"/>
    <w:rsid w:val="00097F99"/>
    <w:rsid w:val="000A114B"/>
    <w:rsid w:val="000A1686"/>
    <w:rsid w:val="000A23BB"/>
    <w:rsid w:val="000A5510"/>
    <w:rsid w:val="000B0169"/>
    <w:rsid w:val="000B2E37"/>
    <w:rsid w:val="000B542C"/>
    <w:rsid w:val="000B5602"/>
    <w:rsid w:val="000B7105"/>
    <w:rsid w:val="000D5EB8"/>
    <w:rsid w:val="000D76F7"/>
    <w:rsid w:val="000E17BF"/>
    <w:rsid w:val="000E1D3A"/>
    <w:rsid w:val="000E2B06"/>
    <w:rsid w:val="000E34D9"/>
    <w:rsid w:val="000E4949"/>
    <w:rsid w:val="000E5992"/>
    <w:rsid w:val="000E5BB1"/>
    <w:rsid w:val="000E76D9"/>
    <w:rsid w:val="000E7891"/>
    <w:rsid w:val="000F340A"/>
    <w:rsid w:val="000F5D4A"/>
    <w:rsid w:val="00103EEF"/>
    <w:rsid w:val="001055F0"/>
    <w:rsid w:val="00107E43"/>
    <w:rsid w:val="00112F06"/>
    <w:rsid w:val="001179D2"/>
    <w:rsid w:val="001179FA"/>
    <w:rsid w:val="00117A8A"/>
    <w:rsid w:val="00123B11"/>
    <w:rsid w:val="001334A3"/>
    <w:rsid w:val="001379D6"/>
    <w:rsid w:val="001425D7"/>
    <w:rsid w:val="00143C3B"/>
    <w:rsid w:val="001508F1"/>
    <w:rsid w:val="00151ABC"/>
    <w:rsid w:val="00154103"/>
    <w:rsid w:val="00155185"/>
    <w:rsid w:val="001554C6"/>
    <w:rsid w:val="0015759E"/>
    <w:rsid w:val="00161F92"/>
    <w:rsid w:val="00163AE0"/>
    <w:rsid w:val="00163FD4"/>
    <w:rsid w:val="00167EEC"/>
    <w:rsid w:val="00171CDC"/>
    <w:rsid w:val="00183216"/>
    <w:rsid w:val="001A0E42"/>
    <w:rsid w:val="001A5FBE"/>
    <w:rsid w:val="001B2D80"/>
    <w:rsid w:val="001B4818"/>
    <w:rsid w:val="001B7FD9"/>
    <w:rsid w:val="001C09BD"/>
    <w:rsid w:val="001D30E4"/>
    <w:rsid w:val="001D4175"/>
    <w:rsid w:val="001D5A68"/>
    <w:rsid w:val="001D7CEB"/>
    <w:rsid w:val="001E0B39"/>
    <w:rsid w:val="001E289A"/>
    <w:rsid w:val="001E305B"/>
    <w:rsid w:val="001F0457"/>
    <w:rsid w:val="001F1235"/>
    <w:rsid w:val="001F1888"/>
    <w:rsid w:val="001F507B"/>
    <w:rsid w:val="001F66C2"/>
    <w:rsid w:val="002028F1"/>
    <w:rsid w:val="00203778"/>
    <w:rsid w:val="00213AB4"/>
    <w:rsid w:val="00220BC1"/>
    <w:rsid w:val="002221CF"/>
    <w:rsid w:val="002228B7"/>
    <w:rsid w:val="00231101"/>
    <w:rsid w:val="00232561"/>
    <w:rsid w:val="00232E4F"/>
    <w:rsid w:val="0023458A"/>
    <w:rsid w:val="00235970"/>
    <w:rsid w:val="00236AB2"/>
    <w:rsid w:val="00240B9A"/>
    <w:rsid w:val="00240E82"/>
    <w:rsid w:val="00246919"/>
    <w:rsid w:val="00247798"/>
    <w:rsid w:val="00250CD2"/>
    <w:rsid w:val="00254074"/>
    <w:rsid w:val="002546AC"/>
    <w:rsid w:val="002554A7"/>
    <w:rsid w:val="00264CAF"/>
    <w:rsid w:val="00267386"/>
    <w:rsid w:val="00270A06"/>
    <w:rsid w:val="00271E0D"/>
    <w:rsid w:val="00273A5E"/>
    <w:rsid w:val="00273ED1"/>
    <w:rsid w:val="00276918"/>
    <w:rsid w:val="002800C8"/>
    <w:rsid w:val="002802C4"/>
    <w:rsid w:val="00282C36"/>
    <w:rsid w:val="00294A8C"/>
    <w:rsid w:val="002A225D"/>
    <w:rsid w:val="002A3783"/>
    <w:rsid w:val="002A46DE"/>
    <w:rsid w:val="002A6473"/>
    <w:rsid w:val="002B2B9A"/>
    <w:rsid w:val="002B31DD"/>
    <w:rsid w:val="002C021B"/>
    <w:rsid w:val="002C2541"/>
    <w:rsid w:val="002C3142"/>
    <w:rsid w:val="002C43D3"/>
    <w:rsid w:val="002D2BCA"/>
    <w:rsid w:val="002E287F"/>
    <w:rsid w:val="00305A3E"/>
    <w:rsid w:val="00310AEE"/>
    <w:rsid w:val="0031283C"/>
    <w:rsid w:val="00313E82"/>
    <w:rsid w:val="00321560"/>
    <w:rsid w:val="00324F32"/>
    <w:rsid w:val="0032559C"/>
    <w:rsid w:val="00326996"/>
    <w:rsid w:val="00332674"/>
    <w:rsid w:val="003403B3"/>
    <w:rsid w:val="00341982"/>
    <w:rsid w:val="003424FE"/>
    <w:rsid w:val="0034758D"/>
    <w:rsid w:val="00350319"/>
    <w:rsid w:val="0035088E"/>
    <w:rsid w:val="00352418"/>
    <w:rsid w:val="003603DF"/>
    <w:rsid w:val="00362D29"/>
    <w:rsid w:val="00365008"/>
    <w:rsid w:val="003755E1"/>
    <w:rsid w:val="00375C63"/>
    <w:rsid w:val="00375FAD"/>
    <w:rsid w:val="00376A62"/>
    <w:rsid w:val="00396CBF"/>
    <w:rsid w:val="003972C7"/>
    <w:rsid w:val="003A0CD7"/>
    <w:rsid w:val="003A348D"/>
    <w:rsid w:val="003B1976"/>
    <w:rsid w:val="003B73EF"/>
    <w:rsid w:val="003C06B3"/>
    <w:rsid w:val="003D2688"/>
    <w:rsid w:val="003D2CB4"/>
    <w:rsid w:val="003D3D7A"/>
    <w:rsid w:val="003D3E6C"/>
    <w:rsid w:val="003D7CEC"/>
    <w:rsid w:val="003E3302"/>
    <w:rsid w:val="003F30A8"/>
    <w:rsid w:val="004009B8"/>
    <w:rsid w:val="0041035E"/>
    <w:rsid w:val="00414972"/>
    <w:rsid w:val="00414F0F"/>
    <w:rsid w:val="00415B88"/>
    <w:rsid w:val="00417A4C"/>
    <w:rsid w:val="00420790"/>
    <w:rsid w:val="0042672C"/>
    <w:rsid w:val="00427EEB"/>
    <w:rsid w:val="00430B6B"/>
    <w:rsid w:val="00430F7D"/>
    <w:rsid w:val="00431A0C"/>
    <w:rsid w:val="00432B47"/>
    <w:rsid w:val="004351EA"/>
    <w:rsid w:val="00436204"/>
    <w:rsid w:val="00447BD5"/>
    <w:rsid w:val="00450852"/>
    <w:rsid w:val="0045349F"/>
    <w:rsid w:val="0045466C"/>
    <w:rsid w:val="0045664F"/>
    <w:rsid w:val="004572E5"/>
    <w:rsid w:val="0046000B"/>
    <w:rsid w:val="004611B0"/>
    <w:rsid w:val="0046130B"/>
    <w:rsid w:val="00462E7F"/>
    <w:rsid w:val="00467859"/>
    <w:rsid w:val="004724FA"/>
    <w:rsid w:val="004727F3"/>
    <w:rsid w:val="00474813"/>
    <w:rsid w:val="00474859"/>
    <w:rsid w:val="004809DF"/>
    <w:rsid w:val="00482F44"/>
    <w:rsid w:val="00487626"/>
    <w:rsid w:val="00490892"/>
    <w:rsid w:val="00491E4C"/>
    <w:rsid w:val="00492E10"/>
    <w:rsid w:val="00493C65"/>
    <w:rsid w:val="004952C2"/>
    <w:rsid w:val="00495FC8"/>
    <w:rsid w:val="004A192A"/>
    <w:rsid w:val="004A322E"/>
    <w:rsid w:val="004A6FE8"/>
    <w:rsid w:val="004B05D2"/>
    <w:rsid w:val="004B22AA"/>
    <w:rsid w:val="004B446A"/>
    <w:rsid w:val="004B4F5B"/>
    <w:rsid w:val="004B68E8"/>
    <w:rsid w:val="004C0390"/>
    <w:rsid w:val="004C116F"/>
    <w:rsid w:val="004C18B2"/>
    <w:rsid w:val="004C3C2E"/>
    <w:rsid w:val="004C3EAB"/>
    <w:rsid w:val="004C64C5"/>
    <w:rsid w:val="004D266B"/>
    <w:rsid w:val="004D7FF1"/>
    <w:rsid w:val="004F7E89"/>
    <w:rsid w:val="00503830"/>
    <w:rsid w:val="00511F9D"/>
    <w:rsid w:val="00513707"/>
    <w:rsid w:val="00513F37"/>
    <w:rsid w:val="005153FF"/>
    <w:rsid w:val="00516F65"/>
    <w:rsid w:val="0052086E"/>
    <w:rsid w:val="00521214"/>
    <w:rsid w:val="00522018"/>
    <w:rsid w:val="005220A0"/>
    <w:rsid w:val="00524AA2"/>
    <w:rsid w:val="00526348"/>
    <w:rsid w:val="00531A9D"/>
    <w:rsid w:val="00531B04"/>
    <w:rsid w:val="00535EF1"/>
    <w:rsid w:val="0054214B"/>
    <w:rsid w:val="00544382"/>
    <w:rsid w:val="005446C1"/>
    <w:rsid w:val="00545994"/>
    <w:rsid w:val="00546BFF"/>
    <w:rsid w:val="0055008A"/>
    <w:rsid w:val="0055016B"/>
    <w:rsid w:val="00564618"/>
    <w:rsid w:val="00572D1B"/>
    <w:rsid w:val="0057434D"/>
    <w:rsid w:val="00587058"/>
    <w:rsid w:val="00593BC0"/>
    <w:rsid w:val="005A3492"/>
    <w:rsid w:val="005A3899"/>
    <w:rsid w:val="005A4F64"/>
    <w:rsid w:val="005B7436"/>
    <w:rsid w:val="005C0D84"/>
    <w:rsid w:val="005C19DA"/>
    <w:rsid w:val="005C40E5"/>
    <w:rsid w:val="005C54C3"/>
    <w:rsid w:val="005C667A"/>
    <w:rsid w:val="005D1F30"/>
    <w:rsid w:val="005D3412"/>
    <w:rsid w:val="005E0796"/>
    <w:rsid w:val="005E3731"/>
    <w:rsid w:val="005E5E7D"/>
    <w:rsid w:val="005F25BA"/>
    <w:rsid w:val="005F547A"/>
    <w:rsid w:val="005F57E7"/>
    <w:rsid w:val="005F6BD0"/>
    <w:rsid w:val="005F7426"/>
    <w:rsid w:val="00601A28"/>
    <w:rsid w:val="00604EC7"/>
    <w:rsid w:val="00605E73"/>
    <w:rsid w:val="0061725C"/>
    <w:rsid w:val="00620C74"/>
    <w:rsid w:val="00622FFB"/>
    <w:rsid w:val="006239BE"/>
    <w:rsid w:val="00626D3C"/>
    <w:rsid w:val="00630CB3"/>
    <w:rsid w:val="006434B2"/>
    <w:rsid w:val="00647DE9"/>
    <w:rsid w:val="00650419"/>
    <w:rsid w:val="00650B14"/>
    <w:rsid w:val="00650F07"/>
    <w:rsid w:val="006529AB"/>
    <w:rsid w:val="006530AB"/>
    <w:rsid w:val="006576A6"/>
    <w:rsid w:val="00663ABF"/>
    <w:rsid w:val="00670DCE"/>
    <w:rsid w:val="00674F18"/>
    <w:rsid w:val="0067520F"/>
    <w:rsid w:val="00676CF0"/>
    <w:rsid w:val="00677B4F"/>
    <w:rsid w:val="006867CA"/>
    <w:rsid w:val="00687848"/>
    <w:rsid w:val="00693A53"/>
    <w:rsid w:val="0069589D"/>
    <w:rsid w:val="006964C8"/>
    <w:rsid w:val="00696C1E"/>
    <w:rsid w:val="006A1212"/>
    <w:rsid w:val="006A69C6"/>
    <w:rsid w:val="006B0912"/>
    <w:rsid w:val="006B29CE"/>
    <w:rsid w:val="006B33D0"/>
    <w:rsid w:val="006C1CE4"/>
    <w:rsid w:val="006C33FB"/>
    <w:rsid w:val="006C7AF2"/>
    <w:rsid w:val="006C7E2B"/>
    <w:rsid w:val="006D15F4"/>
    <w:rsid w:val="006D1DAA"/>
    <w:rsid w:val="006D7DAA"/>
    <w:rsid w:val="006E0EB4"/>
    <w:rsid w:val="006E35B0"/>
    <w:rsid w:val="006E4040"/>
    <w:rsid w:val="006E6706"/>
    <w:rsid w:val="006E77EE"/>
    <w:rsid w:val="006F08AB"/>
    <w:rsid w:val="006F1C1A"/>
    <w:rsid w:val="006F24C1"/>
    <w:rsid w:val="006F2D6B"/>
    <w:rsid w:val="0070741D"/>
    <w:rsid w:val="00707619"/>
    <w:rsid w:val="00710A2D"/>
    <w:rsid w:val="00711C2B"/>
    <w:rsid w:val="0071246D"/>
    <w:rsid w:val="00715C11"/>
    <w:rsid w:val="00723364"/>
    <w:rsid w:val="007313F8"/>
    <w:rsid w:val="00743ED3"/>
    <w:rsid w:val="007450E6"/>
    <w:rsid w:val="00750C8E"/>
    <w:rsid w:val="007552C1"/>
    <w:rsid w:val="00764777"/>
    <w:rsid w:val="007653E9"/>
    <w:rsid w:val="007708E7"/>
    <w:rsid w:val="00770B96"/>
    <w:rsid w:val="007748C6"/>
    <w:rsid w:val="007770F8"/>
    <w:rsid w:val="00777DC1"/>
    <w:rsid w:val="007840DE"/>
    <w:rsid w:val="0078606D"/>
    <w:rsid w:val="00794E5D"/>
    <w:rsid w:val="00796CB0"/>
    <w:rsid w:val="007A047B"/>
    <w:rsid w:val="007A13AC"/>
    <w:rsid w:val="007A20FC"/>
    <w:rsid w:val="007A50C0"/>
    <w:rsid w:val="007B4315"/>
    <w:rsid w:val="007B526B"/>
    <w:rsid w:val="007B6379"/>
    <w:rsid w:val="007B6B06"/>
    <w:rsid w:val="007B7BDD"/>
    <w:rsid w:val="007C14CE"/>
    <w:rsid w:val="007C478C"/>
    <w:rsid w:val="007C5853"/>
    <w:rsid w:val="007C76F9"/>
    <w:rsid w:val="007D07C5"/>
    <w:rsid w:val="007D74C8"/>
    <w:rsid w:val="007E1F8B"/>
    <w:rsid w:val="007E289C"/>
    <w:rsid w:val="007F41FA"/>
    <w:rsid w:val="007F5B1E"/>
    <w:rsid w:val="0080112A"/>
    <w:rsid w:val="00801F4F"/>
    <w:rsid w:val="00801F90"/>
    <w:rsid w:val="0081348D"/>
    <w:rsid w:val="00820E4C"/>
    <w:rsid w:val="008259B3"/>
    <w:rsid w:val="00825DBF"/>
    <w:rsid w:val="00826298"/>
    <w:rsid w:val="00826FBA"/>
    <w:rsid w:val="00845A09"/>
    <w:rsid w:val="0085272D"/>
    <w:rsid w:val="00852E0F"/>
    <w:rsid w:val="00853FF0"/>
    <w:rsid w:val="00862924"/>
    <w:rsid w:val="00872FA3"/>
    <w:rsid w:val="00880101"/>
    <w:rsid w:val="00880749"/>
    <w:rsid w:val="00886FE8"/>
    <w:rsid w:val="008872EF"/>
    <w:rsid w:val="00897B8F"/>
    <w:rsid w:val="008A5D9B"/>
    <w:rsid w:val="008C2194"/>
    <w:rsid w:val="008D0DEA"/>
    <w:rsid w:val="008D0F40"/>
    <w:rsid w:val="008D4A4D"/>
    <w:rsid w:val="008E412B"/>
    <w:rsid w:val="008E46B6"/>
    <w:rsid w:val="008E69DA"/>
    <w:rsid w:val="008F18A0"/>
    <w:rsid w:val="008F1C88"/>
    <w:rsid w:val="008F796B"/>
    <w:rsid w:val="00901490"/>
    <w:rsid w:val="00903EA2"/>
    <w:rsid w:val="00907E99"/>
    <w:rsid w:val="009167F7"/>
    <w:rsid w:val="0091734F"/>
    <w:rsid w:val="00920F62"/>
    <w:rsid w:val="00923ABD"/>
    <w:rsid w:val="00924594"/>
    <w:rsid w:val="0092568D"/>
    <w:rsid w:val="00926127"/>
    <w:rsid w:val="00935219"/>
    <w:rsid w:val="00936E0E"/>
    <w:rsid w:val="00937242"/>
    <w:rsid w:val="00943DA5"/>
    <w:rsid w:val="00946F79"/>
    <w:rsid w:val="00952A42"/>
    <w:rsid w:val="00956B5A"/>
    <w:rsid w:val="00957173"/>
    <w:rsid w:val="00964AD1"/>
    <w:rsid w:val="00967BB6"/>
    <w:rsid w:val="00970B92"/>
    <w:rsid w:val="00970C68"/>
    <w:rsid w:val="00971AA1"/>
    <w:rsid w:val="00973D0E"/>
    <w:rsid w:val="009743AF"/>
    <w:rsid w:val="00975138"/>
    <w:rsid w:val="00975465"/>
    <w:rsid w:val="00981142"/>
    <w:rsid w:val="00986C32"/>
    <w:rsid w:val="00986DBE"/>
    <w:rsid w:val="00995D11"/>
    <w:rsid w:val="0099667F"/>
    <w:rsid w:val="00997359"/>
    <w:rsid w:val="009A6369"/>
    <w:rsid w:val="009A7259"/>
    <w:rsid w:val="009A79C3"/>
    <w:rsid w:val="009B1349"/>
    <w:rsid w:val="009B1CC8"/>
    <w:rsid w:val="009B58A9"/>
    <w:rsid w:val="009C2DCE"/>
    <w:rsid w:val="009C2F61"/>
    <w:rsid w:val="009D0411"/>
    <w:rsid w:val="009D1D9B"/>
    <w:rsid w:val="009D4740"/>
    <w:rsid w:val="009D6C7E"/>
    <w:rsid w:val="009E0578"/>
    <w:rsid w:val="009E2F76"/>
    <w:rsid w:val="009E30B4"/>
    <w:rsid w:val="009E7D2F"/>
    <w:rsid w:val="009F1DEA"/>
    <w:rsid w:val="009F7A8D"/>
    <w:rsid w:val="00A01487"/>
    <w:rsid w:val="00A01F53"/>
    <w:rsid w:val="00A063FC"/>
    <w:rsid w:val="00A07445"/>
    <w:rsid w:val="00A12A60"/>
    <w:rsid w:val="00A15287"/>
    <w:rsid w:val="00A1580F"/>
    <w:rsid w:val="00A16C99"/>
    <w:rsid w:val="00A21F92"/>
    <w:rsid w:val="00A309B8"/>
    <w:rsid w:val="00A324A5"/>
    <w:rsid w:val="00A341C7"/>
    <w:rsid w:val="00A3452C"/>
    <w:rsid w:val="00A37088"/>
    <w:rsid w:val="00A40886"/>
    <w:rsid w:val="00A4186B"/>
    <w:rsid w:val="00A42B5E"/>
    <w:rsid w:val="00A47C7B"/>
    <w:rsid w:val="00A52292"/>
    <w:rsid w:val="00A52F4C"/>
    <w:rsid w:val="00A55C5F"/>
    <w:rsid w:val="00A65E8D"/>
    <w:rsid w:val="00A67F00"/>
    <w:rsid w:val="00A729A2"/>
    <w:rsid w:val="00A75105"/>
    <w:rsid w:val="00A76825"/>
    <w:rsid w:val="00A80F28"/>
    <w:rsid w:val="00A81A13"/>
    <w:rsid w:val="00A838C0"/>
    <w:rsid w:val="00A85CA7"/>
    <w:rsid w:val="00A871C2"/>
    <w:rsid w:val="00A90AE4"/>
    <w:rsid w:val="00A90D9A"/>
    <w:rsid w:val="00A92C10"/>
    <w:rsid w:val="00A9462E"/>
    <w:rsid w:val="00A95247"/>
    <w:rsid w:val="00A95C71"/>
    <w:rsid w:val="00A97B86"/>
    <w:rsid w:val="00AA1C54"/>
    <w:rsid w:val="00AA2E4B"/>
    <w:rsid w:val="00AA45F2"/>
    <w:rsid w:val="00AA6C77"/>
    <w:rsid w:val="00AA763C"/>
    <w:rsid w:val="00AA7749"/>
    <w:rsid w:val="00AC45A3"/>
    <w:rsid w:val="00AC49C7"/>
    <w:rsid w:val="00AC71FC"/>
    <w:rsid w:val="00AD25A8"/>
    <w:rsid w:val="00AD3A74"/>
    <w:rsid w:val="00AD3BCF"/>
    <w:rsid w:val="00AD6E42"/>
    <w:rsid w:val="00AE6522"/>
    <w:rsid w:val="00AF188E"/>
    <w:rsid w:val="00AF41CE"/>
    <w:rsid w:val="00AF42BE"/>
    <w:rsid w:val="00AF696E"/>
    <w:rsid w:val="00AF6D56"/>
    <w:rsid w:val="00B014E1"/>
    <w:rsid w:val="00B065B2"/>
    <w:rsid w:val="00B0756E"/>
    <w:rsid w:val="00B13763"/>
    <w:rsid w:val="00B2073D"/>
    <w:rsid w:val="00B27C40"/>
    <w:rsid w:val="00B3113B"/>
    <w:rsid w:val="00B330E6"/>
    <w:rsid w:val="00B34FE0"/>
    <w:rsid w:val="00B36364"/>
    <w:rsid w:val="00B444B8"/>
    <w:rsid w:val="00B47A9B"/>
    <w:rsid w:val="00B508EC"/>
    <w:rsid w:val="00B554D5"/>
    <w:rsid w:val="00B6391E"/>
    <w:rsid w:val="00B7144C"/>
    <w:rsid w:val="00B736F4"/>
    <w:rsid w:val="00B75E76"/>
    <w:rsid w:val="00B774C9"/>
    <w:rsid w:val="00B77E70"/>
    <w:rsid w:val="00B83449"/>
    <w:rsid w:val="00B84FD2"/>
    <w:rsid w:val="00B85598"/>
    <w:rsid w:val="00B86FD5"/>
    <w:rsid w:val="00B951E0"/>
    <w:rsid w:val="00B96804"/>
    <w:rsid w:val="00BB32B4"/>
    <w:rsid w:val="00BB416E"/>
    <w:rsid w:val="00BB5E18"/>
    <w:rsid w:val="00BD381F"/>
    <w:rsid w:val="00BE16E5"/>
    <w:rsid w:val="00BE291F"/>
    <w:rsid w:val="00BE6633"/>
    <w:rsid w:val="00BF0600"/>
    <w:rsid w:val="00BF4C1D"/>
    <w:rsid w:val="00C04BC3"/>
    <w:rsid w:val="00C062A7"/>
    <w:rsid w:val="00C1282D"/>
    <w:rsid w:val="00C1460B"/>
    <w:rsid w:val="00C15793"/>
    <w:rsid w:val="00C206EB"/>
    <w:rsid w:val="00C24BD9"/>
    <w:rsid w:val="00C31FEB"/>
    <w:rsid w:val="00C34412"/>
    <w:rsid w:val="00C3474B"/>
    <w:rsid w:val="00C35710"/>
    <w:rsid w:val="00C43666"/>
    <w:rsid w:val="00C45021"/>
    <w:rsid w:val="00C505AB"/>
    <w:rsid w:val="00C63D34"/>
    <w:rsid w:val="00C67962"/>
    <w:rsid w:val="00C73274"/>
    <w:rsid w:val="00C761C5"/>
    <w:rsid w:val="00C805C9"/>
    <w:rsid w:val="00C80F63"/>
    <w:rsid w:val="00C81DE8"/>
    <w:rsid w:val="00C8227C"/>
    <w:rsid w:val="00C827A2"/>
    <w:rsid w:val="00C82E25"/>
    <w:rsid w:val="00C84C9A"/>
    <w:rsid w:val="00C92807"/>
    <w:rsid w:val="00C94487"/>
    <w:rsid w:val="00C9448A"/>
    <w:rsid w:val="00C9568F"/>
    <w:rsid w:val="00C95B98"/>
    <w:rsid w:val="00CA734B"/>
    <w:rsid w:val="00CB6B3B"/>
    <w:rsid w:val="00CB78DF"/>
    <w:rsid w:val="00CC6DFF"/>
    <w:rsid w:val="00CC705C"/>
    <w:rsid w:val="00CD0154"/>
    <w:rsid w:val="00CD2FAE"/>
    <w:rsid w:val="00CD3438"/>
    <w:rsid w:val="00CD611D"/>
    <w:rsid w:val="00CD7EDD"/>
    <w:rsid w:val="00CE42E1"/>
    <w:rsid w:val="00CE582B"/>
    <w:rsid w:val="00CE7544"/>
    <w:rsid w:val="00CF459D"/>
    <w:rsid w:val="00D1163B"/>
    <w:rsid w:val="00D153B1"/>
    <w:rsid w:val="00D15FE5"/>
    <w:rsid w:val="00D20456"/>
    <w:rsid w:val="00D221C6"/>
    <w:rsid w:val="00D24B99"/>
    <w:rsid w:val="00D264AF"/>
    <w:rsid w:val="00D26A90"/>
    <w:rsid w:val="00D3027D"/>
    <w:rsid w:val="00D30645"/>
    <w:rsid w:val="00D33DAD"/>
    <w:rsid w:val="00D34827"/>
    <w:rsid w:val="00D357D7"/>
    <w:rsid w:val="00D40294"/>
    <w:rsid w:val="00D40B51"/>
    <w:rsid w:val="00D4406F"/>
    <w:rsid w:val="00D45E17"/>
    <w:rsid w:val="00D52704"/>
    <w:rsid w:val="00D54ABE"/>
    <w:rsid w:val="00D655D9"/>
    <w:rsid w:val="00D71CE6"/>
    <w:rsid w:val="00D72C70"/>
    <w:rsid w:val="00D75B42"/>
    <w:rsid w:val="00D7734A"/>
    <w:rsid w:val="00D802D9"/>
    <w:rsid w:val="00D812BF"/>
    <w:rsid w:val="00D83605"/>
    <w:rsid w:val="00D843E7"/>
    <w:rsid w:val="00D863AF"/>
    <w:rsid w:val="00D90329"/>
    <w:rsid w:val="00D91E57"/>
    <w:rsid w:val="00DA06E4"/>
    <w:rsid w:val="00DA23BD"/>
    <w:rsid w:val="00DA3E53"/>
    <w:rsid w:val="00DA667D"/>
    <w:rsid w:val="00DB415D"/>
    <w:rsid w:val="00DC0206"/>
    <w:rsid w:val="00DC3851"/>
    <w:rsid w:val="00DC781B"/>
    <w:rsid w:val="00DD0ECB"/>
    <w:rsid w:val="00DD1C04"/>
    <w:rsid w:val="00DE4B3D"/>
    <w:rsid w:val="00DE75EA"/>
    <w:rsid w:val="00DF31D4"/>
    <w:rsid w:val="00DF6D22"/>
    <w:rsid w:val="00E04C26"/>
    <w:rsid w:val="00E0629F"/>
    <w:rsid w:val="00E07823"/>
    <w:rsid w:val="00E12E60"/>
    <w:rsid w:val="00E13678"/>
    <w:rsid w:val="00E162AE"/>
    <w:rsid w:val="00E166BE"/>
    <w:rsid w:val="00E1692F"/>
    <w:rsid w:val="00E20A97"/>
    <w:rsid w:val="00E20FAC"/>
    <w:rsid w:val="00E21B3E"/>
    <w:rsid w:val="00E2275C"/>
    <w:rsid w:val="00E32AE3"/>
    <w:rsid w:val="00E360E0"/>
    <w:rsid w:val="00E362A3"/>
    <w:rsid w:val="00E41CBA"/>
    <w:rsid w:val="00E47213"/>
    <w:rsid w:val="00E47391"/>
    <w:rsid w:val="00E47B87"/>
    <w:rsid w:val="00E5087C"/>
    <w:rsid w:val="00E54FAD"/>
    <w:rsid w:val="00E55173"/>
    <w:rsid w:val="00E57C35"/>
    <w:rsid w:val="00E622CD"/>
    <w:rsid w:val="00E628E7"/>
    <w:rsid w:val="00E63E09"/>
    <w:rsid w:val="00E6737F"/>
    <w:rsid w:val="00E71363"/>
    <w:rsid w:val="00E72EF9"/>
    <w:rsid w:val="00E772FE"/>
    <w:rsid w:val="00E9293A"/>
    <w:rsid w:val="00E94C4B"/>
    <w:rsid w:val="00EA091E"/>
    <w:rsid w:val="00EA1081"/>
    <w:rsid w:val="00EB4AF8"/>
    <w:rsid w:val="00EC4E52"/>
    <w:rsid w:val="00ED1A3A"/>
    <w:rsid w:val="00ED62D2"/>
    <w:rsid w:val="00EE0933"/>
    <w:rsid w:val="00EE1C77"/>
    <w:rsid w:val="00EE4E05"/>
    <w:rsid w:val="00EE5825"/>
    <w:rsid w:val="00EE5DB7"/>
    <w:rsid w:val="00EE7A6D"/>
    <w:rsid w:val="00EF05DE"/>
    <w:rsid w:val="00EF3553"/>
    <w:rsid w:val="00F06259"/>
    <w:rsid w:val="00F1044A"/>
    <w:rsid w:val="00F105F2"/>
    <w:rsid w:val="00F14010"/>
    <w:rsid w:val="00F16486"/>
    <w:rsid w:val="00F20DF9"/>
    <w:rsid w:val="00F21EEC"/>
    <w:rsid w:val="00F24CFE"/>
    <w:rsid w:val="00F24E42"/>
    <w:rsid w:val="00F40DB0"/>
    <w:rsid w:val="00F41F50"/>
    <w:rsid w:val="00F442D1"/>
    <w:rsid w:val="00F47B94"/>
    <w:rsid w:val="00F50389"/>
    <w:rsid w:val="00F55E46"/>
    <w:rsid w:val="00F604A7"/>
    <w:rsid w:val="00F62E0F"/>
    <w:rsid w:val="00F66FF8"/>
    <w:rsid w:val="00F74E2C"/>
    <w:rsid w:val="00F75C7F"/>
    <w:rsid w:val="00F92EFD"/>
    <w:rsid w:val="00F97003"/>
    <w:rsid w:val="00FA3C63"/>
    <w:rsid w:val="00FA48CF"/>
    <w:rsid w:val="00FA4E9C"/>
    <w:rsid w:val="00FA53A8"/>
    <w:rsid w:val="00FA645E"/>
    <w:rsid w:val="00FB120A"/>
    <w:rsid w:val="00FB28EB"/>
    <w:rsid w:val="00FB4235"/>
    <w:rsid w:val="00FB44F4"/>
    <w:rsid w:val="00FB6544"/>
    <w:rsid w:val="00FC1AE0"/>
    <w:rsid w:val="00FC2F1F"/>
    <w:rsid w:val="00FD386D"/>
    <w:rsid w:val="00FD4C61"/>
    <w:rsid w:val="00FE4E64"/>
    <w:rsid w:val="00FE6D66"/>
    <w:rsid w:val="00FF474E"/>
    <w:rsid w:val="00FF5DD8"/>
    <w:rsid w:val="00FF62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8258C7"/>
  <w15:docId w15:val="{E7C9CAE8-D30B-4133-93C7-CA3E180A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x-none"/>
    </w:rPr>
  </w:style>
  <w:style w:type="paragraph" w:styleId="CommentText">
    <w:name w:val="annotation text"/>
    <w:basedOn w:val="Normal"/>
    <w:link w:val="CommentTextChar"/>
    <w:uiPriority w:val="99"/>
    <w:unhideWhenUsed/>
    <w:rPr>
      <w:sz w:val="20"/>
      <w:szCs w:val="20"/>
      <w:lang w:val="x-none"/>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x-non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rsid w:val="001055F0"/>
    <w:pPr>
      <w:spacing w:after="0" w:line="240" w:lineRule="auto"/>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sid w:val="001055F0"/>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rPr>
      <w:lang w:val="da-DK"/>
    </w:r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en-US"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en-US"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en-US"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78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rsid w:val="006B33D0"/>
    <w:pPr>
      <w:spacing w:after="0"/>
      <w:ind w:left="5103"/>
    </w:pPr>
    <w:rPr>
      <w:rFonts w:ascii="Times New Roman" w:eastAsiaTheme="minorHAnsi" w:hAnsi="Times New Roman"/>
      <w:sz w:val="28"/>
    </w:rPr>
  </w:style>
  <w:style w:type="paragraph" w:customStyle="1" w:styleId="DateMarking">
    <w:name w:val="DateMarking"/>
    <w:basedOn w:val="Normal"/>
    <w:rsid w:val="006B33D0"/>
    <w:pPr>
      <w:spacing w:after="0"/>
      <w:ind w:left="5103"/>
    </w:pPr>
    <w:rPr>
      <w:rFonts w:ascii="Times New Roman" w:eastAsiaTheme="minorHAnsi" w:hAnsi="Times New Roman"/>
      <w:i/>
      <w:sz w:val="28"/>
    </w:rPr>
  </w:style>
  <w:style w:type="paragraph" w:customStyle="1" w:styleId="ReleasableTo">
    <w:name w:val="ReleasableTo"/>
    <w:basedOn w:val="Normal"/>
    <w:rsid w:val="006B33D0"/>
    <w:pPr>
      <w:spacing w:after="0"/>
      <w:ind w:left="5103"/>
    </w:pPr>
    <w:rPr>
      <w:rFonts w:ascii="Times New Roman" w:eastAsiaTheme="minorHAnsi" w:hAnsi="Times New Roman"/>
      <w:i/>
      <w:sz w:val="28"/>
    </w:rPr>
  </w:style>
  <w:style w:type="paragraph" w:customStyle="1" w:styleId="HeaderSensitivityRight">
    <w:name w:val="Header Sensitivity Right"/>
    <w:basedOn w:val="Normal"/>
    <w:rsid w:val="006B33D0"/>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epp.eurostat.ec.europa.eu/tgm/table.do?tab=table&amp;init=1&amp;plugin=1&amp;language=en&amp;pcode=tec00115" TargetMode="Externa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0.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qid=1536584176375&amp;uri=CELEX:02014L0065-20160701" TargetMode="External"/><Relationship Id="rId2" Type="http://schemas.openxmlformats.org/officeDocument/2006/relationships/hyperlink" Target="http://eur-lex.europa.eu/legal-content/EN/TXT/?uri=uriserv:OJ.L_.2018.076.01.0003.01.ENG&amp;toc=OJ:L:2018:076:TOC" TargetMode="External"/><Relationship Id="rId1" Type="http://schemas.openxmlformats.org/officeDocument/2006/relationships/hyperlink" Target="http://ec.europa.eu/clima/policies/ets/auctioning/documentation_en.htm" TargetMode="External"/><Relationship Id="rId5" Type="http://schemas.openxmlformats.org/officeDocument/2006/relationships/hyperlink" Target="https://ec.europa.eu/clima/sites/clima/files/ets/reform/docs/c_2019_3288_en.pdf" TargetMode="External"/><Relationship Id="rId4" Type="http://schemas.openxmlformats.org/officeDocument/2006/relationships/hyperlink" Target="https://ec.europa.eu/clima/sites/clima/files/ets/reform/docs/c_2018_2801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308982528"/>
        <c:axId val="308984064"/>
      </c:barChart>
      <c:catAx>
        <c:axId val="308982528"/>
        <c:scaling>
          <c:orientation val="minMax"/>
        </c:scaling>
        <c:delete val="1"/>
        <c:axPos val="b"/>
        <c:numFmt formatCode="General" sourceLinked="1"/>
        <c:majorTickMark val="none"/>
        <c:minorTickMark val="none"/>
        <c:tickLblPos val="nextTo"/>
        <c:crossAx val="308984064"/>
        <c:crosses val="autoZero"/>
        <c:auto val="1"/>
        <c:lblAlgn val="ctr"/>
        <c:lblOffset val="100"/>
        <c:noMultiLvlLbl val="0"/>
      </c:catAx>
      <c:valAx>
        <c:axId val="30898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82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332016640"/>
        <c:axId val="332034816"/>
      </c:barChart>
      <c:catAx>
        <c:axId val="332016640"/>
        <c:scaling>
          <c:orientation val="minMax"/>
        </c:scaling>
        <c:delete val="1"/>
        <c:axPos val="b"/>
        <c:numFmt formatCode="General" sourceLinked="1"/>
        <c:majorTickMark val="none"/>
        <c:minorTickMark val="none"/>
        <c:tickLblPos val="nextTo"/>
        <c:crossAx val="332034816"/>
        <c:crosses val="autoZero"/>
        <c:auto val="1"/>
        <c:lblAlgn val="ctr"/>
        <c:lblOffset val="100"/>
        <c:noMultiLvlLbl val="0"/>
      </c:catAx>
      <c:valAx>
        <c:axId val="332034816"/>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16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82948-0F08-4FCF-B93A-4892239F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11582</Words>
  <Characters>59537</Characters>
  <Application>Microsoft Office Word</Application>
  <DocSecurity>0</DocSecurity>
  <Lines>2835</Lines>
  <Paragraphs>1975</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European Commission</Company>
  <LinksUpToDate>false</LinksUpToDate>
  <CharactersWithSpaces>69144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GAVALYUGOVA Nevena (CLIMA)</dc:creator>
  <cp:lastModifiedBy>PAGANELI Erifili (SG)</cp:lastModifiedBy>
  <cp:revision>4</cp:revision>
  <cp:lastPrinted>2018-11-08T09:30:00Z</cp:lastPrinted>
  <dcterms:created xsi:type="dcterms:W3CDTF">2019-10-25T13:22:00Z</dcterms:created>
  <dcterms:modified xsi:type="dcterms:W3CDTF">2019-10-31T09:31:00Z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