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B3F21948-6ECA-4D59-B9E6-C4CBC74403D4" style="width:450.75pt;height:406.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в Съвместния комитет по прилагането (СКП), учреден съгласно член 18 от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горите, управление и търговия, във връзка с предвиденото приемане на неговия процедурен правилник.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Споразумение за доброволно партньорство между Европейския съюз и Социалистическа република Виетнам за прилагане на законодателството в областта на горите, управление и търговия 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горите, управление и търговия („споразумението“) има за цел да гарантира, че целият внос в Европейския съюз от Социалистическа република Виетнам на дървен материал и продукти от дървен материал, обхванати от посоченото споразумение, са произведени по законен начин. Това ще бъде постигнато чрез създаването и прилагането на система за гарантиране на законността на дървения материал във Виетнам (VNTLAS), за да се провери дали дървеният материал и продуктите от дървен материал са произведени законно и да се гарантира, че за Съюза се изнасят само проверени пратки. Споразумението влезе в сила на 1 юни 2019 г</w:t>
      </w:r>
      <w:r>
        <w:t>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Съвместен комитет по прилагането</w:t>
      </w:r>
    </w:p>
    <w:p>
      <w:pPr>
        <w:rPr>
          <w:rFonts w:eastAsiaTheme="majorEastAsia"/>
          <w:b/>
          <w:bCs/>
          <w:noProof/>
          <w:szCs w:val="26"/>
        </w:rPr>
      </w:pPr>
      <w:r>
        <w:rPr>
          <w:noProof/>
        </w:rPr>
        <w:t>СКП, предвиден в член 18 от споразумението и описан подробно в приложение IX към него, служи за улесняване на управлението, мониторинга и прегледа на споразумението. СКП подпомага също така диалога и обмена на информация между страните по споразумението. Той взема решенията си с консенсус. СКП се съпредседателства от заместник-министъра на земеделието и развитието на селските райони и от ръководителя на делегацията на Европейския съюз в Социалистическа република Виетнам.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СКП</w:t>
      </w:r>
    </w:p>
    <w:p>
      <w:pPr>
        <w:rPr>
          <w:rFonts w:eastAsia="Arial Unicode MS"/>
          <w:noProof/>
        </w:rPr>
      </w:pPr>
      <w:r>
        <w:rPr>
          <w:noProof/>
        </w:rPr>
        <w:t>В седмицата от 11 до 15 ноември 2019 г., по време на първото си заседание, СКП</w:t>
      </w:r>
      <w:r>
        <w:t xml:space="preserve"> </w:t>
      </w:r>
      <w:r>
        <w:rPr>
          <w:noProof/>
        </w:rPr>
        <w:t>следва да приема свой процедурен правилник</w:t>
      </w:r>
      <w:r>
        <w:t xml:space="preserve"> </w:t>
      </w:r>
      <w:r>
        <w:rPr>
          <w:noProof/>
        </w:rPr>
        <w:t>(„предвидения акт“).</w:t>
      </w:r>
    </w:p>
    <w:p>
      <w:pPr>
        <w:rPr>
          <w:rFonts w:eastAsia="Arial Unicode MS"/>
          <w:noProof/>
        </w:rPr>
      </w:pPr>
      <w:r>
        <w:rPr>
          <w:noProof/>
        </w:rPr>
        <w:t>Целта на предвидения акт е да се уреди начинът, по който страните по споразумението си сътрудничат в рамките на СКП. В него се описват съставът на СКП, възможността за създаване на подчинени на него спомагателни органи, неговият секретариат и начините за организиране на заседанията му. В предвидения акт се установява, че СКП, в качеството си на упълномощен орган съгласно споразумението, приема решения и препоръки с консенсус чрез писмена процедура, която се състои от размяна на ноти.</w:t>
      </w:r>
    </w:p>
    <w:p>
      <w:pPr>
        <w:pStyle w:val="ManualHeading1"/>
        <w:rPr>
          <w:rFonts w:eastAsia="Arial Unicode MS"/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>В предвидения акт се установява позицията, която трябва да се заеме от името на Съюза в СКП, учреден съгласно член 18 от споразумението, във връзка с приемането на процедурния правилник на СКП.</w:t>
      </w:r>
    </w:p>
    <w:p>
      <w:pPr>
        <w:rPr>
          <w:noProof/>
        </w:rPr>
      </w:pPr>
      <w:r>
        <w:rPr>
          <w:noProof/>
        </w:rPr>
        <w:lastRenderedPageBreak/>
        <w:t>Страните по споразумението постигнаха съгласие относно проекта на процедурен правилник. Той следва да бъде приет на първото заседание на СКП, което е планирано за ноември 2019 г., при условие че са спазени процедурите за вземане на решения на Съюза.</w:t>
      </w:r>
    </w:p>
    <w:p>
      <w:pPr>
        <w:rPr>
          <w:noProof/>
        </w:rPr>
      </w:pPr>
      <w:r>
        <w:rPr>
          <w:noProof/>
        </w:rPr>
        <w:t>Приложеният процедурен правилник на СКП е много подобен на правилниците, приети от съвместните комитети по прилагането, които са учредени съгласно други споразумения за доброволно партньорство.</w:t>
      </w:r>
    </w:p>
    <w:p>
      <w:pPr>
        <w:rPr>
          <w:noProof/>
        </w:rPr>
      </w:pPr>
      <w:r>
        <w:rPr>
          <w:noProof/>
        </w:rPr>
        <w:t>Приемането на този документ е от решаващо значение за практическото прилагане на разпоредбите на споразумението. По-специално той позволява на СКП да прилага разпоредбите на член 9 (продължаващи несъгласия или трудности при консултациите, свързани с разрешителните FLEGT), член 10 (жалби до СКП, произтичащи от работата на оценителя), член 12 (уведомяване, възлагане на независима оценка на схемата на разрешителни FLEGT и представяне на препоръка за дата, на която да започне да функционира тази схема) и член 18 (учредяване и дейност на СКП) от споразумението, както и на приложение IX към него (функции на СКП).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актовете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СКП е орган, създаден със споразумение — по-конкретно със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горите, управление и търговия</w:t>
      </w:r>
      <w:r>
        <w:t>.</w:t>
      </w:r>
    </w:p>
    <w:p>
      <w:pPr>
        <w:rPr>
          <w:noProof/>
        </w:rPr>
      </w:pPr>
      <w:r>
        <w:rPr>
          <w:noProof/>
        </w:rPr>
        <w:t>Актът, който СКП има за задача да приеме, представлява акт с правно действие, тъй като чрез него се урежда начинът, по който страните по споразумението си сътрудничат в прилагането на споразумението, включително по отношение на евентуално приемане на поправки в приложенията към него.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lastRenderedPageBreak/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 xml:space="preserve">Основната цел и съдържание на предвидения акт най-общо са свързани с функционирането на международни органи, създадени въз основа на споразумението. Поради това областта, в която попада обжалваното решение, трябва да се определи с оглед на споразумението като цяло (Дело C-244/17 Комисия/Съвет (Казахстан), </w:t>
      </w:r>
      <w:r>
        <w:rPr>
          <w:rStyle w:val="outputecli"/>
          <w:noProof/>
        </w:rPr>
        <w:t>ECLI:EU:C:2018:662)</w:t>
      </w:r>
      <w:r>
        <w:rPr>
          <w:noProof/>
        </w:rPr>
        <w:t>. Целта на споразумението е да се осигури правна рамка, с която да се гарантира, че целият внос в Европейския съюз от Социалистическа република Виетнам на дървен материал и продукти от дървен материал, обхванати от посоченото споразумение, са произведени по законен начин. Основният елемент на споразумението е общата търговска политика.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 207, параграф 3 и член 207, параграф 4, първа алинея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на предложеното решение следва да бъде член 207, параграф 3 и член 207, параграф 4, първа алинея от ДФЕС във връзка с член 218, параграф 9 от него.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2019/0244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установяване на позицията, която трябва да се заеме от името на Съюза в Съвместния комитет по прилагането, учреден съгласно член 18 от 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горите, управление и търговия, във връзка с приемането на неговия процедурен правилник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 3 и член 207, параграф 4, първа алинея</w:t>
      </w:r>
      <w:r>
        <w:t xml:space="preserve"> </w:t>
      </w:r>
      <w:r>
        <w:rPr>
          <w:noProof/>
        </w:rPr>
        <w:t>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доброволно партньорство между Европейския съюз и Социалистическа република Виетнам за прилагане на законодателството в областта на горите, управление и търговия („споразумението“) беше сключено от Съюза с Решение (ЕС) 2019/854 на Съвета от 15 април 2019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влезе в сила на 1 юни 2019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По силата на член 18, параграф 3 от споразумението Съвместният комитет по прилагането (СКП) приема свой процедурен правилник</w:t>
      </w:r>
      <w:r>
        <w:t>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Процедурният правилник на СКП следва да се приеме по време на неговото заседание на 13 ноември 2019 г.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Тъй като процедурният правилник ще бъде обвързващ за Съюза, е целесъобразно да се установи позицията, която трябва да се заеме от името на Съюза в рамките на СКП</w:t>
      </w:r>
      <w:r>
        <w:t>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 време на първото си заседание СКП следва да приеме процедурния правилник, приложен към настоящото решение, с който да се гарантира ефективно и прозрачно сътрудничество между Европейския съюз и Социалистическа република Виетнам от самото начало на прилагането на споразумението, а впоследствие — и по схемата на разрешителни в рамките на законодателството на ЕС в областта на горите, управление и търговия,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</w:p>
    <w:p>
      <w:pPr>
        <w:pStyle w:val="ManualNumPar1"/>
        <w:rPr>
          <w:noProof/>
        </w:rPr>
      </w:pPr>
      <w:r>
        <w:lastRenderedPageBreak/>
        <w:t>1.</w:t>
      </w:r>
      <w:r>
        <w:tab/>
      </w:r>
      <w:r>
        <w:rPr>
          <w:noProof/>
        </w:rPr>
        <w:t xml:space="preserve">Позицията, която трябва да се заеме от името на Съюза на първото заседание на Съвместния комитет по прилагането, се основава на проекта на процедурен правилник, приложен към настоящото решение. </w:t>
      </w:r>
    </w:p>
    <w:p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Представителите на Съюза могат — в зависимост от промените в обстоятелствата в рамките на предстоящата конференция на страните и като се консултират с държавите членки по време на координационните срещи на място — да изразяват съгласие по незначителни промени в проекта на процедурен правилник, приложен към настоящото решение, без да е необходимо допълнително решение на Съвета.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footnotePr>
        <w:numRestart w:val="eachPage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ECLI:EU:C:2014:2258, т. 61—64.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EA4B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24A71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95EBA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96E11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A089D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BA8B9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01A1B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C466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1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10-28 15:56:5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3F21948-6ECA-4D59-B9E6-C4CBC74403D4"/>
    <w:docVar w:name="LW_COVERPAGE_TYPE" w:val="1"/>
    <w:docVar w:name="LW_CROSSREFERENCE" w:val="&lt;UNUSED&gt;"/>
    <w:docVar w:name="LW_DocType" w:val="COM"/>
    <w:docVar w:name="LW_EMISSION" w:val="31.10.2019"/>
    <w:docVar w:name="LW_EMISSION_ISODATE" w:val="2019-10-31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44"/>
    <w:docVar w:name="LW_REF.II.NEW.CP_YEAR" w:val="2019"/>
    <w:docVar w:name="LW_REF.INST.NEW" w:val="COM"/>
    <w:docVar w:name="LW_REF.INST.NEW_ADOPTED" w:val="final"/>
    <w:docVar w:name="LW_REF.INST.NEW_TEXT" w:val="(2019) 5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91?\u1089?\u1090?\u1072?\u1085?\u1086?\u1074?\u1103?\u1074?\u1072?\u1085?\u1077? \u1085?\u1072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57?\u1098?\u1102?\u1079?\u1072? \u1074? \u1057?\u1098?\u1074?\u1084?\u1077?\u1089?\u1090?\u1085?\u1080?\u1103? \u1082?\u1086?\u1084?\u1080?\u1090?\u1077?\u1090? \u1087?\u1086? \u1087?\u1088?\u1080?\u1083?\u1072?\u1075?\u1072?\u1085?\u1077?\u1090?\u1086?, \u1091?\u1095?\u1088?\u1077?\u1076?\u1077?\u1085? \u1089?\u1098?\u1075?\u1083?\u1072?\u1089?\u1085?\u1086? \u1095?\u1083?\u1077?\u1085? 18 \u1086?\u1090? \u1057?\u1087?\u1086?\u1088?\u1072?\u1079?\u1091?\u1084?\u1077?\u1085?\u1080?\u1077?\u1090?\u1086? \u1079?\u1072? \u1076?\u1086?\u1073?\u1088?\u1086?\u1074?\u1086?\u1083?\u1085?\u1086? \u1087?\u1072?\u1088?\u1090?\u1085?\u1100?\u1086?\u1088?\u1089?\u1090?\u1074?\u1086? \u1084?\u1077?\u1078?\u1076?\u1091? \u1045?\u1074?\u1088?\u1086?\u1087?\u1077?\u1081?\u1089?\u1082?\u1080?\u1103? \u1089?\u1098?\u1102?\u1079? \u1080? \u1057?\u1086?\u1094?\u1080?\u1072?\u1083?\u1080?\u1089?\u1090?\u1080?\u1095?\u1077?\u1089?\u1082?\u1072? \u1088?\u1077?\u1087?\u1091?\u1073?\u1083?\u1080?\u1082?\u1072? \u1042?\u1080?\u1077?\u1090?\u1085?\u1072?\u1084? \u1079?\u1072? \u1087?\u1088?\u1080?\u1083?\u1072?\u1075?\u1072?\u1085?\u1077? \u1085?\u1072? \u1079?\u1072?\u1082?\u1086?\u1085?\u1086?\u1076?\u1072?\u1090?\u1077?\u1083?\u1089?\u1090?\u1074?\u1086?\u1090?\u1086? \u1074? \u1086?\u1073?\u1083?\u1072?\u1089?\u1090?\u1090?\u1072? \u1085?\u1072? \u1075?\u1086?\u1088?\u1080?\u1090?\u1077?, \u1091?\u1087?\u1088?\u1072?\u1074?\u1083?\u1077?\u1085?\u1080?\u1077? \u1080? \u1090?\u1098?\u1088?\u1075?\u1086?\u1074?\u1080?\u1103?, \u1074?\u1098?\u1074? \u1074?\u1088?\u1098?\u1079?\u1082?\u1072? \u1089? \u1087?\u1088?\u1080?\u1077?\u1084?\u1072?\u1085?\u1077?\u1090?\u1086? \u1085?\u1072? \u1085?\u1077?\u1075?\u1086?\u1074?\u1080?\u1103? \u1087?\u1088?\u1086?\u1094?\u1077?\u1076?\u1091?\u1088?\u1077?\u1085? \u1087?\u1088?\u1072?\u1074?\u1080?\u1083?\u1085?\u1080?\u108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outputecli">
    <w:name w:val="outputecli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outputecli">
    <w:name w:val="outputecli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3962-20BD-4EF9-8FA0-11145FFE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6</Pages>
  <Words>1440</Words>
  <Characters>8282</Characters>
  <Application>Microsoft Office Word</Application>
  <DocSecurity>0</DocSecurity>
  <Lines>162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19</cp:revision>
  <dcterms:created xsi:type="dcterms:W3CDTF">2019-10-24T10:14:00Z</dcterms:created>
  <dcterms:modified xsi:type="dcterms:W3CDTF">2019-10-28T14:56:00Z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