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ED10FEB-A8CA-4F26-87EA-3F669F56C4D1" style="width:450.4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ВЪВЕДЕНИЕ</w:t>
      </w:r>
    </w:p>
    <w:p>
      <w:pPr>
        <w:spacing w:before="120" w:after="120" w:line="240" w:lineRule="auto"/>
        <w:jc w:val="both"/>
        <w:rPr>
          <w:rFonts w:ascii="Times New Roman" w:eastAsia="Calibri" w:hAnsi="Times New Roman" w:cs="Times New Roman"/>
          <w:noProof/>
          <w:sz w:val="24"/>
        </w:rPr>
      </w:pPr>
      <w:r>
        <w:rPr>
          <w:rFonts w:ascii="Times New Roman" w:hAnsi="Times New Roman"/>
          <w:noProof/>
        </w:rPr>
        <w:t>Директива 2009/31/EО на Европейския парламент и на Съвета относно съхранението на въглероден диоксид в геоложки формации</w:t>
      </w:r>
      <w:r>
        <w:rPr>
          <w:rFonts w:ascii="Times New Roman" w:eastAsia="Calibri" w:hAnsi="Times New Roman" w:cs="Times New Roman"/>
          <w:noProof/>
          <w:vertAlign w:val="superscript"/>
        </w:rPr>
        <w:footnoteReference w:id="1"/>
      </w:r>
      <w:r>
        <w:rPr>
          <w:rFonts w:ascii="Times New Roman" w:hAnsi="Times New Roman"/>
          <w:noProof/>
        </w:rPr>
        <w:t xml:space="preserve"> (известна като „Директива за улавянето и съхраняването на въглерод“, наричана по-нататък в настоящия документ „Директива за УСВ“) установява правна рамка за съхраняването на въглероден диоксид (CO</w:t>
      </w:r>
      <w:r>
        <w:rPr>
          <w:rFonts w:ascii="Times New Roman" w:hAnsi="Times New Roman"/>
          <w:noProof/>
          <w:vertAlign w:val="subscript"/>
        </w:rPr>
        <w:t>2</w:t>
      </w:r>
      <w:r>
        <w:rPr>
          <w:rFonts w:ascii="Times New Roman" w:hAnsi="Times New Roman"/>
          <w:noProof/>
        </w:rPr>
        <w:t>) в геоложки формации по начин, който е безопасен за околната среда. Директивата за УСВ цели да гарантира, че няма съществен риск от изтичане на CO</w:t>
      </w:r>
      <w:r>
        <w:rPr>
          <w:rFonts w:ascii="Times New Roman" w:hAnsi="Times New Roman"/>
          <w:noProof/>
          <w:vertAlign w:val="subscript"/>
        </w:rPr>
        <w:t>2</w:t>
      </w:r>
      <w:r>
        <w:rPr>
          <w:rFonts w:ascii="Times New Roman" w:hAnsi="Times New Roman"/>
          <w:noProof/>
        </w:rPr>
        <w:t xml:space="preserve"> или нанасяне на вреди на здравето или околната среда, и да предотврати неблагоприятни ефекти върху сигурността на преносната мрежа или местата за съхранение. </w:t>
      </w:r>
    </w:p>
    <w:p>
      <w:pPr>
        <w:spacing w:before="120" w:after="120" w:line="240" w:lineRule="auto"/>
        <w:jc w:val="both"/>
        <w:rPr>
          <w:rFonts w:ascii="Times New Roman" w:eastAsia="Calibri" w:hAnsi="Times New Roman" w:cs="Times New Roman"/>
          <w:noProof/>
          <w:sz w:val="24"/>
        </w:rPr>
      </w:pPr>
      <w:r>
        <w:rPr>
          <w:rFonts w:ascii="Times New Roman" w:hAnsi="Times New Roman"/>
          <w:noProof/>
        </w:rPr>
        <w:t>Настоящият документ е третият доклад за изпълнението на Директивата за УСВ и обхваща периода от май 2016 г. до април 2019 г. Той разглежда напредъка, постигнат след втория доклад за изпълнението</w:t>
      </w:r>
      <w:r>
        <w:rPr>
          <w:rFonts w:ascii="Times New Roman" w:eastAsia="Calibri" w:hAnsi="Times New Roman" w:cs="Times New Roman"/>
          <w:noProof/>
          <w:vertAlign w:val="superscript"/>
        </w:rPr>
        <w:footnoteReference w:id="2"/>
      </w:r>
      <w:r>
        <w:rPr>
          <w:rFonts w:ascii="Times New Roman" w:hAnsi="Times New Roman"/>
          <w:noProof/>
        </w:rPr>
        <w:t>. Настоящият доклад е изготвен въз основа на докладите, представени от държавите членки и Норвегия в съответствие с член 27 от Директивата за УСВ. Двадесет и две държави членки</w:t>
      </w:r>
      <w:r>
        <w:rPr>
          <w:rFonts w:ascii="Times New Roman" w:eastAsia="Calibri" w:hAnsi="Times New Roman" w:cs="Times New Roman"/>
          <w:noProof/>
          <w:vertAlign w:val="superscript"/>
        </w:rPr>
        <w:footnoteReference w:id="3"/>
      </w:r>
      <w:r>
        <w:rPr>
          <w:rFonts w:ascii="Times New Roman" w:hAnsi="Times New Roman"/>
          <w:noProof/>
        </w:rPr>
        <w:t xml:space="preserve"> представиха докладите си навреме, за да бъдат разгледани в настоящия доклад.</w:t>
      </w:r>
    </w:p>
    <w:p>
      <w:pPr>
        <w:pStyle w:val="Heading1"/>
        <w:rPr>
          <w:noProof/>
        </w:rPr>
      </w:pPr>
      <w:r>
        <w:rPr>
          <w:noProof/>
        </w:rPr>
        <w:t>СПЕЦИФИЧНИ ПРОБЛЕМИ С ПРИЛАГАНЕТО НА ДИРЕКТИВАТА В ДЪРЖАВИТЕ ЧЛЕНКИ</w:t>
      </w:r>
    </w:p>
    <w:p>
      <w:pPr>
        <w:pStyle w:val="Heading2"/>
        <w:rPr>
          <w:noProof/>
        </w:rPr>
      </w:pPr>
      <w:r>
        <w:rPr>
          <w:noProof/>
        </w:rPr>
        <w:t xml:space="preserve">Оценка на капацитета за съхранение и подбор на местата за съхранение </w:t>
      </w:r>
    </w:p>
    <w:p>
      <w:pPr>
        <w:spacing w:before="120" w:after="120" w:line="240" w:lineRule="auto"/>
        <w:jc w:val="both"/>
        <w:rPr>
          <w:rFonts w:ascii="Times New Roman" w:eastAsia="Calibri" w:hAnsi="Times New Roman" w:cs="Times New Roman"/>
          <w:noProof/>
          <w:sz w:val="24"/>
        </w:rPr>
      </w:pPr>
      <w:r>
        <w:rPr>
          <w:rFonts w:ascii="Times New Roman" w:hAnsi="Times New Roman"/>
          <w:noProof/>
        </w:rPr>
        <w:t>Съгласно член 4, параграф 2 от Директивата за УСВ от държавите членки, които възнамеряват да разрешат съхраняването на своята територия, се изисква да извършат оценки на наличния капацитет за съхранение. Нидерландия оценява теоретичен капацитет за съхранение от приблизително 1,7 Gt в Северно море, предимно в изчерпани газови находища. По-нататъшен задълбочен анализ на пригодността на конкретни обекти ще бъде предприет в бъдеще. Проектът NORDICCS докладва капацитет за съхранение в Дания в солени водоносни пластове в размер на 22 Gt CO</w:t>
      </w:r>
      <w:r>
        <w:rPr>
          <w:rFonts w:ascii="Times New Roman" w:hAnsi="Times New Roman"/>
          <w:noProof/>
          <w:vertAlign w:val="subscript"/>
        </w:rPr>
        <w:t>2</w:t>
      </w:r>
      <w:r>
        <w:rPr>
          <w:rFonts w:ascii="Times New Roman" w:hAnsi="Times New Roman"/>
          <w:noProof/>
        </w:rPr>
        <w:t xml:space="preserve"> и 2 Gt във въглеводородни находища. Германия оцени капацитета на съхранение в отделни големи газови находища на приблизително 75 Gt СО</w:t>
      </w:r>
      <w:r>
        <w:rPr>
          <w:rFonts w:ascii="Times New Roman" w:hAnsi="Times New Roman"/>
          <w:noProof/>
          <w:vertAlign w:val="subscript"/>
        </w:rPr>
        <w:t>2</w:t>
      </w:r>
      <w:r>
        <w:rPr>
          <w:rFonts w:ascii="Times New Roman" w:hAnsi="Times New Roman"/>
          <w:noProof/>
        </w:rPr>
        <w:t xml:space="preserve"> и между 20  и 115 Gt CO</w:t>
      </w:r>
      <w:r>
        <w:rPr>
          <w:rFonts w:ascii="Times New Roman" w:hAnsi="Times New Roman"/>
          <w:noProof/>
          <w:vertAlign w:val="subscript"/>
        </w:rPr>
        <w:t>2</w:t>
      </w:r>
      <w:r>
        <w:rPr>
          <w:rFonts w:ascii="Times New Roman" w:hAnsi="Times New Roman"/>
          <w:noProof/>
        </w:rPr>
        <w:t xml:space="preserve"> в солени водоносни пластове. 80 % от водоносните пластове са във федерални провинции, които забраняват съхранението. </w:t>
      </w:r>
    </w:p>
    <w:p>
      <w:pPr>
        <w:spacing w:before="120" w:after="120" w:line="240" w:lineRule="auto"/>
        <w:jc w:val="both"/>
        <w:rPr>
          <w:rFonts w:ascii="Times New Roman" w:eastAsia="Calibri" w:hAnsi="Times New Roman" w:cs="Times New Roman"/>
          <w:noProof/>
          <w:sz w:val="24"/>
        </w:rPr>
      </w:pPr>
      <w:r>
        <w:rPr>
          <w:rFonts w:ascii="Times New Roman" w:hAnsi="Times New Roman"/>
          <w:noProof/>
        </w:rPr>
        <w:t>Само някои държави са определили нови райони, от които могат или не могат да се избират обекти за съхранение съгласно член 4, параграф 1. Норвегия е набелязала възможни обекти за съхранение на CO</w:t>
      </w:r>
      <w:r>
        <w:rPr>
          <w:rFonts w:ascii="Times New Roman" w:hAnsi="Times New Roman"/>
          <w:noProof/>
          <w:vertAlign w:val="subscript"/>
        </w:rPr>
        <w:t>2</w:t>
      </w:r>
      <w:r>
        <w:rPr>
          <w:rFonts w:ascii="Times New Roman" w:hAnsi="Times New Roman"/>
          <w:noProof/>
        </w:rPr>
        <w:t xml:space="preserve"> на норвежкия шелф и е публикувала сборен атлас на тези обекти. Чешката република е разгледала един обект за съхранение, LBr-1, разположен в югозападната част на страната, за пилотен проект за УСВ. </w:t>
      </w:r>
    </w:p>
    <w:p>
      <w:pPr>
        <w:pStyle w:val="Heading2"/>
        <w:rPr>
          <w:noProof/>
        </w:rPr>
      </w:pPr>
      <w:r>
        <w:rPr>
          <w:noProof/>
        </w:rPr>
        <w:t>Заявления за издаване на разрешения за проучване и съхранение</w:t>
      </w:r>
    </w:p>
    <w:p>
      <w:pPr>
        <w:spacing w:before="120" w:after="120" w:line="240" w:lineRule="auto"/>
        <w:jc w:val="both"/>
        <w:rPr>
          <w:rFonts w:ascii="Times New Roman" w:eastAsia="Calibri" w:hAnsi="Times New Roman" w:cs="Times New Roman"/>
          <w:noProof/>
          <w:sz w:val="24"/>
        </w:rPr>
      </w:pPr>
      <w:r>
        <w:rPr>
          <w:rFonts w:ascii="Times New Roman" w:hAnsi="Times New Roman"/>
          <w:noProof/>
        </w:rPr>
        <w:t>По холандския проект за УСВ Porthos се работи върху молби за две разрешения за съхранение и една актуализация на разрешение. Норвегия е дала разрешение за проучване за съхранение на CO</w:t>
      </w:r>
      <w:r>
        <w:rPr>
          <w:rFonts w:ascii="Times New Roman" w:hAnsi="Times New Roman"/>
          <w:noProof/>
          <w:vertAlign w:val="subscript"/>
        </w:rPr>
        <w:t>2</w:t>
      </w:r>
      <w:r>
        <w:rPr>
          <w:rFonts w:ascii="Times New Roman" w:hAnsi="Times New Roman"/>
          <w:noProof/>
        </w:rPr>
        <w:t xml:space="preserve"> на норвежкия континентален шелф през януари 2019 г. В Андалусия, Испания, е подадена една молба за разрешение за проучване.</w:t>
      </w:r>
    </w:p>
    <w:p>
      <w:pPr>
        <w:pStyle w:val="Heading2"/>
        <w:rPr>
          <w:noProof/>
        </w:rPr>
      </w:pPr>
      <w:r>
        <w:rPr>
          <w:noProof/>
        </w:rPr>
        <w:t xml:space="preserve">Осъществимост на реконструкцията за УСВ </w:t>
      </w:r>
    </w:p>
    <w:p>
      <w:pPr>
        <w:spacing w:before="120" w:after="120" w:line="240" w:lineRule="auto"/>
        <w:jc w:val="both"/>
        <w:rPr>
          <w:rFonts w:ascii="Times New Roman" w:eastAsia="Calibri" w:hAnsi="Times New Roman" w:cs="Times New Roman"/>
          <w:noProof/>
          <w:sz w:val="24"/>
        </w:rPr>
      </w:pPr>
      <w:r>
        <w:rPr>
          <w:rFonts w:ascii="Times New Roman" w:hAnsi="Times New Roman"/>
          <w:noProof/>
        </w:rPr>
        <w:t>Член 33 от Директивата за УСВ изисква от операторите, които кандидатстват за лиценз, да извършват оценка на техническата и икономическата осъществимост на улавянето, преноса и съхранението на въглерод. Ако оценката е положителна, на площадката на инсталацията трябва да се задели пространство за оборудването, необходимо за улавяне и сгъстяване на СО</w:t>
      </w:r>
      <w:r>
        <w:rPr>
          <w:rFonts w:ascii="Times New Roman" w:hAnsi="Times New Roman"/>
          <w:noProof/>
          <w:vertAlign w:val="subscript"/>
        </w:rPr>
        <w:t>2</w:t>
      </w:r>
      <w:r>
        <w:rPr>
          <w:rFonts w:ascii="Times New Roman" w:hAnsi="Times New Roman"/>
          <w:noProof/>
        </w:rPr>
        <w:t>.</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rPr>
        <w:t>Такива оценки бяха извършени в Естония (една), Франция (една), Германия (шест), Румъния (шест) и Полша (осем). Оценките установиха, че УСВ не е осъществимо икономически. При някои електроцентрали възникнаха допълнителни затруднения — в Естония геоложките условия се считат за неблагоприятни, а в Германия електроцентралите нямат достъп до подходящи обекти за съхранение.</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rPr>
        <w:t>Въпреки ниското ниво на осъществимост повечето от електроцентралите (напр. в Полша, Естония, Германия) заделят земи за монтиране на оборудване за улавяне на CO</w:t>
      </w:r>
      <w:r>
        <w:rPr>
          <w:rFonts w:ascii="Times New Roman" w:hAnsi="Times New Roman"/>
          <w:noProof/>
          <w:vertAlign w:val="subscript"/>
        </w:rPr>
        <w:t>2</w:t>
      </w:r>
      <w:r>
        <w:rPr>
          <w:rFonts w:ascii="Times New Roman" w:hAnsi="Times New Roman"/>
          <w:noProof/>
        </w:rPr>
        <w:t xml:space="preserve">. </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rPr>
        <w:t>В Норвегия всяка нова електроцентрала на газ трябва да разполага с механизъм за улавяне и съхранение на CO</w:t>
      </w:r>
      <w:r>
        <w:rPr>
          <w:rFonts w:ascii="Times New Roman" w:hAnsi="Times New Roman"/>
          <w:noProof/>
          <w:vertAlign w:val="subscript"/>
        </w:rPr>
        <w:t>2</w:t>
      </w:r>
      <w:r>
        <w:rPr>
          <w:rFonts w:ascii="Times New Roman" w:hAnsi="Times New Roman"/>
          <w:noProof/>
        </w:rPr>
        <w:t xml:space="preserve"> от самото начало на експлоатацията си. Някои от 30-те шведски инсталации с входяща мощност от над 300 MW са в процес на изследване на възможността за УСВ и провеждат предварителни проучвания. </w:t>
      </w:r>
    </w:p>
    <w:p>
      <w:pPr>
        <w:pStyle w:val="Heading2"/>
        <w:rPr>
          <w:noProof/>
        </w:rPr>
      </w:pPr>
      <w:r>
        <w:rPr>
          <w:noProof/>
        </w:rPr>
        <w:t>Национални програми и изследователски проекти, които имат значение за Директивата за УСВ</w:t>
      </w:r>
    </w:p>
    <w:p>
      <w:pPr>
        <w:spacing w:before="120" w:after="120" w:line="240" w:lineRule="auto"/>
        <w:jc w:val="both"/>
        <w:rPr>
          <w:rFonts w:ascii="Times New Roman" w:eastAsia="Calibri" w:hAnsi="Times New Roman" w:cs="Times New Roman"/>
          <w:noProof/>
          <w:color w:val="000000"/>
          <w:sz w:val="24"/>
        </w:rPr>
      </w:pPr>
      <w:r>
        <w:rPr>
          <w:rFonts w:ascii="Times New Roman" w:hAnsi="Times New Roman"/>
          <w:noProof/>
        </w:rPr>
        <w:t>Научноизследователската дейност за развитие на технологиите и познанията за съхранение на CO</w:t>
      </w:r>
      <w:r>
        <w:rPr>
          <w:rFonts w:ascii="Times New Roman" w:hAnsi="Times New Roman"/>
          <w:noProof/>
          <w:vertAlign w:val="subscript"/>
        </w:rPr>
        <w:t>2</w:t>
      </w:r>
      <w:r>
        <w:rPr>
          <w:rFonts w:ascii="Times New Roman" w:hAnsi="Times New Roman"/>
          <w:noProof/>
        </w:rPr>
        <w:t xml:space="preserve"> се провежда в редица държави — Чешката република, Дания, Франция, Германия, Литва, Малта, Нидерландия, Норвегия, Румъния, Полша, Португалия, Испания и Швеция с национално подпомагане, финансиране от ЕС и норвежките безвъзмездни средства. Някои държави участват в схемата ERA-NET ACT (Ускоряване на технологиите за УСВ), която обединява различни проекти, подпомагани съвместно от фондове от Германия, Гърция, Франция, Нидерландия, Норвегия, Румъния, Испания, Обединеното кралство, както и Швейцария, Турция и Съединените щати. Ирландия докладва, че е създадена координационна група за политиката за УСВ и проектната осъществимост, която ще разработва политиките за УСВ и ще оценява осъществимостта на бъдещи проекти в страната. Освен това 9 държави членки (Чешката република, Франция, Германия, Унгария, Италия, Нидерландия, Испания, Швеция и Обединеното кралство), Норвегия и Турция постигнаха съгласие да координират научноизследователските си и иновационни дейности по улавяне, оползотворяване и съхранение на въглерод в рамките на Европейския стратегически план за енергийните технологии (план SET).</w:t>
      </w:r>
    </w:p>
    <w:p>
      <w:pPr>
        <w:spacing w:before="120" w:after="120" w:line="240" w:lineRule="auto"/>
        <w:jc w:val="both"/>
        <w:rPr>
          <w:rFonts w:ascii="Times New Roman" w:eastAsia="Calibri" w:hAnsi="Times New Roman" w:cs="Times New Roman"/>
          <w:noProof/>
          <w:color w:val="000000"/>
          <w:sz w:val="24"/>
        </w:rPr>
      </w:pPr>
    </w:p>
    <w:p>
      <w:pPr>
        <w:pStyle w:val="Heading2"/>
        <w:rPr>
          <w:noProof/>
        </w:rPr>
      </w:pPr>
      <w:r>
        <w:rPr>
          <w:noProof/>
        </w:rPr>
        <w:t>Мрежи за пренос и съхранение на CO</w:t>
      </w:r>
      <w:r>
        <w:rPr>
          <w:noProof/>
          <w:vertAlign w:val="subscript"/>
        </w:rPr>
        <w:t>2</w:t>
      </w:r>
    </w:p>
    <w:p>
      <w:pPr>
        <w:spacing w:before="120" w:after="120" w:line="240" w:lineRule="auto"/>
        <w:jc w:val="both"/>
        <w:rPr>
          <w:rFonts w:ascii="Times New Roman" w:eastAsia="Calibri" w:hAnsi="Times New Roman" w:cs="Times New Roman"/>
          <w:noProof/>
          <w:sz w:val="24"/>
        </w:rPr>
      </w:pPr>
      <w:r>
        <w:rPr>
          <w:rFonts w:ascii="Times New Roman" w:hAnsi="Times New Roman"/>
          <w:noProof/>
        </w:rPr>
        <w:t xml:space="preserve">Работната група за басейна на Северно море с участието на Белгия, Германия, Нидерландия, Норвегия и Обединеното кралство и </w:t>
      </w:r>
      <w:hyperlink r:id="rId16" w:history="1">
        <w:r>
          <w:rPr>
            <w:rFonts w:ascii="Times New Roman" w:hAnsi="Times New Roman"/>
            <w:noProof/>
          </w:rPr>
          <w:t>Регионалната мрежа за УСВ в района на Балтийско море</w:t>
        </w:r>
      </w:hyperlink>
      <w:r>
        <w:rPr>
          <w:rFonts w:ascii="Times New Roman" w:hAnsi="Times New Roman"/>
          <w:noProof/>
        </w:rPr>
        <w:t xml:space="preserve"> с участието на Германия, Естония, Норвегия, Финландия и Швеция, остават двете основни регионални мрежи за УСВ, които работят по общи трансгранични решения за преноса и съхранението на CO</w:t>
      </w:r>
      <w:r>
        <w:rPr>
          <w:rFonts w:ascii="Times New Roman" w:hAnsi="Times New Roman"/>
          <w:noProof/>
          <w:vertAlign w:val="subscript"/>
        </w:rPr>
        <w:t>2</w:t>
      </w:r>
      <w:r>
        <w:rPr>
          <w:rFonts w:ascii="Times New Roman" w:hAnsi="Times New Roman"/>
          <w:noProof/>
        </w:rPr>
        <w:t xml:space="preserve"> в геоложки формации. Тези мрежи могат да способстват за прозрачен и равнопоставен достъп до мрежи за пренос на CO</w:t>
      </w:r>
      <w:r>
        <w:rPr>
          <w:rFonts w:ascii="Times New Roman" w:hAnsi="Times New Roman"/>
          <w:noProof/>
          <w:vertAlign w:val="subscript"/>
        </w:rPr>
        <w:t>2</w:t>
      </w:r>
      <w:r>
        <w:rPr>
          <w:rFonts w:ascii="Times New Roman" w:hAnsi="Times New Roman"/>
          <w:noProof/>
        </w:rPr>
        <w:t xml:space="preserve"> и до места за съхранение на CO</w:t>
      </w:r>
      <w:r>
        <w:rPr>
          <w:rFonts w:ascii="Times New Roman" w:hAnsi="Times New Roman"/>
          <w:noProof/>
          <w:vertAlign w:val="subscript"/>
        </w:rPr>
        <w:t>2</w:t>
      </w:r>
      <w:r>
        <w:rPr>
          <w:rFonts w:ascii="Times New Roman" w:hAnsi="Times New Roman"/>
          <w:noProof/>
        </w:rPr>
        <w:t xml:space="preserve"> от страна на оператори в държави членки, където липсват възможности за подземно съхранение. Сътрудничество с държавите членки с излаз на Северно море беше докладвано и по проектите от общ интерес (ПОИ). Швеция разглежда бъдещо сътрудничество преди всичко с Норвегия относно складирането, тъй като има редица частни дружества, които са заинтересовани и в момента проучват тази възможност. Центрове за разпределение на CO</w:t>
      </w:r>
      <w:r>
        <w:rPr>
          <w:rFonts w:ascii="Times New Roman" w:hAnsi="Times New Roman"/>
          <w:noProof/>
          <w:vertAlign w:val="subscript"/>
        </w:rPr>
        <w:t>2</w:t>
      </w:r>
      <w:r>
        <w:rPr>
          <w:rFonts w:ascii="Times New Roman" w:hAnsi="Times New Roman"/>
          <w:noProof/>
        </w:rPr>
        <w:t xml:space="preserve"> са в процес на изграждане във Fos-sur-Mer, le Havre и Дюнкерк във Франция.</w:t>
      </w:r>
    </w:p>
    <w:p>
      <w:pPr>
        <w:pStyle w:val="Heading1"/>
        <w:rPr>
          <w:noProof/>
        </w:rPr>
      </w:pPr>
      <w:r>
        <w:rPr>
          <w:noProof/>
        </w:rPr>
        <w:t xml:space="preserve">ЗАКЛЮЧЕНИЯ </w:t>
      </w:r>
    </w:p>
    <w:p>
      <w:pPr>
        <w:spacing w:before="120" w:after="120" w:line="240" w:lineRule="auto"/>
        <w:jc w:val="both"/>
        <w:rPr>
          <w:rFonts w:ascii="Times New Roman" w:eastAsia="Calibri" w:hAnsi="Times New Roman" w:cs="Times New Roman"/>
          <w:noProof/>
          <w:sz w:val="24"/>
        </w:rPr>
      </w:pPr>
      <w:r>
        <w:rPr>
          <w:rFonts w:ascii="Times New Roman" w:hAnsi="Times New Roman"/>
          <w:noProof/>
        </w:rPr>
        <w:t xml:space="preserve">Разпоредбите на Директивата за УСВ са били приложени правилно през отчетния период в държавите — членки на ЕС, които са предали доклади на Комисията до 30 юни 2019 г. </w:t>
      </w:r>
    </w:p>
    <w:p>
      <w:pPr>
        <w:spacing w:before="120" w:after="120" w:line="240" w:lineRule="auto"/>
        <w:jc w:val="both"/>
        <w:rPr>
          <w:rFonts w:ascii="Times New Roman" w:eastAsia="Calibri" w:hAnsi="Times New Roman" w:cs="Times New Roman"/>
          <w:noProof/>
          <w:sz w:val="24"/>
        </w:rPr>
      </w:pPr>
      <w:r>
        <w:rPr>
          <w:rFonts w:ascii="Times New Roman" w:hAnsi="Times New Roman"/>
          <w:noProof/>
        </w:rPr>
        <w:t>Въпреки продължаващата липса на положителни оценки относно техническата и икономическата осъществимост на реконструкцията за УСВ, електроцентралите заделят терени, в случай че условията се променят в бъдеще.</w:t>
      </w:r>
    </w:p>
    <w:p>
      <w:pPr>
        <w:spacing w:before="120" w:after="120" w:line="240" w:lineRule="auto"/>
        <w:jc w:val="both"/>
        <w:rPr>
          <w:rFonts w:ascii="Times New Roman" w:eastAsia="Calibri" w:hAnsi="Times New Roman" w:cs="Times New Roman"/>
          <w:noProof/>
          <w:sz w:val="24"/>
        </w:rPr>
      </w:pPr>
      <w:r>
        <w:rPr>
          <w:rFonts w:ascii="Times New Roman" w:hAnsi="Times New Roman"/>
          <w:noProof/>
        </w:rPr>
        <w:t>Значителен брой държави членки и Норвегия продължават да подкрепят или планират в близко бъдеще да подкрепят чрез националните си програми или фондове изследванията и демонстрационните дейности във връзка с УСВ. Освен това много държави участват в редица европейски научни изследвания и съвместни проекти.</w:t>
      </w:r>
    </w:p>
    <w:p>
      <w:pPr>
        <w:spacing w:before="120" w:after="120" w:line="240" w:lineRule="auto"/>
        <w:jc w:val="both"/>
        <w:rPr>
          <w:rFonts w:ascii="Times New Roman" w:eastAsia="Calibri" w:hAnsi="Times New Roman" w:cs="Times New Roman"/>
          <w:noProof/>
          <w:sz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5222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sz w:val="18"/>
          <w:szCs w:val="18"/>
        </w:rPr>
        <w:footnoteRef/>
      </w:r>
      <w:r>
        <w:rPr>
          <w:sz w:val="18"/>
          <w:szCs w:val="18"/>
        </w:rPr>
        <w:t>Директива 2009/31/ЕО на Европейския парламент и на Съвета относно съхранението на въглероден диоксид в геоложки формации и за изменение на Директива 85/337/ЕИО на Съвета, директиви 2000/60/ЕО, 2001/80/ЕО, 2004/35/ЕО, 2006/12/ЕО и 2008/1/ЕО, и Регламент (ЕО) № 1013/2006 на Европейския парламент и на Съвета, ОВ L 140, 5.6.2009 г., стр. 114—135.</w:t>
      </w:r>
    </w:p>
  </w:footnote>
  <w:footnote w:id="2">
    <w:p>
      <w:pPr>
        <w:pStyle w:val="FootnoteText"/>
        <w:jc w:val="both"/>
        <w:rPr>
          <w:sz w:val="18"/>
          <w:szCs w:val="18"/>
        </w:rPr>
      </w:pPr>
      <w:r>
        <w:rPr>
          <w:rStyle w:val="FootnoteReference"/>
          <w:sz w:val="18"/>
          <w:szCs w:val="18"/>
        </w:rPr>
        <w:footnoteRef/>
      </w:r>
      <w:r>
        <w:rPr>
          <w:sz w:val="18"/>
          <w:szCs w:val="18"/>
        </w:rPr>
        <w:t>Доклад на Комисията до Европейския парламент и Съвета за прилагането на Директива 2009/31/ЕО относно съхранението на въглероден диоксид в геоложки формации, COM(2017)37.</w:t>
      </w:r>
    </w:p>
  </w:footnote>
  <w:footnote w:id="3">
    <w:p>
      <w:pPr>
        <w:pStyle w:val="FootnoteText"/>
        <w:jc w:val="both"/>
        <w:rPr>
          <w:sz w:val="18"/>
          <w:szCs w:val="18"/>
        </w:rPr>
      </w:pPr>
      <w:r>
        <w:rPr>
          <w:rStyle w:val="FootnoteReference"/>
          <w:sz w:val="18"/>
          <w:szCs w:val="18"/>
        </w:rPr>
        <w:footnoteRef/>
      </w:r>
      <w:r>
        <w:t xml:space="preserve"> </w:t>
      </w:r>
      <w:r>
        <w:rPr>
          <w:sz w:val="18"/>
          <w:szCs w:val="18"/>
        </w:rPr>
        <w:t>България, Чешката република, Дания, Германия, Естония, Ирландия, Испания, Франция, Хърватия, Италия, Латвия, Литва, Люксембург, Малта, Нидерландия, Норвегия, Полша, Португалия, Румъния, Словения, Словакия, Швеция</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61C35"/>
    <w:multiLevelType w:val="hybridMultilevel"/>
    <w:tmpl w:val="A256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ED10FEB-A8CA-4F26-87EA-3F669F56C4D1"/>
    <w:docVar w:name="LW_COVERPAGE_TYPE" w:val="1"/>
    <w:docVar w:name="LW_CROSSREFERENCE" w:val="&lt;UNUSED&gt;"/>
    <w:docVar w:name="LW_DocType" w:val="NORMAL"/>
    <w:docVar w:name="LW_EMISSION" w:val="31.10.2019"/>
    <w:docVar w:name="LW_EMISSION_ISODATE" w:val="2019-10-3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79?\u1072? \u1080?\u1079?\u1087?\u1098?\u1083?\u1085?\u1077?\u1085?\u1080?\u1077?\u1090?\u1086? \u1085?\u1072? \u1044?\u1080?\u1088?\u1077?\u1082?\u1090?\u1080?\u1074?\u1072? 2009/31/\u1045?\u1054? \u1086?\u1090?\u1085?\u1086?\u1089?\u1085?\u1086? \u1089?\u1098?\u1093?\u1088?\u1072?\u1085?\u1077?\u1085?\u1080?\u1077?\u1090?\u1086? \u1085?\u1072? \u1074?\u1098?\u1075?\u1083?\u1077?\u1088?\u1086?\u1076?\u1077?\u1085? \u1076?\u1080?\u1086?\u1082?\u1089?\u1080?\u1076? \u1074? \u1075?\u1077?\u1086?\u1083?\u1086?\u1078?\u1082?\u1080? \u1092?\u1086?\u1088?\u1084?\u1072?\u1094?\u108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unhideWhenUsed/>
    <w:rPr>
      <w:color w:val="0000FF"/>
      <w:u w:val="single"/>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99"/>
    <w:qFormat/>
    <w:pPr>
      <w:spacing w:after="240" w:line="240" w:lineRule="auto"/>
      <w:ind w:left="720"/>
      <w:contextualSpacing/>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unhideWhenUsed/>
    <w:rPr>
      <w:color w:val="0000FF"/>
      <w:u w:val="single"/>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99"/>
    <w:qFormat/>
    <w:pPr>
      <w:spacing w:after="240" w:line="240" w:lineRule="auto"/>
      <w:ind w:left="720"/>
      <w:contextualSpacing/>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549257">
      <w:bodyDiv w:val="1"/>
      <w:marLeft w:val="0"/>
      <w:marRight w:val="0"/>
      <w:marTop w:val="0"/>
      <w:marBottom w:val="0"/>
      <w:divBdr>
        <w:top w:val="none" w:sz="0" w:space="0" w:color="auto"/>
        <w:left w:val="none" w:sz="0" w:space="0" w:color="auto"/>
        <w:bottom w:val="none" w:sz="0" w:space="0" w:color="auto"/>
        <w:right w:val="none" w:sz="0" w:space="0" w:color="auto"/>
      </w:divBdr>
    </w:div>
    <w:div w:id="202054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bcforum.n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35A5-0A8E-4433-912E-3D5B07CC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1041</Words>
  <Characters>6064</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2019-10-07T09:14:00Z</cp:lastPrinted>
  <dcterms:created xsi:type="dcterms:W3CDTF">2019-10-11T08:45:00Z</dcterms:created>
  <dcterms:modified xsi:type="dcterms:W3CDTF">2019-10-29T16:02:00Z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