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F0" w:rsidRDefault="00B70A9E" w:rsidP="00B70A9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345584D-2A86-4DDC-9C12-AD7EEC2B6960" style="width:450.75pt;height:366pt">
            <v:imagedata r:id="rId8" o:title=""/>
          </v:shape>
        </w:pict>
      </w:r>
    </w:p>
    <w:p w:rsidR="000734F0" w:rsidRDefault="000734F0">
      <w:pPr>
        <w:rPr>
          <w:noProof/>
        </w:rPr>
        <w:sectPr w:rsidR="000734F0" w:rsidSect="00B70A9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734F0" w:rsidRDefault="00B70A9E">
      <w:pPr>
        <w:pStyle w:val="Exposdesmotifstitre"/>
        <w:rPr>
          <w:noProof/>
        </w:rPr>
      </w:pPr>
      <w:bookmarkStart w:id="0" w:name="_GoBack"/>
      <w:bookmarkEnd w:id="0"/>
      <w:r>
        <w:rPr>
          <w:noProof/>
        </w:rPr>
        <w:lastRenderedPageBreak/>
        <w:t>EXPLANATORY MEMORANDUM</w:t>
      </w:r>
    </w:p>
    <w:p w:rsidR="000734F0" w:rsidRDefault="00B70A9E">
      <w:pPr>
        <w:pStyle w:val="ManualHeading1"/>
        <w:rPr>
          <w:noProof/>
        </w:rPr>
      </w:pPr>
      <w:r>
        <w:rPr>
          <w:noProof/>
        </w:rPr>
        <w:t>1.</w:t>
      </w:r>
      <w:r>
        <w:rPr>
          <w:noProof/>
        </w:rPr>
        <w:tab/>
        <w:t>CONTEXT OF THE RECOMMENDATION</w:t>
      </w:r>
    </w:p>
    <w:p w:rsidR="000734F0" w:rsidRDefault="00B70A9E">
      <w:pPr>
        <w:autoSpaceDE w:val="0"/>
        <w:autoSpaceDN w:val="0"/>
        <w:adjustRightInd w:val="0"/>
        <w:rPr>
          <w:noProof/>
        </w:rPr>
      </w:pPr>
      <w:r>
        <w:rPr>
          <w:noProof/>
        </w:rPr>
        <w:t>In the globalised world where serious crime and terrorism are increasingly transnational and polyvalent, law enforcement authorities should be fully equipped to cooperate with external partners to ensure the security of their citizens. Europol should there</w:t>
      </w:r>
      <w:r>
        <w:rPr>
          <w:noProof/>
        </w:rPr>
        <w:t xml:space="preserve">fore be able to exchange personal data with law enforcement authorities of third countries to the extent necessary for the accomplishment of its tasks within the framework of the requirements set out in the Regulation 2016/794 </w:t>
      </w:r>
      <w:r>
        <w:rPr>
          <w:iCs/>
          <w:noProof/>
        </w:rPr>
        <w:t xml:space="preserve">of </w:t>
      </w:r>
      <w:r>
        <w:rPr>
          <w:noProof/>
        </w:rPr>
        <w:t>11 May 2016</w:t>
      </w:r>
      <w:r>
        <w:rPr>
          <w:rStyle w:val="FootnoteReference"/>
          <w:iCs/>
          <w:noProof/>
        </w:rPr>
        <w:footnoteReference w:id="1"/>
      </w:r>
      <w:r>
        <w:rPr>
          <w:noProof/>
        </w:rPr>
        <w:t xml:space="preserve">. </w:t>
      </w:r>
    </w:p>
    <w:p w:rsidR="000734F0" w:rsidRDefault="00B70A9E">
      <w:pPr>
        <w:rPr>
          <w:iCs/>
          <w:noProof/>
        </w:rPr>
      </w:pPr>
      <w:r>
        <w:rPr>
          <w:iCs/>
          <w:noProof/>
        </w:rPr>
        <w:t>Since the e</w:t>
      </w:r>
      <w:r>
        <w:rPr>
          <w:iCs/>
          <w:noProof/>
        </w:rPr>
        <w:t xml:space="preserve">ntry into application of the Regulation, Europol can exchange data with third countries or international organizations on the basis of an international agreement adducing adequate safeguards with respect to the protection of privacy and fundamental rights </w:t>
      </w:r>
      <w:r>
        <w:rPr>
          <w:iCs/>
          <w:noProof/>
        </w:rPr>
        <w:t xml:space="preserve">and freedoms of individuals. The Commission is responsible, on behalf of the Union, for negotiating such international agreements. </w:t>
      </w:r>
      <w:r>
        <w:rPr>
          <w:noProof/>
        </w:rPr>
        <w:t>In so far as necessary for the performance of its tasks, Europol may also establish and maintain cooperative relations with e</w:t>
      </w:r>
      <w:r>
        <w:rPr>
          <w:noProof/>
        </w:rPr>
        <w:t>xternal partners through working and administrative arrangements that cannot by themselves be a legal basis for the exchange of personal data.</w:t>
      </w:r>
    </w:p>
    <w:p w:rsidR="000734F0" w:rsidRDefault="00B70A9E">
      <w:pPr>
        <w:rPr>
          <w:iCs/>
          <w:noProof/>
        </w:rPr>
      </w:pPr>
      <w:r>
        <w:rPr>
          <w:rFonts w:eastAsia="Times New Roman"/>
          <w:iCs/>
          <w:noProof/>
          <w:szCs w:val="24"/>
          <w:lang w:eastAsia="en-GB"/>
        </w:rPr>
        <w:t>In</w:t>
      </w:r>
      <w:r>
        <w:rPr>
          <w:rFonts w:eastAsia="Calibri"/>
          <w:iCs/>
          <w:noProof/>
        </w:rPr>
        <w:t xml:space="preserve"> the 11</w:t>
      </w:r>
      <w:r>
        <w:rPr>
          <w:rFonts w:eastAsia="Calibri"/>
          <w:iCs/>
          <w:noProof/>
          <w:vertAlign w:val="superscript"/>
        </w:rPr>
        <w:t>th</w:t>
      </w:r>
      <w:r>
        <w:rPr>
          <w:rFonts w:eastAsia="Calibri"/>
          <w:iCs/>
          <w:noProof/>
        </w:rPr>
        <w:t xml:space="preserve"> progress report towards a genuine and effective Security Union</w:t>
      </w:r>
      <w:r>
        <w:rPr>
          <w:rStyle w:val="FootnoteReference"/>
          <w:noProof/>
        </w:rPr>
        <w:footnoteReference w:id="2"/>
      </w:r>
      <w:r>
        <w:rPr>
          <w:rFonts w:eastAsia="Times New Roman"/>
          <w:iCs/>
          <w:noProof/>
          <w:szCs w:val="24"/>
          <w:lang w:eastAsia="en-GB"/>
        </w:rPr>
        <w:t xml:space="preserve"> the Commission identified eight prior</w:t>
      </w:r>
      <w:r>
        <w:rPr>
          <w:rFonts w:eastAsia="Times New Roman"/>
          <w:iCs/>
          <w:noProof/>
          <w:szCs w:val="24"/>
          <w:lang w:eastAsia="en-GB"/>
        </w:rPr>
        <w:t>ity countries</w:t>
      </w:r>
      <w:r>
        <w:rPr>
          <w:rStyle w:val="FootnoteReference"/>
          <w:rFonts w:eastAsia="Times New Roman"/>
          <w:iCs/>
          <w:noProof/>
          <w:szCs w:val="24"/>
          <w:lang w:eastAsia="en-GB"/>
        </w:rPr>
        <w:footnoteReference w:id="3"/>
      </w:r>
      <w:r>
        <w:rPr>
          <w:rFonts w:eastAsia="Times New Roman"/>
          <w:iCs/>
          <w:noProof/>
          <w:szCs w:val="24"/>
          <w:lang w:eastAsia="en-GB"/>
        </w:rPr>
        <w:t xml:space="preserve"> in </w:t>
      </w:r>
      <w:r>
        <w:rPr>
          <w:rFonts w:eastAsia="Times New Roman"/>
          <w:noProof/>
          <w:szCs w:val="24"/>
          <w:lang w:eastAsia="en-GB"/>
        </w:rPr>
        <w:t xml:space="preserve">the Middle East/North Africa (MENA) Region on the basis of the terrorist threat, migration-related challenges and </w:t>
      </w:r>
      <w:r>
        <w:rPr>
          <w:rFonts w:eastAsia="Times New Roman"/>
          <w:iCs/>
          <w:noProof/>
          <w:szCs w:val="24"/>
          <w:lang w:eastAsia="en-GB"/>
        </w:rPr>
        <w:t xml:space="preserve">Europol's operational needs to start negotiations. </w:t>
      </w:r>
      <w:r>
        <w:rPr>
          <w:iCs/>
          <w:noProof/>
        </w:rPr>
        <w:t>Taking into account the political strategy as outlined in the European Ag</w:t>
      </w:r>
      <w:r>
        <w:rPr>
          <w:iCs/>
          <w:noProof/>
        </w:rPr>
        <w:t>enda on Security</w:t>
      </w:r>
      <w:r>
        <w:rPr>
          <w:rStyle w:val="FootnoteReference"/>
          <w:iCs/>
          <w:noProof/>
        </w:rPr>
        <w:footnoteReference w:id="4"/>
      </w:r>
      <w:r>
        <w:rPr>
          <w:iCs/>
          <w:noProof/>
        </w:rPr>
        <w:t>, Council Conclusions</w:t>
      </w:r>
      <w:r>
        <w:rPr>
          <w:rStyle w:val="FootnoteReference"/>
          <w:iCs/>
          <w:noProof/>
        </w:rPr>
        <w:footnoteReference w:id="5"/>
      </w:r>
      <w:r>
        <w:rPr>
          <w:iCs/>
          <w:noProof/>
        </w:rPr>
        <w:t>, and the Global Strategy</w:t>
      </w:r>
      <w:r>
        <w:rPr>
          <w:rStyle w:val="FootnoteReference"/>
          <w:iCs/>
          <w:noProof/>
        </w:rPr>
        <w:footnoteReference w:id="6"/>
      </w:r>
      <w:r>
        <w:rPr>
          <w:iCs/>
          <w:noProof/>
        </w:rPr>
        <w:t>, the operational needs of law enforcement authorities across the EU, and the potential benefits of closer cooperation in this area as also demonstrated by the follow up to the Christchurch a</w:t>
      </w:r>
      <w:r>
        <w:rPr>
          <w:iCs/>
          <w:noProof/>
        </w:rPr>
        <w:t xml:space="preserve">ttack of March 2019, the Commission considers it necessary to add New Zealand as a priority country to start negotiations with in the short-term. New Zealand formally requested the initiative on 23 August 2019. </w:t>
      </w:r>
    </w:p>
    <w:p w:rsidR="000734F0" w:rsidRDefault="00B70A9E">
      <w:pPr>
        <w:rPr>
          <w:iCs/>
          <w:noProof/>
        </w:rPr>
      </w:pPr>
      <w:r>
        <w:rPr>
          <w:iCs/>
          <w:noProof/>
        </w:rPr>
        <w:t>Europol and New Zealand Police have signed a</w:t>
      </w:r>
      <w:r>
        <w:rPr>
          <w:iCs/>
          <w:noProof/>
        </w:rPr>
        <w:t xml:space="preserve"> working arrangement in April 2019. This provides a framework for structured strategic-level cooperation, including a secure line allowing direct secure communication, and New Zealand has deployed a liaison officer at Europol. However, it does not provide </w:t>
      </w:r>
      <w:r>
        <w:rPr>
          <w:iCs/>
          <w:noProof/>
        </w:rPr>
        <w:t>a legal basis for the exchange of personal data. At the moment, there is no legal basis for the regular and structured exchange of personal data between New Zealand law enforcement authorities and Europol, which is essential for effective operational coope</w:t>
      </w:r>
      <w:r>
        <w:rPr>
          <w:iCs/>
          <w:noProof/>
        </w:rPr>
        <w:t xml:space="preserve">ration. </w:t>
      </w:r>
    </w:p>
    <w:p w:rsidR="000734F0" w:rsidRDefault="00B70A9E">
      <w:pPr>
        <w:rPr>
          <w:iCs/>
          <w:noProof/>
        </w:rPr>
      </w:pPr>
      <w:r>
        <w:rPr>
          <w:noProof/>
          <w:szCs w:val="24"/>
        </w:rPr>
        <w:t>The legal standards for the protection of personal data in New Zealand are primarily contained in the Privacy Act of 17 May 1993 as amended by the Privacy Amendment Act of 7 September 2010</w:t>
      </w:r>
      <w:r>
        <w:rPr>
          <w:rStyle w:val="FootnoteReference"/>
          <w:noProof/>
          <w:szCs w:val="24"/>
        </w:rPr>
        <w:footnoteReference w:id="7"/>
      </w:r>
      <w:r>
        <w:rPr>
          <w:noProof/>
          <w:color w:val="000000"/>
          <w:shd w:val="clear" w:color="auto" w:fill="FFFFFF"/>
        </w:rPr>
        <w:t xml:space="preserve">. </w:t>
      </w:r>
      <w:r>
        <w:rPr>
          <w:noProof/>
          <w:szCs w:val="24"/>
        </w:rPr>
        <w:t>To this end, the Act sets out twelve Information Privacy</w:t>
      </w:r>
      <w:r>
        <w:rPr>
          <w:noProof/>
          <w:szCs w:val="24"/>
        </w:rPr>
        <w:t xml:space="preserve"> Principles that regulate the processing of personal data. The Privacy Act applies to private and public bodies, including law enforcement authorities. The Privacy Act also establishes the office of the Privacy Commissioner, the independent data protection</w:t>
      </w:r>
      <w:r>
        <w:rPr>
          <w:noProof/>
          <w:szCs w:val="24"/>
        </w:rPr>
        <w:t xml:space="preserve"> authority in New Zealand.</w:t>
      </w:r>
    </w:p>
    <w:p w:rsidR="000734F0" w:rsidRDefault="00B70A9E">
      <w:pPr>
        <w:spacing w:before="360"/>
        <w:rPr>
          <w:i/>
          <w:noProof/>
        </w:rPr>
      </w:pPr>
      <w:r>
        <w:rPr>
          <w:i/>
          <w:noProof/>
        </w:rPr>
        <w:lastRenderedPageBreak/>
        <w:t>Political context</w:t>
      </w:r>
    </w:p>
    <w:p w:rsidR="000734F0" w:rsidRDefault="00B70A9E">
      <w:pPr>
        <w:rPr>
          <w:iCs/>
          <w:noProof/>
        </w:rPr>
      </w:pPr>
      <w:r>
        <w:rPr>
          <w:iCs/>
          <w:noProof/>
        </w:rPr>
        <w:t>On 15 May 2019, in the aftermath of the Christchurch attack, French President Emmanuel Macron and New Zealand Prime Minister Jacinda Ardern, co-hosted the “Christchurch Call” event in Paris, to which President J</w:t>
      </w:r>
      <w:r>
        <w:rPr>
          <w:iCs/>
          <w:noProof/>
        </w:rPr>
        <w:t>uncker participated, highlighting the importance of tackling the issue of terrorist content online, while guaranteeing the protection of fundamental rights. The participating Governments and tech companies, as well as the European Commission expressed thei</w:t>
      </w:r>
      <w:r>
        <w:rPr>
          <w:iCs/>
          <w:noProof/>
        </w:rPr>
        <w:t>r support to the commitments made in the “Christchurch Call to Action” to eliminate terrorist and violent extremist content online (</w:t>
      </w:r>
      <w:hyperlink r:id="rId15" w:history="1">
        <w:r>
          <w:rPr>
            <w:iCs/>
            <w:noProof/>
          </w:rPr>
          <w:t>https://www.christchurchcall.com/</w:t>
        </w:r>
      </w:hyperlink>
      <w:r>
        <w:rPr>
          <w:iCs/>
          <w:noProof/>
        </w:rPr>
        <w:t xml:space="preserve">). </w:t>
      </w:r>
    </w:p>
    <w:p w:rsidR="000734F0" w:rsidRDefault="00B70A9E">
      <w:pPr>
        <w:rPr>
          <w:iCs/>
          <w:noProof/>
        </w:rPr>
      </w:pPr>
      <w:r>
        <w:rPr>
          <w:iCs/>
          <w:noProof/>
        </w:rPr>
        <w:t>The EU and New Zealand are like-minde</w:t>
      </w:r>
      <w:r>
        <w:rPr>
          <w:iCs/>
          <w:noProof/>
        </w:rPr>
        <w:t>d partners sharing similar views and approaches on many global issues. The EU-New Zealand Partnership Agreement for Relations and Cooperation Agreement, signed on 5 October 2016 paves the way for a stronger and more solid relationship as it contains a numb</w:t>
      </w:r>
      <w:r>
        <w:rPr>
          <w:iCs/>
          <w:noProof/>
        </w:rPr>
        <w:t xml:space="preserve">er of articles where Parties commit to cooperate in areas such as counterterrorism, law enforcement cooperation, prevention and combatting of organised crime and corruption, drugs, cybercrime, money laundering, terrorist financing, migration and asylum. </w:t>
      </w:r>
    </w:p>
    <w:p w:rsidR="000734F0" w:rsidRDefault="00B70A9E">
      <w:pPr>
        <w:rPr>
          <w:iCs/>
          <w:noProof/>
        </w:rPr>
      </w:pPr>
      <w:r>
        <w:rPr>
          <w:iCs/>
          <w:noProof/>
        </w:rPr>
        <w:t>T</w:t>
      </w:r>
      <w:r>
        <w:rPr>
          <w:iCs/>
          <w:noProof/>
        </w:rPr>
        <w:t>he EU and New Zealand are also partners of the Global Counter Terrorism Forum (GCTF) which is an international forum of 29 countries and the European Union with an overarching mission of reducing the vulnerabiltiy of people worldwide to terrorism by preven</w:t>
      </w:r>
      <w:r>
        <w:rPr>
          <w:iCs/>
          <w:noProof/>
        </w:rPr>
        <w:t>ting, combatting, and prosecuting terrorist acts and countering incitement and recruitment to terrorism. The EU and New Zealand cooperate closely on foreign and security issues and engage in a regular political and security dialogue. This dialogue includes</w:t>
      </w:r>
      <w:r>
        <w:rPr>
          <w:iCs/>
          <w:noProof/>
        </w:rPr>
        <w:t xml:space="preserve"> frequent consultations at ministerial and senior officials’ levels. New Zealand, based on the Framework Partnership Agreement from 2012 was able to take part in some EU crisis management operations, as an example it contributed to the EUNAVFOR Atalanta (p</w:t>
      </w:r>
      <w:r>
        <w:rPr>
          <w:iCs/>
          <w:noProof/>
        </w:rPr>
        <w:t>iracy in the Horn of Africa).</w:t>
      </w:r>
    </w:p>
    <w:p w:rsidR="000734F0" w:rsidRDefault="00B70A9E">
      <w:pPr>
        <w:spacing w:before="360"/>
        <w:rPr>
          <w:i/>
          <w:noProof/>
        </w:rPr>
      </w:pPr>
      <w:r>
        <w:rPr>
          <w:i/>
          <w:noProof/>
        </w:rPr>
        <w:t>Operational needs</w:t>
      </w:r>
    </w:p>
    <w:p w:rsidR="000734F0" w:rsidRDefault="00B70A9E">
      <w:pPr>
        <w:rPr>
          <w:iCs/>
          <w:noProof/>
        </w:rPr>
      </w:pPr>
      <w:r>
        <w:rPr>
          <w:iCs/>
          <w:noProof/>
        </w:rPr>
        <w:t xml:space="preserve">In all the crime areas which fall under Europol’s competence, there is potential for further cooperation to be explored with New Zealand. This is a non-exhaustive list of Europol’s most prominent operational </w:t>
      </w:r>
      <w:r>
        <w:rPr>
          <w:iCs/>
          <w:noProof/>
        </w:rPr>
        <w:t>needs with New Zealand:</w:t>
      </w:r>
    </w:p>
    <w:p w:rsidR="000734F0" w:rsidRDefault="00B70A9E">
      <w:pPr>
        <w:pStyle w:val="Bullet0"/>
        <w:numPr>
          <w:ilvl w:val="0"/>
          <w:numId w:val="23"/>
        </w:numPr>
        <w:rPr>
          <w:iCs/>
          <w:noProof/>
        </w:rPr>
      </w:pPr>
      <w:r>
        <w:rPr>
          <w:iCs/>
          <w:noProof/>
          <w:u w:val="single"/>
        </w:rPr>
        <w:t>Terrorism:</w:t>
      </w:r>
      <w:r>
        <w:rPr>
          <w:iCs/>
          <w:noProof/>
        </w:rPr>
        <w:t xml:space="preserve"> </w:t>
      </w:r>
      <w:r>
        <w:rPr>
          <w:noProof/>
        </w:rPr>
        <w:t>Terrorism</w:t>
      </w:r>
      <w:r>
        <w:rPr>
          <w:b/>
          <w:noProof/>
        </w:rPr>
        <w:t xml:space="preserve"> </w:t>
      </w:r>
      <w:r>
        <w:rPr>
          <w:noProof/>
        </w:rPr>
        <w:t>poses a serious threat to both New Zealand and the European Union, which have been the target of terrorist attacks. In addition to improving the threat picture and the identification of new trends, closer cooper</w:t>
      </w:r>
      <w:r>
        <w:rPr>
          <w:noProof/>
        </w:rPr>
        <w:t>ation including the exchange of personal data is needed to detect, prevent and prosecute terrorist offences including terrorist travel, terrorism financing as well as terrorists’ misuse of the Internet.</w:t>
      </w:r>
      <w:r>
        <w:rPr>
          <w:noProof/>
        </w:rPr>
        <w:tab/>
      </w:r>
      <w:r>
        <w:rPr>
          <w:noProof/>
        </w:rPr>
        <w:br/>
      </w:r>
      <w:r>
        <w:rPr>
          <w:noProof/>
        </w:rPr>
        <w:br/>
      </w:r>
      <w:r>
        <w:rPr>
          <w:iCs/>
          <w:noProof/>
        </w:rPr>
        <w:t xml:space="preserve">Europol’s European Counter Terrorism Centre (ECTC) </w:t>
      </w:r>
      <w:r>
        <w:rPr>
          <w:iCs/>
          <w:noProof/>
        </w:rPr>
        <w:t>has a strong operational interest to be able to exchange operational/personal data with New Zealand and vice versa, as evidenced by the aftermath to the Christchurch attack. In the wake of Christchurch, Europol’s EU Internet Referral Unit (EU IRU) worked o</w:t>
      </w:r>
      <w:r>
        <w:rPr>
          <w:iCs/>
          <w:noProof/>
        </w:rPr>
        <w:t>n content detection and its dissemination patterns across the Internet. The speed and volume of internet abuse in the aftermath of the attack and the vast number of Operations Service Providers (OSPs) involved was unprecedented and showed the limitations o</w:t>
      </w:r>
      <w:r>
        <w:rPr>
          <w:iCs/>
          <w:noProof/>
        </w:rPr>
        <w:t xml:space="preserve">f the existing processes to address similar threats. An operational agreement with New Zealand would not only enhance Europol’s position in leading the operational response to the Christchurch Call to eliminate terrorist or violent extremist content </w:t>
      </w:r>
      <w:r>
        <w:rPr>
          <w:iCs/>
          <w:noProof/>
        </w:rPr>
        <w:lastRenderedPageBreak/>
        <w:t>online</w:t>
      </w:r>
      <w:r>
        <w:rPr>
          <w:iCs/>
          <w:noProof/>
        </w:rPr>
        <w:t xml:space="preserve"> but also provide Europol with the legal framework to develop an advanced level of cooperation in terrorism related matters with New Zealand.  </w:t>
      </w:r>
    </w:p>
    <w:p w:rsidR="000734F0" w:rsidRDefault="00B70A9E">
      <w:pPr>
        <w:pStyle w:val="Bullet0"/>
        <w:rPr>
          <w:iCs/>
          <w:noProof/>
        </w:rPr>
      </w:pPr>
      <w:r>
        <w:rPr>
          <w:noProof/>
          <w:u w:val="single"/>
        </w:rPr>
        <w:t>Cybercrime:</w:t>
      </w:r>
      <w:r>
        <w:rPr>
          <w:noProof/>
        </w:rPr>
        <w:t xml:space="preserve"> For EU law enforcement agencies New Zealand is a key partner in investigations into child sexual exploitation cases.</w:t>
      </w:r>
      <w:r>
        <w:rPr>
          <w:noProof/>
        </w:rPr>
        <w:tab/>
      </w:r>
      <w:r>
        <w:rPr>
          <w:noProof/>
        </w:rPr>
        <w:br/>
      </w:r>
      <w:r>
        <w:rPr>
          <w:noProof/>
        </w:rPr>
        <w:br/>
      </w:r>
      <w:r>
        <w:rPr>
          <w:iCs/>
          <w:noProof/>
        </w:rPr>
        <w:t>The New Zealand Police participate in, and are an active partner to, the Virtual Global Taskforce, a key partnership network for Europol</w:t>
      </w:r>
      <w:r>
        <w:rPr>
          <w:iCs/>
          <w:noProof/>
        </w:rPr>
        <w:t xml:space="preserve">’s European Cyber Crime Centre in combating online child sexual abuse. New Zealand’s advanced expertise in the area of investigating online child sexual exploitation and their willingness to share their knowledge with the participants in these meetings is </w:t>
      </w:r>
      <w:r>
        <w:rPr>
          <w:iCs/>
          <w:noProof/>
        </w:rPr>
        <w:t>highly appreciated by the competent authorities of the EU Member States who are vested with the responsibility to investigate such complex crimes and face numerous legal and technical challenges. From an operational point of view, New Zealand can bring sig</w:t>
      </w:r>
      <w:r>
        <w:rPr>
          <w:iCs/>
          <w:noProof/>
        </w:rPr>
        <w:t xml:space="preserve">nificant added value to Europol in the area of cybercrime, in particular online child sexual exploitation. The New Zealand Police and the New Zealand Department of Internal Affairs’ Digital Child Exploitation Team are engaged and experienced in this field </w:t>
      </w:r>
      <w:r>
        <w:rPr>
          <w:iCs/>
          <w:noProof/>
        </w:rPr>
        <w:t>and have played a major role in high priority operations.</w:t>
      </w:r>
      <w:r>
        <w:rPr>
          <w:iCs/>
          <w:noProof/>
        </w:rPr>
        <w:tab/>
      </w:r>
      <w:r>
        <w:rPr>
          <w:iCs/>
          <w:noProof/>
        </w:rPr>
        <w:br/>
      </w:r>
      <w:r>
        <w:rPr>
          <w:iCs/>
          <w:noProof/>
        </w:rPr>
        <w:br/>
        <w:t>New Zealand remains the only country in the Five Eyes</w:t>
      </w:r>
      <w:r>
        <w:rPr>
          <w:rStyle w:val="FootnoteReference"/>
          <w:iCs/>
          <w:noProof/>
        </w:rPr>
        <w:footnoteReference w:id="8"/>
      </w:r>
      <w:r>
        <w:rPr>
          <w:iCs/>
          <w:noProof/>
        </w:rPr>
        <w:t xml:space="preserve"> network with which Europol does not have a legal basis for the exchange of personal data. That limits the capacity of both sides to share val</w:t>
      </w:r>
      <w:r>
        <w:rPr>
          <w:iCs/>
          <w:noProof/>
        </w:rPr>
        <w:t>uable operational information and to engage systematically with each other. It also creates a situation where bilateral contacts must be made with Member States directly or through third-party agencies, including INTERPOL. The nature of such contacts is de</w:t>
      </w:r>
      <w:r>
        <w:rPr>
          <w:iCs/>
          <w:noProof/>
        </w:rPr>
        <w:t>trimental to the effectiveness of Member States in dealing with this crime type and deprives them of the opportunity to contribute to and gain from the added value that Europol has to offer, especially in the area of</w:t>
      </w:r>
      <w:r>
        <w:rPr>
          <w:noProof/>
        </w:rPr>
        <w:t xml:space="preserve"> terrorist content online and online chi</w:t>
      </w:r>
      <w:r>
        <w:rPr>
          <w:noProof/>
        </w:rPr>
        <w:t>ld sexual exploitation</w:t>
      </w:r>
      <w:r>
        <w:rPr>
          <w:iCs/>
          <w:noProof/>
        </w:rPr>
        <w:t>.</w:t>
      </w:r>
    </w:p>
    <w:p w:rsidR="000734F0" w:rsidRDefault="00B70A9E">
      <w:pPr>
        <w:pStyle w:val="Bullet0"/>
        <w:rPr>
          <w:noProof/>
        </w:rPr>
      </w:pPr>
      <w:r>
        <w:rPr>
          <w:noProof/>
          <w:u w:val="single"/>
        </w:rPr>
        <w:t>Outlaw Motorcycle Criminal Gangs:</w:t>
      </w:r>
      <w:r>
        <w:rPr>
          <w:noProof/>
        </w:rPr>
        <w:t xml:space="preserve"> The New Zealand Police and Europol have a strong interest in cooperating on Outlaw Motorcycle Criminal Gangs (OMCGs). OMCGs are a growing area of concern in New Zealand and the New Zealand Police ha</w:t>
      </w:r>
      <w:r>
        <w:rPr>
          <w:noProof/>
        </w:rPr>
        <w:t>s recently set up a Gangs Intelligence Unit with OMCGs as one of the main targets of this unit. Europol’s Analysis Project Monitor has in particular interest in travel movements to Europe and criminal records of New Zealand OMCG members as well as their al</w:t>
      </w:r>
      <w:r>
        <w:rPr>
          <w:noProof/>
        </w:rPr>
        <w:t>leged contacts with parts of South East Asia Organised Crime.</w:t>
      </w:r>
    </w:p>
    <w:p w:rsidR="000734F0" w:rsidRDefault="000734F0">
      <w:pPr>
        <w:rPr>
          <w:noProof/>
        </w:rPr>
      </w:pPr>
    </w:p>
    <w:p w:rsidR="000734F0" w:rsidRDefault="00B70A9E">
      <w:pPr>
        <w:pStyle w:val="Bullet0"/>
        <w:rPr>
          <w:noProof/>
        </w:rPr>
      </w:pPr>
      <w:r>
        <w:rPr>
          <w:noProof/>
          <w:u w:val="single"/>
        </w:rPr>
        <w:t>Drugs:</w:t>
      </w:r>
      <w:r>
        <w:rPr>
          <w:noProof/>
        </w:rPr>
        <w:t xml:space="preserve"> In the past, Europol has worked on a large-scale amphetamine trafficking case from the EU to New Zealand. There is potential for further cooperation in this area.</w:t>
      </w:r>
    </w:p>
    <w:p w:rsidR="000734F0" w:rsidRDefault="00B70A9E">
      <w:pPr>
        <w:pStyle w:val="ManualHeading1"/>
        <w:rPr>
          <w:noProof/>
        </w:rPr>
      </w:pPr>
      <w:r>
        <w:rPr>
          <w:noProof/>
        </w:rPr>
        <w:t>2.</w:t>
      </w:r>
      <w:r>
        <w:rPr>
          <w:noProof/>
        </w:rPr>
        <w:tab/>
        <w:t>LEGAL ELEMENTS OF TH</w:t>
      </w:r>
      <w:r>
        <w:rPr>
          <w:noProof/>
        </w:rPr>
        <w:t>E RECOMMENDATION</w:t>
      </w:r>
    </w:p>
    <w:p w:rsidR="000734F0" w:rsidRDefault="00B70A9E">
      <w:pPr>
        <w:rPr>
          <w:noProof/>
        </w:rPr>
      </w:pPr>
      <w:r>
        <w:rPr>
          <w:noProof/>
        </w:rPr>
        <w:t>Regulation (EU) 2016/794 on the European Union Agency for Law Enforcement Cooperation (Europol) sets out a legal framework for Europol, in particular its objectives, tasks, scope of competence, data protection safeguards and ways to cooper</w:t>
      </w:r>
      <w:r>
        <w:rPr>
          <w:noProof/>
        </w:rPr>
        <w:t>ate with external partners. This Recommendation is consistent with the provisions of the Europol Regulation</w:t>
      </w:r>
      <w:r>
        <w:rPr>
          <w:rStyle w:val="FootnoteReference"/>
          <w:noProof/>
        </w:rPr>
        <w:footnoteReference w:id="9"/>
      </w:r>
      <w:r>
        <w:rPr>
          <w:noProof/>
        </w:rPr>
        <w:t>.</w:t>
      </w:r>
    </w:p>
    <w:p w:rsidR="000734F0" w:rsidRDefault="00B70A9E">
      <w:pPr>
        <w:rPr>
          <w:noProof/>
        </w:rPr>
      </w:pPr>
      <w:r>
        <w:rPr>
          <w:noProof/>
        </w:rPr>
        <w:lastRenderedPageBreak/>
        <w:t>The objective of this recommendation is to obtain from the Council the authorisation for the Commission to negotiate the future agreement on behal</w:t>
      </w:r>
      <w:r>
        <w:rPr>
          <w:noProof/>
        </w:rPr>
        <w:t>f of the EU. The legal basis for the Council to authorise the opening of negotiations is Article 218(3) and (4) TFEU.</w:t>
      </w:r>
    </w:p>
    <w:p w:rsidR="000734F0" w:rsidRDefault="00B70A9E">
      <w:pPr>
        <w:rPr>
          <w:noProof/>
        </w:rPr>
      </w:pPr>
      <w:r>
        <w:rPr>
          <w:noProof/>
        </w:rPr>
        <w:t>In line with Article 218 of Treaty on the Functioning of the European Union, the Commission shall be nominated as the Union negotiator for</w:t>
      </w:r>
      <w:r>
        <w:rPr>
          <w:noProof/>
        </w:rPr>
        <w:t xml:space="preserve"> the agreement between the European Union and New Zealand on the exchange of personal data between the European Union Agency for Law Enforcement Cooperation (Europol) and the New Zealand authorities competent for fighting serious crime and terrorism.</w:t>
      </w:r>
    </w:p>
    <w:p w:rsidR="000734F0" w:rsidRDefault="000734F0">
      <w:pPr>
        <w:rPr>
          <w:noProof/>
        </w:rPr>
        <w:sectPr w:rsidR="000734F0" w:rsidSect="00B70A9E">
          <w:footerReference w:type="default" r:id="rId16"/>
          <w:footerReference w:type="first" r:id="rId17"/>
          <w:pgSz w:w="11907" w:h="16839"/>
          <w:pgMar w:top="1134" w:right="1417" w:bottom="1134" w:left="1417" w:header="709" w:footer="709" w:gutter="0"/>
          <w:pgNumType w:start="1"/>
          <w:cols w:space="720"/>
          <w:docGrid w:linePitch="360"/>
        </w:sectPr>
      </w:pPr>
    </w:p>
    <w:p w:rsidR="000734F0" w:rsidRDefault="00B70A9E">
      <w:pPr>
        <w:pStyle w:val="Statut"/>
        <w:rPr>
          <w:noProof/>
        </w:rPr>
      </w:pPr>
      <w:r>
        <w:rPr>
          <w:noProof/>
        </w:rPr>
        <w:lastRenderedPageBreak/>
        <w:t>Recommendation for a</w:t>
      </w:r>
    </w:p>
    <w:p w:rsidR="000734F0" w:rsidRDefault="00B70A9E">
      <w:pPr>
        <w:pStyle w:val="Typedudocument"/>
        <w:rPr>
          <w:noProof/>
        </w:rPr>
      </w:pPr>
      <w:r>
        <w:rPr>
          <w:noProof/>
        </w:rPr>
        <w:t>COUNCIL DECISION</w:t>
      </w:r>
    </w:p>
    <w:p w:rsidR="000734F0" w:rsidRDefault="00B70A9E">
      <w:pPr>
        <w:pStyle w:val="Titreobjet"/>
        <w:rPr>
          <w:noProof/>
        </w:rPr>
      </w:pPr>
      <w:r>
        <w:rPr>
          <w:noProof/>
        </w:rPr>
        <w:t xml:space="preserve">authorising the opening of negotiations for an agreement between the European Union and New Zealand on the exchange of personal data between the European Union </w:t>
      </w:r>
      <w:r>
        <w:rPr>
          <w:noProof/>
        </w:rPr>
        <w:t>Agency for Law Enforcement Cooperation (Europol) and the New Zealand authorities competent for fighting serious crime and terrorism</w:t>
      </w:r>
    </w:p>
    <w:p w:rsidR="000734F0" w:rsidRDefault="00B70A9E">
      <w:pPr>
        <w:pStyle w:val="Institutionquiagit"/>
        <w:rPr>
          <w:noProof/>
        </w:rPr>
      </w:pPr>
      <w:r>
        <w:rPr>
          <w:noProof/>
        </w:rPr>
        <w:t>THE COUNCIL OF THE EUROPEAN UNION,</w:t>
      </w:r>
    </w:p>
    <w:p w:rsidR="000734F0" w:rsidRDefault="00B70A9E">
      <w:pPr>
        <w:rPr>
          <w:noProof/>
        </w:rPr>
      </w:pPr>
      <w:r>
        <w:rPr>
          <w:noProof/>
        </w:rPr>
        <w:t>Having regard to the Treaty on the Functioning of the European Union (TFEU), and in parti</w:t>
      </w:r>
      <w:r>
        <w:rPr>
          <w:noProof/>
        </w:rPr>
        <w:t>cular Article 218(3) and (4) thereof,</w:t>
      </w:r>
    </w:p>
    <w:p w:rsidR="000734F0" w:rsidRDefault="00B70A9E">
      <w:pPr>
        <w:rPr>
          <w:noProof/>
        </w:rPr>
      </w:pPr>
      <w:r>
        <w:rPr>
          <w:noProof/>
        </w:rPr>
        <w:t xml:space="preserve">Having regard to the recommendation from the European Commission, </w:t>
      </w:r>
    </w:p>
    <w:p w:rsidR="000734F0" w:rsidRDefault="00B70A9E">
      <w:pPr>
        <w:rPr>
          <w:noProof/>
        </w:rPr>
      </w:pPr>
      <w:r>
        <w:rPr>
          <w:noProof/>
        </w:rPr>
        <w:t>Whereas:</w:t>
      </w:r>
    </w:p>
    <w:p w:rsidR="000734F0" w:rsidRDefault="00B70A9E">
      <w:pPr>
        <w:pStyle w:val="ManualConsidrant"/>
        <w:rPr>
          <w:noProof/>
        </w:rPr>
      </w:pPr>
      <w:r>
        <w:rPr>
          <w:noProof/>
        </w:rPr>
        <w:t>(1)</w:t>
      </w:r>
      <w:r>
        <w:rPr>
          <w:noProof/>
        </w:rPr>
        <w:tab/>
        <w:t>Regulation (EU) 2016/794 of the European Parliament and of the Council</w:t>
      </w:r>
      <w:r>
        <w:rPr>
          <w:rStyle w:val="FootnoteReference"/>
          <w:noProof/>
        </w:rPr>
        <w:footnoteReference w:id="10"/>
      </w:r>
      <w:r>
        <w:rPr>
          <w:noProof/>
        </w:rPr>
        <w:t xml:space="preserve"> was adopted on 11 May 2016 and is applicable as of 1 May 2017. </w:t>
      </w:r>
    </w:p>
    <w:p w:rsidR="000734F0" w:rsidRDefault="00B70A9E">
      <w:pPr>
        <w:pStyle w:val="ManualConsidrant"/>
        <w:rPr>
          <w:noProof/>
        </w:rPr>
      </w:pPr>
      <w:r>
        <w:rPr>
          <w:noProof/>
        </w:rPr>
        <w:t>(2</w:t>
      </w:r>
      <w:r>
        <w:rPr>
          <w:noProof/>
        </w:rPr>
        <w:t>)</w:t>
      </w:r>
      <w:r>
        <w:rPr>
          <w:noProof/>
        </w:rPr>
        <w:tab/>
        <w:t>The provisions of Regulation (EU) 2016/794, in particular those concerning the transfer of personal data from the European Union Agency for Law Enforcement Cooperation (Europol) to third countries and international organisations, provide that Europol may</w:t>
      </w:r>
      <w:r>
        <w:rPr>
          <w:noProof/>
        </w:rPr>
        <w:t xml:space="preserve"> transfer personal data to an authority of a third country on the basis of an international agreement concluded between the Union and that third country pursuant to Article 218 TFEU adducing adequate safeguards with respect to the protection of privacy and</w:t>
      </w:r>
      <w:r>
        <w:rPr>
          <w:noProof/>
        </w:rPr>
        <w:t xml:space="preserve"> fundamental rights and freedoms of individuals. </w:t>
      </w:r>
    </w:p>
    <w:p w:rsidR="000734F0" w:rsidRDefault="00B70A9E">
      <w:pPr>
        <w:pStyle w:val="ManualConsidrant"/>
        <w:rPr>
          <w:noProof/>
        </w:rPr>
      </w:pPr>
      <w:r>
        <w:rPr>
          <w:noProof/>
        </w:rPr>
        <w:t>(3)</w:t>
      </w:r>
      <w:r>
        <w:rPr>
          <w:noProof/>
        </w:rPr>
        <w:tab/>
        <w:t>Negotiations should be opened with a view to concluding an Agreement between the European Union and New Zealand on the exchange of personal data between the European Union Agency for Law Enforcement Coo</w:t>
      </w:r>
      <w:r>
        <w:rPr>
          <w:noProof/>
        </w:rPr>
        <w:t>peration (Europol) and the New Zealand authorities competent for fighting serious crime and terrorism (the ‘Agreement’).</w:t>
      </w:r>
    </w:p>
    <w:p w:rsidR="000734F0" w:rsidRDefault="00B70A9E">
      <w:pPr>
        <w:pStyle w:val="ManualConsidrant"/>
        <w:rPr>
          <w:noProof/>
        </w:rPr>
      </w:pPr>
      <w:r>
        <w:rPr>
          <w:noProof/>
        </w:rPr>
        <w:t>(4)</w:t>
      </w:r>
      <w:r>
        <w:rPr>
          <w:noProof/>
        </w:rPr>
        <w:tab/>
        <w:t xml:space="preserve">As also explained in Recital 35 of Regulation (EU) 2016/794, the Commission should be able to consult the European Data Protection </w:t>
      </w:r>
      <w:r>
        <w:rPr>
          <w:noProof/>
        </w:rPr>
        <w:t>Supervisor (EDPS) also during the negotiation of the Agreement and, in any event, before the Agreement is concluded.</w:t>
      </w:r>
    </w:p>
    <w:p w:rsidR="000734F0" w:rsidRDefault="00B70A9E">
      <w:pPr>
        <w:pStyle w:val="ManualConsidrant"/>
        <w:rPr>
          <w:noProof/>
        </w:rPr>
      </w:pPr>
      <w:r>
        <w:rPr>
          <w:noProof/>
        </w:rPr>
        <w:t>(5)</w:t>
      </w:r>
      <w:r>
        <w:rPr>
          <w:noProof/>
        </w:rPr>
        <w:tab/>
        <w:t>The Agreement should respect the fundamental rights and observe the principles recognised by the Charter of Fundamental Rights of the E</w:t>
      </w:r>
      <w:r>
        <w:rPr>
          <w:noProof/>
        </w:rPr>
        <w:t>uropean Union, in particular the right to private and family life, recognised in Article 7 of the Charter, the right to the protection of personal data, recognised in Article 8 of the Charter and the right to effective remedy and fair trial recognised by A</w:t>
      </w:r>
      <w:r>
        <w:rPr>
          <w:noProof/>
        </w:rPr>
        <w:t>rticle 47 of the Charter. The Agreement should be applied in accordance with those rights and principles.</w:t>
      </w:r>
    </w:p>
    <w:p w:rsidR="000734F0" w:rsidRDefault="00B70A9E">
      <w:pPr>
        <w:pStyle w:val="ManualConsidrant"/>
        <w:rPr>
          <w:noProof/>
        </w:rPr>
      </w:pPr>
      <w:r>
        <w:rPr>
          <w:noProof/>
        </w:rPr>
        <w:t>(6)</w:t>
      </w:r>
      <w:r>
        <w:rPr>
          <w:noProof/>
        </w:rPr>
        <w:tab/>
        <w:t>The Agreement should not affect, and should be without prejudice to, the transfer of personal data or other forms of cooperation between the autho</w:t>
      </w:r>
      <w:r>
        <w:rPr>
          <w:noProof/>
        </w:rPr>
        <w:t>rities responsible for safeguarding national security.</w:t>
      </w:r>
    </w:p>
    <w:p w:rsidR="000734F0" w:rsidRDefault="00B70A9E">
      <w:pPr>
        <w:pStyle w:val="Formuledadoption"/>
        <w:rPr>
          <w:noProof/>
        </w:rPr>
      </w:pPr>
      <w:r>
        <w:rPr>
          <w:noProof/>
        </w:rPr>
        <w:lastRenderedPageBreak/>
        <w:t xml:space="preserve">HAS ADOPTED THIS DECISION: </w:t>
      </w:r>
    </w:p>
    <w:p w:rsidR="000734F0" w:rsidRDefault="00B70A9E">
      <w:pPr>
        <w:pStyle w:val="Titrearticle"/>
        <w:rPr>
          <w:noProof/>
        </w:rPr>
      </w:pPr>
      <w:r>
        <w:rPr>
          <w:noProof/>
        </w:rPr>
        <w:t>Article 1</w:t>
      </w:r>
    </w:p>
    <w:p w:rsidR="000734F0" w:rsidRDefault="00B70A9E">
      <w:pPr>
        <w:rPr>
          <w:noProof/>
        </w:rPr>
      </w:pPr>
      <w:r>
        <w:rPr>
          <w:noProof/>
        </w:rPr>
        <w:t xml:space="preserve">The Commission is hereby authorised to negotiate, on behalf of the Union, an Agreement between the European Union and New Zealand on the exchange of personal data </w:t>
      </w:r>
      <w:r>
        <w:rPr>
          <w:noProof/>
        </w:rPr>
        <w:t>between the European Union Agency for Law Enforcement Cooperation (Europol) and the New Zealand authorities competent for fighting serious crime and terrorism.</w:t>
      </w:r>
    </w:p>
    <w:p w:rsidR="000734F0" w:rsidRDefault="00B70A9E">
      <w:pPr>
        <w:rPr>
          <w:noProof/>
        </w:rPr>
      </w:pPr>
      <w:r>
        <w:rPr>
          <w:noProof/>
        </w:rPr>
        <w:t>The negotiating directives are set out in the Annex.</w:t>
      </w:r>
    </w:p>
    <w:p w:rsidR="000734F0" w:rsidRDefault="00B70A9E">
      <w:pPr>
        <w:pStyle w:val="Titrearticle"/>
        <w:rPr>
          <w:noProof/>
        </w:rPr>
      </w:pPr>
      <w:r>
        <w:rPr>
          <w:noProof/>
        </w:rPr>
        <w:t>Article 2</w:t>
      </w:r>
    </w:p>
    <w:p w:rsidR="000734F0" w:rsidRDefault="00B70A9E">
      <w:pPr>
        <w:rPr>
          <w:noProof/>
        </w:rPr>
      </w:pPr>
      <w:r>
        <w:rPr>
          <w:noProof/>
        </w:rPr>
        <w:t xml:space="preserve">The negotiations shall be </w:t>
      </w:r>
      <w:r>
        <w:rPr>
          <w:noProof/>
        </w:rPr>
        <w:t>conducted in consultation with the relevant [name of the special committee to be inserted by the Council].</w:t>
      </w:r>
    </w:p>
    <w:p w:rsidR="000734F0" w:rsidRDefault="00B70A9E">
      <w:pPr>
        <w:pStyle w:val="Titrearticle"/>
        <w:rPr>
          <w:noProof/>
        </w:rPr>
      </w:pPr>
      <w:r>
        <w:rPr>
          <w:noProof/>
        </w:rPr>
        <w:t>Article 3</w:t>
      </w:r>
    </w:p>
    <w:p w:rsidR="000734F0" w:rsidRDefault="00B70A9E">
      <w:pPr>
        <w:rPr>
          <w:noProof/>
        </w:rPr>
      </w:pPr>
      <w:r>
        <w:rPr>
          <w:noProof/>
        </w:rPr>
        <w:t xml:space="preserve">This Decision is addressed to the Commission. </w:t>
      </w:r>
    </w:p>
    <w:p w:rsidR="000734F0" w:rsidRDefault="00B70A9E" w:rsidP="00B70A9E">
      <w:pPr>
        <w:pStyle w:val="Fait"/>
        <w:rPr>
          <w:noProof/>
        </w:rPr>
      </w:pPr>
      <w:r w:rsidRPr="00B70A9E">
        <w:t>Done at Brussels, 30.10.2019</w:t>
      </w:r>
    </w:p>
    <w:p w:rsidR="000734F0" w:rsidRDefault="00B70A9E">
      <w:pPr>
        <w:pStyle w:val="Institutionquisigne"/>
        <w:rPr>
          <w:noProof/>
        </w:rPr>
      </w:pPr>
      <w:r>
        <w:rPr>
          <w:noProof/>
        </w:rPr>
        <w:tab/>
      </w:r>
      <w:r>
        <w:rPr>
          <w:noProof/>
        </w:rPr>
        <w:t>For the Council</w:t>
      </w:r>
    </w:p>
    <w:p w:rsidR="000734F0" w:rsidRDefault="00B70A9E">
      <w:pPr>
        <w:pStyle w:val="Personnequisigne"/>
        <w:rPr>
          <w:noProof/>
        </w:rPr>
      </w:pPr>
      <w:r>
        <w:rPr>
          <w:noProof/>
        </w:rPr>
        <w:tab/>
        <w:t>The President</w:t>
      </w:r>
    </w:p>
    <w:sectPr w:rsidR="000734F0" w:rsidSect="00B70A9E">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FCA5C" w16cid:durableId="213277AC"/>
  <w16cid:commentId w16cid:paraId="3C8F3092" w16cid:durableId="21326CDE"/>
  <w16cid:commentId w16cid:paraId="6D1B795C" w16cid:durableId="213280B4"/>
  <w16cid:commentId w16cid:paraId="4B6FB3F7" w16cid:durableId="21326D9A"/>
  <w16cid:commentId w16cid:paraId="475DF244" w16cid:durableId="21327FC1"/>
  <w16cid:commentId w16cid:paraId="5BCA701B" w16cid:durableId="21327D4D"/>
  <w16cid:commentId w16cid:paraId="7C9D81CE" w16cid:durableId="213272C2"/>
  <w16cid:commentId w16cid:paraId="001654DF" w16cid:durableId="213278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4F0" w:rsidRDefault="00B70A9E">
      <w:pPr>
        <w:spacing w:before="0" w:after="0"/>
      </w:pPr>
      <w:r>
        <w:separator/>
      </w:r>
    </w:p>
  </w:endnote>
  <w:endnote w:type="continuationSeparator" w:id="0">
    <w:p w:rsidR="000734F0" w:rsidRDefault="00B70A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F0" w:rsidRPr="00B70A9E" w:rsidRDefault="00B70A9E" w:rsidP="00B70A9E">
    <w:pPr>
      <w:pStyle w:val="Footer"/>
      <w:rPr>
        <w:rFonts w:ascii="Arial" w:hAnsi="Arial" w:cs="Arial"/>
        <w:b/>
        <w:sz w:val="48"/>
      </w:rPr>
    </w:pPr>
    <w:r w:rsidRPr="00B70A9E">
      <w:rPr>
        <w:rFonts w:ascii="Arial" w:hAnsi="Arial" w:cs="Arial"/>
        <w:b/>
        <w:sz w:val="48"/>
      </w:rPr>
      <w:t>EN</w:t>
    </w:r>
    <w:r w:rsidRPr="00B70A9E">
      <w:rPr>
        <w:rFonts w:ascii="Arial" w:hAnsi="Arial" w:cs="Arial"/>
        <w:b/>
        <w:sz w:val="48"/>
      </w:rPr>
      <w:tab/>
    </w:r>
    <w:r w:rsidRPr="00B70A9E">
      <w:rPr>
        <w:rFonts w:ascii="Arial" w:hAnsi="Arial" w:cs="Arial"/>
        <w:b/>
        <w:sz w:val="48"/>
      </w:rPr>
      <w:tab/>
    </w:r>
    <w:r w:rsidRPr="00B70A9E">
      <w:tab/>
    </w:r>
    <w:r w:rsidRPr="00B70A9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Footer"/>
      <w:rPr>
        <w:rFonts w:ascii="Arial" w:hAnsi="Arial" w:cs="Arial"/>
        <w:b/>
        <w:sz w:val="48"/>
      </w:rPr>
    </w:pPr>
    <w:r w:rsidRPr="00B70A9E">
      <w:rPr>
        <w:rFonts w:ascii="Arial" w:hAnsi="Arial" w:cs="Arial"/>
        <w:b/>
        <w:sz w:val="48"/>
      </w:rPr>
      <w:t>EN</w:t>
    </w:r>
    <w:r w:rsidRPr="00B70A9E">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rsidRPr="00B70A9E">
      <w:tab/>
    </w:r>
    <w:r w:rsidRPr="00B70A9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4F0" w:rsidRDefault="00B70A9E">
      <w:pPr>
        <w:spacing w:before="0" w:after="0"/>
      </w:pPr>
      <w:r>
        <w:separator/>
      </w:r>
    </w:p>
  </w:footnote>
  <w:footnote w:type="continuationSeparator" w:id="0">
    <w:p w:rsidR="000734F0" w:rsidRDefault="00B70A9E">
      <w:pPr>
        <w:spacing w:before="0" w:after="0"/>
      </w:pPr>
      <w:r>
        <w:continuationSeparator/>
      </w:r>
    </w:p>
  </w:footnote>
  <w:footnote w:id="1">
    <w:p w:rsidR="000734F0" w:rsidRDefault="00B70A9E">
      <w:pPr>
        <w:pStyle w:val="FootnoteText"/>
      </w:pPr>
      <w:r>
        <w:rPr>
          <w:rStyle w:val="FootnoteReference"/>
        </w:rPr>
        <w:footnoteRef/>
      </w:r>
      <w:r>
        <w:tab/>
        <w:t>Regulation (EU) 2016/794 of 11 May 2</w:t>
      </w:r>
      <w:r>
        <w:t xml:space="preserve">016, OJ L 135, 24.5.2016, p. 53. </w:t>
      </w:r>
    </w:p>
  </w:footnote>
  <w:footnote w:id="2">
    <w:p w:rsidR="000734F0" w:rsidRDefault="00B70A9E">
      <w:pPr>
        <w:pStyle w:val="FootnoteText"/>
      </w:pPr>
      <w:r>
        <w:rPr>
          <w:rStyle w:val="FootnoteReference"/>
        </w:rPr>
        <w:footnoteRef/>
      </w:r>
      <w:r>
        <w:tab/>
        <w:t>COM(2017) 608 final.</w:t>
      </w:r>
    </w:p>
  </w:footnote>
  <w:footnote w:id="3">
    <w:p w:rsidR="000734F0" w:rsidRDefault="00B70A9E">
      <w:pPr>
        <w:pStyle w:val="FootnoteText"/>
      </w:pPr>
      <w:r>
        <w:rPr>
          <w:rStyle w:val="FootnoteReference"/>
        </w:rPr>
        <w:footnoteRef/>
      </w:r>
      <w:r>
        <w:tab/>
        <w:t>Algeria, Egypt, Israel, Jordan, Lebanon, Morocco, Tunisia and Turkey.</w:t>
      </w:r>
    </w:p>
  </w:footnote>
  <w:footnote w:id="4">
    <w:p w:rsidR="000734F0" w:rsidRDefault="00B70A9E">
      <w:pPr>
        <w:pStyle w:val="FootnoteText"/>
        <w:rPr>
          <w:lang w:val="pt-PT"/>
        </w:rPr>
      </w:pPr>
      <w:r>
        <w:rPr>
          <w:rStyle w:val="FootnoteReference"/>
        </w:rPr>
        <w:footnoteRef/>
      </w:r>
      <w:r>
        <w:rPr>
          <w:lang w:val="pt-PT"/>
        </w:rPr>
        <w:tab/>
        <w:t>COM(2015) 185 final.</w:t>
      </w:r>
    </w:p>
  </w:footnote>
  <w:footnote w:id="5">
    <w:p w:rsidR="000734F0" w:rsidRDefault="00B70A9E">
      <w:pPr>
        <w:pStyle w:val="FootnoteText"/>
        <w:rPr>
          <w:lang w:val="pt-PT"/>
        </w:rPr>
      </w:pPr>
      <w:r>
        <w:rPr>
          <w:rStyle w:val="FootnoteReference"/>
        </w:rPr>
        <w:footnoteRef/>
      </w:r>
      <w:r>
        <w:rPr>
          <w:lang w:val="pt-PT"/>
        </w:rPr>
        <w:tab/>
        <w:t>Council Document 10384/17, 19 June 2017.</w:t>
      </w:r>
    </w:p>
  </w:footnote>
  <w:footnote w:id="6">
    <w:p w:rsidR="000734F0" w:rsidRDefault="00B70A9E">
      <w:pPr>
        <w:pStyle w:val="FootnoteText"/>
      </w:pPr>
      <w:r>
        <w:rPr>
          <w:rStyle w:val="FootnoteReference"/>
        </w:rPr>
        <w:footnoteRef/>
      </w:r>
      <w:r>
        <w:tab/>
      </w:r>
      <w:r>
        <w:rPr>
          <w:i/>
        </w:rPr>
        <w:t>Shared Vision, Common Action: A Stronger Europe</w:t>
      </w:r>
      <w:r>
        <w:t xml:space="preserve"> </w:t>
      </w:r>
      <w:r>
        <w:rPr>
          <w:i/>
        </w:rPr>
        <w:t xml:space="preserve">- A Global </w:t>
      </w:r>
      <w:r>
        <w:rPr>
          <w:i/>
        </w:rPr>
        <w:t xml:space="preserve">Strategy for the European Union’s Foreign And Security Policy </w:t>
      </w:r>
      <w:hyperlink r:id="rId1" w:history="1">
        <w:r>
          <w:rPr>
            <w:rStyle w:val="Hyperlink"/>
          </w:rPr>
          <w:t>http://europa.eu/globalstrategy/en</w:t>
        </w:r>
      </w:hyperlink>
      <w:r>
        <w:t xml:space="preserve"> </w:t>
      </w:r>
    </w:p>
  </w:footnote>
  <w:footnote w:id="7">
    <w:p w:rsidR="000734F0" w:rsidRDefault="00B70A9E">
      <w:pPr>
        <w:pStyle w:val="FootnoteText"/>
      </w:pPr>
      <w:r>
        <w:rPr>
          <w:rStyle w:val="FootnoteReference"/>
        </w:rPr>
        <w:footnoteRef/>
      </w:r>
      <w:r>
        <w:tab/>
        <w:t>The Privacy Act is currently under reform following a bill introduced in March 2018.</w:t>
      </w:r>
    </w:p>
  </w:footnote>
  <w:footnote w:id="8">
    <w:p w:rsidR="000734F0" w:rsidRDefault="00B70A9E">
      <w:pPr>
        <w:pStyle w:val="FootnoteText"/>
      </w:pPr>
      <w:r>
        <w:rPr>
          <w:rStyle w:val="FootnoteReference"/>
        </w:rPr>
        <w:footnoteRef/>
      </w:r>
      <w:r>
        <w:tab/>
        <w:t xml:space="preserve">An </w:t>
      </w:r>
      <w:hyperlink r:id="rId2" w:tooltip="Intelligence assessment" w:history="1">
        <w:r>
          <w:t>intelligence</w:t>
        </w:r>
      </w:hyperlink>
      <w:r>
        <w:t xml:space="preserve"> alliance comprising </w:t>
      </w:r>
      <w:hyperlink r:id="rId3" w:tooltip="Australia" w:history="1">
        <w:r>
          <w:t>Australia</w:t>
        </w:r>
      </w:hyperlink>
      <w:r>
        <w:t xml:space="preserve">, </w:t>
      </w:r>
      <w:hyperlink r:id="rId4" w:tooltip="Canada" w:history="1">
        <w:r>
          <w:t>Canada</w:t>
        </w:r>
      </w:hyperlink>
      <w:r>
        <w:t xml:space="preserve">, </w:t>
      </w:r>
      <w:hyperlink r:id="rId5" w:tooltip="New Zealand" w:history="1">
        <w:r>
          <w:t>New Zealand</w:t>
        </w:r>
      </w:hyperlink>
      <w:r>
        <w:t xml:space="preserve">, the </w:t>
      </w:r>
      <w:hyperlink r:id="rId6" w:tooltip="United Kingdom" w:history="1">
        <w:r>
          <w:t>United Kingdom</w:t>
        </w:r>
      </w:hyperlink>
      <w:r>
        <w:t xml:space="preserve"> and the </w:t>
      </w:r>
      <w:hyperlink r:id="rId7" w:tooltip="United States" w:history="1">
        <w:r>
          <w:t>United States</w:t>
        </w:r>
      </w:hyperlink>
      <w:r>
        <w:t>.</w:t>
      </w:r>
    </w:p>
  </w:footnote>
  <w:footnote w:id="9">
    <w:p w:rsidR="000734F0" w:rsidRDefault="00B70A9E">
      <w:pPr>
        <w:pStyle w:val="FootnoteText"/>
        <w:rPr>
          <w:lang w:val="en-IE"/>
        </w:rPr>
      </w:pPr>
      <w:r>
        <w:rPr>
          <w:rStyle w:val="FootnoteReference"/>
        </w:rPr>
        <w:footnoteRef/>
      </w:r>
      <w:r>
        <w:tab/>
      </w:r>
      <w:r>
        <w:rPr>
          <w:lang w:val="en-IE"/>
        </w:rPr>
        <w:t xml:space="preserve">In particular Articles 3, 23, 25 and Chapter VI of </w:t>
      </w:r>
      <w:r>
        <w:t>Regulation (EU) 2016/794.</w:t>
      </w:r>
    </w:p>
  </w:footnote>
  <w:footnote w:id="10">
    <w:p w:rsidR="000734F0" w:rsidRDefault="00B70A9E">
      <w:pPr>
        <w:pStyle w:val="FootnoteText"/>
      </w:pPr>
      <w:r>
        <w:rPr>
          <w:rStyle w:val="FootnoteReference"/>
        </w:rPr>
        <w:footnoteRef/>
      </w:r>
      <w:r>
        <w:tab/>
        <w:t>Regulation (EU) 2016/794 of the European Parliament and of the Council of 11 May 2016 on the European Union Agen</w:t>
      </w:r>
      <w:r>
        <w:t>cy for Law Enforcement Cooperation (Europol) and replacing and repealing Council Decisions 2009/371/JHA, 2009/934/JHA, 2009/935/JHA, 2009/936/JHA and 2009/968/JHA (OJ L 135, 24.5.2016, p. 53).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A9E" w:rsidRPr="00B70A9E" w:rsidRDefault="00B70A9E" w:rsidP="00B7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A6EE2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BF4E4E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636E67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564742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5AA3580"/>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5C9B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582E52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E14059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4"/>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2 15:03: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345584D-2A86-4DDC-9C12-AD7EEC2B6960"/>
    <w:docVar w:name="LW_COVERPAGE_TYPE" w:val="1"/>
    <w:docVar w:name="LW_CROSSREFERENCE" w:val="&lt;UNUSED&gt;"/>
    <w:docVar w:name="LW_DocType" w:val="COM"/>
    <w:docVar w:name="LW_EMISSION" w:val="30.10.2019"/>
    <w:docVar w:name="LW_EMISSION_ISODATE" w:val="2019-10-30"/>
    <w:docVar w:name="LW_EMISSION_LOCATION" w:val="BRX"/>
    <w:docVar w:name="LW_EMISSION_PREFIX" w:val="Brussels, "/>
    <w:docVar w:name="LW_EMISSION_SUFFIX" w:val="&lt;EMPTY&gt;"/>
    <w:docVar w:name="LW_ID_DOCMODEL" w:val="SG-001"/>
    <w:docVar w:name="LW_ID_DOCSIGNATURE" w:val="SG-001"/>
    <w:docVar w:name="LW_ID_DOCSTRUCTURE" w:val="COM/PL/ORG/NOEEA"/>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for an agreement between the European Union and New Zealand on the exchange of personal data between the European Union Agency for Law Enforcement Cooperation (Europol) and the New Zealand authorities competent for fighting serious crime and terrorism"/>
    <w:docVar w:name="LW_TITRE.OBJ.CP" w:val="authorising the opening of negotiations for an agreement between the European Union and New Zealand on the exchange of personal data between the European Union Agency for Law Enforcement Cooperation (Europol) and the New Zealand authorities competent for fighting serious crime and terrorism"/>
    <w:docVar w:name="LW_TYPE.DOC" w:val="COUNCIL DECISION"/>
    <w:docVar w:name="LW_TYPE.DOC.CP" w:val="COUNCIL DECISION"/>
  </w:docVars>
  <w:rsids>
    <w:rsidRoot w:val="000734F0"/>
    <w:rsid w:val="000734F0"/>
    <w:rsid w:val="00B7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B53F077F-65A5-4ADF-8BC6-F61E4A2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Left0cm">
    <w:name w:val="Style Left:  0 cm"/>
    <w:basedOn w:val="Normal"/>
    <w:pPr>
      <w:spacing w:before="0"/>
    </w:pPr>
    <w:rPr>
      <w:rFonts w:ascii="Verdana" w:eastAsia="Times New Roman" w:hAnsi="Verdana"/>
      <w:sz w:val="20"/>
      <w:szCs w:val="20"/>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styleId="Header">
    <w:name w:val="header"/>
    <w:basedOn w:val="Normal"/>
    <w:link w:val="HeaderChar"/>
    <w:uiPriority w:val="99"/>
    <w:unhideWhenUsed/>
    <w:rsid w:val="00B70A9E"/>
    <w:pPr>
      <w:tabs>
        <w:tab w:val="center" w:pos="4535"/>
        <w:tab w:val="right" w:pos="9071"/>
      </w:tabs>
      <w:spacing w:before="0"/>
    </w:pPr>
  </w:style>
  <w:style w:type="character" w:customStyle="1" w:styleId="HeaderChar">
    <w:name w:val="Header Char"/>
    <w:basedOn w:val="DefaultParagraphFont"/>
    <w:link w:val="Header"/>
    <w:uiPriority w:val="99"/>
    <w:rsid w:val="00B70A9E"/>
    <w:rPr>
      <w:rFonts w:ascii="Times New Roman" w:hAnsi="Times New Roman" w:cs="Times New Roman"/>
      <w:sz w:val="24"/>
      <w:lang w:val="en-GB"/>
    </w:rPr>
  </w:style>
  <w:style w:type="paragraph" w:styleId="Footer">
    <w:name w:val="footer"/>
    <w:basedOn w:val="Normal"/>
    <w:link w:val="FooterChar"/>
    <w:uiPriority w:val="99"/>
    <w:unhideWhenUsed/>
    <w:rsid w:val="00B70A9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70A9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B70A9E"/>
    <w:pPr>
      <w:tabs>
        <w:tab w:val="center" w:pos="7285"/>
        <w:tab w:val="right" w:pos="14003"/>
      </w:tabs>
      <w:spacing w:before="0"/>
    </w:pPr>
  </w:style>
  <w:style w:type="paragraph" w:customStyle="1" w:styleId="FooterLandscape">
    <w:name w:val="FooterLandscape"/>
    <w:basedOn w:val="Normal"/>
    <w:rsid w:val="00B70A9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70A9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70A9E"/>
    <w:pPr>
      <w:spacing w:before="0"/>
      <w:jc w:val="right"/>
    </w:pPr>
    <w:rPr>
      <w:sz w:val="28"/>
    </w:rPr>
  </w:style>
  <w:style w:type="paragraph" w:customStyle="1" w:styleId="FooterSensitivity">
    <w:name w:val="Footer Sensitivity"/>
    <w:basedOn w:val="Normal"/>
    <w:rsid w:val="00B70A9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9533">
      <w:bodyDiv w:val="1"/>
      <w:marLeft w:val="0"/>
      <w:marRight w:val="0"/>
      <w:marTop w:val="0"/>
      <w:marBottom w:val="0"/>
      <w:divBdr>
        <w:top w:val="none" w:sz="0" w:space="0" w:color="auto"/>
        <w:left w:val="none" w:sz="0" w:space="0" w:color="auto"/>
        <w:bottom w:val="none" w:sz="0" w:space="0" w:color="auto"/>
        <w:right w:val="none" w:sz="0" w:space="0" w:color="auto"/>
      </w:divBdr>
    </w:div>
    <w:div w:id="541090869">
      <w:bodyDiv w:val="1"/>
      <w:marLeft w:val="0"/>
      <w:marRight w:val="0"/>
      <w:marTop w:val="0"/>
      <w:marBottom w:val="0"/>
      <w:divBdr>
        <w:top w:val="none" w:sz="0" w:space="0" w:color="auto"/>
        <w:left w:val="none" w:sz="0" w:space="0" w:color="auto"/>
        <w:bottom w:val="none" w:sz="0" w:space="0" w:color="auto"/>
        <w:right w:val="none" w:sz="0" w:space="0" w:color="auto"/>
      </w:divBdr>
      <w:divsChild>
        <w:div w:id="947011466">
          <w:marLeft w:val="0"/>
          <w:marRight w:val="0"/>
          <w:marTop w:val="0"/>
          <w:marBottom w:val="0"/>
          <w:divBdr>
            <w:top w:val="none" w:sz="0" w:space="0" w:color="auto"/>
            <w:left w:val="none" w:sz="0" w:space="0" w:color="auto"/>
            <w:bottom w:val="none" w:sz="0" w:space="0" w:color="auto"/>
            <w:right w:val="none" w:sz="0" w:space="0" w:color="auto"/>
          </w:divBdr>
          <w:divsChild>
            <w:div w:id="1609197240">
              <w:marLeft w:val="0"/>
              <w:marRight w:val="0"/>
              <w:marTop w:val="0"/>
              <w:marBottom w:val="0"/>
              <w:divBdr>
                <w:top w:val="none" w:sz="0" w:space="0" w:color="auto"/>
                <w:left w:val="none" w:sz="0" w:space="0" w:color="auto"/>
                <w:bottom w:val="none" w:sz="0" w:space="0" w:color="auto"/>
                <w:right w:val="none" w:sz="0" w:space="0" w:color="auto"/>
              </w:divBdr>
              <w:divsChild>
                <w:div w:id="492377342">
                  <w:marLeft w:val="0"/>
                  <w:marRight w:val="0"/>
                  <w:marTop w:val="0"/>
                  <w:marBottom w:val="0"/>
                  <w:divBdr>
                    <w:top w:val="none" w:sz="0" w:space="0" w:color="auto"/>
                    <w:left w:val="none" w:sz="0" w:space="0" w:color="auto"/>
                    <w:bottom w:val="none" w:sz="0" w:space="0" w:color="auto"/>
                    <w:right w:val="none" w:sz="0" w:space="0" w:color="auto"/>
                  </w:divBdr>
                  <w:divsChild>
                    <w:div w:id="1802067458">
                      <w:marLeft w:val="0"/>
                      <w:marRight w:val="0"/>
                      <w:marTop w:val="0"/>
                      <w:marBottom w:val="0"/>
                      <w:divBdr>
                        <w:top w:val="none" w:sz="0" w:space="0" w:color="auto"/>
                        <w:left w:val="none" w:sz="0" w:space="0" w:color="auto"/>
                        <w:bottom w:val="none" w:sz="0" w:space="0" w:color="auto"/>
                        <w:right w:val="none" w:sz="0" w:space="0" w:color="auto"/>
                      </w:divBdr>
                      <w:divsChild>
                        <w:div w:id="360863769">
                          <w:marLeft w:val="0"/>
                          <w:marRight w:val="0"/>
                          <w:marTop w:val="0"/>
                          <w:marBottom w:val="0"/>
                          <w:divBdr>
                            <w:top w:val="none" w:sz="0" w:space="0" w:color="auto"/>
                            <w:left w:val="none" w:sz="0" w:space="0" w:color="auto"/>
                            <w:bottom w:val="none" w:sz="0" w:space="0" w:color="auto"/>
                            <w:right w:val="none" w:sz="0" w:space="0" w:color="auto"/>
                          </w:divBdr>
                          <w:divsChild>
                            <w:div w:id="286014779">
                              <w:marLeft w:val="0"/>
                              <w:marRight w:val="0"/>
                              <w:marTop w:val="0"/>
                              <w:marBottom w:val="0"/>
                              <w:divBdr>
                                <w:top w:val="none" w:sz="0" w:space="0" w:color="auto"/>
                                <w:left w:val="none" w:sz="0" w:space="0" w:color="auto"/>
                                <w:bottom w:val="none" w:sz="0" w:space="0" w:color="auto"/>
                                <w:right w:val="none" w:sz="0" w:space="0" w:color="auto"/>
                              </w:divBdr>
                              <w:divsChild>
                                <w:div w:id="1577278811">
                                  <w:marLeft w:val="920"/>
                                  <w:marRight w:val="9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858012">
      <w:bodyDiv w:val="1"/>
      <w:marLeft w:val="0"/>
      <w:marRight w:val="0"/>
      <w:marTop w:val="0"/>
      <w:marBottom w:val="0"/>
      <w:divBdr>
        <w:top w:val="none" w:sz="0" w:space="0" w:color="auto"/>
        <w:left w:val="none" w:sz="0" w:space="0" w:color="auto"/>
        <w:bottom w:val="none" w:sz="0" w:space="0" w:color="auto"/>
        <w:right w:val="none" w:sz="0" w:space="0" w:color="auto"/>
      </w:divBdr>
    </w:div>
    <w:div w:id="1083914501">
      <w:bodyDiv w:val="1"/>
      <w:marLeft w:val="0"/>
      <w:marRight w:val="0"/>
      <w:marTop w:val="0"/>
      <w:marBottom w:val="0"/>
      <w:divBdr>
        <w:top w:val="none" w:sz="0" w:space="0" w:color="auto"/>
        <w:left w:val="none" w:sz="0" w:space="0" w:color="auto"/>
        <w:bottom w:val="none" w:sz="0" w:space="0" w:color="auto"/>
        <w:right w:val="none" w:sz="0" w:space="0" w:color="auto"/>
      </w:divBdr>
    </w:div>
    <w:div w:id="1274678446">
      <w:bodyDiv w:val="1"/>
      <w:marLeft w:val="0"/>
      <w:marRight w:val="0"/>
      <w:marTop w:val="0"/>
      <w:marBottom w:val="0"/>
      <w:divBdr>
        <w:top w:val="none" w:sz="0" w:space="0" w:color="auto"/>
        <w:left w:val="none" w:sz="0" w:space="0" w:color="auto"/>
        <w:bottom w:val="none" w:sz="0" w:space="0" w:color="auto"/>
        <w:right w:val="none" w:sz="0" w:space="0" w:color="auto"/>
      </w:divBdr>
    </w:div>
    <w:div w:id="1638103312">
      <w:bodyDiv w:val="1"/>
      <w:marLeft w:val="0"/>
      <w:marRight w:val="0"/>
      <w:marTop w:val="0"/>
      <w:marBottom w:val="0"/>
      <w:divBdr>
        <w:top w:val="none" w:sz="0" w:space="0" w:color="auto"/>
        <w:left w:val="none" w:sz="0" w:space="0" w:color="auto"/>
        <w:bottom w:val="none" w:sz="0" w:space="0" w:color="auto"/>
        <w:right w:val="none" w:sz="0" w:space="0" w:color="auto"/>
      </w:divBdr>
    </w:div>
    <w:div w:id="182801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ristchurchcall.com/" TargetMode="Externa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Australia" TargetMode="External"/><Relationship Id="rId7" Type="http://schemas.openxmlformats.org/officeDocument/2006/relationships/hyperlink" Target="https://en.wikipedia.org/wiki/United_States" TargetMode="External"/><Relationship Id="rId2" Type="http://schemas.openxmlformats.org/officeDocument/2006/relationships/hyperlink" Target="https://en.wikipedia.org/wiki/Intelligence_assessment" TargetMode="External"/><Relationship Id="rId1" Type="http://schemas.openxmlformats.org/officeDocument/2006/relationships/hyperlink" Target="http://europa.eu/globalstrategy/en" TargetMode="External"/><Relationship Id="rId6" Type="http://schemas.openxmlformats.org/officeDocument/2006/relationships/hyperlink" Target="https://en.wikipedia.org/wiki/United_Kingdom" TargetMode="External"/><Relationship Id="rId5" Type="http://schemas.openxmlformats.org/officeDocument/2006/relationships/hyperlink" Target="https://en.wikipedia.org/wiki/New_Zealand" TargetMode="External"/><Relationship Id="rId4" Type="http://schemas.openxmlformats.org/officeDocument/2006/relationships/hyperlink" Target="https://en.wikipedia.org/wiki/Cana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3D958-74BA-46EB-AC75-859D2244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3</TotalTime>
  <Pages>7</Pages>
  <Words>2088</Words>
  <Characters>11594</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PAREDES ECHAURI Cristina (SG)</cp:lastModifiedBy>
  <cp:revision>17</cp:revision>
  <cp:lastPrinted>2019-09-24T06:30:00Z</cp:lastPrinted>
  <dcterms:created xsi:type="dcterms:W3CDTF">2019-10-25T09:17:00Z</dcterms:created>
  <dcterms:modified xsi:type="dcterms:W3CDTF">2019-10-30T12:27:00Z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