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5A7606D-D3C2-426A-81CD-B3D60CFAF3F0"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devrait avoir pour objectif de constituer la base juridique du transfert de données à caractère personnel entre Europol et les autorités compétentes de la Nouvelle-Zélande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smallCaps/>
          <w:noProof/>
        </w:rPr>
      </w:pPr>
      <w:r>
        <w:rPr>
          <w:noProof/>
        </w:rPr>
        <w:t>Afin de garantir la limitation de la finalité, la coopération et l’échange de données en vertu de l’accord ne devraient concerner que les formes de criminalité et les infractions pénales connexes relevant de la compétence d’Europol conformément à l’article 3 du règlement 2016/794 (ci-après les «infractions pénales»). En particulier, la coopération devrait viser à prévenir et à combattre le terrorisme, à désorganiser la criminalité organisée et à lutter contre la cybercriminalité. Il convient que l’accord précise son champ d’application et les finalités pour lesquelles Europol peut transférer des données à caractère personnel aux autorités compétentes de la Nouvelle-Zélande.</w:t>
      </w:r>
    </w:p>
    <w:p>
      <w:pPr>
        <w:pStyle w:val="Point0number"/>
        <w:rPr>
          <w:noProof/>
        </w:rPr>
      </w:pPr>
      <w:r>
        <w:rPr>
          <w:noProof/>
        </w:rPr>
        <w:t>L'accord devrait énoncer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néo-zélandaises. Outre les garanties détaillées ci-après, il devrait être exigé que le transfert de données à caractère personnel soit soumis à des obligations de confidentialité et que ces données ne soient pas utilisées pour demander, prononcer ou mettre à exécution une condamnation à la peine de mort ou toute forme de traitement cruel et inhumain, sans préjudice de garanties supplémentaires qui peuvent être exigées.</w:t>
      </w:r>
    </w:p>
    <w:p>
      <w:pPr>
        <w:rPr>
          <w:noProof/>
        </w:rPr>
      </w:pPr>
      <w:r>
        <w:rPr>
          <w:noProof/>
        </w:rPr>
        <w:t>En particulier:</w:t>
      </w:r>
    </w:p>
    <w:p>
      <w:pPr>
        <w:pStyle w:val="Point0letter"/>
        <w:numPr>
          <w:ilvl w:val="1"/>
          <w:numId w:val="9"/>
        </w:numPr>
        <w:rPr>
          <w:noProof/>
        </w:rPr>
      </w:pPr>
      <w:r>
        <w:rPr>
          <w:noProof/>
        </w:rPr>
        <w:t>L’accord devrait contenir des définitions de termes clés. Il devrait notamment contenir une définition des données à caractère personnel conforme à l’article 3, point 1, de la directive (UE) 2016/680.</w:t>
      </w:r>
    </w:p>
    <w:p>
      <w:pPr>
        <w:pStyle w:val="Point0letter"/>
        <w:numPr>
          <w:ilvl w:val="1"/>
          <w:numId w:val="9"/>
        </w:numPr>
        <w:rPr>
          <w:noProof/>
        </w:rPr>
      </w:pPr>
      <w:r>
        <w:rPr>
          <w:noProof/>
        </w:rPr>
        <w:t>L'accord devrait respecter le principe de spécificité, ce qui garantit que les données ne seront pas traitées à des fins autres que celles pour lesquelles elles ont été transférées. À cette fin, les finalités du traitement de données à caractère personnel par les parties dans le contexte de l'accord devraient être clairement et précisément énoncées et ne devraient pas dépasser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devraient être traitées loyalement, sur une base légitime et pour les seules finalités pour lesquelles elles auront été transférées. L'accord devrait prévoir l’obligation pour Europol d’indiquer, au moment du transfert de données, toute limitation de l'accès ou de l’utilisation, y compris en ce qui concerne leur transfert, effacement, destruction ou traitement ultérieur. Il convient que l’accord fasse obligation aux autorités compétentes de la Nouvelle-Zélande de respecter ces limitations et de préciser les modalités pratiques de leur mise en œuvre. Les données à caractère personnel devraient être adéquates, pertinentes et limitées à ce qui est nécessaire au regard de cette finalité. Elles devraient être exactes et tenues à jour. Elles ne devraient pas être conservées plus longtemps que ce qui est nécessaire aux finalités pour lesquelles elles auront été transférées. L’accord devrait être accompagné d’une annexe contenant une liste exhaustive des autorités compétentes de la Nouvelle-Zélande auxquelles Europol peut transférer des données à caractère personnel, ainsi qu’une brève description de leurs compétences.</w:t>
      </w:r>
    </w:p>
    <w:p>
      <w:pPr>
        <w:pStyle w:val="Point0letter"/>
        <w:rPr>
          <w:noProof/>
        </w:rPr>
      </w:pPr>
      <w:r>
        <w:rPr>
          <w:noProof/>
        </w:rPr>
        <w:t>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devrait être interdit, à moins qu'il ne 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devrait assurer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devrait également assurer des droits opposables de recours administratif et judiciaire à toute personne dont les données sont traitées en vertu de l'accord, en garantissant des voies de droit effectives.</w:t>
      </w:r>
    </w:p>
    <w:p>
      <w:pPr>
        <w:pStyle w:val="Point0letter"/>
        <w:rPr>
          <w:noProof/>
        </w:rPr>
      </w:pPr>
      <w:r>
        <w:rPr>
          <w:noProof/>
        </w:rPr>
        <w:t>L'accord devrait définir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w:t>
      </w:r>
    </w:p>
    <w:p>
      <w:pPr>
        <w:pStyle w:val="Point0letter"/>
        <w:numPr>
          <w:ilvl w:val="1"/>
          <w:numId w:val="9"/>
        </w:numPr>
        <w:spacing w:after="240"/>
        <w:rPr>
          <w:noProof/>
        </w:rPr>
      </w:pPr>
      <w:r>
        <w:rPr>
          <w:noProof/>
        </w:rPr>
        <w:t>L’accord devrait préciser les critères en vertu desquels la fiabilité de la source et l’exactitude des données devraient être évaluées.</w:t>
      </w:r>
    </w:p>
    <w:p>
      <w:pPr>
        <w:pStyle w:val="Point0letter"/>
        <w:numPr>
          <w:ilvl w:val="1"/>
          <w:numId w:val="9"/>
        </w:numPr>
        <w:spacing w:after="240"/>
        <w:rPr>
          <w:noProof/>
        </w:rPr>
      </w:pPr>
      <w:r>
        <w:rPr>
          <w:noProof/>
        </w:rPr>
        <w:t>L’accord devrait prévoir l’obligation de garantir la sécurité des données à caractère personnel moyennant des mesures techniques et organisationnelles appropriées, y compris en permettant aux seules personnes autorisées d’avoir accès aux données à caractère personnel. L’accord devrait comporter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des autorités compétentes de la Nouvelle-Zélande à d’autres autorités en Nouvelle-Zélande, y compris en vue d’une utilisation dans des procédures judiciaires, ne devraient être autorisés qu’aux fins initiales du transfert par Europol et devraient être soumis à des conditions et garanties appropriées, y compris l'autorisation préalable d’Europol.</w:t>
      </w:r>
    </w:p>
    <w:p>
      <w:pPr>
        <w:pStyle w:val="Point0letter"/>
        <w:rPr>
          <w:noProof/>
        </w:rPr>
      </w:pPr>
      <w:r>
        <w:rPr>
          <w:noProof/>
        </w:rPr>
        <w:t>Les mêmes conditions que celles énoncées au point i) devraient s’appliquer aux transferts ultérieurs d’informations d’autorités compétentes de la Nouvelle-Zélande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devrait garantir un système de surveillance par une ou plusieurs autorités publiques indépendantes chargées de la protection des données, investies de pouvoirs d’enquête et d’intervention efficaces pour surveiller les autorités publiques néo-zélandaises qui utilisent des données à caractère personnel/auront échangé des informations, et pour agir en justice. En particulier, ces autorités indépendantes devraient avoir le pouvoir de connaître des réclamations de personnes physiques sur l’utilisation de données à caractère personnel les concernant. Les autorités publiques qui utilisent des données à caractère personnel devraient être responsables du respect des règles relatives à la protection des données à caractère personnel prévues par l’accord.</w:t>
      </w:r>
    </w:p>
    <w:p>
      <w:pPr>
        <w:pStyle w:val="Point0number"/>
        <w:rPr>
          <w:noProof/>
        </w:rPr>
      </w:pPr>
      <w:r>
        <w:rPr>
          <w:noProof/>
        </w:rPr>
        <w:t>L’accord devrait prévoir un mécanisme efficace de règlement des différends quant à son interprétation et à son application, pour garantir que les parties respectent les règles dont elles seront convenues.</w:t>
      </w:r>
    </w:p>
    <w:p>
      <w:pPr>
        <w:pStyle w:val="Point0number"/>
        <w:rPr>
          <w:noProof/>
        </w:rPr>
      </w:pPr>
      <w:r>
        <w:rPr>
          <w:noProof/>
        </w:rPr>
        <w:t>L'accord devrait comporter des dispositions régissant son suivi et son évaluation périodique.</w:t>
      </w:r>
    </w:p>
    <w:p>
      <w:pPr>
        <w:pStyle w:val="Point0number"/>
        <w:rPr>
          <w:noProof/>
        </w:rPr>
      </w:pPr>
      <w:r>
        <w:rPr>
          <w:noProof/>
        </w:rPr>
        <w:t>L’accord devrait comporter une disposition sur son entrée en vigueur et sa validité ainsi qu'une disposition en vertu de laquelle une partie peut dénoncer ou suspendre l'accord, notamment si le pays tiers n'assure plus de manière efficace le niveau de protection des libertés et droits fondamentaux requis en vertu de cet accord. Il devrait également préciser si les données à caractère personnel relevant de son champ d’application et transférées avant sa suspension ou sa dénonciation peuvent continuer à être traitées. La poursuite du traitement des données à caractère personnel, si elle est autorisée, devrait, en tout état de cause, respecter les dispositions de l'accord au moment de sa suspension ou de sa dénonciation.</w:t>
      </w:r>
    </w:p>
    <w:p>
      <w:pPr>
        <w:pStyle w:val="Point0number"/>
        <w:rPr>
          <w:noProof/>
        </w:rPr>
      </w:pPr>
      <w:r>
        <w:rPr>
          <w:noProof/>
        </w:rPr>
        <w:t>L’accord peut comporter une clause relative à son application territoriale, si nécessaire.</w:t>
      </w:r>
    </w:p>
    <w:p>
      <w:pPr>
        <w:pStyle w:val="Point0number"/>
        <w:rPr>
          <w:noProof/>
        </w:rPr>
      </w:pPr>
      <w:r>
        <w:rPr>
          <w:noProof/>
        </w:rPr>
        <w:t>L’accord devrait également faire foi en langues allemande, anglaise, bulgare, croate, danoise, espagnole, estonienne, finnoise, française, grecque, hongroise, italienne, lettone, lituanienne, maltaise, néerlandaise, polonaise, portugaise, roumaine, slovaque, slovène, suédoise et tchèque, et comporter une clause linguistique à cet effet.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9:18: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5A7606D-D3C2-426A-81CD-B3D60CFAF3F0"/>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entre l\u8217?Union européenne et la Nouvelle-Zélande sur l\u8217?échange de données à caractère personnel entre l\u8217?Agence de l\u8217?Union européenne pour la coopération des services répressifs (Europol) et les autorités néo-zélandaises compétentes pour lutter contre les formes graves de criminalité et le terrorisme_x000d__x000d__x000d__x000d__x000d__x000b_"/>
    <w:docVar w:name="LW_OBJETACTEPRINCIPAL.CP" w:val="autorisant l\u8217?ouverture de négociations en vue d\u8217?un accord entre l\u8217?Union européenne et la Nouvelle-Zélande sur l\u8217?échange de données à caractère personnel entre l\u8217?Agence de l\u8217?Union européenne pour la coopération des services répressifs (Europol) et les autorités néo-zélandaises compétentes pour lutter contre les formes graves de criminalité et le terrorisme_x000d__x000d__x000d__x000d__x000d__x000b_"/>
    <w:docVar w:name="LW_PART_NBR" w:val="1"/>
    <w:docVar w:name="LW_PART_NBR_TOTAL" w:val="1"/>
    <w:docVar w:name="LW_REF.INST.NEW" w:val="COM"/>
    <w:docVar w:name="LW_REF.INST.NEW_ADOPTED" w:val="final"/>
    <w:docVar w:name="LW_REF.INST.NEW_TEXT" w:val="(2019)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endation de DÉCISION DU CONSEIL"/>
    <w:docVar w:name="LW_TYPEACTEPRINCIPAL.CP" w:val="Recomme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526276-F1B6-4416-9005-8D56B580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1379</Words>
  <Characters>8253</Characters>
  <Application>Microsoft Office Word</Application>
  <DocSecurity>0</DocSecurity>
  <Lines>131</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BARETTE Anne (EMPL)</dc:creator>
  <cp:lastModifiedBy>WES PDFC Administrator</cp:lastModifiedBy>
  <cp:revision>9</cp:revision>
  <cp:lastPrinted>2017-11-27T13:44:00Z</cp:lastPrinted>
  <dcterms:created xsi:type="dcterms:W3CDTF">2019-10-28T09:07:00Z</dcterms:created>
  <dcterms:modified xsi:type="dcterms:W3CDTF">2019-10-29T18:18:00Z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