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16DE4" w14:textId="44F2B8ED" w:rsidR="00D62C68" w:rsidRDefault="004F2A07" w:rsidP="004F2A07">
      <w:pPr>
        <w:pStyle w:val="Pagedecouverture"/>
      </w:pPr>
      <w:bookmarkStart w:id="0" w:name="LW_BM_COVERPAGE"/>
      <w:r>
        <w:pict w14:anchorId="023A1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E743FED-98E2-41B3-8819-8A22B3E78444" style="width:450.75pt;height:307.5pt">
            <v:imagedata r:id="rId8" o:title=""/>
          </v:shape>
        </w:pict>
      </w:r>
    </w:p>
    <w:bookmarkEnd w:id="0"/>
    <w:p w14:paraId="27718B76" w14:textId="77777777" w:rsidR="00D62C68" w:rsidRDefault="00D62C68" w:rsidP="00D62C68">
      <w:pPr>
        <w:sectPr w:rsidR="00D62C68" w:rsidSect="004F2A0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49FFFA38" w14:textId="77777777" w:rsidR="00440647" w:rsidRDefault="00440647" w:rsidP="00055568">
      <w:pPr>
        <w:widowControl w:val="0"/>
        <w:spacing w:after="240" w:line="240" w:lineRule="auto"/>
        <w:jc w:val="both"/>
        <w:rPr>
          <w:rFonts w:ascii="Times New Roman" w:hAnsi="Times New Roman" w:cs="Times New Roman"/>
          <w:b/>
          <w:sz w:val="24"/>
          <w:szCs w:val="24"/>
        </w:rPr>
      </w:pPr>
      <w:bookmarkStart w:id="1" w:name="_GoBack"/>
      <w:bookmarkEnd w:id="1"/>
      <w:r w:rsidRPr="008D1951">
        <w:rPr>
          <w:rFonts w:ascii="Times New Roman" w:hAnsi="Times New Roman" w:cs="Times New Roman"/>
          <w:b/>
          <w:sz w:val="24"/>
          <w:szCs w:val="24"/>
        </w:rPr>
        <w:lastRenderedPageBreak/>
        <w:t xml:space="preserve">I. INTRODUCTION </w:t>
      </w:r>
    </w:p>
    <w:p w14:paraId="7C2F13B3" w14:textId="6E17E461" w:rsidR="003B7D0E" w:rsidRDefault="003B7D0E" w:rsidP="003B7D0E">
      <w:pPr>
        <w:widowControl w:val="0"/>
        <w:spacing w:after="24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This is the </w:t>
      </w:r>
      <w:r w:rsidR="006217E7">
        <w:rPr>
          <w:rFonts w:ascii="Times New Roman" w:hAnsi="Times New Roman" w:cs="Times New Roman"/>
          <w:noProof/>
          <w:sz w:val="24"/>
          <w:szCs w:val="24"/>
        </w:rPr>
        <w:t xml:space="preserve">twentieth </w:t>
      </w:r>
      <w:r>
        <w:rPr>
          <w:rFonts w:ascii="Times New Roman" w:hAnsi="Times New Roman" w:cs="Times New Roman"/>
          <w:noProof/>
          <w:sz w:val="24"/>
          <w:szCs w:val="24"/>
        </w:rPr>
        <w:t>report on the further progress made towards building an effective and genuine Security Union and covers developments under two main pillars: tackling terrorism and organised crime and the means that support them; and strengthening our defences and building resilience against those threats.</w:t>
      </w:r>
    </w:p>
    <w:p w14:paraId="3513C6AB" w14:textId="5897ADC5" w:rsidR="003B7D0E" w:rsidRDefault="005D09FC" w:rsidP="00707B30">
      <w:pPr>
        <w:widowControl w:val="0"/>
        <w:spacing w:after="240" w:line="240" w:lineRule="auto"/>
        <w:jc w:val="both"/>
        <w:rPr>
          <w:rFonts w:ascii="Times New Roman" w:hAnsi="Times New Roman" w:cs="Times New Roman"/>
          <w:sz w:val="24"/>
          <w:szCs w:val="24"/>
        </w:rPr>
      </w:pPr>
      <w:r>
        <w:rPr>
          <w:rFonts w:ascii="Times New Roman" w:hAnsi="Times New Roman" w:cs="Times New Roman"/>
          <w:noProof/>
          <w:sz w:val="24"/>
          <w:szCs w:val="24"/>
        </w:rPr>
        <w:t>The Juncker Commission made security a top priority from day one. Building on the April 2015 European Agenda on Security</w:t>
      </w:r>
      <w:r w:rsidR="00363D18">
        <w:rPr>
          <w:rStyle w:val="FootnoteReference"/>
          <w:noProof/>
        </w:rPr>
        <w:footnoteReference w:id="2"/>
      </w:r>
      <w:r>
        <w:rPr>
          <w:rFonts w:ascii="Times New Roman" w:hAnsi="Times New Roman" w:cs="Times New Roman"/>
          <w:noProof/>
          <w:sz w:val="24"/>
          <w:szCs w:val="24"/>
        </w:rPr>
        <w:t xml:space="preserve"> and the April 2016 Communication paving a way towards an effective and genuine Security Union</w:t>
      </w:r>
      <w:r w:rsidR="00363D18">
        <w:rPr>
          <w:rStyle w:val="FootnoteReference"/>
          <w:noProof/>
        </w:rPr>
        <w:footnoteReference w:id="3"/>
      </w:r>
      <w:r>
        <w:rPr>
          <w:rFonts w:ascii="Times New Roman" w:hAnsi="Times New Roman" w:cs="Times New Roman"/>
          <w:noProof/>
          <w:sz w:val="24"/>
          <w:szCs w:val="24"/>
        </w:rPr>
        <w:t>, the EU responded with a coordinated approach to a series of terrorist attacks and other growing</w:t>
      </w:r>
      <w:r w:rsidR="003B7D0E">
        <w:rPr>
          <w:rFonts w:ascii="Times New Roman" w:hAnsi="Times New Roman" w:cs="Times New Roman"/>
          <w:sz w:val="24"/>
          <w:szCs w:val="24"/>
        </w:rPr>
        <w:t xml:space="preserve"> security challenges, </w:t>
      </w:r>
      <w:r>
        <w:rPr>
          <w:rFonts w:ascii="Times New Roman" w:hAnsi="Times New Roman" w:cs="Times New Roman"/>
          <w:sz w:val="24"/>
          <w:szCs w:val="24"/>
        </w:rPr>
        <w:t>making</w:t>
      </w:r>
      <w:r w:rsidR="003B7D0E">
        <w:rPr>
          <w:rFonts w:ascii="Times New Roman" w:hAnsi="Times New Roman" w:cs="Times New Roman"/>
          <w:sz w:val="24"/>
          <w:szCs w:val="24"/>
        </w:rPr>
        <w:t xml:space="preserve"> significant progress in enhancing our collective security.</w:t>
      </w:r>
      <w:r w:rsidR="00363D18">
        <w:rPr>
          <w:rStyle w:val="FootnoteReference"/>
        </w:rPr>
        <w:footnoteReference w:id="4"/>
      </w:r>
      <w:r w:rsidR="003B7D0E">
        <w:rPr>
          <w:rFonts w:ascii="Times New Roman" w:hAnsi="Times New Roman" w:cs="Times New Roman"/>
          <w:sz w:val="24"/>
          <w:szCs w:val="24"/>
        </w:rPr>
        <w:t xml:space="preserve"> It has become increasingly clear that today’s security challenges – whether it is terrorism, organised crime, cyberattacks, disinformation or other evolving cyber-enabled threats – are shared threats.</w:t>
      </w:r>
      <w:r w:rsidR="00D14DC9" w:rsidRPr="00D14DC9">
        <w:t xml:space="preserve"> </w:t>
      </w:r>
      <w:r w:rsidR="00A442B6">
        <w:rPr>
          <w:rFonts w:ascii="Times New Roman" w:hAnsi="Times New Roman" w:cs="Times New Roman"/>
          <w:sz w:val="24"/>
          <w:szCs w:val="24"/>
        </w:rPr>
        <w:t>O</w:t>
      </w:r>
      <w:r w:rsidR="003B7D0E">
        <w:rPr>
          <w:rFonts w:ascii="Times New Roman" w:hAnsi="Times New Roman" w:cs="Times New Roman"/>
          <w:sz w:val="24"/>
          <w:szCs w:val="24"/>
        </w:rPr>
        <w:t xml:space="preserve">nly by working together can we achieve the level of collective security that citizens rightly demand and expect. This shared understanding has been the basis for the progress made towards an effective and genuine Security Union. Driven by the needs of national authorities working on keeping citizens safe, the EU-level support has focused on legislative and operational measures where joint action can have an impact </w:t>
      </w:r>
      <w:r w:rsidR="001221C0">
        <w:rPr>
          <w:rFonts w:ascii="Times New Roman" w:hAnsi="Times New Roman" w:cs="Times New Roman"/>
          <w:sz w:val="24"/>
          <w:szCs w:val="24"/>
        </w:rPr>
        <w:t xml:space="preserve">on </w:t>
      </w:r>
      <w:r w:rsidR="003B7D0E">
        <w:rPr>
          <w:rFonts w:ascii="Times New Roman" w:hAnsi="Times New Roman" w:cs="Times New Roman"/>
          <w:sz w:val="24"/>
          <w:szCs w:val="24"/>
        </w:rPr>
        <w:t xml:space="preserve">the security </w:t>
      </w:r>
      <w:r w:rsidR="001221C0">
        <w:rPr>
          <w:rFonts w:ascii="Times New Roman" w:hAnsi="Times New Roman" w:cs="Times New Roman"/>
          <w:sz w:val="24"/>
          <w:szCs w:val="24"/>
        </w:rPr>
        <w:t xml:space="preserve">of </w:t>
      </w:r>
      <w:r w:rsidR="003B7D0E">
        <w:rPr>
          <w:rFonts w:ascii="Times New Roman" w:hAnsi="Times New Roman" w:cs="Times New Roman"/>
          <w:sz w:val="24"/>
          <w:szCs w:val="24"/>
        </w:rPr>
        <w:t>Member States. This work has been carried out in close conjunction with the European Parliament and the Council, and with full transparency</w:t>
      </w:r>
      <w:r w:rsidR="003B7D0E" w:rsidRPr="003B7D0E">
        <w:rPr>
          <w:rFonts w:ascii="Times New Roman" w:hAnsi="Times New Roman" w:cs="Times New Roman"/>
          <w:sz w:val="24"/>
          <w:szCs w:val="24"/>
        </w:rPr>
        <w:t xml:space="preserve"> </w:t>
      </w:r>
      <w:r w:rsidR="003B7D0E">
        <w:rPr>
          <w:rFonts w:ascii="Times New Roman" w:hAnsi="Times New Roman" w:cs="Times New Roman"/>
          <w:sz w:val="24"/>
          <w:szCs w:val="24"/>
        </w:rPr>
        <w:t xml:space="preserve">towards the wider public. Full respect of fundamental rights has been at the heart of this work, as the </w:t>
      </w:r>
      <w:r w:rsidR="006217E7">
        <w:rPr>
          <w:rFonts w:ascii="Times New Roman" w:hAnsi="Times New Roman" w:cs="Times New Roman"/>
          <w:sz w:val="24"/>
          <w:szCs w:val="24"/>
        </w:rPr>
        <w:t>security</w:t>
      </w:r>
      <w:r w:rsidR="003B7D0E">
        <w:rPr>
          <w:rFonts w:ascii="Times New Roman" w:hAnsi="Times New Roman" w:cs="Times New Roman"/>
          <w:sz w:val="24"/>
          <w:szCs w:val="24"/>
        </w:rPr>
        <w:t xml:space="preserve"> of the Union can only be ensured when citizens are confident that their fundamental rights are fully respected.</w:t>
      </w:r>
    </w:p>
    <w:p w14:paraId="52B965B6" w14:textId="063CF006" w:rsidR="003B7D0E" w:rsidRPr="003B7D0E" w:rsidRDefault="003B7D0E" w:rsidP="003B7D0E">
      <w:pPr>
        <w:widowControl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EU</w:t>
      </w:r>
      <w:r w:rsidRPr="003B7D0E">
        <w:rPr>
          <w:rFonts w:ascii="Times New Roman" w:hAnsi="Times New Roman" w:cs="Times New Roman"/>
          <w:sz w:val="24"/>
          <w:szCs w:val="24"/>
        </w:rPr>
        <w:t xml:space="preserve"> ha</w:t>
      </w:r>
      <w:r>
        <w:rPr>
          <w:rFonts w:ascii="Times New Roman" w:hAnsi="Times New Roman" w:cs="Times New Roman"/>
          <w:sz w:val="24"/>
          <w:szCs w:val="24"/>
        </w:rPr>
        <w:t>s</w:t>
      </w:r>
      <w:r w:rsidRPr="003B7D0E">
        <w:rPr>
          <w:rFonts w:ascii="Times New Roman" w:hAnsi="Times New Roman" w:cs="Times New Roman"/>
          <w:sz w:val="24"/>
          <w:szCs w:val="24"/>
        </w:rPr>
        <w:t xml:space="preserve"> worked to </w:t>
      </w:r>
      <w:r w:rsidRPr="003B7D0E">
        <w:rPr>
          <w:rFonts w:ascii="Times New Roman" w:hAnsi="Times New Roman" w:cs="Times New Roman"/>
          <w:b/>
          <w:sz w:val="24"/>
          <w:szCs w:val="24"/>
        </w:rPr>
        <w:t>counter terrorism</w:t>
      </w:r>
      <w:r w:rsidRPr="003B7D0E">
        <w:rPr>
          <w:rFonts w:ascii="Times New Roman" w:hAnsi="Times New Roman" w:cs="Times New Roman"/>
          <w:sz w:val="24"/>
          <w:szCs w:val="24"/>
        </w:rPr>
        <w:t xml:space="preserve"> by closing down the space in which terrorists operate, with new rules </w:t>
      </w:r>
      <w:r w:rsidR="00A442B6">
        <w:rPr>
          <w:rFonts w:ascii="Times New Roman" w:hAnsi="Times New Roman" w:cs="Times New Roman"/>
          <w:sz w:val="24"/>
          <w:szCs w:val="24"/>
        </w:rPr>
        <w:t>making</w:t>
      </w:r>
      <w:r w:rsidRPr="003B7D0E">
        <w:rPr>
          <w:rFonts w:ascii="Times New Roman" w:hAnsi="Times New Roman" w:cs="Times New Roman"/>
          <w:sz w:val="24"/>
          <w:szCs w:val="24"/>
        </w:rPr>
        <w:t xml:space="preserve"> it harder for them to access explosives, firearms and financing, and to restrict their movements.</w:t>
      </w:r>
      <w:r>
        <w:rPr>
          <w:rFonts w:ascii="Times New Roman" w:hAnsi="Times New Roman" w:cs="Times New Roman"/>
          <w:sz w:val="24"/>
          <w:szCs w:val="24"/>
        </w:rPr>
        <w:t xml:space="preserve"> The EU</w:t>
      </w:r>
      <w:r w:rsidRPr="003B7D0E">
        <w:rPr>
          <w:rFonts w:ascii="Times New Roman" w:hAnsi="Times New Roman" w:cs="Times New Roman"/>
          <w:sz w:val="24"/>
          <w:szCs w:val="24"/>
        </w:rPr>
        <w:t xml:space="preserve"> ha</w:t>
      </w:r>
      <w:r>
        <w:rPr>
          <w:rFonts w:ascii="Times New Roman" w:hAnsi="Times New Roman" w:cs="Times New Roman"/>
          <w:sz w:val="24"/>
          <w:szCs w:val="24"/>
        </w:rPr>
        <w:t>s</w:t>
      </w:r>
      <w:r w:rsidRPr="003B7D0E">
        <w:rPr>
          <w:rFonts w:ascii="Times New Roman" w:hAnsi="Times New Roman" w:cs="Times New Roman"/>
          <w:sz w:val="24"/>
          <w:szCs w:val="24"/>
        </w:rPr>
        <w:t xml:space="preserve"> stepped up </w:t>
      </w:r>
      <w:r w:rsidRPr="003B7D0E">
        <w:rPr>
          <w:rFonts w:ascii="Times New Roman" w:hAnsi="Times New Roman" w:cs="Times New Roman"/>
          <w:b/>
          <w:sz w:val="24"/>
          <w:szCs w:val="24"/>
        </w:rPr>
        <w:t>information exchange</w:t>
      </w:r>
      <w:r>
        <w:rPr>
          <w:rFonts w:ascii="Times New Roman" w:hAnsi="Times New Roman" w:cs="Times New Roman"/>
          <w:sz w:val="24"/>
          <w:szCs w:val="24"/>
        </w:rPr>
        <w:t xml:space="preserve"> to provide </w:t>
      </w:r>
      <w:r w:rsidRPr="003B7D0E">
        <w:rPr>
          <w:rFonts w:ascii="Times New Roman" w:hAnsi="Times New Roman" w:cs="Times New Roman"/>
          <w:sz w:val="24"/>
          <w:szCs w:val="24"/>
        </w:rPr>
        <w:t xml:space="preserve">those on the frontline, police officers and border guards, with efficient access to accurate and complete data, making best use of existing information and closing gaps and blind spots. </w:t>
      </w:r>
      <w:r w:rsidR="007B35A1" w:rsidRPr="007B35A1">
        <w:rPr>
          <w:rFonts w:ascii="Times New Roman" w:hAnsi="Times New Roman" w:cs="Times New Roman"/>
          <w:sz w:val="24"/>
          <w:szCs w:val="24"/>
        </w:rPr>
        <w:t xml:space="preserve">Strong protection of the external borders is a precondition for security in the area of free movement without internal border controls. In March 2019, the European Parliament and the Council reached agreement on a further strengthened and fully equipped </w:t>
      </w:r>
      <w:r w:rsidR="007B35A1" w:rsidRPr="000D0DAA">
        <w:rPr>
          <w:rFonts w:ascii="Times New Roman" w:hAnsi="Times New Roman" w:cs="Times New Roman"/>
          <w:b/>
          <w:sz w:val="24"/>
          <w:szCs w:val="24"/>
        </w:rPr>
        <w:t>European Border and Coast Guard</w:t>
      </w:r>
      <w:r w:rsidR="007B35A1" w:rsidRPr="007B35A1">
        <w:rPr>
          <w:rFonts w:ascii="Times New Roman" w:hAnsi="Times New Roman" w:cs="Times New Roman"/>
          <w:sz w:val="24"/>
          <w:szCs w:val="24"/>
        </w:rPr>
        <w:t xml:space="preserve"> and the new Regulation is expected to enter into force in early December 2019.</w:t>
      </w:r>
      <w:r w:rsidR="007B35A1">
        <w:rPr>
          <w:rFonts w:ascii="Times New Roman" w:hAnsi="Times New Roman" w:cs="Times New Roman"/>
          <w:sz w:val="24"/>
          <w:szCs w:val="24"/>
        </w:rPr>
        <w:t xml:space="preserve"> </w:t>
      </w:r>
      <w:r>
        <w:rPr>
          <w:rFonts w:ascii="Times New Roman" w:hAnsi="Times New Roman" w:cs="Times New Roman"/>
          <w:sz w:val="24"/>
          <w:szCs w:val="24"/>
        </w:rPr>
        <w:t>The EU has provided a platform and funding for t</w:t>
      </w:r>
      <w:r w:rsidRPr="003B7D0E">
        <w:rPr>
          <w:rFonts w:ascii="Times New Roman" w:hAnsi="Times New Roman" w:cs="Times New Roman"/>
          <w:sz w:val="24"/>
          <w:szCs w:val="24"/>
        </w:rPr>
        <w:t xml:space="preserve">hose </w:t>
      </w:r>
      <w:r>
        <w:rPr>
          <w:rFonts w:ascii="Times New Roman" w:hAnsi="Times New Roman" w:cs="Times New Roman"/>
          <w:sz w:val="24"/>
          <w:szCs w:val="24"/>
        </w:rPr>
        <w:t xml:space="preserve">working </w:t>
      </w:r>
      <w:r w:rsidRPr="003B7D0E">
        <w:rPr>
          <w:rFonts w:ascii="Times New Roman" w:hAnsi="Times New Roman" w:cs="Times New Roman"/>
          <w:sz w:val="24"/>
          <w:szCs w:val="24"/>
        </w:rPr>
        <w:t xml:space="preserve">in </w:t>
      </w:r>
      <w:r>
        <w:rPr>
          <w:rFonts w:ascii="Times New Roman" w:hAnsi="Times New Roman" w:cs="Times New Roman"/>
          <w:sz w:val="24"/>
          <w:szCs w:val="24"/>
        </w:rPr>
        <w:t xml:space="preserve">local communities </w:t>
      </w:r>
      <w:r w:rsidR="00A442B6">
        <w:rPr>
          <w:rFonts w:ascii="Times New Roman" w:hAnsi="Times New Roman" w:cs="Times New Roman"/>
          <w:sz w:val="24"/>
          <w:szCs w:val="24"/>
        </w:rPr>
        <w:t xml:space="preserve">to exchange best practices </w:t>
      </w:r>
      <w:r>
        <w:rPr>
          <w:rFonts w:ascii="Times New Roman" w:hAnsi="Times New Roman" w:cs="Times New Roman"/>
          <w:sz w:val="24"/>
          <w:szCs w:val="24"/>
        </w:rPr>
        <w:t>on</w:t>
      </w:r>
      <w:r w:rsidRPr="003B7D0E">
        <w:rPr>
          <w:rFonts w:ascii="Times New Roman" w:hAnsi="Times New Roman" w:cs="Times New Roman"/>
          <w:sz w:val="24"/>
          <w:szCs w:val="24"/>
        </w:rPr>
        <w:t xml:space="preserve"> </w:t>
      </w:r>
      <w:r w:rsidRPr="003B7D0E">
        <w:rPr>
          <w:rFonts w:ascii="Times New Roman" w:hAnsi="Times New Roman" w:cs="Times New Roman"/>
          <w:b/>
          <w:sz w:val="24"/>
          <w:szCs w:val="24"/>
        </w:rPr>
        <w:t>countering radicalisation</w:t>
      </w:r>
      <w:r w:rsidR="00D45F94">
        <w:rPr>
          <w:rFonts w:ascii="Times New Roman" w:hAnsi="Times New Roman" w:cs="Times New Roman"/>
          <w:b/>
          <w:sz w:val="24"/>
          <w:szCs w:val="24"/>
        </w:rPr>
        <w:t xml:space="preserve"> </w:t>
      </w:r>
      <w:r w:rsidR="00D45F94" w:rsidRPr="00D45F94">
        <w:rPr>
          <w:rFonts w:ascii="Times New Roman" w:hAnsi="Times New Roman" w:cs="Times New Roman"/>
          <w:b/>
          <w:sz w:val="24"/>
          <w:szCs w:val="24"/>
        </w:rPr>
        <w:t>and preventing violent extremism</w:t>
      </w:r>
      <w:r>
        <w:rPr>
          <w:rFonts w:ascii="Times New Roman" w:hAnsi="Times New Roman" w:cs="Times New Roman"/>
          <w:sz w:val="24"/>
          <w:szCs w:val="24"/>
        </w:rPr>
        <w:t>,</w:t>
      </w:r>
      <w:r w:rsidRPr="003B7D0E">
        <w:rPr>
          <w:rFonts w:ascii="Times New Roman" w:hAnsi="Times New Roman" w:cs="Times New Roman"/>
          <w:sz w:val="24"/>
          <w:szCs w:val="24"/>
        </w:rPr>
        <w:t xml:space="preserve"> as well as proposing new rules to effectively remov</w:t>
      </w:r>
      <w:r>
        <w:rPr>
          <w:rFonts w:ascii="Times New Roman" w:hAnsi="Times New Roman" w:cs="Times New Roman"/>
          <w:sz w:val="24"/>
          <w:szCs w:val="24"/>
        </w:rPr>
        <w:t>e terrorist content online</w:t>
      </w:r>
      <w:r w:rsidRPr="003B7D0E">
        <w:rPr>
          <w:rFonts w:ascii="Times New Roman" w:hAnsi="Times New Roman" w:cs="Times New Roman"/>
          <w:sz w:val="24"/>
          <w:szCs w:val="24"/>
        </w:rPr>
        <w:t>.</w:t>
      </w:r>
      <w:r>
        <w:rPr>
          <w:rFonts w:ascii="Times New Roman" w:hAnsi="Times New Roman" w:cs="Times New Roman"/>
          <w:sz w:val="24"/>
          <w:szCs w:val="24"/>
        </w:rPr>
        <w:t xml:space="preserve"> EU support has helped </w:t>
      </w:r>
      <w:r w:rsidRPr="003B7D0E">
        <w:rPr>
          <w:rFonts w:ascii="Times New Roman" w:hAnsi="Times New Roman" w:cs="Times New Roman"/>
          <w:b/>
          <w:sz w:val="24"/>
          <w:szCs w:val="24"/>
        </w:rPr>
        <w:t>make cities more resilient</w:t>
      </w:r>
      <w:r w:rsidRPr="003B7D0E">
        <w:rPr>
          <w:rFonts w:ascii="Times New Roman" w:hAnsi="Times New Roman" w:cs="Times New Roman"/>
          <w:sz w:val="24"/>
          <w:szCs w:val="24"/>
        </w:rPr>
        <w:t xml:space="preserve"> against attacks, with action plans to support the protection of public spaces and to enhance preparedness against chemical, biological, radiological and nuclear security risks.</w:t>
      </w:r>
      <w:r>
        <w:rPr>
          <w:rFonts w:ascii="Times New Roman" w:hAnsi="Times New Roman" w:cs="Times New Roman"/>
          <w:sz w:val="24"/>
          <w:szCs w:val="24"/>
        </w:rPr>
        <w:t xml:space="preserve"> The EU has addressed</w:t>
      </w:r>
      <w:r w:rsidRPr="003B7D0E">
        <w:rPr>
          <w:rFonts w:ascii="Times New Roman" w:hAnsi="Times New Roman" w:cs="Times New Roman"/>
          <w:sz w:val="24"/>
          <w:szCs w:val="24"/>
        </w:rPr>
        <w:t xml:space="preserve"> </w:t>
      </w:r>
      <w:r w:rsidRPr="003B7D0E">
        <w:rPr>
          <w:rFonts w:ascii="Times New Roman" w:hAnsi="Times New Roman" w:cs="Times New Roman"/>
          <w:b/>
          <w:sz w:val="24"/>
          <w:szCs w:val="24"/>
        </w:rPr>
        <w:t>cyber</w:t>
      </w:r>
      <w:r w:rsidR="00FA3706">
        <w:rPr>
          <w:rFonts w:ascii="Times New Roman" w:hAnsi="Times New Roman" w:cs="Times New Roman"/>
          <w:b/>
          <w:sz w:val="24"/>
          <w:szCs w:val="24"/>
        </w:rPr>
        <w:t>security</w:t>
      </w:r>
      <w:r w:rsidRPr="003B7D0E">
        <w:rPr>
          <w:rFonts w:ascii="Times New Roman" w:hAnsi="Times New Roman" w:cs="Times New Roman"/>
          <w:b/>
          <w:sz w:val="24"/>
          <w:szCs w:val="24"/>
        </w:rPr>
        <w:t xml:space="preserve"> and cyber-enabled threats</w:t>
      </w:r>
      <w:r w:rsidRPr="003B7D0E">
        <w:rPr>
          <w:rFonts w:ascii="Times New Roman" w:hAnsi="Times New Roman" w:cs="Times New Roman"/>
          <w:sz w:val="24"/>
          <w:szCs w:val="24"/>
        </w:rPr>
        <w:t xml:space="preserve">, </w:t>
      </w:r>
      <w:r w:rsidR="00455406">
        <w:rPr>
          <w:rFonts w:ascii="Times New Roman" w:hAnsi="Times New Roman" w:cs="Times New Roman"/>
          <w:sz w:val="24"/>
          <w:szCs w:val="24"/>
        </w:rPr>
        <w:t xml:space="preserve">by </w:t>
      </w:r>
      <w:r w:rsidRPr="003B7D0E">
        <w:rPr>
          <w:rFonts w:ascii="Times New Roman" w:hAnsi="Times New Roman" w:cs="Times New Roman"/>
          <w:sz w:val="24"/>
          <w:szCs w:val="24"/>
        </w:rPr>
        <w:t>putting in place a new EU cybersecurity strategy</w:t>
      </w:r>
      <w:r w:rsidR="00A11006">
        <w:rPr>
          <w:rFonts w:ascii="Times New Roman" w:hAnsi="Times New Roman" w:cs="Times New Roman"/>
          <w:sz w:val="24"/>
          <w:szCs w:val="24"/>
        </w:rPr>
        <w:t xml:space="preserve"> </w:t>
      </w:r>
      <w:r w:rsidR="00F117C0">
        <w:rPr>
          <w:rFonts w:ascii="Times New Roman" w:hAnsi="Times New Roman" w:cs="Times New Roman"/>
          <w:sz w:val="24"/>
          <w:szCs w:val="24"/>
        </w:rPr>
        <w:t xml:space="preserve">and </w:t>
      </w:r>
      <w:r w:rsidR="00822CC1">
        <w:rPr>
          <w:rFonts w:ascii="Times New Roman" w:hAnsi="Times New Roman" w:cs="Times New Roman"/>
          <w:sz w:val="24"/>
          <w:szCs w:val="24"/>
        </w:rPr>
        <w:t>adopting</w:t>
      </w:r>
      <w:r w:rsidR="00455406">
        <w:rPr>
          <w:rFonts w:ascii="Times New Roman" w:hAnsi="Times New Roman" w:cs="Times New Roman"/>
          <w:sz w:val="24"/>
          <w:szCs w:val="24"/>
        </w:rPr>
        <w:t xml:space="preserve"> </w:t>
      </w:r>
      <w:r w:rsidR="005D61D7">
        <w:rPr>
          <w:rFonts w:ascii="Times New Roman" w:hAnsi="Times New Roman" w:cs="Times New Roman"/>
          <w:sz w:val="24"/>
          <w:szCs w:val="24"/>
        </w:rPr>
        <w:t xml:space="preserve">relevant </w:t>
      </w:r>
      <w:r w:rsidR="00455406">
        <w:rPr>
          <w:rFonts w:ascii="Times New Roman" w:hAnsi="Times New Roman" w:cs="Times New Roman"/>
          <w:sz w:val="24"/>
          <w:szCs w:val="24"/>
        </w:rPr>
        <w:t>legislation</w:t>
      </w:r>
      <w:r w:rsidR="007D33AA">
        <w:rPr>
          <w:rFonts w:ascii="Times New Roman" w:hAnsi="Times New Roman" w:cs="Times New Roman"/>
          <w:sz w:val="24"/>
          <w:szCs w:val="24"/>
        </w:rPr>
        <w:t>,</w:t>
      </w:r>
      <w:r w:rsidR="0045540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B7D0E">
        <w:rPr>
          <w:rFonts w:ascii="Times New Roman" w:hAnsi="Times New Roman" w:cs="Times New Roman"/>
          <w:sz w:val="24"/>
          <w:szCs w:val="24"/>
        </w:rPr>
        <w:t>tackl</w:t>
      </w:r>
      <w:r>
        <w:rPr>
          <w:rFonts w:ascii="Times New Roman" w:hAnsi="Times New Roman" w:cs="Times New Roman"/>
          <w:sz w:val="24"/>
          <w:szCs w:val="24"/>
        </w:rPr>
        <w:t>ing</w:t>
      </w:r>
      <w:r w:rsidRPr="003B7D0E">
        <w:rPr>
          <w:rFonts w:ascii="Times New Roman" w:hAnsi="Times New Roman" w:cs="Times New Roman"/>
          <w:sz w:val="24"/>
          <w:szCs w:val="24"/>
        </w:rPr>
        <w:t xml:space="preserve"> </w:t>
      </w:r>
      <w:r w:rsidRPr="003B7D0E">
        <w:rPr>
          <w:rFonts w:ascii="Times New Roman" w:hAnsi="Times New Roman" w:cs="Times New Roman"/>
          <w:b/>
          <w:sz w:val="24"/>
          <w:szCs w:val="24"/>
        </w:rPr>
        <w:t>disinformation</w:t>
      </w:r>
      <w:r w:rsidRPr="003B7D0E">
        <w:rPr>
          <w:rFonts w:ascii="Times New Roman" w:hAnsi="Times New Roman" w:cs="Times New Roman"/>
          <w:sz w:val="24"/>
          <w:szCs w:val="24"/>
        </w:rPr>
        <w:t xml:space="preserve"> </w:t>
      </w:r>
      <w:r>
        <w:rPr>
          <w:rFonts w:ascii="Times New Roman" w:hAnsi="Times New Roman" w:cs="Times New Roman"/>
          <w:sz w:val="24"/>
          <w:szCs w:val="24"/>
        </w:rPr>
        <w:t xml:space="preserve">to better protect our elections. </w:t>
      </w:r>
      <w:r w:rsidR="00A442B6">
        <w:rPr>
          <w:rFonts w:ascii="Times New Roman" w:hAnsi="Times New Roman" w:cs="Times New Roman"/>
          <w:sz w:val="24"/>
          <w:szCs w:val="24"/>
        </w:rPr>
        <w:t>W</w:t>
      </w:r>
      <w:r>
        <w:rPr>
          <w:rFonts w:ascii="Times New Roman" w:hAnsi="Times New Roman" w:cs="Times New Roman"/>
          <w:sz w:val="24"/>
          <w:szCs w:val="24"/>
        </w:rPr>
        <w:t xml:space="preserve">ork </w:t>
      </w:r>
      <w:r w:rsidR="00927647">
        <w:rPr>
          <w:rFonts w:ascii="Times New Roman" w:hAnsi="Times New Roman" w:cs="Times New Roman"/>
          <w:sz w:val="24"/>
          <w:szCs w:val="24"/>
        </w:rPr>
        <w:t>continues</w:t>
      </w:r>
      <w:r>
        <w:rPr>
          <w:rFonts w:ascii="Times New Roman" w:hAnsi="Times New Roman" w:cs="Times New Roman"/>
          <w:sz w:val="24"/>
          <w:szCs w:val="24"/>
        </w:rPr>
        <w:t xml:space="preserve"> to</w:t>
      </w:r>
      <w:r w:rsidRPr="003B7D0E">
        <w:rPr>
          <w:rFonts w:ascii="Times New Roman" w:hAnsi="Times New Roman" w:cs="Times New Roman"/>
          <w:sz w:val="24"/>
          <w:szCs w:val="24"/>
        </w:rPr>
        <w:t xml:space="preserve"> strengthen the security of our </w:t>
      </w:r>
      <w:r w:rsidRPr="003B7D0E">
        <w:rPr>
          <w:rFonts w:ascii="Times New Roman" w:hAnsi="Times New Roman" w:cs="Times New Roman"/>
          <w:b/>
          <w:sz w:val="24"/>
          <w:szCs w:val="24"/>
        </w:rPr>
        <w:t>digital critical infrastructure</w:t>
      </w:r>
      <w:r w:rsidRPr="003B7D0E">
        <w:rPr>
          <w:rFonts w:ascii="Times New Roman" w:hAnsi="Times New Roman" w:cs="Times New Roman"/>
          <w:sz w:val="24"/>
          <w:szCs w:val="24"/>
        </w:rPr>
        <w:t xml:space="preserve">, including reinforced cooperation on the </w:t>
      </w:r>
      <w:r w:rsidR="00FE2296" w:rsidRPr="00B7715D">
        <w:rPr>
          <w:rFonts w:ascii="Times New Roman" w:hAnsi="Times New Roman" w:cs="Times New Roman"/>
          <w:b/>
          <w:sz w:val="24"/>
          <w:szCs w:val="24"/>
        </w:rPr>
        <w:t>cyber</w:t>
      </w:r>
      <w:r w:rsidRPr="00FE2296">
        <w:rPr>
          <w:rFonts w:ascii="Times New Roman" w:hAnsi="Times New Roman" w:cs="Times New Roman"/>
          <w:b/>
          <w:sz w:val="24"/>
          <w:szCs w:val="24"/>
        </w:rPr>
        <w:t>security</w:t>
      </w:r>
      <w:r w:rsidRPr="005D09FC">
        <w:rPr>
          <w:rFonts w:ascii="Times New Roman" w:hAnsi="Times New Roman" w:cs="Times New Roman"/>
          <w:b/>
          <w:sz w:val="24"/>
          <w:szCs w:val="24"/>
        </w:rPr>
        <w:t xml:space="preserve"> of 5G networks</w:t>
      </w:r>
      <w:r w:rsidRPr="003B7D0E">
        <w:rPr>
          <w:rFonts w:ascii="Times New Roman" w:hAnsi="Times New Roman" w:cs="Times New Roman"/>
          <w:sz w:val="24"/>
          <w:szCs w:val="24"/>
        </w:rPr>
        <w:t xml:space="preserve"> across Europe.</w:t>
      </w:r>
    </w:p>
    <w:p w14:paraId="2D7FDDEC" w14:textId="33E05A69" w:rsidR="003B7D0E" w:rsidRDefault="003B7D0E" w:rsidP="00635345">
      <w:pPr>
        <w:widowControl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More still remains to be done. The live-streamed attack against a </w:t>
      </w:r>
      <w:r w:rsidRPr="003B7D0E">
        <w:rPr>
          <w:rFonts w:ascii="Times New Roman" w:hAnsi="Times New Roman" w:cs="Times New Roman"/>
          <w:sz w:val="24"/>
          <w:szCs w:val="24"/>
        </w:rPr>
        <w:t>synagogue</w:t>
      </w:r>
      <w:r>
        <w:rPr>
          <w:rFonts w:ascii="Times New Roman" w:hAnsi="Times New Roman" w:cs="Times New Roman"/>
          <w:sz w:val="24"/>
          <w:szCs w:val="24"/>
        </w:rPr>
        <w:t xml:space="preserve"> and the killing of two citizens in Halle</w:t>
      </w:r>
      <w:r w:rsidR="006217E7">
        <w:rPr>
          <w:rFonts w:ascii="Times New Roman" w:hAnsi="Times New Roman" w:cs="Times New Roman"/>
          <w:sz w:val="24"/>
          <w:szCs w:val="24"/>
        </w:rPr>
        <w:t>, Germany</w:t>
      </w:r>
      <w:r>
        <w:rPr>
          <w:rFonts w:ascii="Times New Roman" w:hAnsi="Times New Roman" w:cs="Times New Roman"/>
          <w:sz w:val="24"/>
          <w:szCs w:val="24"/>
        </w:rPr>
        <w:t xml:space="preserve"> on 9 October 2019 was a shocking reminder of the threat posed by right-wing </w:t>
      </w:r>
      <w:r w:rsidR="00572C73">
        <w:rPr>
          <w:rFonts w:ascii="Times New Roman" w:hAnsi="Times New Roman" w:cs="Times New Roman"/>
          <w:sz w:val="24"/>
          <w:szCs w:val="24"/>
        </w:rPr>
        <w:t xml:space="preserve">violent </w:t>
      </w:r>
      <w:r>
        <w:rPr>
          <w:rFonts w:ascii="Times New Roman" w:hAnsi="Times New Roman" w:cs="Times New Roman"/>
          <w:sz w:val="24"/>
          <w:szCs w:val="24"/>
        </w:rPr>
        <w:t>extremism</w:t>
      </w:r>
      <w:r w:rsidR="00040016">
        <w:rPr>
          <w:rFonts w:ascii="Times New Roman" w:hAnsi="Times New Roman" w:cs="Times New Roman"/>
          <w:sz w:val="24"/>
          <w:szCs w:val="24"/>
        </w:rPr>
        <w:t xml:space="preserve"> and anti-Semitism</w:t>
      </w:r>
      <w:r w:rsidR="001221C0">
        <w:rPr>
          <w:rFonts w:ascii="Times New Roman" w:hAnsi="Times New Roman" w:cs="Times New Roman"/>
          <w:sz w:val="24"/>
          <w:szCs w:val="24"/>
        </w:rPr>
        <w:t xml:space="preserve">. It also </w:t>
      </w:r>
      <w:r>
        <w:rPr>
          <w:rFonts w:ascii="Times New Roman" w:hAnsi="Times New Roman" w:cs="Times New Roman"/>
          <w:sz w:val="24"/>
          <w:szCs w:val="24"/>
        </w:rPr>
        <w:t>highlight</w:t>
      </w:r>
      <w:r w:rsidR="001221C0">
        <w:rPr>
          <w:rFonts w:ascii="Times New Roman" w:hAnsi="Times New Roman" w:cs="Times New Roman"/>
          <w:sz w:val="24"/>
          <w:szCs w:val="24"/>
        </w:rPr>
        <w:t>ed</w:t>
      </w:r>
      <w:r>
        <w:rPr>
          <w:rFonts w:ascii="Times New Roman" w:hAnsi="Times New Roman" w:cs="Times New Roman"/>
          <w:sz w:val="24"/>
          <w:szCs w:val="24"/>
        </w:rPr>
        <w:t xml:space="preserve"> once again the misuse of the internet for terrorist propaganda and hence the </w:t>
      </w:r>
      <w:r w:rsidRPr="003B7D0E">
        <w:rPr>
          <w:rFonts w:ascii="Times New Roman" w:hAnsi="Times New Roman" w:cs="Times New Roman"/>
          <w:b/>
          <w:sz w:val="24"/>
          <w:szCs w:val="24"/>
        </w:rPr>
        <w:t>need for EU-wide rules for the deletion of terrorist content online</w:t>
      </w:r>
      <w:r>
        <w:rPr>
          <w:rFonts w:ascii="Times New Roman" w:hAnsi="Times New Roman" w:cs="Times New Roman"/>
          <w:sz w:val="24"/>
          <w:szCs w:val="24"/>
        </w:rPr>
        <w:t>.</w:t>
      </w:r>
      <w:r w:rsidR="00635345">
        <w:rPr>
          <w:rFonts w:ascii="Times New Roman" w:hAnsi="Times New Roman" w:cs="Times New Roman"/>
          <w:sz w:val="24"/>
          <w:szCs w:val="24"/>
        </w:rPr>
        <w:t xml:space="preserve"> The 7</w:t>
      </w:r>
      <w:r w:rsidR="00B81216">
        <w:rPr>
          <w:rFonts w:ascii="Times New Roman" w:hAnsi="Times New Roman" w:cs="Times New Roman"/>
          <w:sz w:val="24"/>
          <w:szCs w:val="24"/>
        </w:rPr>
        <w:t>-</w:t>
      </w:r>
      <w:r w:rsidR="00635345">
        <w:rPr>
          <w:rFonts w:ascii="Times New Roman" w:hAnsi="Times New Roman" w:cs="Times New Roman"/>
          <w:sz w:val="24"/>
          <w:szCs w:val="24"/>
        </w:rPr>
        <w:t xml:space="preserve">8 October 2019 Justice and Home Affairs Council </w:t>
      </w:r>
      <w:r w:rsidR="00455406">
        <w:rPr>
          <w:rFonts w:ascii="Times New Roman" w:hAnsi="Times New Roman" w:cs="Times New Roman"/>
          <w:sz w:val="24"/>
          <w:szCs w:val="24"/>
        </w:rPr>
        <w:t>debated</w:t>
      </w:r>
      <w:r w:rsidR="00455406" w:rsidRPr="00635345">
        <w:rPr>
          <w:rFonts w:ascii="Times New Roman" w:hAnsi="Times New Roman" w:cs="Times New Roman"/>
          <w:sz w:val="24"/>
          <w:szCs w:val="24"/>
        </w:rPr>
        <w:t xml:space="preserve"> </w:t>
      </w:r>
      <w:r w:rsidR="00635345" w:rsidRPr="00635345">
        <w:rPr>
          <w:rFonts w:ascii="Times New Roman" w:hAnsi="Times New Roman" w:cs="Times New Roman"/>
          <w:sz w:val="24"/>
          <w:szCs w:val="24"/>
        </w:rPr>
        <w:t>right-wing violent extremism and terrorism</w:t>
      </w:r>
      <w:r w:rsidR="00635345">
        <w:rPr>
          <w:rFonts w:ascii="Times New Roman" w:hAnsi="Times New Roman" w:cs="Times New Roman"/>
          <w:sz w:val="24"/>
          <w:szCs w:val="24"/>
        </w:rPr>
        <w:t xml:space="preserve">, stressing the need for further work including on countering </w:t>
      </w:r>
      <w:r w:rsidR="00635345" w:rsidRPr="00635345">
        <w:rPr>
          <w:rFonts w:ascii="Times New Roman" w:hAnsi="Times New Roman" w:cs="Times New Roman"/>
          <w:sz w:val="24"/>
          <w:szCs w:val="24"/>
        </w:rPr>
        <w:t>the spread of unlawful right-wing extremist content online and offli</w:t>
      </w:r>
      <w:r w:rsidR="00635345">
        <w:rPr>
          <w:rFonts w:ascii="Times New Roman" w:hAnsi="Times New Roman" w:cs="Times New Roman"/>
          <w:sz w:val="24"/>
          <w:szCs w:val="24"/>
        </w:rPr>
        <w:t>ne.</w:t>
      </w:r>
      <w:r>
        <w:rPr>
          <w:rFonts w:ascii="Times New Roman" w:hAnsi="Times New Roman" w:cs="Times New Roman"/>
          <w:sz w:val="24"/>
          <w:szCs w:val="24"/>
        </w:rPr>
        <w:t xml:space="preserve"> At the same time, the killing of three police</w:t>
      </w:r>
      <w:r w:rsidRPr="003B7D0E">
        <w:rPr>
          <w:rFonts w:ascii="Times New Roman" w:hAnsi="Times New Roman" w:cs="Times New Roman"/>
          <w:sz w:val="24"/>
          <w:szCs w:val="24"/>
        </w:rPr>
        <w:t xml:space="preserve"> officers</w:t>
      </w:r>
      <w:r>
        <w:rPr>
          <w:rFonts w:ascii="Times New Roman" w:hAnsi="Times New Roman" w:cs="Times New Roman"/>
          <w:sz w:val="24"/>
          <w:szCs w:val="24"/>
        </w:rPr>
        <w:t xml:space="preserve"> and</w:t>
      </w:r>
      <w:r w:rsidRPr="003B7D0E">
        <w:rPr>
          <w:rFonts w:ascii="Times New Roman" w:hAnsi="Times New Roman" w:cs="Times New Roman"/>
          <w:sz w:val="24"/>
          <w:szCs w:val="24"/>
        </w:rPr>
        <w:t xml:space="preserve"> another staff member</w:t>
      </w:r>
      <w:r>
        <w:rPr>
          <w:rFonts w:ascii="Times New Roman" w:hAnsi="Times New Roman" w:cs="Times New Roman"/>
          <w:sz w:val="24"/>
          <w:szCs w:val="24"/>
        </w:rPr>
        <w:t xml:space="preserve"> in the </w:t>
      </w:r>
      <w:r w:rsidRPr="003B7D0E">
        <w:rPr>
          <w:rFonts w:ascii="Times New Roman" w:hAnsi="Times New Roman" w:cs="Times New Roman"/>
          <w:sz w:val="24"/>
          <w:szCs w:val="24"/>
        </w:rPr>
        <w:t>Paris police headquarters</w:t>
      </w:r>
      <w:r>
        <w:rPr>
          <w:rFonts w:ascii="Times New Roman" w:hAnsi="Times New Roman" w:cs="Times New Roman"/>
          <w:sz w:val="24"/>
          <w:szCs w:val="24"/>
        </w:rPr>
        <w:t xml:space="preserve"> on 3 October 2019 shows that the threat from jihadi inspired terrorism remains real</w:t>
      </w:r>
      <w:r w:rsidR="005B5E2B">
        <w:rPr>
          <w:rFonts w:ascii="Times New Roman" w:hAnsi="Times New Roman" w:cs="Times New Roman"/>
          <w:sz w:val="24"/>
          <w:szCs w:val="24"/>
        </w:rPr>
        <w:t>, and</w:t>
      </w:r>
      <w:r w:rsidR="00680251">
        <w:rPr>
          <w:rFonts w:ascii="Times New Roman" w:hAnsi="Times New Roman" w:cs="Times New Roman"/>
          <w:sz w:val="24"/>
          <w:szCs w:val="24"/>
        </w:rPr>
        <w:t xml:space="preserve"> that</w:t>
      </w:r>
      <w:r w:rsidR="005B5E2B">
        <w:rPr>
          <w:rFonts w:ascii="Times New Roman" w:hAnsi="Times New Roman" w:cs="Times New Roman"/>
          <w:sz w:val="24"/>
          <w:szCs w:val="24"/>
        </w:rPr>
        <w:t xml:space="preserve"> on-going efforts to support Member States in addressing this threat need to continue</w:t>
      </w:r>
      <w:r w:rsidRPr="00B81216">
        <w:rPr>
          <w:rFonts w:ascii="Times New Roman" w:hAnsi="Times New Roman" w:cs="Times New Roman"/>
          <w:sz w:val="24"/>
          <w:szCs w:val="24"/>
        </w:rPr>
        <w:t xml:space="preserve">. </w:t>
      </w:r>
      <w:r w:rsidR="00B81216" w:rsidRPr="00B81216">
        <w:rPr>
          <w:rFonts w:ascii="Times New Roman" w:hAnsi="Times New Roman" w:cs="Times New Roman"/>
          <w:sz w:val="24"/>
          <w:szCs w:val="24"/>
        </w:rPr>
        <w:t>T</w:t>
      </w:r>
      <w:r w:rsidRPr="00B81216">
        <w:rPr>
          <w:rFonts w:ascii="Times New Roman" w:hAnsi="Times New Roman" w:cs="Times New Roman"/>
          <w:sz w:val="24"/>
          <w:szCs w:val="24"/>
        </w:rPr>
        <w:t>he escape of imprisoned members of ISIS/Da</w:t>
      </w:r>
      <w:r w:rsidR="00455406" w:rsidRPr="00B81216">
        <w:rPr>
          <w:rFonts w:ascii="Times New Roman" w:hAnsi="Times New Roman" w:cs="Times New Roman"/>
          <w:sz w:val="24"/>
          <w:szCs w:val="24"/>
        </w:rPr>
        <w:t>’</w:t>
      </w:r>
      <w:r w:rsidRPr="00B81216">
        <w:rPr>
          <w:rFonts w:ascii="Times New Roman" w:hAnsi="Times New Roman" w:cs="Times New Roman"/>
          <w:sz w:val="24"/>
          <w:szCs w:val="24"/>
        </w:rPr>
        <w:t xml:space="preserve">esh </w:t>
      </w:r>
      <w:r w:rsidR="00B81216" w:rsidRPr="00B81216">
        <w:rPr>
          <w:rFonts w:ascii="Times New Roman" w:hAnsi="Times New Roman" w:cs="Times New Roman"/>
          <w:sz w:val="24"/>
          <w:szCs w:val="24"/>
        </w:rPr>
        <w:t xml:space="preserve">in the context of recent events in Northern Syria </w:t>
      </w:r>
      <w:r w:rsidR="00A442B6" w:rsidRPr="00B81216">
        <w:rPr>
          <w:rFonts w:ascii="Times New Roman" w:hAnsi="Times New Roman" w:cs="Times New Roman"/>
          <w:sz w:val="24"/>
          <w:szCs w:val="24"/>
        </w:rPr>
        <w:t>could</w:t>
      </w:r>
      <w:r w:rsidRPr="00B81216">
        <w:rPr>
          <w:rFonts w:ascii="Times New Roman" w:hAnsi="Times New Roman" w:cs="Times New Roman"/>
          <w:sz w:val="24"/>
          <w:szCs w:val="24"/>
        </w:rPr>
        <w:t xml:space="preserve"> have a serious impact on security in Europe</w:t>
      </w:r>
      <w:r w:rsidR="00B57980" w:rsidRPr="00B81216">
        <w:rPr>
          <w:rFonts w:ascii="Times New Roman" w:hAnsi="Times New Roman" w:cs="Times New Roman"/>
          <w:sz w:val="24"/>
          <w:szCs w:val="24"/>
        </w:rPr>
        <w:t>.</w:t>
      </w:r>
      <w:r w:rsidR="00511BE3">
        <w:rPr>
          <w:rFonts w:ascii="Times New Roman" w:hAnsi="Times New Roman" w:cs="Times New Roman"/>
          <w:sz w:val="24"/>
          <w:szCs w:val="24"/>
        </w:rPr>
        <w:t xml:space="preserve"> It is </w:t>
      </w:r>
      <w:r w:rsidR="00FF19B1">
        <w:rPr>
          <w:rFonts w:ascii="Times New Roman" w:hAnsi="Times New Roman" w:cs="Times New Roman"/>
          <w:sz w:val="24"/>
          <w:szCs w:val="24"/>
        </w:rPr>
        <w:t>important</w:t>
      </w:r>
      <w:r w:rsidR="00511BE3">
        <w:rPr>
          <w:rFonts w:ascii="Times New Roman" w:hAnsi="Times New Roman" w:cs="Times New Roman"/>
          <w:sz w:val="24"/>
          <w:szCs w:val="24"/>
        </w:rPr>
        <w:t xml:space="preserve"> that Member States make full use of existing information systems to detect</w:t>
      </w:r>
      <w:r w:rsidR="00BD024E">
        <w:rPr>
          <w:rFonts w:ascii="Times New Roman" w:hAnsi="Times New Roman" w:cs="Times New Roman"/>
          <w:sz w:val="24"/>
          <w:szCs w:val="24"/>
        </w:rPr>
        <w:t xml:space="preserve"> and identify</w:t>
      </w:r>
      <w:r w:rsidR="00511BE3">
        <w:rPr>
          <w:rFonts w:ascii="Times New Roman" w:hAnsi="Times New Roman" w:cs="Times New Roman"/>
          <w:sz w:val="24"/>
          <w:szCs w:val="24"/>
        </w:rPr>
        <w:t xml:space="preserve"> foreign terrorist fighters </w:t>
      </w:r>
      <w:r w:rsidR="00BD024E">
        <w:rPr>
          <w:rFonts w:ascii="Times New Roman" w:hAnsi="Times New Roman" w:cs="Times New Roman"/>
          <w:sz w:val="24"/>
          <w:szCs w:val="24"/>
        </w:rPr>
        <w:t>when crossing the external border</w:t>
      </w:r>
      <w:r w:rsidR="009A7C0E">
        <w:rPr>
          <w:rFonts w:ascii="Times New Roman" w:hAnsi="Times New Roman" w:cs="Times New Roman"/>
          <w:sz w:val="24"/>
          <w:szCs w:val="24"/>
        </w:rPr>
        <w:t>s</w:t>
      </w:r>
      <w:r w:rsidR="00511BE3">
        <w:rPr>
          <w:rFonts w:ascii="Times New Roman" w:hAnsi="Times New Roman" w:cs="Times New Roman"/>
          <w:sz w:val="24"/>
          <w:szCs w:val="24"/>
        </w:rPr>
        <w:t>.</w:t>
      </w:r>
      <w:r w:rsidR="00B57980" w:rsidRPr="00B81216">
        <w:rPr>
          <w:rFonts w:ascii="Times New Roman" w:hAnsi="Times New Roman" w:cs="Times New Roman"/>
          <w:sz w:val="24"/>
          <w:szCs w:val="24"/>
        </w:rPr>
        <w:t xml:space="preserve"> </w:t>
      </w:r>
      <w:r w:rsidR="00BD024E">
        <w:rPr>
          <w:rFonts w:ascii="Times New Roman" w:hAnsi="Times New Roman" w:cs="Times New Roman"/>
          <w:sz w:val="24"/>
          <w:szCs w:val="24"/>
        </w:rPr>
        <w:t xml:space="preserve">Work is also on-going </w:t>
      </w:r>
      <w:r w:rsidR="00B27013">
        <w:rPr>
          <w:rFonts w:ascii="Times New Roman" w:hAnsi="Times New Roman" w:cs="Times New Roman"/>
          <w:sz w:val="24"/>
          <w:szCs w:val="24"/>
        </w:rPr>
        <w:t xml:space="preserve">on the use </w:t>
      </w:r>
      <w:r w:rsidR="00B27013" w:rsidRPr="00B27013">
        <w:rPr>
          <w:rFonts w:ascii="Times New Roman" w:hAnsi="Times New Roman" w:cs="Times New Roman"/>
          <w:sz w:val="24"/>
          <w:szCs w:val="24"/>
        </w:rPr>
        <w:t>of battlefield information to prosecute foreign terrorist fighter</w:t>
      </w:r>
      <w:r w:rsidR="00B27013">
        <w:rPr>
          <w:rFonts w:ascii="Times New Roman" w:hAnsi="Times New Roman" w:cs="Times New Roman"/>
          <w:sz w:val="24"/>
          <w:szCs w:val="24"/>
        </w:rPr>
        <w:t>s.</w:t>
      </w:r>
    </w:p>
    <w:p w14:paraId="1D71624E" w14:textId="22009001" w:rsidR="00455406" w:rsidRPr="00B7715D" w:rsidRDefault="003B7D0E" w:rsidP="00B7715D">
      <w:pPr>
        <w:pStyle w:val="NormalWeb"/>
        <w:jc w:val="both"/>
        <w:rPr>
          <w:lang w:val="en"/>
        </w:rPr>
      </w:pPr>
      <w:r>
        <w:t>This report sets out</w:t>
      </w:r>
      <w:r w:rsidR="00A442B6">
        <w:t xml:space="preserve"> the</w:t>
      </w:r>
      <w:r>
        <w:t xml:space="preserve"> recent progress made in the work towards an effective and genuine Security Union, highlighting areas where further action is needed. It p</w:t>
      </w:r>
      <w:r w:rsidRPr="00BB07D3">
        <w:t xml:space="preserve">rovides an update </w:t>
      </w:r>
      <w:r w:rsidR="005D09FC">
        <w:t xml:space="preserve">on </w:t>
      </w:r>
      <w:r w:rsidRPr="00BB07D3">
        <w:t xml:space="preserve">the implementation of </w:t>
      </w:r>
      <w:r>
        <w:t xml:space="preserve">agreed </w:t>
      </w:r>
      <w:r w:rsidRPr="00BB07D3">
        <w:t>measures</w:t>
      </w:r>
      <w:r>
        <w:t xml:space="preserve"> </w:t>
      </w:r>
      <w:r w:rsidRPr="00BB07D3">
        <w:t xml:space="preserve">on </w:t>
      </w:r>
      <w:r w:rsidRPr="003B7D0E">
        <w:rPr>
          <w:b/>
        </w:rPr>
        <w:t>cybersecurity of 5G networks</w:t>
      </w:r>
      <w:r w:rsidRPr="00BB07D3">
        <w:t xml:space="preserve">, in particular on the </w:t>
      </w:r>
      <w:r w:rsidRPr="00455406">
        <w:rPr>
          <w:b/>
        </w:rPr>
        <w:t>EU Risk Assessment Repor</w:t>
      </w:r>
      <w:r w:rsidRPr="00BB07D3">
        <w:t>t published on 9</w:t>
      </w:r>
      <w:r>
        <w:t xml:space="preserve"> </w:t>
      </w:r>
      <w:r w:rsidRPr="00BB07D3">
        <w:t>October</w:t>
      </w:r>
      <w:r>
        <w:t xml:space="preserve"> 2019</w:t>
      </w:r>
      <w:r w:rsidR="005D09FC">
        <w:t xml:space="preserve">, and on </w:t>
      </w:r>
      <w:r w:rsidR="005D09FC" w:rsidRPr="005D09FC">
        <w:rPr>
          <w:b/>
        </w:rPr>
        <w:t>countering disinformation</w:t>
      </w:r>
      <w:r w:rsidRPr="00BB07D3">
        <w:t xml:space="preserve">. </w:t>
      </w:r>
    </w:p>
    <w:p w14:paraId="21D50D53" w14:textId="7B6532D0" w:rsidR="003B7D0E" w:rsidRPr="007459F5" w:rsidRDefault="005D09FC" w:rsidP="006217E7">
      <w:pPr>
        <w:widowControl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report focuses in particular on the </w:t>
      </w:r>
      <w:r w:rsidRPr="005D09FC">
        <w:rPr>
          <w:rFonts w:ascii="Times New Roman" w:hAnsi="Times New Roman" w:cs="Times New Roman"/>
          <w:b/>
          <w:sz w:val="24"/>
          <w:szCs w:val="24"/>
        </w:rPr>
        <w:t>external dimension</w:t>
      </w:r>
      <w:r>
        <w:rPr>
          <w:rFonts w:ascii="Times New Roman" w:hAnsi="Times New Roman" w:cs="Times New Roman"/>
          <w:sz w:val="24"/>
          <w:szCs w:val="24"/>
        </w:rPr>
        <w:t xml:space="preserve"> of the cooperation in the Security Union, </w:t>
      </w:r>
      <w:r>
        <w:rPr>
          <w:rFonts w:ascii="Times New Roman" w:eastAsia="Calibri" w:hAnsi="Times New Roman" w:cs="Times New Roman"/>
          <w:sz w:val="24"/>
          <w:szCs w:val="24"/>
        </w:rPr>
        <w:t xml:space="preserve">with the signing of two bilateral </w:t>
      </w:r>
      <w:r w:rsidRPr="005D09FC">
        <w:rPr>
          <w:rFonts w:ascii="Times New Roman" w:eastAsia="Calibri" w:hAnsi="Times New Roman" w:cs="Times New Roman"/>
          <w:b/>
          <w:sz w:val="24"/>
          <w:szCs w:val="24"/>
        </w:rPr>
        <w:t>counter-terrorism arrangements</w:t>
      </w:r>
      <w:r>
        <w:rPr>
          <w:rFonts w:ascii="Times New Roman" w:eastAsia="Calibri" w:hAnsi="Times New Roman" w:cs="Times New Roman"/>
          <w:sz w:val="24"/>
          <w:szCs w:val="24"/>
        </w:rPr>
        <w:t xml:space="preserve"> with </w:t>
      </w:r>
      <w:r w:rsidRPr="008D1951">
        <w:rPr>
          <w:rFonts w:ascii="Times New Roman" w:eastAsia="Calibri" w:hAnsi="Times New Roman" w:cs="Times New Roman"/>
          <w:sz w:val="24"/>
          <w:szCs w:val="24"/>
        </w:rPr>
        <w:t>Albania and the Republic of North Macedonia</w:t>
      </w:r>
      <w:r>
        <w:rPr>
          <w:rFonts w:ascii="Times New Roman" w:eastAsia="Calibri" w:hAnsi="Times New Roman" w:cs="Times New Roman"/>
          <w:sz w:val="24"/>
          <w:szCs w:val="24"/>
        </w:rPr>
        <w:t xml:space="preserve"> and progress made in the cooperation with third country partners on the exchange of </w:t>
      </w:r>
      <w:r w:rsidRPr="005D09FC">
        <w:rPr>
          <w:rFonts w:ascii="Times New Roman" w:eastAsia="Calibri" w:hAnsi="Times New Roman" w:cs="Times New Roman"/>
          <w:b/>
          <w:sz w:val="24"/>
          <w:szCs w:val="24"/>
        </w:rPr>
        <w:t>passenger name record data</w:t>
      </w:r>
      <w:r>
        <w:rPr>
          <w:rFonts w:ascii="Times New Roman" w:eastAsia="Calibri" w:hAnsi="Times New Roman" w:cs="Times New Roman"/>
          <w:sz w:val="24"/>
          <w:szCs w:val="24"/>
        </w:rPr>
        <w:t>.</w:t>
      </w:r>
      <w:r>
        <w:rPr>
          <w:rFonts w:ascii="Times New Roman" w:hAnsi="Times New Roman" w:cs="Times New Roman"/>
          <w:sz w:val="24"/>
          <w:szCs w:val="24"/>
        </w:rPr>
        <w:t xml:space="preserve"> </w:t>
      </w:r>
      <w:r w:rsidR="00B81216">
        <w:rPr>
          <w:rFonts w:ascii="Times New Roman" w:hAnsi="Times New Roman" w:cs="Times New Roman"/>
          <w:sz w:val="24"/>
          <w:szCs w:val="24"/>
        </w:rPr>
        <w:t>In addition, t</w:t>
      </w:r>
      <w:r w:rsidR="003B7D0E">
        <w:rPr>
          <w:rFonts w:ascii="Times New Roman" w:hAnsi="Times New Roman" w:cs="Times New Roman"/>
          <w:sz w:val="24"/>
          <w:szCs w:val="24"/>
        </w:rPr>
        <w:t xml:space="preserve">ogether with this report, the Commission adopted a </w:t>
      </w:r>
      <w:r w:rsidR="00455406">
        <w:rPr>
          <w:rFonts w:ascii="Times New Roman" w:hAnsi="Times New Roman" w:cs="Times New Roman"/>
          <w:sz w:val="24"/>
          <w:szCs w:val="24"/>
        </w:rPr>
        <w:t>request for authorisation</w:t>
      </w:r>
      <w:r w:rsidR="00455406" w:rsidRPr="00701A55">
        <w:rPr>
          <w:rFonts w:ascii="Times New Roman" w:hAnsi="Times New Roman" w:cs="Times New Roman"/>
          <w:sz w:val="24"/>
          <w:szCs w:val="24"/>
        </w:rPr>
        <w:t xml:space="preserve"> </w:t>
      </w:r>
      <w:r w:rsidR="003B7D0E" w:rsidRPr="00701A55">
        <w:rPr>
          <w:rFonts w:ascii="Times New Roman" w:hAnsi="Times New Roman" w:cs="Times New Roman"/>
          <w:sz w:val="24"/>
          <w:szCs w:val="24"/>
        </w:rPr>
        <w:t>for</w:t>
      </w:r>
      <w:r w:rsidR="00455406">
        <w:rPr>
          <w:rFonts w:ascii="Times New Roman" w:hAnsi="Times New Roman" w:cs="Times New Roman"/>
          <w:sz w:val="24"/>
          <w:szCs w:val="24"/>
        </w:rPr>
        <w:t xml:space="preserve"> the launch of</w:t>
      </w:r>
      <w:r w:rsidR="003B7D0E" w:rsidRPr="00701A55">
        <w:rPr>
          <w:rFonts w:ascii="Times New Roman" w:hAnsi="Times New Roman" w:cs="Times New Roman"/>
          <w:sz w:val="24"/>
          <w:szCs w:val="24"/>
        </w:rPr>
        <w:t xml:space="preserve"> negotiations for an agreement between the </w:t>
      </w:r>
      <w:r w:rsidR="003B7D0E">
        <w:rPr>
          <w:rFonts w:ascii="Times New Roman" w:hAnsi="Times New Roman" w:cs="Times New Roman"/>
          <w:sz w:val="24"/>
          <w:szCs w:val="24"/>
        </w:rPr>
        <w:t>EU</w:t>
      </w:r>
      <w:r w:rsidR="003B7D0E" w:rsidRPr="00701A55">
        <w:rPr>
          <w:rFonts w:ascii="Times New Roman" w:hAnsi="Times New Roman" w:cs="Times New Roman"/>
          <w:sz w:val="24"/>
          <w:szCs w:val="24"/>
        </w:rPr>
        <w:t xml:space="preserve"> and </w:t>
      </w:r>
      <w:r w:rsidR="003B7D0E" w:rsidRPr="003B7D0E">
        <w:rPr>
          <w:rFonts w:ascii="Times New Roman" w:hAnsi="Times New Roman" w:cs="Times New Roman"/>
          <w:b/>
          <w:sz w:val="24"/>
          <w:szCs w:val="24"/>
        </w:rPr>
        <w:t>New Zealand</w:t>
      </w:r>
      <w:r w:rsidR="003B7D0E" w:rsidRPr="00701A55">
        <w:rPr>
          <w:rFonts w:ascii="Times New Roman" w:hAnsi="Times New Roman" w:cs="Times New Roman"/>
          <w:sz w:val="24"/>
          <w:szCs w:val="24"/>
        </w:rPr>
        <w:t xml:space="preserve"> on the exchange of personal data </w:t>
      </w:r>
      <w:r w:rsidR="00CA54F2">
        <w:rPr>
          <w:rFonts w:ascii="Times New Roman" w:hAnsi="Times New Roman" w:cs="Times New Roman"/>
          <w:sz w:val="24"/>
          <w:szCs w:val="24"/>
        </w:rPr>
        <w:t>to</w:t>
      </w:r>
      <w:r w:rsidR="003B7D0E" w:rsidRPr="00701A55">
        <w:rPr>
          <w:rFonts w:ascii="Times New Roman" w:hAnsi="Times New Roman" w:cs="Times New Roman"/>
          <w:sz w:val="24"/>
          <w:szCs w:val="24"/>
        </w:rPr>
        <w:t xml:space="preserve"> fight serious crime and terrorism</w:t>
      </w:r>
      <w:r w:rsidR="003B7D0E">
        <w:rPr>
          <w:rFonts w:ascii="Times New Roman" w:hAnsi="Times New Roman" w:cs="Times New Roman"/>
          <w:sz w:val="24"/>
          <w:szCs w:val="24"/>
        </w:rPr>
        <w:t>.</w:t>
      </w:r>
    </w:p>
    <w:p w14:paraId="056CEB78" w14:textId="0D0E3EF5" w:rsidR="00440647" w:rsidRPr="008D1951" w:rsidRDefault="00440647" w:rsidP="00055568">
      <w:pPr>
        <w:widowControl w:val="0"/>
        <w:spacing w:after="240" w:line="240" w:lineRule="auto"/>
        <w:jc w:val="both"/>
        <w:rPr>
          <w:rFonts w:ascii="Times New Roman" w:hAnsi="Times New Roman" w:cs="Times New Roman"/>
          <w:b/>
          <w:sz w:val="24"/>
          <w:szCs w:val="24"/>
        </w:rPr>
      </w:pPr>
      <w:r w:rsidRPr="008D1951">
        <w:rPr>
          <w:rFonts w:ascii="Times New Roman" w:hAnsi="Times New Roman" w:cs="Times New Roman"/>
          <w:b/>
          <w:sz w:val="24"/>
          <w:szCs w:val="24"/>
        </w:rPr>
        <w:t xml:space="preserve">II. </w:t>
      </w:r>
      <w:r w:rsidR="00AD06C7" w:rsidRPr="008D1951">
        <w:rPr>
          <w:rFonts w:ascii="Times New Roman" w:hAnsi="Times New Roman" w:cs="Times New Roman"/>
          <w:b/>
          <w:sz w:val="24"/>
          <w:szCs w:val="24"/>
        </w:rPr>
        <w:t>DELIVERING ON LEGISLATIVE PRIORITIES</w:t>
      </w:r>
      <w:r w:rsidR="00217D22">
        <w:rPr>
          <w:rFonts w:ascii="Times New Roman" w:hAnsi="Times New Roman" w:cs="Times New Roman"/>
          <w:b/>
          <w:sz w:val="24"/>
          <w:szCs w:val="24"/>
        </w:rPr>
        <w:t xml:space="preserve"> </w:t>
      </w:r>
    </w:p>
    <w:p w14:paraId="3E92048E" w14:textId="77777777" w:rsidR="003525F2" w:rsidRPr="008D1951" w:rsidRDefault="00AD06C7" w:rsidP="003525F2">
      <w:pPr>
        <w:pStyle w:val="ListParagraph"/>
        <w:numPr>
          <w:ilvl w:val="0"/>
          <w:numId w:val="37"/>
        </w:numPr>
        <w:spacing w:after="240" w:line="240" w:lineRule="auto"/>
        <w:jc w:val="both"/>
        <w:rPr>
          <w:rFonts w:ascii="Times New Roman" w:eastAsia="Calibri" w:hAnsi="Times New Roman" w:cs="Times New Roman"/>
          <w:i/>
          <w:iCs/>
          <w:sz w:val="24"/>
          <w:szCs w:val="24"/>
        </w:rPr>
      </w:pPr>
      <w:r w:rsidRPr="008D1951">
        <w:rPr>
          <w:rFonts w:ascii="Times New Roman" w:eastAsia="Calibri" w:hAnsi="Times New Roman" w:cs="Times New Roman"/>
          <w:i/>
          <w:iCs/>
          <w:sz w:val="24"/>
          <w:szCs w:val="24"/>
        </w:rPr>
        <w:t xml:space="preserve">Preventing radicalisation </w:t>
      </w:r>
      <w:r w:rsidR="000418E5" w:rsidRPr="008D1951">
        <w:rPr>
          <w:rFonts w:ascii="Times New Roman" w:eastAsia="Calibri" w:hAnsi="Times New Roman" w:cs="Times New Roman"/>
          <w:i/>
          <w:iCs/>
          <w:sz w:val="24"/>
          <w:szCs w:val="24"/>
        </w:rPr>
        <w:t>online and in communities</w:t>
      </w:r>
    </w:p>
    <w:p w14:paraId="02C58AA4" w14:textId="745B5144" w:rsidR="006B4BA1" w:rsidRDefault="003525F2" w:rsidP="003525F2">
      <w:pPr>
        <w:spacing w:after="240" w:line="240" w:lineRule="auto"/>
        <w:jc w:val="both"/>
        <w:rPr>
          <w:rFonts w:ascii="Times New Roman" w:hAnsi="Times New Roman" w:cs="Times New Roman"/>
          <w:sz w:val="24"/>
          <w:szCs w:val="24"/>
        </w:rPr>
      </w:pPr>
      <w:r w:rsidRPr="008D1951">
        <w:rPr>
          <w:rFonts w:ascii="Times New Roman" w:hAnsi="Times New Roman" w:cs="Times New Roman"/>
          <w:sz w:val="24"/>
          <w:szCs w:val="24"/>
        </w:rPr>
        <w:t xml:space="preserve">The </w:t>
      </w:r>
      <w:r w:rsidRPr="00D53AC4">
        <w:rPr>
          <w:rFonts w:ascii="Times New Roman" w:hAnsi="Times New Roman" w:cs="Times New Roman"/>
          <w:b/>
          <w:sz w:val="24"/>
          <w:szCs w:val="24"/>
        </w:rPr>
        <w:t xml:space="preserve">prevention of </w:t>
      </w:r>
      <w:r w:rsidR="0095579E" w:rsidRPr="00D53AC4">
        <w:rPr>
          <w:rFonts w:ascii="Times New Roman" w:hAnsi="Times New Roman" w:cs="Times New Roman"/>
          <w:b/>
          <w:sz w:val="24"/>
          <w:szCs w:val="24"/>
        </w:rPr>
        <w:t>radicalisation</w:t>
      </w:r>
      <w:r w:rsidR="0095579E" w:rsidRPr="008D1951">
        <w:rPr>
          <w:rFonts w:ascii="Times New Roman" w:hAnsi="Times New Roman" w:cs="Times New Roman"/>
          <w:sz w:val="24"/>
          <w:szCs w:val="24"/>
        </w:rPr>
        <w:t xml:space="preserve"> </w:t>
      </w:r>
      <w:r w:rsidRPr="008D1951">
        <w:rPr>
          <w:rFonts w:ascii="Times New Roman" w:hAnsi="Times New Roman" w:cs="Times New Roman"/>
          <w:sz w:val="24"/>
          <w:szCs w:val="24"/>
        </w:rPr>
        <w:t xml:space="preserve">is a cornerstone of </w:t>
      </w:r>
      <w:r w:rsidR="006B4BA1">
        <w:rPr>
          <w:rFonts w:ascii="Times New Roman" w:hAnsi="Times New Roman" w:cs="Times New Roman"/>
          <w:sz w:val="24"/>
          <w:szCs w:val="24"/>
        </w:rPr>
        <w:t>the Union’s</w:t>
      </w:r>
      <w:r w:rsidR="0095579E" w:rsidRPr="008D1951">
        <w:rPr>
          <w:rFonts w:ascii="Times New Roman" w:hAnsi="Times New Roman" w:cs="Times New Roman"/>
          <w:sz w:val="24"/>
          <w:szCs w:val="24"/>
        </w:rPr>
        <w:t xml:space="preserve"> response to</w:t>
      </w:r>
      <w:r w:rsidR="006B4BA1">
        <w:rPr>
          <w:rFonts w:ascii="Times New Roman" w:hAnsi="Times New Roman" w:cs="Times New Roman"/>
          <w:sz w:val="24"/>
          <w:szCs w:val="24"/>
        </w:rPr>
        <w:t xml:space="preserve"> the threats pose</w:t>
      </w:r>
      <w:r w:rsidR="00CA54F2">
        <w:rPr>
          <w:rFonts w:ascii="Times New Roman" w:hAnsi="Times New Roman" w:cs="Times New Roman"/>
          <w:sz w:val="24"/>
          <w:szCs w:val="24"/>
        </w:rPr>
        <w:t>d</w:t>
      </w:r>
      <w:r w:rsidR="006B4BA1">
        <w:rPr>
          <w:rFonts w:ascii="Times New Roman" w:hAnsi="Times New Roman" w:cs="Times New Roman"/>
          <w:sz w:val="24"/>
          <w:szCs w:val="24"/>
        </w:rPr>
        <w:t xml:space="preserve"> by</w:t>
      </w:r>
      <w:r w:rsidR="0095579E" w:rsidRPr="008D1951">
        <w:rPr>
          <w:rFonts w:ascii="Times New Roman" w:hAnsi="Times New Roman" w:cs="Times New Roman"/>
          <w:sz w:val="24"/>
          <w:szCs w:val="24"/>
        </w:rPr>
        <w:t xml:space="preserve"> terrorism</w:t>
      </w:r>
      <w:r w:rsidRPr="008D1951">
        <w:rPr>
          <w:rFonts w:ascii="Times New Roman" w:hAnsi="Times New Roman" w:cs="Times New Roman"/>
          <w:sz w:val="24"/>
          <w:szCs w:val="24"/>
        </w:rPr>
        <w:t>.</w:t>
      </w:r>
      <w:r w:rsidR="006B4BA1">
        <w:rPr>
          <w:rFonts w:ascii="Times New Roman" w:hAnsi="Times New Roman" w:cs="Times New Roman"/>
          <w:sz w:val="24"/>
          <w:szCs w:val="24"/>
        </w:rPr>
        <w:t xml:space="preserve"> In that respect, t</w:t>
      </w:r>
      <w:r w:rsidR="006B4BA1" w:rsidRPr="006B4BA1">
        <w:rPr>
          <w:rFonts w:ascii="Times New Roman" w:hAnsi="Times New Roman" w:cs="Times New Roman"/>
          <w:sz w:val="24"/>
          <w:szCs w:val="24"/>
        </w:rPr>
        <w:t>he internet has been the most significant battleground for terrorists’ action in the 21</w:t>
      </w:r>
      <w:r w:rsidR="006B4BA1" w:rsidRPr="006B4BA1">
        <w:rPr>
          <w:rFonts w:ascii="Times New Roman" w:hAnsi="Times New Roman" w:cs="Times New Roman"/>
          <w:sz w:val="24"/>
          <w:szCs w:val="24"/>
          <w:vertAlign w:val="superscript"/>
        </w:rPr>
        <w:t>st</w:t>
      </w:r>
      <w:r w:rsidR="006B4BA1">
        <w:rPr>
          <w:rFonts w:ascii="Times New Roman" w:hAnsi="Times New Roman" w:cs="Times New Roman"/>
          <w:sz w:val="24"/>
          <w:szCs w:val="24"/>
        </w:rPr>
        <w:t xml:space="preserve"> century. </w:t>
      </w:r>
      <w:r w:rsidR="006B4BA1" w:rsidRPr="006B4BA1">
        <w:rPr>
          <w:rFonts w:ascii="Times New Roman" w:hAnsi="Times New Roman" w:cs="Times New Roman"/>
          <w:sz w:val="24"/>
          <w:szCs w:val="24"/>
        </w:rPr>
        <w:t>Spaces in which radicalised individuals can communicate and share cont</w:t>
      </w:r>
      <w:r w:rsidR="006B4BA1">
        <w:rPr>
          <w:rFonts w:ascii="Times New Roman" w:hAnsi="Times New Roman" w:cs="Times New Roman"/>
          <w:sz w:val="24"/>
          <w:szCs w:val="24"/>
        </w:rPr>
        <w:t xml:space="preserve">ent enable the development of </w:t>
      </w:r>
      <w:r w:rsidR="006B4BA1" w:rsidRPr="006B4BA1">
        <w:rPr>
          <w:rFonts w:ascii="Times New Roman" w:hAnsi="Times New Roman" w:cs="Times New Roman"/>
          <w:sz w:val="24"/>
          <w:szCs w:val="24"/>
        </w:rPr>
        <w:t>worldwide, expanding network</w:t>
      </w:r>
      <w:r w:rsidR="006B4BA1">
        <w:rPr>
          <w:rFonts w:ascii="Times New Roman" w:hAnsi="Times New Roman" w:cs="Times New Roman"/>
          <w:sz w:val="24"/>
          <w:szCs w:val="24"/>
        </w:rPr>
        <w:t>s</w:t>
      </w:r>
      <w:r w:rsidR="006B4BA1" w:rsidRPr="006B4BA1">
        <w:rPr>
          <w:rFonts w:ascii="Times New Roman" w:hAnsi="Times New Roman" w:cs="Times New Roman"/>
          <w:sz w:val="24"/>
          <w:szCs w:val="24"/>
        </w:rPr>
        <w:t xml:space="preserve"> of </w:t>
      </w:r>
      <w:r w:rsidR="006B4BA1">
        <w:rPr>
          <w:rFonts w:ascii="Times New Roman" w:hAnsi="Times New Roman" w:cs="Times New Roman"/>
          <w:sz w:val="24"/>
          <w:szCs w:val="24"/>
        </w:rPr>
        <w:t xml:space="preserve">both </w:t>
      </w:r>
      <w:r w:rsidR="003B7D0E">
        <w:rPr>
          <w:rFonts w:ascii="Times New Roman" w:hAnsi="Times New Roman" w:cs="Times New Roman"/>
          <w:sz w:val="24"/>
          <w:szCs w:val="24"/>
        </w:rPr>
        <w:t>jihadi</w:t>
      </w:r>
      <w:r w:rsidR="006B4BA1" w:rsidRPr="006B4BA1">
        <w:rPr>
          <w:rFonts w:ascii="Times New Roman" w:hAnsi="Times New Roman" w:cs="Times New Roman"/>
          <w:sz w:val="24"/>
          <w:szCs w:val="24"/>
        </w:rPr>
        <w:t xml:space="preserve"> and </w:t>
      </w:r>
      <w:r w:rsidR="00284B8A">
        <w:rPr>
          <w:rFonts w:ascii="Times New Roman" w:hAnsi="Times New Roman" w:cs="Times New Roman"/>
          <w:sz w:val="24"/>
          <w:szCs w:val="24"/>
        </w:rPr>
        <w:t>right-wing violent</w:t>
      </w:r>
      <w:r w:rsidR="006B4BA1" w:rsidRPr="006B4BA1">
        <w:rPr>
          <w:rFonts w:ascii="Times New Roman" w:hAnsi="Times New Roman" w:cs="Times New Roman"/>
          <w:sz w:val="24"/>
          <w:szCs w:val="24"/>
        </w:rPr>
        <w:t xml:space="preserve"> extremists. </w:t>
      </w:r>
      <w:r w:rsidR="006B4BA1">
        <w:rPr>
          <w:rFonts w:ascii="Times New Roman" w:hAnsi="Times New Roman" w:cs="Times New Roman"/>
          <w:sz w:val="24"/>
          <w:szCs w:val="24"/>
        </w:rPr>
        <w:t xml:space="preserve">This is why the Commission continues its two-track approach </w:t>
      </w:r>
      <w:r w:rsidR="003E7B7C">
        <w:rPr>
          <w:rFonts w:ascii="Times New Roman" w:hAnsi="Times New Roman" w:cs="Times New Roman"/>
          <w:sz w:val="24"/>
          <w:szCs w:val="24"/>
        </w:rPr>
        <w:t>against</w:t>
      </w:r>
      <w:r w:rsidR="00FD44F2">
        <w:rPr>
          <w:rFonts w:ascii="Times New Roman" w:hAnsi="Times New Roman" w:cs="Times New Roman"/>
          <w:sz w:val="24"/>
          <w:szCs w:val="24"/>
        </w:rPr>
        <w:t xml:space="preserve"> online</w:t>
      </w:r>
      <w:r w:rsidR="003E7B7C">
        <w:rPr>
          <w:rFonts w:ascii="Times New Roman" w:hAnsi="Times New Roman" w:cs="Times New Roman"/>
          <w:sz w:val="24"/>
          <w:szCs w:val="24"/>
        </w:rPr>
        <w:t xml:space="preserve"> </w:t>
      </w:r>
      <w:r w:rsidR="006B4BA1">
        <w:rPr>
          <w:rFonts w:ascii="Times New Roman" w:hAnsi="Times New Roman" w:cs="Times New Roman"/>
          <w:sz w:val="24"/>
          <w:szCs w:val="24"/>
        </w:rPr>
        <w:t xml:space="preserve">radicalisation where proposed rules on removing illegal terrorist content online should reinforce the voluntary </w:t>
      </w:r>
      <w:r w:rsidR="00687784">
        <w:rPr>
          <w:rFonts w:ascii="Times New Roman" w:hAnsi="Times New Roman" w:cs="Times New Roman"/>
          <w:sz w:val="24"/>
          <w:szCs w:val="24"/>
        </w:rPr>
        <w:t>partnership</w:t>
      </w:r>
      <w:r w:rsidR="006B4BA1">
        <w:rPr>
          <w:rFonts w:ascii="Times New Roman" w:hAnsi="Times New Roman" w:cs="Times New Roman"/>
          <w:sz w:val="24"/>
          <w:szCs w:val="24"/>
        </w:rPr>
        <w:t xml:space="preserve"> with online platforms.</w:t>
      </w:r>
    </w:p>
    <w:p w14:paraId="6F645AE4" w14:textId="2F288E4F" w:rsidR="006B4BA1" w:rsidRPr="008D1951" w:rsidRDefault="006B4BA1" w:rsidP="006B4BA1">
      <w:pPr>
        <w:widowControl w:val="0"/>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Essential to this is t</w:t>
      </w:r>
      <w:r w:rsidRPr="008D1951">
        <w:rPr>
          <w:rFonts w:ascii="Times New Roman" w:eastAsia="Calibri" w:hAnsi="Times New Roman" w:cs="Times New Roman"/>
          <w:sz w:val="24"/>
          <w:szCs w:val="24"/>
        </w:rPr>
        <w:t xml:space="preserve">he </w:t>
      </w:r>
      <w:r w:rsidRPr="00D53AC4">
        <w:rPr>
          <w:rFonts w:ascii="Times New Roman" w:eastAsia="Calibri" w:hAnsi="Times New Roman" w:cs="Times New Roman"/>
          <w:b/>
          <w:sz w:val="24"/>
          <w:szCs w:val="24"/>
        </w:rPr>
        <w:t>legislative proposal to prevent the dissemination of terrorist content online</w:t>
      </w:r>
      <w:r w:rsidRPr="008D1951">
        <w:rPr>
          <w:rFonts w:ascii="Times New Roman" w:eastAsia="Calibri" w:hAnsi="Times New Roman" w:cs="Times New Roman"/>
          <w:sz w:val="24"/>
          <w:szCs w:val="24"/>
        </w:rPr>
        <w:t xml:space="preserve">, </w:t>
      </w:r>
      <w:r w:rsidR="00E41630">
        <w:rPr>
          <w:rFonts w:ascii="Times New Roman" w:eastAsia="Calibri" w:hAnsi="Times New Roman" w:cs="Times New Roman"/>
          <w:sz w:val="24"/>
          <w:szCs w:val="24"/>
        </w:rPr>
        <w:t>with clear rules and safeguards that</w:t>
      </w:r>
      <w:r w:rsidRPr="008D1951">
        <w:rPr>
          <w:rFonts w:ascii="Times New Roman" w:eastAsia="Calibri" w:hAnsi="Times New Roman" w:cs="Times New Roman"/>
          <w:sz w:val="24"/>
          <w:szCs w:val="24"/>
        </w:rPr>
        <w:t xml:space="preserve"> would make it mandatory for internet platforms to take down terrorist content within one hour upon receipt of a reasoned request by competent authorities</w:t>
      </w:r>
      <w:r w:rsidR="004A2894">
        <w:rPr>
          <w:rFonts w:ascii="Times New Roman" w:eastAsia="Calibri" w:hAnsi="Times New Roman" w:cs="Times New Roman"/>
          <w:sz w:val="24"/>
          <w:szCs w:val="24"/>
        </w:rPr>
        <w:t>,</w:t>
      </w:r>
      <w:r w:rsidRPr="008D1951">
        <w:rPr>
          <w:rFonts w:ascii="Times New Roman" w:eastAsia="Calibri" w:hAnsi="Times New Roman" w:cs="Times New Roman"/>
          <w:sz w:val="24"/>
          <w:szCs w:val="24"/>
        </w:rPr>
        <w:t xml:space="preserve"> and to take proactive measures proportionate to the level of exposure to terrorist content.</w:t>
      </w:r>
      <w:r w:rsidR="00163919">
        <w:rPr>
          <w:rStyle w:val="FootnoteReference"/>
          <w:rFonts w:eastAsia="Calibri"/>
        </w:rPr>
        <w:footnoteReference w:id="5"/>
      </w:r>
      <w:r w:rsidRPr="008D1951">
        <w:rPr>
          <w:rFonts w:ascii="Times New Roman" w:eastAsia="Calibri" w:hAnsi="Times New Roman" w:cs="Times New Roman"/>
          <w:sz w:val="24"/>
          <w:szCs w:val="24"/>
        </w:rPr>
        <w:t xml:space="preserve"> Interinstitutional negotiations are ongoing</w:t>
      </w:r>
      <w:r>
        <w:rPr>
          <w:rFonts w:ascii="Times New Roman" w:eastAsia="Calibri" w:hAnsi="Times New Roman" w:cs="Times New Roman"/>
          <w:sz w:val="24"/>
          <w:szCs w:val="24"/>
        </w:rPr>
        <w:t xml:space="preserve"> between the European Parliament and the Council, with a first trilogue meeting held on </w:t>
      </w:r>
      <w:r w:rsidRPr="001D4C1E">
        <w:rPr>
          <w:rFonts w:ascii="Times New Roman" w:eastAsia="Calibri" w:hAnsi="Times New Roman" w:cs="Times New Roman"/>
          <w:sz w:val="24"/>
          <w:szCs w:val="24"/>
        </w:rPr>
        <w:t>17 October 2019</w:t>
      </w:r>
      <w:r>
        <w:rPr>
          <w:rFonts w:ascii="Times New Roman" w:eastAsia="Calibri" w:hAnsi="Times New Roman" w:cs="Times New Roman"/>
          <w:sz w:val="24"/>
          <w:szCs w:val="24"/>
        </w:rPr>
        <w:t>.</w:t>
      </w:r>
      <w:r w:rsidRPr="008D19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Given the threat posed </w:t>
      </w:r>
      <w:r>
        <w:rPr>
          <w:rFonts w:ascii="Times New Roman" w:eastAsia="Calibri" w:hAnsi="Times New Roman" w:cs="Times New Roman"/>
          <w:sz w:val="24"/>
          <w:szCs w:val="24"/>
        </w:rPr>
        <w:lastRenderedPageBreak/>
        <w:t xml:space="preserve">by terrorist content online, the Commission calls on </w:t>
      </w:r>
      <w:r w:rsidR="001221C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co-legislators </w:t>
      </w:r>
      <w:r w:rsidR="00CA54F2">
        <w:rPr>
          <w:rFonts w:ascii="Times New Roman" w:eastAsia="Calibri" w:hAnsi="Times New Roman" w:cs="Times New Roman"/>
          <w:sz w:val="24"/>
          <w:szCs w:val="24"/>
        </w:rPr>
        <w:t xml:space="preserve">to </w:t>
      </w:r>
      <w:r>
        <w:rPr>
          <w:rFonts w:ascii="Times New Roman" w:eastAsia="Calibri" w:hAnsi="Times New Roman" w:cs="Times New Roman"/>
          <w:sz w:val="24"/>
          <w:szCs w:val="24"/>
        </w:rPr>
        <w:t>reach agreement on the</w:t>
      </w:r>
      <w:r w:rsidR="00455406">
        <w:rPr>
          <w:rFonts w:ascii="Times New Roman" w:eastAsia="Calibri" w:hAnsi="Times New Roman" w:cs="Times New Roman"/>
          <w:sz w:val="24"/>
          <w:szCs w:val="24"/>
        </w:rPr>
        <w:t xml:space="preserve"> proposed</w:t>
      </w:r>
      <w:r>
        <w:rPr>
          <w:rFonts w:ascii="Times New Roman" w:eastAsia="Calibri" w:hAnsi="Times New Roman" w:cs="Times New Roman"/>
          <w:sz w:val="24"/>
          <w:szCs w:val="24"/>
        </w:rPr>
        <w:t xml:space="preserve"> legislation by the end of 2019</w:t>
      </w:r>
      <w:r w:rsidRPr="008D1951">
        <w:rPr>
          <w:rFonts w:ascii="Times New Roman" w:eastAsia="Calibri" w:hAnsi="Times New Roman" w:cs="Times New Roman"/>
          <w:sz w:val="24"/>
          <w:szCs w:val="24"/>
        </w:rPr>
        <w:t>.</w:t>
      </w:r>
    </w:p>
    <w:p w14:paraId="77FFC833" w14:textId="6E5C41B5" w:rsidR="006B4BA1" w:rsidRPr="008D1951" w:rsidRDefault="006B4BA1" w:rsidP="006B4BA1">
      <w:pPr>
        <w:widowControl w:val="0"/>
        <w:spacing w:after="24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proposed legislation complements the voluntary </w:t>
      </w:r>
      <w:r w:rsidR="00687784">
        <w:rPr>
          <w:rFonts w:ascii="Times New Roman" w:hAnsi="Times New Roman" w:cs="Times New Roman"/>
          <w:sz w:val="24"/>
          <w:szCs w:val="24"/>
        </w:rPr>
        <w:t>partnership with the internet industry and other stakeholders</w:t>
      </w:r>
      <w:r>
        <w:rPr>
          <w:rFonts w:ascii="Times New Roman" w:hAnsi="Times New Roman" w:cs="Times New Roman"/>
          <w:sz w:val="24"/>
          <w:szCs w:val="24"/>
        </w:rPr>
        <w:t xml:space="preserve"> taking place in the </w:t>
      </w:r>
      <w:r w:rsidRPr="006B4BA1">
        <w:rPr>
          <w:rFonts w:ascii="Times New Roman" w:hAnsi="Times New Roman" w:cs="Times New Roman"/>
          <w:b/>
          <w:sz w:val="24"/>
          <w:szCs w:val="24"/>
        </w:rPr>
        <w:t>EU Internet Forum</w:t>
      </w:r>
      <w:r>
        <w:rPr>
          <w:rFonts w:ascii="Times New Roman" w:hAnsi="Times New Roman" w:cs="Times New Roman"/>
          <w:sz w:val="24"/>
          <w:szCs w:val="24"/>
        </w:rPr>
        <w:t xml:space="preserve">. </w:t>
      </w:r>
      <w:r w:rsidRPr="008D1951">
        <w:rPr>
          <w:rFonts w:ascii="Times New Roman" w:eastAsia="Calibri" w:hAnsi="Times New Roman" w:cs="Times New Roman"/>
          <w:sz w:val="24"/>
          <w:szCs w:val="24"/>
        </w:rPr>
        <w:t xml:space="preserve">Since its creation in 2015, </w:t>
      </w:r>
      <w:r w:rsidR="00687784">
        <w:rPr>
          <w:rFonts w:ascii="Times New Roman" w:eastAsia="Calibri" w:hAnsi="Times New Roman" w:cs="Times New Roman"/>
          <w:sz w:val="24"/>
          <w:szCs w:val="24"/>
        </w:rPr>
        <w:t>it</w:t>
      </w:r>
      <w:r w:rsidRPr="00D93313">
        <w:rPr>
          <w:rFonts w:ascii="Times New Roman" w:eastAsia="Calibri" w:hAnsi="Times New Roman" w:cs="Times New Roman"/>
          <w:b/>
          <w:sz w:val="24"/>
          <w:szCs w:val="24"/>
        </w:rPr>
        <w:t xml:space="preserve"> </w:t>
      </w:r>
      <w:r w:rsidRPr="008D1951">
        <w:rPr>
          <w:rFonts w:ascii="Times New Roman" w:eastAsia="Calibri" w:hAnsi="Times New Roman" w:cs="Times New Roman"/>
          <w:sz w:val="24"/>
          <w:szCs w:val="24"/>
        </w:rPr>
        <w:t xml:space="preserve">has been a catalyst for internet companies </w:t>
      </w:r>
      <w:r w:rsidR="00CA54F2">
        <w:rPr>
          <w:rFonts w:ascii="Times New Roman" w:eastAsia="Calibri" w:hAnsi="Times New Roman" w:cs="Times New Roman"/>
          <w:sz w:val="24"/>
          <w:szCs w:val="24"/>
        </w:rPr>
        <w:t>to act</w:t>
      </w:r>
      <w:r w:rsidRPr="008D1951">
        <w:rPr>
          <w:rFonts w:ascii="Times New Roman" w:eastAsia="Calibri" w:hAnsi="Times New Roman" w:cs="Times New Roman"/>
          <w:sz w:val="24"/>
          <w:szCs w:val="24"/>
        </w:rPr>
        <w:t xml:space="preserve"> proactiv</w:t>
      </w:r>
      <w:r w:rsidR="00CA54F2">
        <w:rPr>
          <w:rFonts w:ascii="Times New Roman" w:eastAsia="Calibri" w:hAnsi="Times New Roman" w:cs="Times New Roman"/>
          <w:sz w:val="24"/>
          <w:szCs w:val="24"/>
        </w:rPr>
        <w:t>ely</w:t>
      </w:r>
      <w:r w:rsidRPr="008D1951">
        <w:rPr>
          <w:rFonts w:ascii="Times New Roman" w:eastAsia="Calibri" w:hAnsi="Times New Roman" w:cs="Times New Roman"/>
          <w:sz w:val="24"/>
          <w:szCs w:val="24"/>
        </w:rPr>
        <w:t xml:space="preserve"> to </w:t>
      </w:r>
      <w:r w:rsidRPr="006B4BA1">
        <w:rPr>
          <w:rFonts w:ascii="Times New Roman" w:eastAsia="Calibri" w:hAnsi="Times New Roman" w:cs="Times New Roman"/>
          <w:sz w:val="24"/>
          <w:szCs w:val="24"/>
        </w:rPr>
        <w:t>identify and remov</w:t>
      </w:r>
      <w:r w:rsidR="00CA54F2">
        <w:rPr>
          <w:rFonts w:ascii="Times New Roman" w:eastAsia="Calibri" w:hAnsi="Times New Roman" w:cs="Times New Roman"/>
          <w:sz w:val="24"/>
          <w:szCs w:val="24"/>
        </w:rPr>
        <w:t>e</w:t>
      </w:r>
      <w:r w:rsidRPr="006B4BA1">
        <w:rPr>
          <w:rFonts w:ascii="Times New Roman" w:eastAsia="Calibri" w:hAnsi="Times New Roman" w:cs="Times New Roman"/>
          <w:sz w:val="24"/>
          <w:szCs w:val="24"/>
        </w:rPr>
        <w:t xml:space="preserve"> terrorist content online,</w:t>
      </w:r>
      <w:r w:rsidRPr="008D1951">
        <w:rPr>
          <w:rFonts w:ascii="Times New Roman" w:eastAsia="Calibri" w:hAnsi="Times New Roman" w:cs="Times New Roman"/>
          <w:sz w:val="24"/>
          <w:szCs w:val="24"/>
        </w:rPr>
        <w:t xml:space="preserve"> paving the way for the</w:t>
      </w:r>
      <w:r w:rsidR="00687784">
        <w:rPr>
          <w:rFonts w:ascii="Times New Roman" w:eastAsia="Calibri" w:hAnsi="Times New Roman" w:cs="Times New Roman"/>
          <w:sz w:val="24"/>
          <w:szCs w:val="24"/>
        </w:rPr>
        <w:t xml:space="preserve"> industry-led initiative of a ‘shared database of hashes’</w:t>
      </w:r>
      <w:r w:rsidR="00687784">
        <w:rPr>
          <w:rStyle w:val="FootnoteReference"/>
          <w:rFonts w:eastAsia="Calibri"/>
        </w:rPr>
        <w:footnoteReference w:id="6"/>
      </w:r>
      <w:r w:rsidRPr="008D1951">
        <w:rPr>
          <w:rFonts w:ascii="Times New Roman" w:eastAsia="Calibri" w:hAnsi="Times New Roman" w:cs="Times New Roman"/>
          <w:sz w:val="24"/>
          <w:szCs w:val="24"/>
        </w:rPr>
        <w:t xml:space="preserve"> and the creation of the Global Internet Forum to Counter Terrorism. </w:t>
      </w:r>
      <w:r w:rsidR="00B23286" w:rsidRPr="00B23286">
        <w:rPr>
          <w:rFonts w:ascii="Times New Roman" w:eastAsia="Calibri" w:hAnsi="Times New Roman" w:cs="Times New Roman"/>
          <w:sz w:val="24"/>
          <w:szCs w:val="24"/>
        </w:rPr>
        <w:t>The EU Internet Referral Unit</w:t>
      </w:r>
      <w:r w:rsidR="00B23286">
        <w:rPr>
          <w:rFonts w:ascii="Times New Roman" w:eastAsia="Calibri" w:hAnsi="Times New Roman" w:cs="Times New Roman"/>
          <w:sz w:val="24"/>
          <w:szCs w:val="24"/>
        </w:rPr>
        <w:t xml:space="preserve">, part of the EU law enforcement agency Europol, </w:t>
      </w:r>
      <w:r w:rsidR="00B23286" w:rsidRPr="00B23286">
        <w:rPr>
          <w:rFonts w:ascii="Times New Roman" w:eastAsia="Calibri" w:hAnsi="Times New Roman" w:cs="Times New Roman"/>
          <w:sz w:val="24"/>
          <w:szCs w:val="24"/>
        </w:rPr>
        <w:t>has been instrumental in strengthening cooperation with internet companies and contributing to the overall objectives of the EU Internet Forum.</w:t>
      </w:r>
      <w:r w:rsidR="00B2328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At the latest Ministerial meeting of the </w:t>
      </w:r>
      <w:r w:rsidRPr="006B4BA1">
        <w:rPr>
          <w:rFonts w:ascii="Times New Roman" w:eastAsia="Calibri" w:hAnsi="Times New Roman" w:cs="Times New Roman"/>
          <w:sz w:val="24"/>
          <w:szCs w:val="24"/>
        </w:rPr>
        <w:t>EU Internet Forum on 7</w:t>
      </w:r>
      <w:r>
        <w:rPr>
          <w:rFonts w:ascii="Times New Roman" w:eastAsia="Calibri" w:hAnsi="Times New Roman" w:cs="Times New Roman"/>
          <w:sz w:val="24"/>
          <w:szCs w:val="24"/>
        </w:rPr>
        <w:t xml:space="preserve"> </w:t>
      </w:r>
      <w:r w:rsidRPr="006B4BA1">
        <w:rPr>
          <w:rFonts w:ascii="Times New Roman" w:eastAsia="Calibri" w:hAnsi="Times New Roman" w:cs="Times New Roman"/>
          <w:sz w:val="24"/>
          <w:szCs w:val="24"/>
        </w:rPr>
        <w:t>October</w:t>
      </w:r>
      <w:r w:rsidR="004F737A">
        <w:rPr>
          <w:rFonts w:ascii="Times New Roman" w:eastAsia="Calibri" w:hAnsi="Times New Roman" w:cs="Times New Roman"/>
          <w:sz w:val="24"/>
          <w:szCs w:val="24"/>
        </w:rPr>
        <w:t xml:space="preserve"> 2019</w:t>
      </w:r>
      <w:r>
        <w:rPr>
          <w:rFonts w:ascii="Times New Roman" w:eastAsia="Calibri" w:hAnsi="Times New Roman" w:cs="Times New Roman"/>
          <w:sz w:val="24"/>
          <w:szCs w:val="24"/>
        </w:rPr>
        <w:t>,</w:t>
      </w:r>
      <w:r w:rsidRPr="006B4BA1">
        <w:rPr>
          <w:rFonts w:ascii="Times New Roman" w:eastAsia="Calibri" w:hAnsi="Times New Roman" w:cs="Times New Roman"/>
          <w:sz w:val="24"/>
          <w:szCs w:val="24"/>
        </w:rPr>
        <w:t xml:space="preserve"> EU Member States and senior representatives o</w:t>
      </w:r>
      <w:r>
        <w:rPr>
          <w:rFonts w:ascii="Times New Roman" w:eastAsia="Calibri" w:hAnsi="Times New Roman" w:cs="Times New Roman"/>
          <w:sz w:val="24"/>
          <w:szCs w:val="24"/>
        </w:rPr>
        <w:t xml:space="preserve">f internet companies committed </w:t>
      </w:r>
      <w:r w:rsidRPr="006B4BA1">
        <w:rPr>
          <w:rFonts w:ascii="Times New Roman" w:eastAsia="Calibri" w:hAnsi="Times New Roman" w:cs="Times New Roman"/>
          <w:sz w:val="24"/>
          <w:szCs w:val="24"/>
        </w:rPr>
        <w:t>to collaborating</w:t>
      </w:r>
      <w:r w:rsidR="00687784">
        <w:rPr>
          <w:rFonts w:ascii="Times New Roman" w:eastAsia="Calibri" w:hAnsi="Times New Roman" w:cs="Times New Roman"/>
          <w:sz w:val="24"/>
          <w:szCs w:val="24"/>
        </w:rPr>
        <w:t xml:space="preserve"> under</w:t>
      </w:r>
      <w:r w:rsidRPr="006B4BA1">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so-called</w:t>
      </w:r>
      <w:r w:rsidRPr="006B4BA1">
        <w:rPr>
          <w:rFonts w:ascii="Times New Roman" w:eastAsia="Calibri" w:hAnsi="Times New Roman" w:cs="Times New Roman"/>
          <w:sz w:val="24"/>
          <w:szCs w:val="24"/>
        </w:rPr>
        <w:t xml:space="preserve"> </w:t>
      </w:r>
      <w:r w:rsidRPr="006B4BA1">
        <w:rPr>
          <w:rFonts w:ascii="Times New Roman" w:eastAsia="Calibri" w:hAnsi="Times New Roman" w:cs="Times New Roman"/>
          <w:b/>
          <w:sz w:val="24"/>
          <w:szCs w:val="24"/>
        </w:rPr>
        <w:t>EU Crisis Protocol</w:t>
      </w:r>
      <w:r w:rsidRPr="006B4BA1">
        <w:rPr>
          <w:rFonts w:ascii="Times New Roman" w:eastAsia="Calibri" w:hAnsi="Times New Roman" w:cs="Times New Roman"/>
          <w:sz w:val="24"/>
          <w:szCs w:val="24"/>
        </w:rPr>
        <w:t>.</w:t>
      </w:r>
      <w:r w:rsidR="00687784">
        <w:rPr>
          <w:rFonts w:ascii="Times New Roman" w:eastAsia="Calibri" w:hAnsi="Times New Roman" w:cs="Times New Roman"/>
          <w:sz w:val="24"/>
          <w:szCs w:val="24"/>
        </w:rPr>
        <w:t xml:space="preserve"> </w:t>
      </w:r>
      <w:r w:rsidR="00B81216" w:rsidRPr="008D1951">
        <w:rPr>
          <w:rFonts w:ascii="Times New Roman" w:eastAsia="Calibri" w:hAnsi="Times New Roman" w:cs="Times New Roman"/>
          <w:sz w:val="24"/>
          <w:szCs w:val="24"/>
        </w:rPr>
        <w:t>The EU Crisis Protocol identifies thresholds for enhanced cooperation and establishes</w:t>
      </w:r>
      <w:r w:rsidR="00B81216">
        <w:rPr>
          <w:rFonts w:ascii="Times New Roman" w:eastAsia="Calibri" w:hAnsi="Times New Roman" w:cs="Times New Roman"/>
          <w:sz w:val="24"/>
          <w:szCs w:val="24"/>
        </w:rPr>
        <w:t xml:space="preserve"> new ways to enhance</w:t>
      </w:r>
      <w:r w:rsidR="00B81216" w:rsidRPr="008D1951">
        <w:rPr>
          <w:rFonts w:ascii="Times New Roman" w:eastAsia="Calibri" w:hAnsi="Times New Roman" w:cs="Times New Roman"/>
          <w:sz w:val="24"/>
          <w:szCs w:val="24"/>
        </w:rPr>
        <w:t xml:space="preserve"> </w:t>
      </w:r>
      <w:r w:rsidR="00B81216">
        <w:rPr>
          <w:rFonts w:ascii="Times New Roman" w:eastAsia="Calibri" w:hAnsi="Times New Roman" w:cs="Times New Roman"/>
          <w:sz w:val="24"/>
          <w:szCs w:val="24"/>
        </w:rPr>
        <w:t xml:space="preserve">crisis response. </w:t>
      </w:r>
      <w:r w:rsidR="00B81216">
        <w:rPr>
          <w:rFonts w:ascii="Times New Roman" w:eastAsia="Calibri" w:hAnsi="Times New Roman" w:cs="Times New Roman"/>
          <w:noProof/>
          <w:sz w:val="24"/>
          <w:szCs w:val="24"/>
        </w:rPr>
        <w:t xml:space="preserve">This </w:t>
      </w:r>
      <w:r w:rsidR="00687784">
        <w:rPr>
          <w:rFonts w:ascii="Times New Roman" w:eastAsia="Calibri" w:hAnsi="Times New Roman" w:cs="Times New Roman"/>
          <w:noProof/>
          <w:sz w:val="24"/>
          <w:szCs w:val="24"/>
        </w:rPr>
        <w:t>is part of the efforts at international level to implement the ‘</w:t>
      </w:r>
      <w:r w:rsidR="00687784">
        <w:rPr>
          <w:rFonts w:ascii="Times New Roman" w:eastAsia="Calibri" w:hAnsi="Times New Roman" w:cs="Times New Roman"/>
          <w:bCs/>
          <w:noProof/>
          <w:sz w:val="24"/>
          <w:szCs w:val="24"/>
        </w:rPr>
        <w:t>Christchurch Call for Action’</w:t>
      </w:r>
      <w:r w:rsidR="00687784">
        <w:rPr>
          <w:rStyle w:val="FootnoteReference"/>
          <w:rFonts w:eastAsia="Calibri"/>
        </w:rPr>
        <w:footnoteReference w:id="7"/>
      </w:r>
      <w:r w:rsidR="00687784">
        <w:rPr>
          <w:rFonts w:ascii="Times New Roman" w:eastAsia="Calibri" w:hAnsi="Times New Roman" w:cs="Times New Roman"/>
          <w:sz w:val="24"/>
          <w:szCs w:val="24"/>
        </w:rPr>
        <w:t xml:space="preserve">, seeking to ensure </w:t>
      </w:r>
      <w:r w:rsidR="00687784" w:rsidRPr="008D1951">
        <w:rPr>
          <w:rFonts w:ascii="Times New Roman" w:eastAsia="Calibri" w:hAnsi="Times New Roman" w:cs="Times New Roman"/>
          <w:sz w:val="24"/>
          <w:szCs w:val="24"/>
        </w:rPr>
        <w:t>coordinated and rapid reaction</w:t>
      </w:r>
      <w:r w:rsidR="00687784">
        <w:rPr>
          <w:rFonts w:ascii="Times New Roman" w:eastAsia="Calibri" w:hAnsi="Times New Roman" w:cs="Times New Roman"/>
          <w:sz w:val="24"/>
          <w:szCs w:val="24"/>
        </w:rPr>
        <w:t xml:space="preserve"> </w:t>
      </w:r>
      <w:r w:rsidR="00687784" w:rsidRPr="008D1951">
        <w:rPr>
          <w:rFonts w:ascii="Times New Roman" w:eastAsia="Calibri" w:hAnsi="Times New Roman" w:cs="Times New Roman"/>
          <w:sz w:val="24"/>
          <w:szCs w:val="24"/>
        </w:rPr>
        <w:t>to contain the spread of viral terrorist or violent extremist co</w:t>
      </w:r>
      <w:r w:rsidR="00687784">
        <w:rPr>
          <w:rFonts w:ascii="Times New Roman" w:eastAsia="Calibri" w:hAnsi="Times New Roman" w:cs="Times New Roman"/>
          <w:sz w:val="24"/>
          <w:szCs w:val="24"/>
        </w:rPr>
        <w:t>ntent</w:t>
      </w:r>
      <w:r w:rsidR="00B81216">
        <w:rPr>
          <w:rFonts w:ascii="Times New Roman" w:eastAsia="Calibri" w:hAnsi="Times New Roman" w:cs="Times New Roman"/>
          <w:sz w:val="24"/>
          <w:szCs w:val="24"/>
        </w:rPr>
        <w:t xml:space="preserve"> online</w:t>
      </w:r>
      <w:r w:rsidR="00687784">
        <w:rPr>
          <w:rFonts w:ascii="Times New Roman" w:eastAsia="Calibri" w:hAnsi="Times New Roman" w:cs="Times New Roman"/>
          <w:sz w:val="24"/>
          <w:szCs w:val="24"/>
        </w:rPr>
        <w:t xml:space="preserve">. </w:t>
      </w:r>
    </w:p>
    <w:p w14:paraId="2AB04889" w14:textId="4DA6B03E" w:rsidR="008A1719" w:rsidRPr="00687784" w:rsidRDefault="004F737A" w:rsidP="00687784">
      <w:pPr>
        <w:spacing w:after="240" w:line="240" w:lineRule="auto"/>
        <w:jc w:val="both"/>
        <w:rPr>
          <w:sz w:val="23"/>
          <w:szCs w:val="23"/>
        </w:rPr>
      </w:pPr>
      <w:r>
        <w:rPr>
          <w:rFonts w:ascii="Times New Roman" w:hAnsi="Times New Roman" w:cs="Times New Roman"/>
          <w:sz w:val="24"/>
          <w:szCs w:val="24"/>
        </w:rPr>
        <w:t xml:space="preserve">Beyond those measures against online radicalisation, the Commission continues to support efforts at national and local level to </w:t>
      </w:r>
      <w:r w:rsidRPr="004F737A">
        <w:rPr>
          <w:rFonts w:ascii="Times New Roman" w:hAnsi="Times New Roman" w:cs="Times New Roman"/>
          <w:b/>
          <w:sz w:val="24"/>
          <w:szCs w:val="24"/>
        </w:rPr>
        <w:t>prevent and counter radicalisation on the ground</w:t>
      </w:r>
      <w:r>
        <w:rPr>
          <w:rFonts w:ascii="Times New Roman" w:hAnsi="Times New Roman" w:cs="Times New Roman"/>
          <w:sz w:val="24"/>
          <w:szCs w:val="24"/>
        </w:rPr>
        <w:t>. B</w:t>
      </w:r>
      <w:r w:rsidR="003525F2" w:rsidRPr="008D1951">
        <w:rPr>
          <w:rFonts w:ascii="Times New Roman" w:hAnsi="Times New Roman" w:cs="Times New Roman"/>
          <w:sz w:val="24"/>
          <w:szCs w:val="24"/>
        </w:rPr>
        <w:t>uilding on the wealth of experience and expertise gathered within the R</w:t>
      </w:r>
      <w:r w:rsidR="00D53AC4">
        <w:rPr>
          <w:rFonts w:ascii="Times New Roman" w:hAnsi="Times New Roman" w:cs="Times New Roman"/>
          <w:sz w:val="24"/>
          <w:szCs w:val="24"/>
        </w:rPr>
        <w:t>adicalisation Awareness Network</w:t>
      </w:r>
      <w:r w:rsidR="003525F2" w:rsidRPr="008D1951">
        <w:rPr>
          <w:rFonts w:ascii="Times New Roman" w:hAnsi="Times New Roman" w:cs="Times New Roman"/>
          <w:sz w:val="24"/>
          <w:szCs w:val="24"/>
        </w:rPr>
        <w:t xml:space="preserve">, the </w:t>
      </w:r>
      <w:r w:rsidR="006B4BA1">
        <w:rPr>
          <w:rFonts w:ascii="Times New Roman" w:hAnsi="Times New Roman" w:cs="Times New Roman"/>
          <w:sz w:val="24"/>
          <w:szCs w:val="24"/>
        </w:rPr>
        <w:t>EU offers</w:t>
      </w:r>
      <w:r w:rsidR="003525F2" w:rsidRPr="008D1951">
        <w:rPr>
          <w:rFonts w:ascii="Times New Roman" w:hAnsi="Times New Roman" w:cs="Times New Roman"/>
          <w:sz w:val="24"/>
          <w:szCs w:val="24"/>
        </w:rPr>
        <w:t xml:space="preserve"> targeted support</w:t>
      </w:r>
      <w:r w:rsidR="00E41630">
        <w:rPr>
          <w:rFonts w:ascii="Times New Roman" w:hAnsi="Times New Roman" w:cs="Times New Roman"/>
          <w:sz w:val="24"/>
          <w:szCs w:val="24"/>
        </w:rPr>
        <w:t xml:space="preserve"> to local actors</w:t>
      </w:r>
      <w:r w:rsidR="007459F5">
        <w:rPr>
          <w:rFonts w:ascii="Times New Roman" w:hAnsi="Times New Roman" w:cs="Times New Roman"/>
          <w:sz w:val="24"/>
          <w:szCs w:val="24"/>
        </w:rPr>
        <w:t xml:space="preserve"> including cities</w:t>
      </w:r>
      <w:r w:rsidR="007459F5">
        <w:rPr>
          <w:rStyle w:val="FootnoteReference"/>
        </w:rPr>
        <w:footnoteReference w:id="8"/>
      </w:r>
      <w:r w:rsidR="007459F5">
        <w:rPr>
          <w:rFonts w:ascii="Times New Roman" w:hAnsi="Times New Roman" w:cs="Times New Roman"/>
          <w:sz w:val="24"/>
          <w:szCs w:val="24"/>
        </w:rPr>
        <w:t>,</w:t>
      </w:r>
      <w:r w:rsidR="00E41630">
        <w:rPr>
          <w:rFonts w:ascii="Times New Roman" w:hAnsi="Times New Roman" w:cs="Times New Roman"/>
          <w:sz w:val="24"/>
          <w:szCs w:val="24"/>
        </w:rPr>
        <w:t xml:space="preserve"> and</w:t>
      </w:r>
      <w:r w:rsidR="007459F5">
        <w:rPr>
          <w:rFonts w:ascii="Times New Roman" w:hAnsi="Times New Roman" w:cs="Times New Roman"/>
          <w:sz w:val="24"/>
          <w:szCs w:val="24"/>
        </w:rPr>
        <w:t xml:space="preserve"> provides</w:t>
      </w:r>
      <w:r w:rsidR="003525F2" w:rsidRPr="008D1951">
        <w:rPr>
          <w:rFonts w:ascii="Times New Roman" w:hAnsi="Times New Roman" w:cs="Times New Roman"/>
          <w:sz w:val="24"/>
          <w:szCs w:val="24"/>
        </w:rPr>
        <w:t xml:space="preserve"> opportunities for exchange</w:t>
      </w:r>
      <w:r>
        <w:rPr>
          <w:rFonts w:ascii="Times New Roman" w:hAnsi="Times New Roman" w:cs="Times New Roman"/>
          <w:sz w:val="24"/>
          <w:szCs w:val="24"/>
        </w:rPr>
        <w:t xml:space="preserve"> </w:t>
      </w:r>
      <w:r w:rsidR="00E41630">
        <w:rPr>
          <w:rFonts w:ascii="Times New Roman" w:hAnsi="Times New Roman" w:cs="Times New Roman"/>
          <w:sz w:val="24"/>
          <w:szCs w:val="24"/>
        </w:rPr>
        <w:t xml:space="preserve">between </w:t>
      </w:r>
      <w:r w:rsidR="003525F2" w:rsidRPr="008D1951">
        <w:rPr>
          <w:rFonts w:ascii="Times New Roman" w:hAnsi="Times New Roman" w:cs="Times New Roman"/>
          <w:sz w:val="24"/>
          <w:szCs w:val="24"/>
        </w:rPr>
        <w:t xml:space="preserve">practitioners, researchers and policy makers. </w:t>
      </w:r>
      <w:r w:rsidR="00BD024E">
        <w:rPr>
          <w:rFonts w:ascii="Times New Roman" w:hAnsi="Times New Roman" w:cs="Times New Roman"/>
          <w:sz w:val="24"/>
          <w:szCs w:val="24"/>
        </w:rPr>
        <w:t>For example, the n</w:t>
      </w:r>
      <w:r w:rsidR="00BD024E" w:rsidRPr="00BD024E">
        <w:rPr>
          <w:rFonts w:ascii="Times New Roman" w:hAnsi="Times New Roman" w:cs="Times New Roman"/>
          <w:sz w:val="24"/>
          <w:szCs w:val="24"/>
        </w:rPr>
        <w:t>etwork has issued specific guidance and organised workshops to support compet</w:t>
      </w:r>
      <w:r w:rsidR="00BD024E">
        <w:rPr>
          <w:rFonts w:ascii="Times New Roman" w:hAnsi="Times New Roman" w:cs="Times New Roman"/>
          <w:sz w:val="24"/>
          <w:szCs w:val="24"/>
        </w:rPr>
        <w:t xml:space="preserve">ent authorities </w:t>
      </w:r>
      <w:r w:rsidR="00506F5F" w:rsidRPr="00506F5F">
        <w:rPr>
          <w:rFonts w:ascii="Times New Roman" w:hAnsi="Times New Roman" w:cs="Times New Roman"/>
          <w:sz w:val="24"/>
          <w:szCs w:val="24"/>
        </w:rPr>
        <w:t>in dealing with children who came from conflict zones</w:t>
      </w:r>
      <w:r w:rsidR="00BD024E">
        <w:rPr>
          <w:rFonts w:ascii="Times New Roman" w:hAnsi="Times New Roman" w:cs="Times New Roman"/>
          <w:sz w:val="24"/>
          <w:szCs w:val="24"/>
        </w:rPr>
        <w:t>.</w:t>
      </w:r>
      <w:r w:rsidR="00506F5F">
        <w:rPr>
          <w:rStyle w:val="FootnoteReference"/>
        </w:rPr>
        <w:footnoteReference w:id="9"/>
      </w:r>
      <w:r w:rsidR="00BD024E">
        <w:rPr>
          <w:rFonts w:ascii="Times New Roman" w:hAnsi="Times New Roman" w:cs="Times New Roman"/>
          <w:sz w:val="24"/>
          <w:szCs w:val="24"/>
        </w:rPr>
        <w:t xml:space="preserve"> </w:t>
      </w:r>
      <w:r w:rsidR="003525F2" w:rsidRPr="008D1951">
        <w:rPr>
          <w:rFonts w:ascii="Times New Roman" w:hAnsi="Times New Roman" w:cs="Times New Roman"/>
          <w:sz w:val="24"/>
          <w:szCs w:val="24"/>
        </w:rPr>
        <w:t>To ensure the continuity of activities carried out within the R</w:t>
      </w:r>
      <w:r>
        <w:rPr>
          <w:rFonts w:ascii="Times New Roman" w:hAnsi="Times New Roman" w:cs="Times New Roman"/>
          <w:sz w:val="24"/>
          <w:szCs w:val="24"/>
        </w:rPr>
        <w:t xml:space="preserve">adicalisation </w:t>
      </w:r>
      <w:r w:rsidR="003525F2" w:rsidRPr="008D1951">
        <w:rPr>
          <w:rFonts w:ascii="Times New Roman" w:hAnsi="Times New Roman" w:cs="Times New Roman"/>
          <w:sz w:val="24"/>
          <w:szCs w:val="24"/>
        </w:rPr>
        <w:t>A</w:t>
      </w:r>
      <w:r>
        <w:rPr>
          <w:rFonts w:ascii="Times New Roman" w:hAnsi="Times New Roman" w:cs="Times New Roman"/>
          <w:sz w:val="24"/>
          <w:szCs w:val="24"/>
        </w:rPr>
        <w:t xml:space="preserve">wareness </w:t>
      </w:r>
      <w:r w:rsidR="003525F2" w:rsidRPr="008D1951">
        <w:rPr>
          <w:rFonts w:ascii="Times New Roman" w:hAnsi="Times New Roman" w:cs="Times New Roman"/>
          <w:sz w:val="24"/>
          <w:szCs w:val="24"/>
        </w:rPr>
        <w:t>N</w:t>
      </w:r>
      <w:r>
        <w:rPr>
          <w:rFonts w:ascii="Times New Roman" w:hAnsi="Times New Roman" w:cs="Times New Roman"/>
          <w:sz w:val="24"/>
          <w:szCs w:val="24"/>
        </w:rPr>
        <w:t>etwork</w:t>
      </w:r>
      <w:r w:rsidR="00701A55">
        <w:rPr>
          <w:rFonts w:ascii="Times New Roman" w:hAnsi="Times New Roman" w:cs="Times New Roman"/>
          <w:sz w:val="24"/>
          <w:szCs w:val="24"/>
        </w:rPr>
        <w:t>,</w:t>
      </w:r>
      <w:r w:rsidR="003525F2" w:rsidRPr="008D1951">
        <w:rPr>
          <w:rFonts w:ascii="Times New Roman" w:hAnsi="Times New Roman" w:cs="Times New Roman"/>
          <w:sz w:val="24"/>
          <w:szCs w:val="24"/>
        </w:rPr>
        <w:t xml:space="preserve"> the Commission has launched the procedure for a new framework contract for </w:t>
      </w:r>
      <w:r w:rsidRPr="008D1951">
        <w:rPr>
          <w:rFonts w:ascii="Times New Roman" w:hAnsi="Times New Roman" w:cs="Times New Roman"/>
          <w:sz w:val="24"/>
          <w:szCs w:val="24"/>
        </w:rPr>
        <w:t xml:space="preserve">an estimated value of </w:t>
      </w:r>
      <w:r>
        <w:rPr>
          <w:rFonts w:ascii="Times New Roman" w:hAnsi="Times New Roman" w:cs="Times New Roman"/>
          <w:sz w:val="24"/>
          <w:szCs w:val="24"/>
        </w:rPr>
        <w:t xml:space="preserve">EUR </w:t>
      </w:r>
      <w:r w:rsidRPr="008D1951">
        <w:rPr>
          <w:rFonts w:ascii="Times New Roman" w:hAnsi="Times New Roman" w:cs="Times New Roman"/>
          <w:sz w:val="24"/>
          <w:szCs w:val="24"/>
        </w:rPr>
        <w:t xml:space="preserve">61 </w:t>
      </w:r>
      <w:r>
        <w:rPr>
          <w:rFonts w:ascii="Times New Roman" w:hAnsi="Times New Roman" w:cs="Times New Roman"/>
          <w:sz w:val="24"/>
          <w:szCs w:val="24"/>
        </w:rPr>
        <w:t>million over</w:t>
      </w:r>
      <w:r w:rsidRPr="008D1951">
        <w:rPr>
          <w:rFonts w:ascii="Times New Roman" w:hAnsi="Times New Roman" w:cs="Times New Roman"/>
          <w:sz w:val="24"/>
          <w:szCs w:val="24"/>
        </w:rPr>
        <w:t xml:space="preserve"> </w:t>
      </w:r>
      <w:r>
        <w:rPr>
          <w:rFonts w:ascii="Times New Roman" w:hAnsi="Times New Roman" w:cs="Times New Roman"/>
          <w:sz w:val="24"/>
          <w:szCs w:val="24"/>
        </w:rPr>
        <w:t>a period of four years, starting in 2020</w:t>
      </w:r>
      <w:r w:rsidR="003525F2" w:rsidRPr="008D1951">
        <w:rPr>
          <w:rFonts w:ascii="Times New Roman" w:hAnsi="Times New Roman" w:cs="Times New Roman"/>
          <w:sz w:val="24"/>
          <w:szCs w:val="24"/>
        </w:rPr>
        <w:t>.</w:t>
      </w:r>
      <w:r w:rsidR="008B07C1">
        <w:rPr>
          <w:rStyle w:val="FootnoteReference"/>
        </w:rPr>
        <w:footnoteReference w:id="10"/>
      </w:r>
      <w:r>
        <w:rPr>
          <w:rFonts w:ascii="Times New Roman" w:hAnsi="Times New Roman" w:cs="Times New Roman"/>
          <w:sz w:val="24"/>
          <w:szCs w:val="24"/>
        </w:rPr>
        <w:t xml:space="preserve"> </w:t>
      </w:r>
    </w:p>
    <w:p w14:paraId="47DB7AEC" w14:textId="77777777" w:rsidR="007D2B63" w:rsidRPr="00DA79C5" w:rsidRDefault="007D2B63" w:rsidP="00055568">
      <w:pPr>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sz w:val="24"/>
          <w:szCs w:val="24"/>
        </w:rPr>
      </w:pPr>
      <w:r w:rsidRPr="008D1951">
        <w:rPr>
          <w:rFonts w:ascii="Times New Roman" w:hAnsi="Times New Roman" w:cs="Times New Roman"/>
          <w:b/>
          <w:sz w:val="24"/>
          <w:szCs w:val="24"/>
        </w:rPr>
        <w:t xml:space="preserve">In order to </w:t>
      </w:r>
      <w:r w:rsidR="008F6F4D" w:rsidRPr="008D1951">
        <w:rPr>
          <w:rFonts w:ascii="Times New Roman" w:hAnsi="Times New Roman" w:cs="Times New Roman"/>
          <w:b/>
          <w:sz w:val="24"/>
          <w:szCs w:val="24"/>
        </w:rPr>
        <w:t>counter the threat posed by terrorist content online</w:t>
      </w:r>
      <w:r w:rsidRPr="008D1951">
        <w:rPr>
          <w:rFonts w:ascii="Times New Roman" w:hAnsi="Times New Roman" w:cs="Times New Roman"/>
          <w:b/>
          <w:sz w:val="24"/>
          <w:szCs w:val="24"/>
        </w:rPr>
        <w:t xml:space="preserve">, the Commission calls on </w:t>
      </w:r>
      <w:r w:rsidRPr="00DA79C5">
        <w:rPr>
          <w:rFonts w:ascii="Times New Roman" w:hAnsi="Times New Roman" w:cs="Times New Roman"/>
          <w:b/>
          <w:sz w:val="24"/>
          <w:szCs w:val="24"/>
        </w:rPr>
        <w:t>the European Parliament and the Council: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8"/>
      </w:tblGrid>
      <w:tr w:rsidR="00DA79C5" w:rsidRPr="00DA79C5" w14:paraId="1F46B1CA" w14:textId="77777777" w:rsidTr="00573512">
        <w:tc>
          <w:tcPr>
            <w:tcW w:w="9288" w:type="dxa"/>
            <w:shd w:val="clear" w:color="auto" w:fill="DBE5F1" w:themeFill="accent1" w:themeFillTint="33"/>
          </w:tcPr>
          <w:p w14:paraId="4A0790B1" w14:textId="77777777" w:rsidR="007D2B63" w:rsidRPr="00DA79C5" w:rsidRDefault="007D2B63" w:rsidP="00B7715D">
            <w:pPr>
              <w:pStyle w:val="Heading1"/>
              <w:numPr>
                <w:ilvl w:val="0"/>
                <w:numId w:val="45"/>
              </w:numPr>
              <w:spacing w:before="0"/>
              <w:outlineLvl w:val="0"/>
              <w:rPr>
                <w:rFonts w:ascii="Times New Roman" w:hAnsi="Times New Roman" w:cs="Times New Roman"/>
                <w:color w:val="auto"/>
                <w:sz w:val="24"/>
                <w:szCs w:val="24"/>
              </w:rPr>
            </w:pPr>
            <w:r w:rsidRPr="00DA79C5">
              <w:rPr>
                <w:rFonts w:ascii="Times New Roman" w:hAnsi="Times New Roman" w:cs="Times New Roman"/>
                <w:color w:val="auto"/>
                <w:sz w:val="24"/>
                <w:szCs w:val="24"/>
              </w:rPr>
              <w:t xml:space="preserve">to </w:t>
            </w:r>
            <w:r w:rsidR="00701A55" w:rsidRPr="00DA79C5">
              <w:rPr>
                <w:rFonts w:ascii="Times New Roman" w:hAnsi="Times New Roman" w:cs="Times New Roman"/>
                <w:color w:val="auto"/>
                <w:sz w:val="24"/>
                <w:szCs w:val="24"/>
              </w:rPr>
              <w:t>conclude the</w:t>
            </w:r>
            <w:r w:rsidRPr="00DA79C5">
              <w:rPr>
                <w:rFonts w:ascii="Times New Roman" w:hAnsi="Times New Roman" w:cs="Times New Roman"/>
                <w:color w:val="auto"/>
                <w:sz w:val="24"/>
                <w:szCs w:val="24"/>
              </w:rPr>
              <w:t xml:space="preserve"> </w:t>
            </w:r>
            <w:r w:rsidRPr="00DA79C5">
              <w:rPr>
                <w:rFonts w:ascii="Times New Roman" w:eastAsia="Times New Roman" w:hAnsi="Times New Roman" w:cs="Times New Roman"/>
                <w:color w:val="auto"/>
                <w:sz w:val="24"/>
                <w:szCs w:val="24"/>
                <w:lang w:eastAsia="en-GB"/>
              </w:rPr>
              <w:t xml:space="preserve">negotiations on the legislative proposal to prevent the dissemination of </w:t>
            </w:r>
            <w:r w:rsidRPr="00DA79C5">
              <w:rPr>
                <w:rFonts w:ascii="Times New Roman" w:eastAsia="Times New Roman" w:hAnsi="Times New Roman" w:cs="Times New Roman"/>
                <w:b/>
                <w:color w:val="auto"/>
                <w:sz w:val="24"/>
                <w:szCs w:val="24"/>
                <w:lang w:eastAsia="en-GB"/>
              </w:rPr>
              <w:t>terrorist content online</w:t>
            </w:r>
            <w:r w:rsidRPr="00DA79C5">
              <w:rPr>
                <w:rFonts w:ascii="Times New Roman" w:eastAsia="Times New Roman" w:hAnsi="Times New Roman" w:cs="Times New Roman"/>
                <w:color w:val="auto"/>
                <w:sz w:val="24"/>
                <w:szCs w:val="24"/>
                <w:lang w:eastAsia="en-GB"/>
              </w:rPr>
              <w:t xml:space="preserve"> </w:t>
            </w:r>
            <w:r w:rsidR="00701A55" w:rsidRPr="00DA79C5">
              <w:rPr>
                <w:rFonts w:ascii="Times New Roman" w:hAnsi="Times New Roman" w:cs="Times New Roman"/>
                <w:color w:val="auto"/>
                <w:sz w:val="24"/>
                <w:szCs w:val="24"/>
              </w:rPr>
              <w:t>before the end of the year</w:t>
            </w:r>
            <w:r w:rsidRPr="00DA79C5">
              <w:rPr>
                <w:rFonts w:ascii="Times New Roman" w:hAnsi="Times New Roman" w:cs="Times New Roman"/>
                <w:color w:val="auto"/>
                <w:sz w:val="24"/>
                <w:szCs w:val="24"/>
              </w:rPr>
              <w:t>.</w:t>
            </w:r>
          </w:p>
        </w:tc>
      </w:tr>
    </w:tbl>
    <w:p w14:paraId="58F2077C" w14:textId="77777777" w:rsidR="006D5012" w:rsidRDefault="006D5012" w:rsidP="00FD1033">
      <w:pPr>
        <w:spacing w:before="240" w:after="240" w:line="240" w:lineRule="auto"/>
        <w:ind w:left="720" w:hanging="720"/>
        <w:jc w:val="both"/>
        <w:rPr>
          <w:rFonts w:ascii="Times New Roman" w:eastAsia="Calibri" w:hAnsi="Times New Roman" w:cs="Times New Roman"/>
          <w:i/>
          <w:iCs/>
          <w:sz w:val="24"/>
          <w:szCs w:val="24"/>
        </w:rPr>
      </w:pPr>
    </w:p>
    <w:p w14:paraId="761F63E7" w14:textId="7EDBFFD2" w:rsidR="00FD1033" w:rsidRPr="008D1951" w:rsidRDefault="00B75976" w:rsidP="00FD1033">
      <w:pPr>
        <w:spacing w:before="240" w:after="240" w:line="240" w:lineRule="auto"/>
        <w:ind w:left="720" w:hanging="720"/>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2</w:t>
      </w:r>
      <w:r w:rsidR="00FD1033" w:rsidRPr="008D1951">
        <w:rPr>
          <w:rFonts w:ascii="Times New Roman" w:eastAsia="Calibri" w:hAnsi="Times New Roman" w:cs="Times New Roman"/>
          <w:i/>
          <w:iCs/>
          <w:sz w:val="24"/>
          <w:szCs w:val="24"/>
        </w:rPr>
        <w:t>.</w:t>
      </w:r>
      <w:r w:rsidR="00FD1033" w:rsidRPr="008D1951">
        <w:rPr>
          <w:rFonts w:ascii="Times New Roman" w:eastAsia="Calibri" w:hAnsi="Times New Roman" w:cs="Times New Roman"/>
          <w:i/>
          <w:iCs/>
          <w:sz w:val="24"/>
          <w:szCs w:val="24"/>
        </w:rPr>
        <w:tab/>
        <w:t xml:space="preserve"> Stronger and</w:t>
      </w:r>
      <w:r w:rsidR="00FD1033">
        <w:rPr>
          <w:rFonts w:ascii="Times New Roman" w:eastAsia="Calibri" w:hAnsi="Times New Roman" w:cs="Times New Roman"/>
          <w:i/>
          <w:iCs/>
          <w:sz w:val="24"/>
          <w:szCs w:val="24"/>
        </w:rPr>
        <w:t xml:space="preserve"> </w:t>
      </w:r>
      <w:r w:rsidR="00FD1033" w:rsidRPr="008D1951">
        <w:rPr>
          <w:rFonts w:ascii="Times New Roman" w:eastAsia="Calibri" w:hAnsi="Times New Roman" w:cs="Times New Roman"/>
          <w:i/>
          <w:iCs/>
          <w:sz w:val="24"/>
          <w:szCs w:val="24"/>
        </w:rPr>
        <w:t>smarter information systems for security, border and migration management</w:t>
      </w:r>
    </w:p>
    <w:p w14:paraId="2D4886BC" w14:textId="4A14FEAC" w:rsidR="00B3037B" w:rsidRDefault="00FE591A" w:rsidP="00FD1033">
      <w:pPr>
        <w:spacing w:before="240" w:after="24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The EU</w:t>
      </w:r>
      <w:r w:rsidRPr="00FE591A">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has </w:t>
      </w:r>
      <w:r w:rsidRPr="00FE591A">
        <w:rPr>
          <w:rFonts w:ascii="Times New Roman" w:hAnsi="Times New Roman" w:cs="Times New Roman"/>
          <w:sz w:val="24"/>
          <w:szCs w:val="24"/>
          <w:lang w:eastAsia="en-GB"/>
        </w:rPr>
        <w:t>stepped up information exchange, making it easier to tackle identity fraud</w:t>
      </w:r>
      <w:r w:rsidR="000F24D0">
        <w:rPr>
          <w:rStyle w:val="FootnoteReference"/>
          <w:lang w:eastAsia="en-GB"/>
        </w:rPr>
        <w:footnoteReference w:id="11"/>
      </w:r>
      <w:r w:rsidRPr="00FE591A">
        <w:rPr>
          <w:rFonts w:ascii="Times New Roman" w:hAnsi="Times New Roman" w:cs="Times New Roman"/>
          <w:sz w:val="24"/>
          <w:szCs w:val="24"/>
          <w:lang w:eastAsia="en-GB"/>
        </w:rPr>
        <w:t>, strengthening border checks</w:t>
      </w:r>
      <w:r w:rsidR="00B3037B">
        <w:rPr>
          <w:rStyle w:val="FootnoteReference"/>
          <w:lang w:eastAsia="en-GB"/>
        </w:rPr>
        <w:footnoteReference w:id="12"/>
      </w:r>
      <w:r>
        <w:rPr>
          <w:rFonts w:ascii="Times New Roman" w:hAnsi="Times New Roman" w:cs="Times New Roman"/>
          <w:sz w:val="24"/>
          <w:szCs w:val="24"/>
          <w:lang w:eastAsia="en-GB"/>
        </w:rPr>
        <w:t>,</w:t>
      </w:r>
      <w:r w:rsidRPr="00FE591A">
        <w:rPr>
          <w:rFonts w:ascii="Times New Roman" w:hAnsi="Times New Roman" w:cs="Times New Roman"/>
          <w:sz w:val="24"/>
          <w:szCs w:val="24"/>
          <w:lang w:eastAsia="en-GB"/>
        </w:rPr>
        <w:t xml:space="preserve"> modernising Europe-wide law enforcement databases</w:t>
      </w:r>
      <w:r w:rsidR="000F24D0">
        <w:rPr>
          <w:rStyle w:val="FootnoteReference"/>
          <w:lang w:eastAsia="en-GB"/>
        </w:rPr>
        <w:footnoteReference w:id="13"/>
      </w:r>
      <w:r w:rsidR="00B23286">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closing information gaps</w:t>
      </w:r>
      <w:r w:rsidR="00B3037B">
        <w:rPr>
          <w:rStyle w:val="FootnoteReference"/>
          <w:lang w:eastAsia="en-GB"/>
        </w:rPr>
        <w:footnoteReference w:id="14"/>
      </w:r>
      <w:r w:rsidR="00B23286">
        <w:rPr>
          <w:rFonts w:ascii="Times New Roman" w:hAnsi="Times New Roman" w:cs="Times New Roman"/>
          <w:sz w:val="24"/>
          <w:szCs w:val="24"/>
          <w:lang w:eastAsia="en-GB"/>
        </w:rPr>
        <w:t xml:space="preserve"> and reinforcing the EU law enforcement agency Europol</w:t>
      </w:r>
      <w:r w:rsidR="00B57980">
        <w:rPr>
          <w:rStyle w:val="FootnoteReference"/>
          <w:lang w:eastAsia="en-GB"/>
        </w:rPr>
        <w:footnoteReference w:id="15"/>
      </w:r>
      <w:r w:rsidRPr="00FE591A">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Central to this is the</w:t>
      </w:r>
      <w:r w:rsidRPr="00FE591A">
        <w:rPr>
          <w:rFonts w:ascii="Times New Roman" w:hAnsi="Times New Roman" w:cs="Times New Roman"/>
          <w:sz w:val="24"/>
          <w:szCs w:val="24"/>
          <w:lang w:eastAsia="en-GB"/>
        </w:rPr>
        <w:t xml:space="preserve"> </w:t>
      </w:r>
      <w:r w:rsidRPr="00FE591A">
        <w:rPr>
          <w:rFonts w:ascii="Times New Roman" w:hAnsi="Times New Roman" w:cs="Times New Roman"/>
          <w:b/>
          <w:sz w:val="24"/>
          <w:szCs w:val="24"/>
          <w:lang w:eastAsia="en-GB"/>
        </w:rPr>
        <w:t>interoperability of EU information systems</w:t>
      </w:r>
      <w:r w:rsidR="0012384B" w:rsidRPr="00B7715D">
        <w:rPr>
          <w:rStyle w:val="FootnoteReference"/>
          <w:lang w:eastAsia="en-GB"/>
        </w:rPr>
        <w:footnoteReference w:id="16"/>
      </w:r>
      <w:r w:rsidR="00B3037B">
        <w:rPr>
          <w:rFonts w:ascii="Times New Roman" w:hAnsi="Times New Roman" w:cs="Times New Roman"/>
          <w:sz w:val="24"/>
          <w:szCs w:val="24"/>
          <w:lang w:eastAsia="en-GB"/>
        </w:rPr>
        <w:t xml:space="preserve">, </w:t>
      </w:r>
      <w:r w:rsidR="00927647">
        <w:rPr>
          <w:rFonts w:ascii="Times New Roman" w:hAnsi="Times New Roman" w:cs="Times New Roman"/>
          <w:sz w:val="24"/>
          <w:szCs w:val="24"/>
          <w:lang w:eastAsia="en-GB"/>
        </w:rPr>
        <w:t xml:space="preserve">which means </w:t>
      </w:r>
      <w:r w:rsidR="00B3037B" w:rsidRPr="00B3037B">
        <w:rPr>
          <w:rFonts w:ascii="Times New Roman" w:hAnsi="Times New Roman" w:cs="Times New Roman"/>
          <w:sz w:val="24"/>
          <w:szCs w:val="24"/>
          <w:lang w:eastAsia="en-GB"/>
        </w:rPr>
        <w:t>making best use of existing information and closing blind spots</w:t>
      </w:r>
      <w:r w:rsidR="00B3037B">
        <w:rPr>
          <w:rFonts w:ascii="Times New Roman" w:hAnsi="Times New Roman" w:cs="Times New Roman"/>
          <w:sz w:val="24"/>
          <w:szCs w:val="24"/>
          <w:lang w:eastAsia="en-GB"/>
        </w:rPr>
        <w:t>.</w:t>
      </w:r>
      <w:r w:rsidR="00B3037B" w:rsidRPr="00B3037B">
        <w:rPr>
          <w:rFonts w:ascii="Times New Roman" w:hAnsi="Times New Roman" w:cs="Times New Roman"/>
          <w:sz w:val="24"/>
          <w:szCs w:val="24"/>
          <w:lang w:eastAsia="en-GB"/>
        </w:rPr>
        <w:t xml:space="preserve"> </w:t>
      </w:r>
      <w:r w:rsidR="00B3037B">
        <w:rPr>
          <w:rFonts w:ascii="Times New Roman" w:hAnsi="Times New Roman" w:cs="Times New Roman"/>
          <w:sz w:val="24"/>
          <w:szCs w:val="24"/>
          <w:lang w:eastAsia="en-GB"/>
        </w:rPr>
        <w:t xml:space="preserve">Responding to the needs of those working </w:t>
      </w:r>
      <w:r w:rsidR="00CA54F2">
        <w:rPr>
          <w:rFonts w:ascii="Times New Roman" w:hAnsi="Times New Roman" w:cs="Times New Roman"/>
          <w:sz w:val="24"/>
          <w:szCs w:val="24"/>
          <w:lang w:eastAsia="en-GB"/>
        </w:rPr>
        <w:t>on</w:t>
      </w:r>
      <w:r w:rsidR="00B3037B">
        <w:rPr>
          <w:rFonts w:ascii="Times New Roman" w:hAnsi="Times New Roman" w:cs="Times New Roman"/>
          <w:sz w:val="24"/>
          <w:szCs w:val="24"/>
          <w:lang w:eastAsia="en-GB"/>
        </w:rPr>
        <w:t xml:space="preserve"> the frontline, interoperability</w:t>
      </w:r>
      <w:r>
        <w:rPr>
          <w:rFonts w:ascii="Times New Roman" w:hAnsi="Times New Roman" w:cs="Times New Roman"/>
          <w:sz w:val="24"/>
          <w:szCs w:val="24"/>
          <w:lang w:eastAsia="en-GB"/>
        </w:rPr>
        <w:t xml:space="preserve"> </w:t>
      </w:r>
      <w:r w:rsidRPr="00FE591A">
        <w:rPr>
          <w:rFonts w:ascii="Times New Roman" w:hAnsi="Times New Roman" w:cs="Times New Roman"/>
          <w:sz w:val="24"/>
          <w:szCs w:val="24"/>
          <w:lang w:eastAsia="en-GB"/>
        </w:rPr>
        <w:t xml:space="preserve">will lead to faster, more systematic access to information for </w:t>
      </w:r>
      <w:r>
        <w:rPr>
          <w:rFonts w:ascii="Times New Roman" w:hAnsi="Times New Roman" w:cs="Times New Roman"/>
          <w:sz w:val="24"/>
          <w:szCs w:val="24"/>
          <w:lang w:eastAsia="en-GB"/>
        </w:rPr>
        <w:t xml:space="preserve">law enforcement officers, border </w:t>
      </w:r>
      <w:r w:rsidR="00B3037B">
        <w:rPr>
          <w:rFonts w:ascii="Times New Roman" w:hAnsi="Times New Roman" w:cs="Times New Roman"/>
          <w:sz w:val="24"/>
          <w:szCs w:val="24"/>
          <w:lang w:eastAsia="en-GB"/>
        </w:rPr>
        <w:t>guards and migration officials</w:t>
      </w:r>
      <w:r w:rsidR="00B3533E">
        <w:rPr>
          <w:rFonts w:ascii="Times New Roman" w:hAnsi="Times New Roman" w:cs="Times New Roman"/>
          <w:sz w:val="24"/>
          <w:szCs w:val="24"/>
          <w:lang w:eastAsia="en-GB"/>
        </w:rPr>
        <w:t xml:space="preserve">, </w:t>
      </w:r>
      <w:r w:rsidR="00FE2296">
        <w:rPr>
          <w:rFonts w:ascii="Times New Roman" w:hAnsi="Times New Roman" w:cs="Times New Roman"/>
          <w:sz w:val="24"/>
          <w:szCs w:val="24"/>
          <w:lang w:eastAsia="en-GB"/>
        </w:rPr>
        <w:t xml:space="preserve">thus </w:t>
      </w:r>
      <w:r w:rsidR="00B3533E">
        <w:rPr>
          <w:rFonts w:ascii="Times New Roman" w:hAnsi="Times New Roman" w:cs="Times New Roman"/>
          <w:sz w:val="24"/>
          <w:szCs w:val="24"/>
          <w:lang w:eastAsia="en-GB"/>
        </w:rPr>
        <w:t xml:space="preserve">contributing to improving </w:t>
      </w:r>
      <w:r w:rsidR="00FE2296">
        <w:rPr>
          <w:rFonts w:ascii="Times New Roman" w:hAnsi="Times New Roman" w:cs="Times New Roman"/>
          <w:sz w:val="24"/>
          <w:szCs w:val="24"/>
          <w:lang w:eastAsia="en-GB"/>
        </w:rPr>
        <w:t xml:space="preserve">internal security and </w:t>
      </w:r>
      <w:r w:rsidR="00B3533E">
        <w:rPr>
          <w:rFonts w:ascii="Times New Roman" w:hAnsi="Times New Roman" w:cs="Times New Roman"/>
          <w:sz w:val="24"/>
          <w:szCs w:val="24"/>
          <w:lang w:eastAsia="en-GB"/>
        </w:rPr>
        <w:t>border management</w:t>
      </w:r>
      <w:r w:rsidR="00B3037B">
        <w:rPr>
          <w:rFonts w:ascii="Times New Roman" w:hAnsi="Times New Roman" w:cs="Times New Roman"/>
          <w:sz w:val="24"/>
          <w:szCs w:val="24"/>
          <w:lang w:eastAsia="en-GB"/>
        </w:rPr>
        <w:t>.</w:t>
      </w:r>
    </w:p>
    <w:p w14:paraId="5265B0D7" w14:textId="149A798C" w:rsidR="00FE591A" w:rsidRDefault="00FE591A" w:rsidP="00FD1033">
      <w:pPr>
        <w:spacing w:before="240" w:after="24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However, </w:t>
      </w:r>
      <w:r w:rsidRPr="00FE591A">
        <w:rPr>
          <w:rFonts w:ascii="Times New Roman" w:hAnsi="Times New Roman" w:cs="Times New Roman"/>
          <w:sz w:val="24"/>
          <w:szCs w:val="24"/>
          <w:lang w:eastAsia="en-GB"/>
        </w:rPr>
        <w:t>interope</w:t>
      </w:r>
      <w:r w:rsidR="00CA54F2">
        <w:rPr>
          <w:rFonts w:ascii="Times New Roman" w:hAnsi="Times New Roman" w:cs="Times New Roman"/>
          <w:sz w:val="24"/>
          <w:szCs w:val="24"/>
          <w:lang w:eastAsia="en-GB"/>
        </w:rPr>
        <w:t>rability and all the innovation</w:t>
      </w:r>
      <w:r w:rsidRPr="00FE591A">
        <w:rPr>
          <w:rFonts w:ascii="Times New Roman" w:hAnsi="Times New Roman" w:cs="Times New Roman"/>
          <w:sz w:val="24"/>
          <w:szCs w:val="24"/>
          <w:lang w:eastAsia="en-GB"/>
        </w:rPr>
        <w:t xml:space="preserve"> it entails will only make a difference for security, border and migration management on the ground if each Member State fully implements the related legislation.</w:t>
      </w:r>
      <w:r>
        <w:rPr>
          <w:rFonts w:ascii="Times New Roman" w:hAnsi="Times New Roman" w:cs="Times New Roman"/>
          <w:sz w:val="24"/>
          <w:szCs w:val="24"/>
          <w:lang w:eastAsia="en-GB"/>
        </w:rPr>
        <w:t xml:space="preserve"> This is why the </w:t>
      </w:r>
      <w:r w:rsidRPr="00FE591A">
        <w:rPr>
          <w:rFonts w:ascii="Times New Roman" w:hAnsi="Times New Roman" w:cs="Times New Roman"/>
          <w:b/>
          <w:sz w:val="24"/>
          <w:szCs w:val="24"/>
          <w:lang w:eastAsia="en-GB"/>
        </w:rPr>
        <w:t>implementation</w:t>
      </w:r>
      <w:r>
        <w:rPr>
          <w:rFonts w:ascii="Times New Roman" w:hAnsi="Times New Roman" w:cs="Times New Roman"/>
          <w:sz w:val="24"/>
          <w:szCs w:val="24"/>
          <w:lang w:eastAsia="en-GB"/>
        </w:rPr>
        <w:t xml:space="preserve"> of interoperability </w:t>
      </w:r>
      <w:r w:rsidR="001221C0">
        <w:rPr>
          <w:rFonts w:ascii="Times New Roman" w:hAnsi="Times New Roman" w:cs="Times New Roman"/>
          <w:sz w:val="24"/>
          <w:szCs w:val="24"/>
          <w:lang w:eastAsia="en-GB"/>
        </w:rPr>
        <w:t xml:space="preserve">is </w:t>
      </w:r>
      <w:r>
        <w:rPr>
          <w:rFonts w:ascii="Times New Roman" w:hAnsi="Times New Roman" w:cs="Times New Roman"/>
          <w:sz w:val="24"/>
          <w:szCs w:val="24"/>
          <w:lang w:eastAsia="en-GB"/>
        </w:rPr>
        <w:t xml:space="preserve">a top priority in the Security Union, both at political and technical levels. The Commission and </w:t>
      </w:r>
      <w:r w:rsidR="00B23286">
        <w:rPr>
          <w:rFonts w:ascii="Times New Roman" w:hAnsi="Times New Roman" w:cs="Times New Roman"/>
          <w:sz w:val="24"/>
          <w:szCs w:val="24"/>
          <w:lang w:eastAsia="en-GB"/>
        </w:rPr>
        <w:t xml:space="preserve">the EU </w:t>
      </w:r>
      <w:r w:rsidR="00B67EEA">
        <w:rPr>
          <w:rFonts w:ascii="Times New Roman" w:hAnsi="Times New Roman" w:cs="Times New Roman"/>
          <w:sz w:val="24"/>
          <w:szCs w:val="24"/>
          <w:lang w:eastAsia="en-GB"/>
        </w:rPr>
        <w:t>A</w:t>
      </w:r>
      <w:r w:rsidR="00B23286" w:rsidRPr="00B23286">
        <w:rPr>
          <w:rFonts w:ascii="Times New Roman" w:hAnsi="Times New Roman" w:cs="Times New Roman"/>
          <w:sz w:val="24"/>
          <w:szCs w:val="24"/>
          <w:lang w:eastAsia="en-GB"/>
        </w:rPr>
        <w:t xml:space="preserve">gency for the </w:t>
      </w:r>
      <w:r w:rsidR="00B67EEA">
        <w:rPr>
          <w:rFonts w:ascii="Times New Roman" w:hAnsi="Times New Roman" w:cs="Times New Roman"/>
          <w:sz w:val="24"/>
          <w:szCs w:val="24"/>
          <w:lang w:eastAsia="en-GB"/>
        </w:rPr>
        <w:t>O</w:t>
      </w:r>
      <w:r w:rsidR="00B23286">
        <w:rPr>
          <w:rFonts w:ascii="Times New Roman" w:hAnsi="Times New Roman" w:cs="Times New Roman"/>
          <w:sz w:val="24"/>
          <w:szCs w:val="24"/>
          <w:lang w:eastAsia="en-GB"/>
        </w:rPr>
        <w:t xml:space="preserve">perational </w:t>
      </w:r>
      <w:r w:rsidR="00B67EEA">
        <w:rPr>
          <w:rFonts w:ascii="Times New Roman" w:hAnsi="Times New Roman" w:cs="Times New Roman"/>
          <w:sz w:val="24"/>
          <w:szCs w:val="24"/>
          <w:lang w:eastAsia="en-GB"/>
        </w:rPr>
        <w:t>M</w:t>
      </w:r>
      <w:r w:rsidR="00B23286">
        <w:rPr>
          <w:rFonts w:ascii="Times New Roman" w:hAnsi="Times New Roman" w:cs="Times New Roman"/>
          <w:sz w:val="24"/>
          <w:szCs w:val="24"/>
          <w:lang w:eastAsia="en-GB"/>
        </w:rPr>
        <w:t xml:space="preserve">anagement of </w:t>
      </w:r>
      <w:r w:rsidR="00B67EEA">
        <w:rPr>
          <w:rFonts w:ascii="Times New Roman" w:hAnsi="Times New Roman" w:cs="Times New Roman"/>
          <w:sz w:val="24"/>
          <w:szCs w:val="24"/>
          <w:lang w:eastAsia="en-GB"/>
        </w:rPr>
        <w:t>L</w:t>
      </w:r>
      <w:r w:rsidR="00B23286">
        <w:rPr>
          <w:rFonts w:ascii="Times New Roman" w:hAnsi="Times New Roman" w:cs="Times New Roman"/>
          <w:sz w:val="24"/>
          <w:szCs w:val="24"/>
          <w:lang w:eastAsia="en-GB"/>
        </w:rPr>
        <w:t>arge-</w:t>
      </w:r>
      <w:r w:rsidR="00B67EEA">
        <w:rPr>
          <w:rFonts w:ascii="Times New Roman" w:hAnsi="Times New Roman" w:cs="Times New Roman"/>
          <w:sz w:val="24"/>
          <w:szCs w:val="24"/>
          <w:lang w:eastAsia="en-GB"/>
        </w:rPr>
        <w:t>S</w:t>
      </w:r>
      <w:r w:rsidR="00B23286">
        <w:rPr>
          <w:rFonts w:ascii="Times New Roman" w:hAnsi="Times New Roman" w:cs="Times New Roman"/>
          <w:sz w:val="24"/>
          <w:szCs w:val="24"/>
          <w:lang w:eastAsia="en-GB"/>
        </w:rPr>
        <w:t xml:space="preserve">cale IT </w:t>
      </w:r>
      <w:r w:rsidR="00B67EEA">
        <w:rPr>
          <w:rFonts w:ascii="Times New Roman" w:hAnsi="Times New Roman" w:cs="Times New Roman"/>
          <w:sz w:val="24"/>
          <w:szCs w:val="24"/>
          <w:lang w:eastAsia="en-GB"/>
        </w:rPr>
        <w:t>S</w:t>
      </w:r>
      <w:r w:rsidR="00B23286">
        <w:rPr>
          <w:rFonts w:ascii="Times New Roman" w:hAnsi="Times New Roman" w:cs="Times New Roman"/>
          <w:sz w:val="24"/>
          <w:szCs w:val="24"/>
          <w:lang w:eastAsia="en-GB"/>
        </w:rPr>
        <w:t xml:space="preserve">ystems in the </w:t>
      </w:r>
      <w:r w:rsidR="00B67EEA">
        <w:rPr>
          <w:rFonts w:ascii="Times New Roman" w:hAnsi="Times New Roman" w:cs="Times New Roman"/>
          <w:sz w:val="24"/>
          <w:szCs w:val="24"/>
          <w:lang w:eastAsia="en-GB"/>
        </w:rPr>
        <w:t>A</w:t>
      </w:r>
      <w:r w:rsidR="00B23286">
        <w:rPr>
          <w:rFonts w:ascii="Times New Roman" w:hAnsi="Times New Roman" w:cs="Times New Roman"/>
          <w:sz w:val="24"/>
          <w:szCs w:val="24"/>
          <w:lang w:eastAsia="en-GB"/>
        </w:rPr>
        <w:t xml:space="preserve">rea of </w:t>
      </w:r>
      <w:r w:rsidR="00B67EEA">
        <w:rPr>
          <w:rFonts w:ascii="Times New Roman" w:hAnsi="Times New Roman" w:cs="Times New Roman"/>
          <w:sz w:val="24"/>
          <w:szCs w:val="24"/>
          <w:lang w:eastAsia="en-GB"/>
        </w:rPr>
        <w:t>F</w:t>
      </w:r>
      <w:r w:rsidR="00B23286">
        <w:rPr>
          <w:rFonts w:ascii="Times New Roman" w:hAnsi="Times New Roman" w:cs="Times New Roman"/>
          <w:sz w:val="24"/>
          <w:szCs w:val="24"/>
          <w:lang w:eastAsia="en-GB"/>
        </w:rPr>
        <w:t xml:space="preserve">reedom, </w:t>
      </w:r>
      <w:r w:rsidR="00B67EEA">
        <w:rPr>
          <w:rFonts w:ascii="Times New Roman" w:hAnsi="Times New Roman" w:cs="Times New Roman"/>
          <w:sz w:val="24"/>
          <w:szCs w:val="24"/>
          <w:lang w:eastAsia="en-GB"/>
        </w:rPr>
        <w:t>S</w:t>
      </w:r>
      <w:r w:rsidR="00B23286">
        <w:rPr>
          <w:rFonts w:ascii="Times New Roman" w:hAnsi="Times New Roman" w:cs="Times New Roman"/>
          <w:sz w:val="24"/>
          <w:szCs w:val="24"/>
          <w:lang w:eastAsia="en-GB"/>
        </w:rPr>
        <w:t xml:space="preserve">ecurity and </w:t>
      </w:r>
      <w:r w:rsidR="00B67EEA">
        <w:rPr>
          <w:rFonts w:ascii="Times New Roman" w:hAnsi="Times New Roman" w:cs="Times New Roman"/>
          <w:sz w:val="24"/>
          <w:szCs w:val="24"/>
          <w:lang w:eastAsia="en-GB"/>
        </w:rPr>
        <w:t>J</w:t>
      </w:r>
      <w:r w:rsidR="00B23286" w:rsidRPr="00B23286">
        <w:rPr>
          <w:rFonts w:ascii="Times New Roman" w:hAnsi="Times New Roman" w:cs="Times New Roman"/>
          <w:sz w:val="24"/>
          <w:szCs w:val="24"/>
          <w:lang w:eastAsia="en-GB"/>
        </w:rPr>
        <w:t>ustice</w:t>
      </w:r>
      <w:r>
        <w:rPr>
          <w:rFonts w:ascii="Times New Roman" w:hAnsi="Times New Roman" w:cs="Times New Roman"/>
          <w:sz w:val="24"/>
          <w:szCs w:val="24"/>
          <w:lang w:eastAsia="en-GB"/>
        </w:rPr>
        <w:t xml:space="preserve"> </w:t>
      </w:r>
      <w:r w:rsidR="00B67EEA">
        <w:rPr>
          <w:rFonts w:ascii="Times New Roman" w:hAnsi="Times New Roman" w:cs="Times New Roman"/>
          <w:sz w:val="24"/>
          <w:szCs w:val="24"/>
          <w:lang w:eastAsia="en-GB"/>
        </w:rPr>
        <w:t>(eu-LISA)</w:t>
      </w:r>
      <w:r>
        <w:rPr>
          <w:rFonts w:ascii="Times New Roman" w:hAnsi="Times New Roman" w:cs="Times New Roman"/>
          <w:sz w:val="24"/>
          <w:szCs w:val="24"/>
          <w:lang w:eastAsia="en-GB"/>
        </w:rPr>
        <w:t xml:space="preserve"> support Member States with expertise and the exchange of best practice</w:t>
      </w:r>
      <w:r w:rsidR="00B81216">
        <w:rPr>
          <w:rFonts w:ascii="Times New Roman" w:hAnsi="Times New Roman" w:cs="Times New Roman"/>
          <w:sz w:val="24"/>
          <w:szCs w:val="24"/>
          <w:lang w:eastAsia="en-GB"/>
        </w:rPr>
        <w:t>s</w:t>
      </w:r>
      <w:r>
        <w:rPr>
          <w:rFonts w:ascii="Times New Roman" w:hAnsi="Times New Roman" w:cs="Times New Roman"/>
          <w:sz w:val="24"/>
          <w:szCs w:val="24"/>
          <w:lang w:eastAsia="en-GB"/>
        </w:rPr>
        <w:t>, using</w:t>
      </w:r>
      <w:r w:rsidRPr="00FE591A">
        <w:rPr>
          <w:rFonts w:ascii="Times New Roman" w:hAnsi="Times New Roman" w:cs="Times New Roman"/>
          <w:sz w:val="24"/>
          <w:szCs w:val="24"/>
          <w:lang w:eastAsia="en-GB"/>
        </w:rPr>
        <w:t xml:space="preserve"> a network of n</w:t>
      </w:r>
      <w:r>
        <w:rPr>
          <w:rFonts w:ascii="Times New Roman" w:hAnsi="Times New Roman" w:cs="Times New Roman"/>
          <w:sz w:val="24"/>
          <w:szCs w:val="24"/>
          <w:lang w:eastAsia="en-GB"/>
        </w:rPr>
        <w:t>ational coordinators and developing</w:t>
      </w:r>
      <w:r w:rsidRPr="00FE591A">
        <w:rPr>
          <w:rFonts w:ascii="Times New Roman" w:hAnsi="Times New Roman" w:cs="Times New Roman"/>
          <w:sz w:val="24"/>
          <w:szCs w:val="24"/>
          <w:lang w:eastAsia="en-GB"/>
        </w:rPr>
        <w:t xml:space="preserve"> a </w:t>
      </w:r>
      <w:r w:rsidR="0012384B" w:rsidRPr="00FE591A">
        <w:rPr>
          <w:rFonts w:ascii="Times New Roman" w:hAnsi="Times New Roman" w:cs="Times New Roman"/>
          <w:sz w:val="24"/>
          <w:szCs w:val="24"/>
          <w:lang w:eastAsia="en-GB"/>
        </w:rPr>
        <w:t>score</w:t>
      </w:r>
      <w:r w:rsidR="0012384B">
        <w:rPr>
          <w:rFonts w:ascii="Times New Roman" w:hAnsi="Times New Roman" w:cs="Times New Roman"/>
          <w:sz w:val="24"/>
          <w:szCs w:val="24"/>
          <w:lang w:eastAsia="en-GB"/>
        </w:rPr>
        <w:t>card</w:t>
      </w:r>
      <w:r w:rsidR="0012384B" w:rsidRPr="00FE591A">
        <w:rPr>
          <w:rFonts w:ascii="Times New Roman" w:hAnsi="Times New Roman" w:cs="Times New Roman"/>
          <w:sz w:val="24"/>
          <w:szCs w:val="24"/>
          <w:lang w:eastAsia="en-GB"/>
        </w:rPr>
        <w:t xml:space="preserve"> </w:t>
      </w:r>
      <w:r w:rsidRPr="00FE591A">
        <w:rPr>
          <w:rFonts w:ascii="Times New Roman" w:hAnsi="Times New Roman" w:cs="Times New Roman"/>
          <w:sz w:val="24"/>
          <w:szCs w:val="24"/>
          <w:lang w:eastAsia="en-GB"/>
        </w:rPr>
        <w:t>to enable effective monitoring</w:t>
      </w:r>
      <w:r>
        <w:rPr>
          <w:rFonts w:ascii="Times New Roman" w:hAnsi="Times New Roman" w:cs="Times New Roman"/>
          <w:sz w:val="24"/>
          <w:szCs w:val="24"/>
          <w:lang w:eastAsia="en-GB"/>
        </w:rPr>
        <w:t xml:space="preserve"> and coordination arrangements.</w:t>
      </w:r>
      <w:r w:rsidR="005666EE">
        <w:rPr>
          <w:rFonts w:ascii="Times New Roman" w:hAnsi="Times New Roman" w:cs="Times New Roman"/>
          <w:sz w:val="24"/>
          <w:szCs w:val="24"/>
          <w:lang w:eastAsia="en-GB"/>
        </w:rPr>
        <w:t xml:space="preserve"> </w:t>
      </w:r>
      <w:r w:rsidR="005666EE">
        <w:rPr>
          <w:rFonts w:ascii="Times New Roman" w:eastAsia="Times New Roman" w:hAnsi="Times New Roman" w:cs="Times New Roman"/>
          <w:sz w:val="24"/>
          <w:szCs w:val="24"/>
          <w:lang w:eastAsia="en-GB"/>
        </w:rPr>
        <w:t>C</w:t>
      </w:r>
      <w:r w:rsidR="005666EE" w:rsidRPr="00C254B4">
        <w:rPr>
          <w:rFonts w:ascii="Times New Roman" w:eastAsia="Times New Roman" w:hAnsi="Times New Roman" w:cs="Times New Roman"/>
          <w:sz w:val="24"/>
          <w:szCs w:val="24"/>
          <w:lang w:eastAsia="en-GB"/>
        </w:rPr>
        <w:t xml:space="preserve">lose cooperation between EU </w:t>
      </w:r>
      <w:r w:rsidR="00B67EEA">
        <w:rPr>
          <w:rFonts w:ascii="Times New Roman" w:eastAsia="Times New Roman" w:hAnsi="Times New Roman" w:cs="Times New Roman"/>
          <w:sz w:val="24"/>
          <w:szCs w:val="24"/>
          <w:lang w:eastAsia="en-GB"/>
        </w:rPr>
        <w:t>a</w:t>
      </w:r>
      <w:r w:rsidR="005666EE" w:rsidRPr="00C254B4">
        <w:rPr>
          <w:rFonts w:ascii="Times New Roman" w:eastAsia="Times New Roman" w:hAnsi="Times New Roman" w:cs="Times New Roman"/>
          <w:sz w:val="24"/>
          <w:szCs w:val="24"/>
          <w:lang w:eastAsia="en-GB"/>
        </w:rPr>
        <w:t>gencies</w:t>
      </w:r>
      <w:r w:rsidR="005666EE">
        <w:rPr>
          <w:rFonts w:ascii="Times New Roman" w:eastAsia="Times New Roman" w:hAnsi="Times New Roman" w:cs="Times New Roman"/>
          <w:sz w:val="24"/>
          <w:szCs w:val="24"/>
          <w:lang w:eastAsia="en-GB"/>
        </w:rPr>
        <w:t xml:space="preserve">, </w:t>
      </w:r>
      <w:r w:rsidR="005666EE" w:rsidRPr="00C254B4">
        <w:rPr>
          <w:rFonts w:ascii="Times New Roman" w:eastAsia="Times New Roman" w:hAnsi="Times New Roman" w:cs="Times New Roman"/>
          <w:sz w:val="24"/>
          <w:szCs w:val="24"/>
          <w:lang w:eastAsia="en-GB"/>
        </w:rPr>
        <w:t xml:space="preserve">all Member States and Schengen associated countries </w:t>
      </w:r>
      <w:r w:rsidR="005666EE">
        <w:rPr>
          <w:rFonts w:ascii="Times New Roman" w:eastAsia="Times New Roman" w:hAnsi="Times New Roman" w:cs="Times New Roman"/>
          <w:sz w:val="24"/>
          <w:szCs w:val="24"/>
          <w:lang w:eastAsia="en-GB"/>
        </w:rPr>
        <w:t xml:space="preserve">will be paramount in order </w:t>
      </w:r>
      <w:r w:rsidR="005666EE" w:rsidRPr="00C254B4">
        <w:rPr>
          <w:rFonts w:ascii="Times New Roman" w:eastAsia="Times New Roman" w:hAnsi="Times New Roman" w:cs="Times New Roman"/>
          <w:sz w:val="24"/>
          <w:szCs w:val="24"/>
          <w:lang w:eastAsia="en-GB"/>
        </w:rPr>
        <w:t>to</w:t>
      </w:r>
      <w:r w:rsidR="005666EE">
        <w:rPr>
          <w:rFonts w:ascii="Times New Roman" w:eastAsia="Times New Roman" w:hAnsi="Times New Roman" w:cs="Times New Roman"/>
          <w:sz w:val="24"/>
          <w:szCs w:val="24"/>
          <w:lang w:eastAsia="en-GB"/>
        </w:rPr>
        <w:t xml:space="preserve"> a</w:t>
      </w:r>
      <w:r w:rsidR="00B67EEA">
        <w:rPr>
          <w:rFonts w:ascii="Times New Roman" w:eastAsia="Times New Roman" w:hAnsi="Times New Roman" w:cs="Times New Roman"/>
          <w:sz w:val="24"/>
          <w:szCs w:val="24"/>
          <w:lang w:eastAsia="en-GB"/>
        </w:rPr>
        <w:t>ttain</w:t>
      </w:r>
      <w:r w:rsidR="005666EE" w:rsidRPr="00C254B4">
        <w:rPr>
          <w:rFonts w:ascii="Times New Roman" w:eastAsia="Times New Roman" w:hAnsi="Times New Roman" w:cs="Times New Roman"/>
          <w:sz w:val="24"/>
          <w:szCs w:val="24"/>
          <w:lang w:eastAsia="en-GB"/>
        </w:rPr>
        <w:t xml:space="preserve"> the ambitious objective of achieving full interoperability of EU information systems for security, border and migration management by 2020</w:t>
      </w:r>
      <w:r w:rsidR="005666EE" w:rsidRPr="00C254B4">
        <w:rPr>
          <w:rFonts w:ascii="Times New Roman" w:eastAsia="Calibri" w:hAnsi="Times New Roman" w:cs="Times New Roman"/>
          <w:iCs/>
          <w:sz w:val="24"/>
          <w:szCs w:val="24"/>
        </w:rPr>
        <w:t>.</w:t>
      </w:r>
    </w:p>
    <w:p w14:paraId="223DFA14" w14:textId="54669D7D" w:rsidR="00FD1033" w:rsidRPr="00C1393F" w:rsidRDefault="00FE591A" w:rsidP="004A2894">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lang w:eastAsia="en-GB"/>
        </w:rPr>
        <w:t>Meanwhile, the European Parliament and the Council are still</w:t>
      </w:r>
      <w:r w:rsidR="00FD1033" w:rsidRPr="008542B1">
        <w:rPr>
          <w:rFonts w:ascii="Times New Roman" w:hAnsi="Times New Roman" w:cs="Times New Roman"/>
          <w:sz w:val="24"/>
          <w:szCs w:val="24"/>
          <w:lang w:eastAsia="en-GB"/>
        </w:rPr>
        <w:t xml:space="preserve"> to </w:t>
      </w:r>
      <w:r w:rsidR="00FD1033" w:rsidRPr="00FE591A">
        <w:rPr>
          <w:rFonts w:ascii="Times New Roman" w:hAnsi="Times New Roman" w:cs="Times New Roman"/>
          <w:b/>
          <w:sz w:val="24"/>
          <w:szCs w:val="24"/>
          <w:lang w:eastAsia="en-GB"/>
        </w:rPr>
        <w:t xml:space="preserve">complete the </w:t>
      </w:r>
      <w:r w:rsidRPr="00FE591A">
        <w:rPr>
          <w:rFonts w:ascii="Times New Roman" w:hAnsi="Times New Roman" w:cs="Times New Roman"/>
          <w:b/>
          <w:sz w:val="24"/>
          <w:szCs w:val="24"/>
          <w:lang w:eastAsia="en-GB"/>
        </w:rPr>
        <w:t xml:space="preserve">legislative </w:t>
      </w:r>
      <w:r w:rsidR="00FD1033" w:rsidRPr="00FE591A">
        <w:rPr>
          <w:rFonts w:ascii="Times New Roman" w:hAnsi="Times New Roman" w:cs="Times New Roman"/>
          <w:b/>
          <w:sz w:val="24"/>
          <w:szCs w:val="24"/>
          <w:lang w:eastAsia="en-GB"/>
        </w:rPr>
        <w:t>work</w:t>
      </w:r>
      <w:r w:rsidR="00FD1033" w:rsidRPr="008542B1">
        <w:rPr>
          <w:rFonts w:ascii="Times New Roman" w:hAnsi="Times New Roman" w:cs="Times New Roman"/>
          <w:sz w:val="24"/>
          <w:szCs w:val="24"/>
          <w:lang w:eastAsia="en-GB"/>
        </w:rPr>
        <w:t xml:space="preserve"> </w:t>
      </w:r>
      <w:r w:rsidR="007C049F">
        <w:rPr>
          <w:rFonts w:ascii="Times New Roman" w:hAnsi="Times New Roman" w:cs="Times New Roman"/>
          <w:sz w:val="24"/>
          <w:szCs w:val="24"/>
          <w:lang w:eastAsia="en-GB"/>
        </w:rPr>
        <w:t>in this respect.</w:t>
      </w:r>
      <w:r w:rsidR="005666EE">
        <w:rPr>
          <w:rFonts w:ascii="Times New Roman" w:hAnsi="Times New Roman" w:cs="Times New Roman"/>
          <w:sz w:val="24"/>
          <w:szCs w:val="24"/>
          <w:lang w:eastAsia="en-GB"/>
        </w:rPr>
        <w:t xml:space="preserve"> </w:t>
      </w:r>
      <w:r w:rsidR="001221C0">
        <w:rPr>
          <w:rFonts w:ascii="Times New Roman" w:hAnsi="Times New Roman" w:cs="Times New Roman"/>
          <w:sz w:val="24"/>
          <w:szCs w:val="24"/>
          <w:lang w:eastAsia="en-GB"/>
        </w:rPr>
        <w:t xml:space="preserve">Swift </w:t>
      </w:r>
      <w:r w:rsidR="005666EE">
        <w:rPr>
          <w:rFonts w:ascii="Times New Roman" w:hAnsi="Times New Roman" w:cs="Times New Roman"/>
          <w:sz w:val="24"/>
          <w:szCs w:val="24"/>
          <w:lang w:eastAsia="en-GB"/>
        </w:rPr>
        <w:t xml:space="preserve">agreement on all pending legislative proposals </w:t>
      </w:r>
      <w:r w:rsidR="001221C0">
        <w:rPr>
          <w:rFonts w:ascii="Times New Roman" w:hAnsi="Times New Roman" w:cs="Times New Roman"/>
          <w:sz w:val="24"/>
          <w:szCs w:val="24"/>
          <w:lang w:eastAsia="en-GB"/>
        </w:rPr>
        <w:t>is essential to secure</w:t>
      </w:r>
      <w:r w:rsidR="005666EE">
        <w:rPr>
          <w:rFonts w:ascii="Times New Roman" w:hAnsi="Times New Roman" w:cs="Times New Roman"/>
          <w:sz w:val="24"/>
          <w:szCs w:val="24"/>
          <w:lang w:eastAsia="en-GB"/>
        </w:rPr>
        <w:t xml:space="preserve"> complete and timely roll-out of interoperability.</w:t>
      </w:r>
      <w:r>
        <w:rPr>
          <w:rFonts w:ascii="Times New Roman" w:hAnsi="Times New Roman" w:cs="Times New Roman"/>
          <w:sz w:val="24"/>
          <w:szCs w:val="24"/>
          <w:lang w:eastAsia="en-GB"/>
        </w:rPr>
        <w:t xml:space="preserve"> First, </w:t>
      </w:r>
      <w:r w:rsidR="004A2894">
        <w:rPr>
          <w:rFonts w:ascii="Times New Roman" w:hAnsi="Times New Roman" w:cs="Times New Roman"/>
          <w:sz w:val="24"/>
          <w:szCs w:val="24"/>
          <w:lang w:eastAsia="en-GB"/>
        </w:rPr>
        <w:t>a</w:t>
      </w:r>
      <w:r w:rsidR="00FD1033" w:rsidRPr="008542B1">
        <w:rPr>
          <w:rFonts w:ascii="Times New Roman" w:hAnsi="Times New Roman" w:cs="Times New Roman"/>
          <w:sz w:val="24"/>
          <w:szCs w:val="24"/>
          <w:lang w:eastAsia="en-GB"/>
        </w:rPr>
        <w:t xml:space="preserve">s part of the technical implementation of the </w:t>
      </w:r>
      <w:r w:rsidR="00FD1033" w:rsidRPr="004A2894">
        <w:rPr>
          <w:rFonts w:ascii="Times New Roman" w:hAnsi="Times New Roman" w:cs="Times New Roman"/>
          <w:b/>
          <w:sz w:val="24"/>
          <w:szCs w:val="24"/>
          <w:lang w:eastAsia="en-GB"/>
        </w:rPr>
        <w:t>European Travel Information and Authorisation System</w:t>
      </w:r>
      <w:r w:rsidR="00FD1033" w:rsidRPr="008542B1">
        <w:rPr>
          <w:rFonts w:ascii="Times New Roman" w:hAnsi="Times New Roman" w:cs="Times New Roman"/>
          <w:sz w:val="24"/>
          <w:szCs w:val="24"/>
          <w:lang w:eastAsia="en-GB"/>
        </w:rPr>
        <w:t xml:space="preserve">, </w:t>
      </w:r>
      <w:r w:rsidR="004A2894">
        <w:rPr>
          <w:rFonts w:ascii="Times New Roman" w:hAnsi="Times New Roman" w:cs="Times New Roman"/>
          <w:sz w:val="24"/>
          <w:szCs w:val="24"/>
          <w:lang w:eastAsia="en-GB"/>
        </w:rPr>
        <w:t>there is a need for</w:t>
      </w:r>
      <w:r w:rsidR="00FD1033" w:rsidRPr="008542B1">
        <w:rPr>
          <w:rFonts w:ascii="Times New Roman" w:hAnsi="Times New Roman" w:cs="Times New Roman"/>
          <w:sz w:val="24"/>
          <w:szCs w:val="24"/>
          <w:lang w:eastAsia="en-GB"/>
        </w:rPr>
        <w:t xml:space="preserve"> technical amendments to the related Regulations</w:t>
      </w:r>
      <w:r w:rsidR="00FE2296">
        <w:rPr>
          <w:rStyle w:val="FootnoteReference"/>
          <w:lang w:eastAsia="en-GB"/>
        </w:rPr>
        <w:footnoteReference w:id="17"/>
      </w:r>
      <w:r w:rsidR="00FD1033" w:rsidRPr="008542B1">
        <w:rPr>
          <w:rFonts w:ascii="Times New Roman" w:hAnsi="Times New Roman" w:cs="Times New Roman"/>
          <w:sz w:val="24"/>
          <w:szCs w:val="24"/>
          <w:lang w:eastAsia="en-GB"/>
        </w:rPr>
        <w:t xml:space="preserve"> to fully set up the system. The Commission invites the European Parliament to speed up its work on these technical amendments in order to start interinstitutional negotiations</w:t>
      </w:r>
      <w:r w:rsidR="007C049F" w:rsidRPr="007C049F">
        <w:rPr>
          <w:rFonts w:ascii="Times New Roman" w:hAnsi="Times New Roman" w:cs="Times New Roman"/>
          <w:sz w:val="24"/>
          <w:szCs w:val="24"/>
          <w:lang w:eastAsia="en-GB"/>
        </w:rPr>
        <w:t xml:space="preserve"> </w:t>
      </w:r>
      <w:r w:rsidR="007C049F" w:rsidRPr="008542B1">
        <w:rPr>
          <w:rFonts w:ascii="Times New Roman" w:hAnsi="Times New Roman" w:cs="Times New Roman"/>
          <w:sz w:val="24"/>
          <w:szCs w:val="24"/>
          <w:lang w:eastAsia="en-GB"/>
        </w:rPr>
        <w:t>as soon as possible</w:t>
      </w:r>
      <w:r w:rsidR="00FD1033" w:rsidRPr="008542B1">
        <w:rPr>
          <w:rFonts w:ascii="Times New Roman" w:hAnsi="Times New Roman" w:cs="Times New Roman"/>
          <w:sz w:val="24"/>
          <w:szCs w:val="24"/>
          <w:lang w:eastAsia="en-GB"/>
        </w:rPr>
        <w:t xml:space="preserve">. </w:t>
      </w:r>
      <w:r w:rsidR="004A2894">
        <w:rPr>
          <w:rFonts w:ascii="Times New Roman" w:hAnsi="Times New Roman" w:cs="Times New Roman"/>
          <w:sz w:val="24"/>
          <w:szCs w:val="24"/>
          <w:lang w:eastAsia="en-GB"/>
        </w:rPr>
        <w:t xml:space="preserve">Second, interinstitutional negotiations are still on-going on the </w:t>
      </w:r>
      <w:r w:rsidR="00FD1033" w:rsidRPr="00954BD8">
        <w:rPr>
          <w:rFonts w:ascii="Times New Roman" w:eastAsia="Times New Roman" w:hAnsi="Times New Roman" w:cs="Times New Roman"/>
          <w:sz w:val="24"/>
          <w:szCs w:val="24"/>
          <w:lang w:eastAsia="en-GB"/>
        </w:rPr>
        <w:t xml:space="preserve">May 2018 proposal to </w:t>
      </w:r>
      <w:r w:rsidR="00FD1033" w:rsidRPr="004A2894">
        <w:rPr>
          <w:rFonts w:ascii="Times New Roman" w:eastAsia="Times New Roman" w:hAnsi="Times New Roman" w:cs="Times New Roman"/>
          <w:sz w:val="24"/>
          <w:szCs w:val="24"/>
          <w:lang w:eastAsia="en-GB"/>
        </w:rPr>
        <w:t>strengthen and upgrade the existing</w:t>
      </w:r>
      <w:r w:rsidR="00FD1033" w:rsidRPr="00954BD8">
        <w:rPr>
          <w:rFonts w:ascii="Times New Roman" w:eastAsia="Times New Roman" w:hAnsi="Times New Roman" w:cs="Times New Roman"/>
          <w:b/>
          <w:sz w:val="24"/>
          <w:szCs w:val="24"/>
          <w:lang w:eastAsia="en-GB"/>
        </w:rPr>
        <w:t xml:space="preserve"> Visa Information System</w:t>
      </w:r>
      <w:r w:rsidR="004A2894">
        <w:rPr>
          <w:rFonts w:ascii="Times New Roman" w:eastAsia="Times New Roman" w:hAnsi="Times New Roman" w:cs="Times New Roman"/>
          <w:sz w:val="24"/>
          <w:szCs w:val="24"/>
          <w:lang w:eastAsia="en-GB"/>
        </w:rPr>
        <w:t>.</w:t>
      </w:r>
      <w:r w:rsidR="00FD1033" w:rsidRPr="004A2894">
        <w:rPr>
          <w:rStyle w:val="FootnoteReference"/>
          <w:rFonts w:eastAsia="Times New Roman"/>
          <w:lang w:eastAsia="en-GB"/>
        </w:rPr>
        <w:footnoteReference w:id="18"/>
      </w:r>
      <w:r w:rsidR="004A2894">
        <w:rPr>
          <w:rFonts w:ascii="Times New Roman" w:eastAsia="Times New Roman" w:hAnsi="Times New Roman" w:cs="Times New Roman"/>
          <w:sz w:val="24"/>
          <w:szCs w:val="24"/>
          <w:lang w:eastAsia="en-GB"/>
        </w:rPr>
        <w:t xml:space="preserve"> Building on the first trilogue meeting that took place on </w:t>
      </w:r>
      <w:r w:rsidR="004A2894" w:rsidRPr="00A05A4E">
        <w:rPr>
          <w:rFonts w:ascii="Times New Roman" w:eastAsia="Times New Roman" w:hAnsi="Times New Roman" w:cs="Times New Roman"/>
          <w:sz w:val="24"/>
          <w:szCs w:val="24"/>
          <w:lang w:eastAsia="en-GB"/>
        </w:rPr>
        <w:t>22 October 2019</w:t>
      </w:r>
      <w:r w:rsidR="004A2894">
        <w:rPr>
          <w:rFonts w:ascii="Times New Roman" w:eastAsia="Times New Roman" w:hAnsi="Times New Roman" w:cs="Times New Roman"/>
          <w:sz w:val="24"/>
          <w:szCs w:val="24"/>
          <w:lang w:eastAsia="en-GB"/>
        </w:rPr>
        <w:t xml:space="preserve">, the Commission calls on both co-legislators to swiftly conclude the negotiations. </w:t>
      </w:r>
      <w:r>
        <w:rPr>
          <w:rFonts w:ascii="Times New Roman" w:hAnsi="Times New Roman" w:cs="Times New Roman"/>
          <w:sz w:val="24"/>
          <w:szCs w:val="24"/>
        </w:rPr>
        <w:t xml:space="preserve">Third, agreement is still pending on the May 2016 </w:t>
      </w:r>
      <w:r w:rsidR="00FD1033" w:rsidRPr="00C1393F">
        <w:rPr>
          <w:rFonts w:ascii="Times New Roman" w:hAnsi="Times New Roman" w:cs="Times New Roman"/>
          <w:sz w:val="24"/>
          <w:szCs w:val="24"/>
        </w:rPr>
        <w:t>Commission</w:t>
      </w:r>
      <w:r>
        <w:rPr>
          <w:rFonts w:ascii="Times New Roman" w:hAnsi="Times New Roman" w:cs="Times New Roman"/>
          <w:sz w:val="24"/>
          <w:szCs w:val="24"/>
        </w:rPr>
        <w:t xml:space="preserve"> proposal </w:t>
      </w:r>
      <w:r w:rsidR="00FD1033" w:rsidRPr="00C1393F">
        <w:rPr>
          <w:rFonts w:ascii="Times New Roman" w:hAnsi="Times New Roman" w:cs="Times New Roman"/>
          <w:sz w:val="24"/>
          <w:szCs w:val="24"/>
        </w:rPr>
        <w:t xml:space="preserve">to extend the scope of </w:t>
      </w:r>
      <w:r w:rsidR="00FD1033" w:rsidRPr="00C1393F">
        <w:rPr>
          <w:rFonts w:ascii="Times New Roman" w:hAnsi="Times New Roman" w:cs="Times New Roman"/>
          <w:b/>
          <w:sz w:val="24"/>
          <w:szCs w:val="24"/>
        </w:rPr>
        <w:t>Eurodac</w:t>
      </w:r>
      <w:r w:rsidR="00FD1033" w:rsidRPr="00C1393F">
        <w:rPr>
          <w:rStyle w:val="FootnoteReference"/>
          <w:sz w:val="24"/>
          <w:szCs w:val="24"/>
        </w:rPr>
        <w:footnoteReference w:id="19"/>
      </w:r>
      <w:r w:rsidR="00FD1033" w:rsidRPr="00C1393F">
        <w:rPr>
          <w:rFonts w:ascii="Times New Roman" w:hAnsi="Times New Roman" w:cs="Times New Roman"/>
          <w:sz w:val="24"/>
          <w:szCs w:val="24"/>
        </w:rPr>
        <w:t xml:space="preserve"> </w:t>
      </w:r>
      <w:r w:rsidR="00FD1033" w:rsidRPr="00C1393F">
        <w:rPr>
          <w:rFonts w:ascii="Times New Roman" w:hAnsi="Times New Roman" w:cs="Times New Roman"/>
          <w:noProof/>
          <w:sz w:val="24"/>
          <w:szCs w:val="24"/>
        </w:rPr>
        <w:t xml:space="preserve">by storing not only the fingerprints and relevant data of asylum applicants </w:t>
      </w:r>
      <w:r w:rsidR="00660485" w:rsidRPr="00660485">
        <w:rPr>
          <w:rFonts w:ascii="Times New Roman" w:hAnsi="Times New Roman" w:cs="Times New Roman"/>
          <w:noProof/>
          <w:sz w:val="24"/>
          <w:szCs w:val="24"/>
        </w:rPr>
        <w:t>and of persons apprehended in connection to an irregular crossing of the external border,</w:t>
      </w:r>
      <w:r w:rsidR="00660485">
        <w:rPr>
          <w:rFonts w:ascii="Times New Roman" w:hAnsi="Times New Roman" w:cs="Times New Roman"/>
          <w:noProof/>
          <w:sz w:val="24"/>
          <w:szCs w:val="24"/>
        </w:rPr>
        <w:t xml:space="preserve"> </w:t>
      </w:r>
      <w:r w:rsidR="00FD1033" w:rsidRPr="00C1393F">
        <w:rPr>
          <w:rFonts w:ascii="Times New Roman" w:hAnsi="Times New Roman" w:cs="Times New Roman"/>
          <w:noProof/>
          <w:sz w:val="24"/>
          <w:szCs w:val="24"/>
        </w:rPr>
        <w:t>but also those of illegally-staying third-country nationals</w:t>
      </w:r>
      <w:r>
        <w:rPr>
          <w:rFonts w:ascii="Times New Roman" w:hAnsi="Times New Roman" w:cs="Times New Roman"/>
          <w:noProof/>
          <w:sz w:val="24"/>
          <w:szCs w:val="24"/>
        </w:rPr>
        <w:t>. The proposed changes would also extend</w:t>
      </w:r>
      <w:r w:rsidR="00FD1033" w:rsidRPr="00C1393F">
        <w:rPr>
          <w:rFonts w:ascii="Times New Roman" w:hAnsi="Times New Roman" w:cs="Times New Roman"/>
          <w:noProof/>
          <w:sz w:val="24"/>
          <w:szCs w:val="24"/>
        </w:rPr>
        <w:t xml:space="preserve"> the storage period of fingerprints and relevant data of those who enter the EU irregularly</w:t>
      </w:r>
      <w:r w:rsidR="006A62E2">
        <w:rPr>
          <w:rFonts w:ascii="Times New Roman" w:hAnsi="Times New Roman" w:cs="Times New Roman"/>
          <w:noProof/>
          <w:sz w:val="24"/>
          <w:szCs w:val="24"/>
        </w:rPr>
        <w:t xml:space="preserve">. </w:t>
      </w:r>
      <w:r>
        <w:rPr>
          <w:rFonts w:ascii="Times New Roman" w:hAnsi="Times New Roman" w:cs="Times New Roman"/>
          <w:sz w:val="24"/>
          <w:szCs w:val="24"/>
        </w:rPr>
        <w:t>T</w:t>
      </w:r>
      <w:r w:rsidR="00FD1033" w:rsidRPr="00C1393F">
        <w:rPr>
          <w:rFonts w:ascii="Times New Roman" w:hAnsi="Times New Roman" w:cs="Times New Roman"/>
          <w:sz w:val="24"/>
          <w:szCs w:val="24"/>
        </w:rPr>
        <w:t xml:space="preserve">he Commission calls on the co-legislators to </w:t>
      </w:r>
      <w:r w:rsidR="006A62E2">
        <w:rPr>
          <w:rFonts w:ascii="Times New Roman" w:hAnsi="Times New Roman" w:cs="Times New Roman"/>
          <w:sz w:val="24"/>
          <w:szCs w:val="24"/>
        </w:rPr>
        <w:t>proceed to the adoption of the proposal</w:t>
      </w:r>
      <w:r w:rsidR="00FD1033" w:rsidRPr="00C1393F">
        <w:rPr>
          <w:rFonts w:ascii="Times New Roman" w:hAnsi="Times New Roman" w:cs="Times New Roman"/>
          <w:sz w:val="24"/>
          <w:szCs w:val="24"/>
        </w:rPr>
        <w:t xml:space="preserve">. </w:t>
      </w:r>
    </w:p>
    <w:p w14:paraId="3EAFA02A" w14:textId="77777777" w:rsidR="00FD1033" w:rsidRPr="008D1951" w:rsidRDefault="00FD1033" w:rsidP="00FD1033">
      <w:pPr>
        <w:pBdr>
          <w:top w:val="single" w:sz="4" w:space="1" w:color="auto"/>
          <w:left w:val="single" w:sz="4" w:space="4" w:color="auto"/>
          <w:bottom w:val="single" w:sz="4" w:space="1" w:color="auto"/>
          <w:right w:val="single" w:sz="4" w:space="4" w:color="auto"/>
        </w:pBdr>
        <w:shd w:val="clear" w:color="auto" w:fill="244061" w:themeFill="accent1" w:themeFillShade="80"/>
        <w:spacing w:after="0"/>
        <w:jc w:val="both"/>
        <w:rPr>
          <w:rFonts w:ascii="Times New Roman" w:hAnsi="Times New Roman" w:cs="Times New Roman"/>
          <w:b/>
          <w:sz w:val="24"/>
          <w:szCs w:val="24"/>
        </w:rPr>
      </w:pPr>
      <w:r w:rsidRPr="008D1951">
        <w:rPr>
          <w:rFonts w:ascii="Times New Roman" w:hAnsi="Times New Roman" w:cs="Times New Roman"/>
          <w:b/>
          <w:sz w:val="24"/>
          <w:szCs w:val="24"/>
        </w:rPr>
        <w:t>In order to strengthen the EU information systems for security, border and migration management, the Commission calls on the European Parliament and the Council:</w:t>
      </w:r>
    </w:p>
    <w:tbl>
      <w:tblPr>
        <w:tblStyle w:val="TableGrid"/>
        <w:tblW w:w="0" w:type="auto"/>
        <w:shd w:val="clear" w:color="auto" w:fill="DBE5F1" w:themeFill="accent1" w:themeFillTint="33"/>
        <w:tblLook w:val="04A0" w:firstRow="1" w:lastRow="0" w:firstColumn="1" w:lastColumn="0" w:noHBand="0" w:noVBand="1"/>
      </w:tblPr>
      <w:tblGrid>
        <w:gridCol w:w="9288"/>
      </w:tblGrid>
      <w:tr w:rsidR="00FD1033" w:rsidRPr="008D1951" w14:paraId="2CBEE8BD" w14:textId="77777777" w:rsidTr="00FA3706">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A04F5C" w14:textId="77777777" w:rsidR="004A2894" w:rsidRPr="004A2894" w:rsidRDefault="004A2894" w:rsidP="00B7715D">
            <w:pPr>
              <w:pStyle w:val="ListParagraph"/>
              <w:numPr>
                <w:ilvl w:val="0"/>
                <w:numId w:val="20"/>
              </w:numPr>
              <w:jc w:val="both"/>
              <w:rPr>
                <w:rFonts w:ascii="Times New Roman" w:hAnsi="Times New Roman"/>
                <w:sz w:val="24"/>
                <w:szCs w:val="24"/>
              </w:rPr>
            </w:pPr>
            <w:r w:rsidRPr="008542B1">
              <w:rPr>
                <w:rFonts w:ascii="Times New Roman" w:hAnsi="Times New Roman"/>
                <w:sz w:val="24"/>
                <w:szCs w:val="24"/>
              </w:rPr>
              <w:t xml:space="preserve">to advance the work in view of reaching a swift agreement on the proposed technical amendments that are necessary to establish the </w:t>
            </w:r>
            <w:r w:rsidRPr="008542B1">
              <w:rPr>
                <w:rFonts w:ascii="Times New Roman" w:hAnsi="Times New Roman"/>
                <w:b/>
                <w:sz w:val="24"/>
                <w:szCs w:val="24"/>
              </w:rPr>
              <w:t>European Travel Information and Authorisation System</w:t>
            </w:r>
            <w:r w:rsidRPr="004A2894">
              <w:rPr>
                <w:rFonts w:ascii="Times New Roman" w:hAnsi="Times New Roman"/>
                <w:sz w:val="24"/>
                <w:szCs w:val="24"/>
              </w:rPr>
              <w:t>.</w:t>
            </w:r>
          </w:p>
          <w:p w14:paraId="0B11700A" w14:textId="77777777" w:rsidR="00FD1033" w:rsidRPr="00954BD8" w:rsidRDefault="00FD1033" w:rsidP="00B7715D">
            <w:pPr>
              <w:pStyle w:val="ListParagraph"/>
              <w:numPr>
                <w:ilvl w:val="0"/>
                <w:numId w:val="20"/>
              </w:numPr>
              <w:jc w:val="both"/>
              <w:rPr>
                <w:rFonts w:ascii="Times New Roman" w:hAnsi="Times New Roman"/>
                <w:sz w:val="24"/>
                <w:szCs w:val="24"/>
              </w:rPr>
            </w:pPr>
            <w:r w:rsidRPr="00954BD8">
              <w:rPr>
                <w:rFonts w:ascii="Times New Roman" w:hAnsi="Times New Roman"/>
                <w:sz w:val="24"/>
                <w:szCs w:val="24"/>
              </w:rPr>
              <w:t>to swiftly conduct and conclude negotiations on the proposal to strengthen the existin</w:t>
            </w:r>
            <w:r w:rsidR="004A2894">
              <w:rPr>
                <w:rFonts w:ascii="Times New Roman" w:hAnsi="Times New Roman"/>
                <w:sz w:val="24"/>
                <w:szCs w:val="24"/>
              </w:rPr>
              <w:t xml:space="preserve">g </w:t>
            </w:r>
            <w:r w:rsidR="004A2894" w:rsidRPr="004A2894">
              <w:rPr>
                <w:rFonts w:ascii="Times New Roman" w:hAnsi="Times New Roman"/>
                <w:b/>
                <w:sz w:val="24"/>
                <w:szCs w:val="24"/>
              </w:rPr>
              <w:t>Visa Information System</w:t>
            </w:r>
            <w:r w:rsidR="004A2894">
              <w:rPr>
                <w:rFonts w:ascii="Times New Roman" w:hAnsi="Times New Roman"/>
                <w:sz w:val="24"/>
                <w:szCs w:val="24"/>
              </w:rPr>
              <w:t>.</w:t>
            </w:r>
          </w:p>
          <w:p w14:paraId="3703ED99" w14:textId="77777777" w:rsidR="00FD1033" w:rsidRPr="004A2894" w:rsidRDefault="00FD1033" w:rsidP="006A62E2">
            <w:pPr>
              <w:pStyle w:val="ListParagraph"/>
              <w:numPr>
                <w:ilvl w:val="0"/>
                <w:numId w:val="20"/>
              </w:numPr>
              <w:rPr>
                <w:rFonts w:ascii="Times New Roman" w:hAnsi="Times New Roman"/>
                <w:noProof/>
                <w:sz w:val="24"/>
                <w:szCs w:val="24"/>
              </w:rPr>
            </w:pPr>
            <w:r w:rsidRPr="00C1393F">
              <w:rPr>
                <w:rFonts w:ascii="Times New Roman" w:hAnsi="Times New Roman"/>
                <w:noProof/>
                <w:sz w:val="24"/>
                <w:szCs w:val="24"/>
              </w:rPr>
              <w:t xml:space="preserve">to </w:t>
            </w:r>
            <w:r w:rsidR="006A62E2">
              <w:rPr>
                <w:rFonts w:ascii="Times New Roman" w:hAnsi="Times New Roman"/>
                <w:noProof/>
                <w:sz w:val="24"/>
                <w:szCs w:val="24"/>
              </w:rPr>
              <w:t>adopt the legislative</w:t>
            </w:r>
            <w:r w:rsidRPr="00C1393F">
              <w:rPr>
                <w:rFonts w:ascii="Times New Roman" w:hAnsi="Times New Roman"/>
                <w:noProof/>
                <w:sz w:val="24"/>
                <w:szCs w:val="24"/>
              </w:rPr>
              <w:t xml:space="preserve"> proposal on </w:t>
            </w:r>
            <w:r w:rsidRPr="004A2894">
              <w:rPr>
                <w:rFonts w:ascii="Times New Roman" w:hAnsi="Times New Roman"/>
                <w:b/>
                <w:noProof/>
                <w:sz w:val="24"/>
                <w:szCs w:val="24"/>
              </w:rPr>
              <w:t>Eurodac</w:t>
            </w:r>
            <w:r w:rsidR="006A62E2">
              <w:rPr>
                <w:rFonts w:ascii="Times New Roman" w:hAnsi="Times New Roman"/>
                <w:b/>
                <w:noProof/>
                <w:sz w:val="24"/>
                <w:szCs w:val="24"/>
              </w:rPr>
              <w:t xml:space="preserve"> </w:t>
            </w:r>
            <w:r w:rsidR="006A62E2" w:rsidRPr="008D1951">
              <w:rPr>
                <w:rFonts w:ascii="Times New Roman" w:hAnsi="Times New Roman"/>
                <w:i/>
                <w:sz w:val="24"/>
                <w:szCs w:val="24"/>
              </w:rPr>
              <w:t>(Joint Declaration priority)</w:t>
            </w:r>
            <w:r w:rsidR="004A2894">
              <w:rPr>
                <w:rFonts w:ascii="Times New Roman" w:hAnsi="Times New Roman"/>
                <w:noProof/>
                <w:sz w:val="24"/>
                <w:szCs w:val="24"/>
              </w:rPr>
              <w:t>.</w:t>
            </w:r>
          </w:p>
        </w:tc>
      </w:tr>
    </w:tbl>
    <w:p w14:paraId="32F3728D" w14:textId="77777777" w:rsidR="00FD1033" w:rsidRPr="008D1951" w:rsidRDefault="00B75976" w:rsidP="00FD1033">
      <w:pPr>
        <w:spacing w:before="240" w:after="24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3</w:t>
      </w:r>
      <w:r w:rsidR="00FD1033" w:rsidRPr="008D1951">
        <w:rPr>
          <w:rFonts w:ascii="Times New Roman" w:eastAsia="Calibri" w:hAnsi="Times New Roman" w:cs="Times New Roman"/>
          <w:i/>
          <w:iCs/>
          <w:sz w:val="24"/>
          <w:szCs w:val="24"/>
        </w:rPr>
        <w:t>.</w:t>
      </w:r>
      <w:r w:rsidR="00FD1033" w:rsidRPr="008D1951">
        <w:t xml:space="preserve"> </w:t>
      </w:r>
      <w:r w:rsidR="00FD1033" w:rsidRPr="008D1951">
        <w:tab/>
      </w:r>
      <w:r w:rsidR="00FD1033" w:rsidRPr="008D1951">
        <w:rPr>
          <w:rFonts w:ascii="Times New Roman" w:eastAsia="Calibri" w:hAnsi="Times New Roman" w:cs="Times New Roman"/>
          <w:i/>
          <w:iCs/>
          <w:sz w:val="24"/>
          <w:szCs w:val="24"/>
        </w:rPr>
        <w:t>Closing down the space in which terrorists operate</w:t>
      </w:r>
    </w:p>
    <w:p w14:paraId="407E6789" w14:textId="77777777" w:rsidR="00DF6F25" w:rsidRDefault="00DF6F25" w:rsidP="00FD1033">
      <w:pPr>
        <w:spacing w:line="240" w:lineRule="auto"/>
        <w:jc w:val="both"/>
        <w:rPr>
          <w:rFonts w:ascii="Times New Roman" w:hAnsi="Times New Roman" w:cs="Times New Roman"/>
          <w:sz w:val="24"/>
          <w:szCs w:val="24"/>
        </w:rPr>
      </w:pPr>
      <w:r>
        <w:rPr>
          <w:rFonts w:ascii="Times New Roman" w:hAnsi="Times New Roman" w:cs="Times New Roman"/>
          <w:sz w:val="24"/>
          <w:szCs w:val="24"/>
        </w:rPr>
        <w:t>The EU has taken firm action to</w:t>
      </w:r>
      <w:r w:rsidRPr="00DF6F25">
        <w:rPr>
          <w:rFonts w:ascii="Times New Roman" w:hAnsi="Times New Roman" w:cs="Times New Roman"/>
          <w:sz w:val="24"/>
          <w:szCs w:val="24"/>
        </w:rPr>
        <w:t xml:space="preserve"> clos</w:t>
      </w:r>
      <w:r>
        <w:rPr>
          <w:rFonts w:ascii="Times New Roman" w:hAnsi="Times New Roman" w:cs="Times New Roman"/>
          <w:sz w:val="24"/>
          <w:szCs w:val="24"/>
        </w:rPr>
        <w:t>e</w:t>
      </w:r>
      <w:r w:rsidRPr="00DF6F25">
        <w:rPr>
          <w:rFonts w:ascii="Times New Roman" w:hAnsi="Times New Roman" w:cs="Times New Roman"/>
          <w:sz w:val="24"/>
          <w:szCs w:val="24"/>
        </w:rPr>
        <w:t xml:space="preserve"> down the space in which terrorists operate, with new rules mak</w:t>
      </w:r>
      <w:r w:rsidR="00CA54F2">
        <w:rPr>
          <w:rFonts w:ascii="Times New Roman" w:hAnsi="Times New Roman" w:cs="Times New Roman"/>
          <w:sz w:val="24"/>
          <w:szCs w:val="24"/>
        </w:rPr>
        <w:t>ing it</w:t>
      </w:r>
      <w:r w:rsidRPr="00DF6F25">
        <w:rPr>
          <w:rFonts w:ascii="Times New Roman" w:hAnsi="Times New Roman" w:cs="Times New Roman"/>
          <w:sz w:val="24"/>
          <w:szCs w:val="24"/>
        </w:rPr>
        <w:t xml:space="preserve"> harder for </w:t>
      </w:r>
      <w:r>
        <w:rPr>
          <w:rFonts w:ascii="Times New Roman" w:hAnsi="Times New Roman" w:cs="Times New Roman"/>
          <w:sz w:val="24"/>
          <w:szCs w:val="24"/>
        </w:rPr>
        <w:t>terrorists and other criminals</w:t>
      </w:r>
      <w:r w:rsidRPr="00DF6F25">
        <w:rPr>
          <w:rFonts w:ascii="Times New Roman" w:hAnsi="Times New Roman" w:cs="Times New Roman"/>
          <w:sz w:val="24"/>
          <w:szCs w:val="24"/>
        </w:rPr>
        <w:t xml:space="preserve"> to access explosives</w:t>
      </w:r>
      <w:r w:rsidR="002B7892">
        <w:rPr>
          <w:rStyle w:val="FootnoteReference"/>
        </w:rPr>
        <w:footnoteReference w:id="20"/>
      </w:r>
      <w:r w:rsidRPr="00DF6F25">
        <w:rPr>
          <w:rFonts w:ascii="Times New Roman" w:hAnsi="Times New Roman" w:cs="Times New Roman"/>
          <w:sz w:val="24"/>
          <w:szCs w:val="24"/>
        </w:rPr>
        <w:t>, firearms and financing</w:t>
      </w:r>
      <w:r w:rsidR="002B7892">
        <w:rPr>
          <w:rStyle w:val="FootnoteReference"/>
        </w:rPr>
        <w:footnoteReference w:id="21"/>
      </w:r>
      <w:r w:rsidRPr="00DF6F25">
        <w:rPr>
          <w:rFonts w:ascii="Times New Roman" w:hAnsi="Times New Roman" w:cs="Times New Roman"/>
          <w:sz w:val="24"/>
          <w:szCs w:val="24"/>
        </w:rPr>
        <w:t>,</w:t>
      </w:r>
      <w:r w:rsidR="00CA54F2">
        <w:rPr>
          <w:rFonts w:ascii="Times New Roman" w:hAnsi="Times New Roman" w:cs="Times New Roman"/>
          <w:sz w:val="24"/>
          <w:szCs w:val="24"/>
        </w:rPr>
        <w:t xml:space="preserve"> and to restrict their movement</w:t>
      </w:r>
      <w:r w:rsidRPr="00DF6F25">
        <w:rPr>
          <w:rFonts w:ascii="Times New Roman" w:hAnsi="Times New Roman" w:cs="Times New Roman"/>
          <w:sz w:val="24"/>
          <w:szCs w:val="24"/>
        </w:rPr>
        <w:t>.</w:t>
      </w:r>
      <w:r w:rsidR="002B7892">
        <w:rPr>
          <w:rStyle w:val="FootnoteReference"/>
        </w:rPr>
        <w:footnoteReference w:id="22"/>
      </w:r>
    </w:p>
    <w:p w14:paraId="4C56C437" w14:textId="0712D9B7" w:rsidR="00DF6F25" w:rsidRDefault="00DF6F25" w:rsidP="00DF6F25">
      <w:pPr>
        <w:spacing w:before="240"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To </w:t>
      </w:r>
      <w:r w:rsidRPr="00DF6F25">
        <w:rPr>
          <w:rFonts w:ascii="Times New Roman" w:eastAsia="Calibri" w:hAnsi="Times New Roman" w:cs="Times New Roman"/>
          <w:iCs/>
          <w:sz w:val="24"/>
          <w:szCs w:val="24"/>
        </w:rPr>
        <w:t>strengthen the judicial response to terrorism</w:t>
      </w:r>
      <w:r>
        <w:rPr>
          <w:rFonts w:ascii="Times New Roman" w:eastAsia="Calibri" w:hAnsi="Times New Roman" w:cs="Times New Roman"/>
          <w:iCs/>
          <w:sz w:val="24"/>
          <w:szCs w:val="24"/>
        </w:rPr>
        <w:t>, the EU A</w:t>
      </w:r>
      <w:r w:rsidRPr="00DF6F25">
        <w:rPr>
          <w:rFonts w:ascii="Times New Roman" w:eastAsia="Calibri" w:hAnsi="Times New Roman" w:cs="Times New Roman"/>
          <w:iCs/>
          <w:sz w:val="24"/>
          <w:szCs w:val="24"/>
        </w:rPr>
        <w:t>gency for Criminal Justice Cooperation</w:t>
      </w:r>
      <w:r>
        <w:rPr>
          <w:rFonts w:ascii="Times New Roman" w:eastAsia="Calibri" w:hAnsi="Times New Roman" w:cs="Times New Roman"/>
          <w:iCs/>
          <w:sz w:val="24"/>
          <w:szCs w:val="24"/>
        </w:rPr>
        <w:t xml:space="preserve"> </w:t>
      </w:r>
      <w:r w:rsidR="00B81216">
        <w:rPr>
          <w:rFonts w:ascii="Times New Roman" w:eastAsia="Calibri" w:hAnsi="Times New Roman" w:cs="Times New Roman"/>
          <w:iCs/>
          <w:sz w:val="24"/>
          <w:szCs w:val="24"/>
        </w:rPr>
        <w:t>(</w:t>
      </w:r>
      <w:r>
        <w:rPr>
          <w:rFonts w:ascii="Times New Roman" w:eastAsia="Calibri" w:hAnsi="Times New Roman" w:cs="Times New Roman"/>
          <w:iCs/>
          <w:sz w:val="24"/>
          <w:szCs w:val="24"/>
        </w:rPr>
        <w:t>Eurojust</w:t>
      </w:r>
      <w:r w:rsidR="00B81216">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00BB7D17">
        <w:rPr>
          <w:rFonts w:ascii="Times New Roman" w:eastAsia="Calibri" w:hAnsi="Times New Roman" w:cs="Times New Roman"/>
          <w:iCs/>
          <w:sz w:val="24"/>
          <w:szCs w:val="24"/>
        </w:rPr>
        <w:t xml:space="preserve">set up </w:t>
      </w:r>
      <w:r>
        <w:rPr>
          <w:rFonts w:ascii="Times New Roman" w:eastAsia="Calibri" w:hAnsi="Times New Roman" w:cs="Times New Roman"/>
          <w:iCs/>
          <w:sz w:val="24"/>
          <w:szCs w:val="24"/>
        </w:rPr>
        <w:t xml:space="preserve">on 1 September 2019 </w:t>
      </w:r>
      <w:r w:rsidRPr="008D1951">
        <w:rPr>
          <w:rFonts w:ascii="Times New Roman" w:eastAsia="Calibri" w:hAnsi="Times New Roman" w:cs="Times New Roman"/>
          <w:iCs/>
          <w:sz w:val="24"/>
          <w:szCs w:val="24"/>
        </w:rPr>
        <w:t xml:space="preserve">a </w:t>
      </w:r>
      <w:r w:rsidRPr="008D1951">
        <w:rPr>
          <w:rFonts w:ascii="Times New Roman" w:eastAsia="Calibri" w:hAnsi="Times New Roman" w:cs="Times New Roman"/>
          <w:b/>
          <w:iCs/>
          <w:sz w:val="24"/>
          <w:szCs w:val="24"/>
        </w:rPr>
        <w:t>European Judicial Counter Terrorism Register</w:t>
      </w:r>
      <w:r>
        <w:rPr>
          <w:rFonts w:ascii="Times New Roman" w:eastAsia="Calibri" w:hAnsi="Times New Roman" w:cs="Times New Roman"/>
          <w:iCs/>
          <w:sz w:val="24"/>
          <w:szCs w:val="24"/>
        </w:rPr>
        <w:t xml:space="preserve">. The register will </w:t>
      </w:r>
      <w:r w:rsidR="00CA54F2">
        <w:rPr>
          <w:rFonts w:ascii="Times New Roman" w:eastAsia="Calibri" w:hAnsi="Times New Roman" w:cs="Times New Roman"/>
          <w:iCs/>
          <w:sz w:val="24"/>
          <w:szCs w:val="24"/>
        </w:rPr>
        <w:t>gather</w:t>
      </w:r>
      <w:r w:rsidRPr="00DF6F25">
        <w:rPr>
          <w:rFonts w:ascii="Times New Roman" w:eastAsia="Calibri" w:hAnsi="Times New Roman" w:cs="Times New Roman"/>
          <w:iCs/>
          <w:sz w:val="24"/>
          <w:szCs w:val="24"/>
        </w:rPr>
        <w:t xml:space="preserve"> judicial information to establish links in proceedings against suspects of terrorist offences</w:t>
      </w:r>
      <w:r>
        <w:rPr>
          <w:rFonts w:ascii="Times New Roman" w:eastAsia="Calibri" w:hAnsi="Times New Roman" w:cs="Times New Roman"/>
          <w:iCs/>
          <w:sz w:val="24"/>
          <w:szCs w:val="24"/>
        </w:rPr>
        <w:t>, thus reinforcing coordination among</w:t>
      </w:r>
      <w:r w:rsidRPr="00DF6F25">
        <w:rPr>
          <w:rFonts w:ascii="Times New Roman" w:eastAsia="Calibri" w:hAnsi="Times New Roman" w:cs="Times New Roman"/>
          <w:iCs/>
          <w:sz w:val="24"/>
          <w:szCs w:val="24"/>
        </w:rPr>
        <w:t xml:space="preserve"> prosecutors</w:t>
      </w:r>
      <w:r>
        <w:rPr>
          <w:rFonts w:ascii="Times New Roman" w:eastAsia="Calibri" w:hAnsi="Times New Roman" w:cs="Times New Roman"/>
          <w:iCs/>
          <w:sz w:val="24"/>
          <w:szCs w:val="24"/>
        </w:rPr>
        <w:t xml:space="preserve"> in counter-terrorism investigations w</w:t>
      </w:r>
      <w:r w:rsidRPr="00DF6F25">
        <w:rPr>
          <w:rFonts w:ascii="Times New Roman" w:eastAsia="Calibri" w:hAnsi="Times New Roman" w:cs="Times New Roman"/>
          <w:iCs/>
          <w:sz w:val="24"/>
          <w:szCs w:val="24"/>
        </w:rPr>
        <w:t>ith potential cross-border implications.</w:t>
      </w:r>
    </w:p>
    <w:p w14:paraId="37B25CD4" w14:textId="5A621366" w:rsidR="00FD1033" w:rsidRDefault="00B75976" w:rsidP="00B759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 efforts are needed, however, to support and facilitate investigations in cross-border cases, notably when it comes to law enforcement </w:t>
      </w:r>
      <w:r w:rsidRPr="00B75976">
        <w:rPr>
          <w:rFonts w:ascii="Times New Roman" w:hAnsi="Times New Roman" w:cs="Times New Roman"/>
          <w:b/>
          <w:sz w:val="24"/>
          <w:szCs w:val="24"/>
        </w:rPr>
        <w:t>access to electronic evidence</w:t>
      </w:r>
      <w:r>
        <w:rPr>
          <w:rFonts w:ascii="Times New Roman" w:hAnsi="Times New Roman" w:cs="Times New Roman"/>
          <w:sz w:val="24"/>
          <w:szCs w:val="24"/>
        </w:rPr>
        <w:t xml:space="preserve">. As regards the April 2018 legislative proposals </w:t>
      </w:r>
      <w:r w:rsidR="00FD1033" w:rsidRPr="008D1951">
        <w:rPr>
          <w:rFonts w:ascii="Times New Roman" w:hAnsi="Times New Roman" w:cs="Times New Roman"/>
          <w:sz w:val="24"/>
          <w:szCs w:val="24"/>
        </w:rPr>
        <w:t>to improve cross-border access to electronic evidence in criminal investigations</w:t>
      </w:r>
      <w:r w:rsidR="00FD1033" w:rsidRPr="008D1951">
        <w:rPr>
          <w:rFonts w:ascii="Times New Roman" w:hAnsi="Times New Roman" w:cs="Times New Roman"/>
          <w:sz w:val="24"/>
          <w:szCs w:val="24"/>
          <w:vertAlign w:val="superscript"/>
        </w:rPr>
        <w:footnoteReference w:id="23"/>
      </w:r>
      <w:r w:rsidR="00707B30">
        <w:rPr>
          <w:rFonts w:ascii="Times New Roman" w:hAnsi="Times New Roman" w:cs="Times New Roman"/>
          <w:sz w:val="24"/>
          <w:szCs w:val="24"/>
        </w:rPr>
        <w:t>,</w:t>
      </w:r>
      <w:r>
        <w:rPr>
          <w:rFonts w:ascii="Times New Roman" w:hAnsi="Times New Roman" w:cs="Times New Roman"/>
          <w:sz w:val="24"/>
          <w:szCs w:val="24"/>
        </w:rPr>
        <w:t xml:space="preserve"> the European Parliament </w:t>
      </w:r>
      <w:r w:rsidR="00CA54F2">
        <w:rPr>
          <w:rFonts w:ascii="Times New Roman" w:hAnsi="Times New Roman" w:cs="Times New Roman"/>
          <w:sz w:val="24"/>
          <w:szCs w:val="24"/>
        </w:rPr>
        <w:t>has</w:t>
      </w:r>
      <w:r>
        <w:rPr>
          <w:rFonts w:ascii="Times New Roman" w:hAnsi="Times New Roman" w:cs="Times New Roman"/>
          <w:sz w:val="24"/>
          <w:szCs w:val="24"/>
        </w:rPr>
        <w:t xml:space="preserve"> yet to adopt its negotiating position before the co-legislators can enter into negotiations. </w:t>
      </w:r>
      <w:r w:rsidR="005666EE">
        <w:rPr>
          <w:rFonts w:ascii="Times New Roman" w:hAnsi="Times New Roman" w:cs="Times New Roman"/>
          <w:sz w:val="24"/>
          <w:szCs w:val="24"/>
        </w:rPr>
        <w:t>T</w:t>
      </w:r>
      <w:r w:rsidR="005666EE" w:rsidRPr="005666EE">
        <w:rPr>
          <w:rFonts w:ascii="Times New Roman" w:hAnsi="Times New Roman" w:cs="Times New Roman"/>
          <w:sz w:val="24"/>
          <w:szCs w:val="24"/>
        </w:rPr>
        <w:t xml:space="preserve">he Commission urges the European Parliament to advance on this </w:t>
      </w:r>
      <w:r w:rsidR="005666EE">
        <w:rPr>
          <w:rFonts w:ascii="Times New Roman" w:hAnsi="Times New Roman" w:cs="Times New Roman"/>
          <w:sz w:val="24"/>
          <w:szCs w:val="24"/>
        </w:rPr>
        <w:t xml:space="preserve">legislative </w:t>
      </w:r>
      <w:r w:rsidR="005666EE" w:rsidRPr="005666EE">
        <w:rPr>
          <w:rFonts w:ascii="Times New Roman" w:hAnsi="Times New Roman" w:cs="Times New Roman"/>
          <w:sz w:val="24"/>
          <w:szCs w:val="24"/>
        </w:rPr>
        <w:t>proposal so that the co-legislators can work to</w:t>
      </w:r>
      <w:r w:rsidR="005666EE">
        <w:rPr>
          <w:rFonts w:ascii="Times New Roman" w:hAnsi="Times New Roman" w:cs="Times New Roman"/>
          <w:sz w:val="24"/>
          <w:szCs w:val="24"/>
        </w:rPr>
        <w:t>wards</w:t>
      </w:r>
      <w:r w:rsidR="005666EE" w:rsidRPr="005666EE">
        <w:rPr>
          <w:rFonts w:ascii="Times New Roman" w:hAnsi="Times New Roman" w:cs="Times New Roman"/>
          <w:sz w:val="24"/>
          <w:szCs w:val="24"/>
        </w:rPr>
        <w:t xml:space="preserve"> swift adoption</w:t>
      </w:r>
      <w:r w:rsidR="005666EE">
        <w:rPr>
          <w:rFonts w:ascii="Times New Roman" w:hAnsi="Times New Roman" w:cs="Times New Roman"/>
          <w:sz w:val="24"/>
          <w:szCs w:val="24"/>
        </w:rPr>
        <w:t>.</w:t>
      </w:r>
      <w:r w:rsidR="005666EE" w:rsidRPr="005666EE">
        <w:rPr>
          <w:rFonts w:ascii="Times New Roman" w:hAnsi="Times New Roman" w:cs="Times New Roman"/>
          <w:sz w:val="24"/>
          <w:szCs w:val="24"/>
        </w:rPr>
        <w:t xml:space="preserve"> </w:t>
      </w:r>
      <w:r w:rsidR="00B81216" w:rsidRPr="00B81216">
        <w:rPr>
          <w:rFonts w:ascii="Times New Roman" w:hAnsi="Times New Roman" w:cs="Times New Roman"/>
          <w:sz w:val="24"/>
          <w:szCs w:val="24"/>
        </w:rPr>
        <w:t>On the basis of its proposal for EU-internal rules</w:t>
      </w:r>
      <w:r>
        <w:rPr>
          <w:rFonts w:ascii="Times New Roman" w:hAnsi="Times New Roman" w:cs="Times New Roman"/>
          <w:sz w:val="24"/>
          <w:szCs w:val="24"/>
        </w:rPr>
        <w:t xml:space="preserve">, </w:t>
      </w:r>
      <w:r w:rsidR="00FD1033" w:rsidRPr="008D1951">
        <w:rPr>
          <w:rFonts w:ascii="Times New Roman" w:hAnsi="Times New Roman" w:cs="Times New Roman"/>
          <w:sz w:val="24"/>
          <w:szCs w:val="24"/>
        </w:rPr>
        <w:t xml:space="preserve">the Commission is </w:t>
      </w:r>
      <w:r w:rsidR="00B81216">
        <w:rPr>
          <w:rFonts w:ascii="Times New Roman" w:hAnsi="Times New Roman" w:cs="Times New Roman"/>
          <w:sz w:val="24"/>
          <w:szCs w:val="24"/>
        </w:rPr>
        <w:t xml:space="preserve">also </w:t>
      </w:r>
      <w:r w:rsidR="00FD1033" w:rsidRPr="008D1951">
        <w:rPr>
          <w:rFonts w:ascii="Times New Roman" w:hAnsi="Times New Roman" w:cs="Times New Roman"/>
          <w:sz w:val="24"/>
          <w:szCs w:val="24"/>
        </w:rPr>
        <w:t xml:space="preserve">engaging in </w:t>
      </w:r>
      <w:r w:rsidR="00FD1033" w:rsidRPr="00B75976">
        <w:rPr>
          <w:rFonts w:ascii="Times New Roman" w:hAnsi="Times New Roman" w:cs="Times New Roman"/>
          <w:b/>
          <w:sz w:val="24"/>
          <w:szCs w:val="24"/>
        </w:rPr>
        <w:t>international negotiations</w:t>
      </w:r>
      <w:r w:rsidR="00FD1033" w:rsidRPr="00B75976">
        <w:rPr>
          <w:rFonts w:ascii="Times New Roman" w:hAnsi="Times New Roman" w:cs="Times New Roman"/>
          <w:sz w:val="24"/>
          <w:szCs w:val="24"/>
        </w:rPr>
        <w:t xml:space="preserve"> to improve cross-border access to electronic evidence</w:t>
      </w:r>
      <w:r>
        <w:rPr>
          <w:rFonts w:ascii="Times New Roman" w:hAnsi="Times New Roman" w:cs="Times New Roman"/>
          <w:sz w:val="24"/>
          <w:szCs w:val="24"/>
        </w:rPr>
        <w:t>.</w:t>
      </w:r>
      <w:r w:rsidRPr="00B75976">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8D1951">
        <w:rPr>
          <w:rFonts w:ascii="Times New Roman" w:hAnsi="Times New Roman" w:cs="Times New Roman"/>
          <w:sz w:val="24"/>
          <w:szCs w:val="24"/>
        </w:rPr>
        <w:t>25 September 2019</w:t>
      </w:r>
      <w:r>
        <w:rPr>
          <w:rFonts w:ascii="Times New Roman" w:hAnsi="Times New Roman" w:cs="Times New Roman"/>
          <w:sz w:val="24"/>
          <w:szCs w:val="24"/>
        </w:rPr>
        <w:t>, t</w:t>
      </w:r>
      <w:r w:rsidRPr="008D1951">
        <w:rPr>
          <w:rFonts w:ascii="Times New Roman" w:hAnsi="Times New Roman" w:cs="Times New Roman"/>
          <w:sz w:val="24"/>
          <w:szCs w:val="24"/>
        </w:rPr>
        <w:t xml:space="preserve">he Commission and United States authorities held </w:t>
      </w:r>
      <w:r w:rsidR="00CA54F2">
        <w:rPr>
          <w:rFonts w:ascii="Times New Roman" w:hAnsi="Times New Roman" w:cs="Times New Roman"/>
          <w:sz w:val="24"/>
          <w:szCs w:val="24"/>
        </w:rPr>
        <w:t>the</w:t>
      </w:r>
      <w:r w:rsidRPr="008D1951">
        <w:rPr>
          <w:rFonts w:ascii="Times New Roman" w:hAnsi="Times New Roman" w:cs="Times New Roman"/>
          <w:sz w:val="24"/>
          <w:szCs w:val="24"/>
        </w:rPr>
        <w:t xml:space="preserve"> first formal negotiation </w:t>
      </w:r>
      <w:r>
        <w:rPr>
          <w:rFonts w:ascii="Times New Roman" w:hAnsi="Times New Roman" w:cs="Times New Roman"/>
          <w:sz w:val="24"/>
          <w:szCs w:val="24"/>
        </w:rPr>
        <w:t>round on an</w:t>
      </w:r>
      <w:r w:rsidRPr="008D1951">
        <w:rPr>
          <w:rFonts w:ascii="Times New Roman" w:hAnsi="Times New Roman" w:cs="Times New Roman"/>
          <w:sz w:val="24"/>
          <w:szCs w:val="24"/>
        </w:rPr>
        <w:t xml:space="preserve"> </w:t>
      </w:r>
      <w:r w:rsidRPr="00CA54F2">
        <w:rPr>
          <w:rFonts w:ascii="Times New Roman" w:hAnsi="Times New Roman" w:cs="Times New Roman"/>
          <w:b/>
          <w:sz w:val="24"/>
          <w:szCs w:val="24"/>
        </w:rPr>
        <w:t>EU-US Agreement on cross-border access to electronic evidence</w:t>
      </w:r>
      <w:r w:rsidRPr="008D1951">
        <w:rPr>
          <w:rFonts w:ascii="Times New Roman" w:hAnsi="Times New Roman" w:cs="Times New Roman"/>
          <w:sz w:val="24"/>
          <w:szCs w:val="24"/>
        </w:rPr>
        <w:t xml:space="preserve">. </w:t>
      </w:r>
      <w:r w:rsidR="00040016">
        <w:rPr>
          <w:rFonts w:ascii="Times New Roman" w:hAnsi="Times New Roman" w:cs="Times New Roman"/>
          <w:sz w:val="24"/>
          <w:szCs w:val="24"/>
        </w:rPr>
        <w:t>A</w:t>
      </w:r>
      <w:r w:rsidR="00040016" w:rsidRPr="00040016">
        <w:rPr>
          <w:rFonts w:ascii="Times New Roman" w:hAnsi="Times New Roman" w:cs="Times New Roman"/>
          <w:sz w:val="24"/>
          <w:szCs w:val="24"/>
        </w:rPr>
        <w:t xml:space="preserve"> further round is scheduled for 6 November 2019</w:t>
      </w:r>
      <w:r w:rsidR="00040016">
        <w:rPr>
          <w:rFonts w:ascii="Times New Roman" w:hAnsi="Times New Roman" w:cs="Times New Roman"/>
          <w:sz w:val="24"/>
          <w:szCs w:val="24"/>
        </w:rPr>
        <w:t xml:space="preserve">. </w:t>
      </w:r>
      <w:r>
        <w:rPr>
          <w:rFonts w:ascii="Times New Roman" w:hAnsi="Times New Roman" w:cs="Times New Roman"/>
          <w:sz w:val="24"/>
          <w:szCs w:val="24"/>
        </w:rPr>
        <w:t>I</w:t>
      </w:r>
      <w:r w:rsidR="00FD1033" w:rsidRPr="008D1951">
        <w:rPr>
          <w:rFonts w:ascii="Times New Roman" w:hAnsi="Times New Roman" w:cs="Times New Roman"/>
          <w:sz w:val="24"/>
          <w:szCs w:val="24"/>
        </w:rPr>
        <w:t xml:space="preserve">n the context of the ongoing negotiations of a </w:t>
      </w:r>
      <w:r w:rsidR="00FD1033" w:rsidRPr="00CA54F2">
        <w:rPr>
          <w:rFonts w:ascii="Times New Roman" w:hAnsi="Times New Roman" w:cs="Times New Roman"/>
          <w:b/>
          <w:sz w:val="24"/>
          <w:szCs w:val="24"/>
        </w:rPr>
        <w:t>Second Additional Protocol to the Council of Europe Budapest Convention on Cybercrime</w:t>
      </w:r>
      <w:r w:rsidR="00FD1033" w:rsidRPr="008D1951">
        <w:rPr>
          <w:rFonts w:ascii="Times New Roman" w:hAnsi="Times New Roman" w:cs="Times New Roman"/>
          <w:sz w:val="24"/>
          <w:szCs w:val="24"/>
        </w:rPr>
        <w:t>,</w:t>
      </w:r>
      <w:r>
        <w:rPr>
          <w:rFonts w:ascii="Times New Roman" w:hAnsi="Times New Roman" w:cs="Times New Roman"/>
          <w:sz w:val="24"/>
          <w:szCs w:val="24"/>
        </w:rPr>
        <w:t xml:space="preserve"> the Commission </w:t>
      </w:r>
      <w:r w:rsidRPr="00B75976">
        <w:rPr>
          <w:rFonts w:ascii="Times New Roman" w:hAnsi="Times New Roman" w:cs="Times New Roman"/>
          <w:sz w:val="24"/>
          <w:szCs w:val="24"/>
        </w:rPr>
        <w:t>participate</w:t>
      </w:r>
      <w:r>
        <w:rPr>
          <w:rFonts w:ascii="Times New Roman" w:hAnsi="Times New Roman" w:cs="Times New Roman"/>
          <w:sz w:val="24"/>
          <w:szCs w:val="24"/>
        </w:rPr>
        <w:t>d on behalf of the Union</w:t>
      </w:r>
      <w:r w:rsidRPr="00B75976">
        <w:rPr>
          <w:rFonts w:ascii="Times New Roman" w:hAnsi="Times New Roman" w:cs="Times New Roman"/>
          <w:sz w:val="24"/>
          <w:szCs w:val="24"/>
        </w:rPr>
        <w:t xml:space="preserve"> in </w:t>
      </w:r>
      <w:r>
        <w:rPr>
          <w:rFonts w:ascii="Times New Roman" w:hAnsi="Times New Roman" w:cs="Times New Roman"/>
          <w:sz w:val="24"/>
          <w:szCs w:val="24"/>
        </w:rPr>
        <w:t>three</w:t>
      </w:r>
      <w:r w:rsidRPr="00B75976">
        <w:rPr>
          <w:rFonts w:ascii="Times New Roman" w:hAnsi="Times New Roman" w:cs="Times New Roman"/>
          <w:sz w:val="24"/>
          <w:szCs w:val="24"/>
        </w:rPr>
        <w:t xml:space="preserve"> </w:t>
      </w:r>
      <w:r>
        <w:rPr>
          <w:rFonts w:ascii="Times New Roman" w:hAnsi="Times New Roman" w:cs="Times New Roman"/>
          <w:sz w:val="24"/>
          <w:szCs w:val="24"/>
        </w:rPr>
        <w:t>negotiating sessions in July, September and October 2019. While g</w:t>
      </w:r>
      <w:r w:rsidRPr="00B75976">
        <w:rPr>
          <w:rFonts w:ascii="Times New Roman" w:hAnsi="Times New Roman" w:cs="Times New Roman"/>
          <w:sz w:val="24"/>
          <w:szCs w:val="24"/>
        </w:rPr>
        <w:t>ood progress ha</w:t>
      </w:r>
      <w:r w:rsidR="00045392">
        <w:rPr>
          <w:rFonts w:ascii="Times New Roman" w:hAnsi="Times New Roman" w:cs="Times New Roman"/>
          <w:sz w:val="24"/>
          <w:szCs w:val="24"/>
        </w:rPr>
        <w:t>s</w:t>
      </w:r>
      <w:r w:rsidRPr="00B75976">
        <w:rPr>
          <w:rFonts w:ascii="Times New Roman" w:hAnsi="Times New Roman" w:cs="Times New Roman"/>
          <w:sz w:val="24"/>
          <w:szCs w:val="24"/>
        </w:rPr>
        <w:t xml:space="preserve"> been made</w:t>
      </w:r>
      <w:r>
        <w:rPr>
          <w:rFonts w:ascii="Times New Roman" w:hAnsi="Times New Roman" w:cs="Times New Roman"/>
          <w:sz w:val="24"/>
          <w:szCs w:val="24"/>
        </w:rPr>
        <w:t xml:space="preserve"> in these negotiations, a number of </w:t>
      </w:r>
      <w:r w:rsidRPr="00B75976">
        <w:rPr>
          <w:rFonts w:ascii="Times New Roman" w:hAnsi="Times New Roman" w:cs="Times New Roman"/>
          <w:sz w:val="24"/>
          <w:szCs w:val="24"/>
        </w:rPr>
        <w:t xml:space="preserve">major topics of significant interest to the Union </w:t>
      </w:r>
      <w:r>
        <w:rPr>
          <w:rFonts w:ascii="Times New Roman" w:hAnsi="Times New Roman" w:cs="Times New Roman"/>
          <w:sz w:val="24"/>
          <w:szCs w:val="24"/>
        </w:rPr>
        <w:t xml:space="preserve">are </w:t>
      </w:r>
      <w:r w:rsidRPr="00B75976">
        <w:rPr>
          <w:rFonts w:ascii="Times New Roman" w:hAnsi="Times New Roman" w:cs="Times New Roman"/>
          <w:sz w:val="24"/>
          <w:szCs w:val="24"/>
        </w:rPr>
        <w:t>stil</w:t>
      </w:r>
      <w:r>
        <w:rPr>
          <w:rFonts w:ascii="Times New Roman" w:hAnsi="Times New Roman" w:cs="Times New Roman"/>
          <w:sz w:val="24"/>
          <w:szCs w:val="24"/>
        </w:rPr>
        <w:t>l</w:t>
      </w:r>
      <w:r w:rsidRPr="00B75976">
        <w:rPr>
          <w:rFonts w:ascii="Times New Roman" w:hAnsi="Times New Roman" w:cs="Times New Roman"/>
          <w:sz w:val="24"/>
          <w:szCs w:val="24"/>
        </w:rPr>
        <w:t xml:space="preserve"> to be addressed, such as data protection safeguards.</w:t>
      </w:r>
      <w:r w:rsidR="00FD1033" w:rsidRPr="008D1951">
        <w:rPr>
          <w:rFonts w:ascii="Times New Roman" w:hAnsi="Times New Roman" w:cs="Times New Roman"/>
          <w:sz w:val="24"/>
          <w:szCs w:val="24"/>
        </w:rPr>
        <w:t xml:space="preserve"> </w:t>
      </w:r>
      <w:r w:rsidR="00045392" w:rsidRPr="00045392">
        <w:rPr>
          <w:rFonts w:ascii="Times New Roman" w:hAnsi="Times New Roman" w:cs="Times New Roman"/>
          <w:sz w:val="24"/>
          <w:szCs w:val="24"/>
        </w:rPr>
        <w:t xml:space="preserve">The negotiation </w:t>
      </w:r>
      <w:r w:rsidR="00877A57">
        <w:rPr>
          <w:rFonts w:ascii="Times New Roman" w:hAnsi="Times New Roman" w:cs="Times New Roman"/>
          <w:sz w:val="24"/>
          <w:szCs w:val="24"/>
        </w:rPr>
        <w:t>o</w:t>
      </w:r>
      <w:r w:rsidR="005666EE">
        <w:rPr>
          <w:rFonts w:ascii="Times New Roman" w:hAnsi="Times New Roman" w:cs="Times New Roman"/>
          <w:sz w:val="24"/>
          <w:szCs w:val="24"/>
        </w:rPr>
        <w:t>f a</w:t>
      </w:r>
      <w:r w:rsidR="00045392" w:rsidRPr="00045392">
        <w:rPr>
          <w:rFonts w:ascii="Times New Roman" w:hAnsi="Times New Roman" w:cs="Times New Roman"/>
          <w:sz w:val="24"/>
          <w:szCs w:val="24"/>
        </w:rPr>
        <w:t xml:space="preserve"> Second Additional Protocol will continue in November 2019 and throughout 2020.</w:t>
      </w:r>
      <w:r w:rsidR="00040016">
        <w:rPr>
          <w:rFonts w:ascii="Times New Roman" w:hAnsi="Times New Roman" w:cs="Times New Roman"/>
          <w:sz w:val="24"/>
          <w:szCs w:val="24"/>
        </w:rPr>
        <w:t xml:space="preserve"> </w:t>
      </w:r>
      <w:r w:rsidR="00FD44F2" w:rsidRPr="00FD44F2">
        <w:rPr>
          <w:rFonts w:ascii="Times New Roman" w:hAnsi="Times New Roman" w:cs="Times New Roman"/>
          <w:sz w:val="24"/>
          <w:szCs w:val="24"/>
        </w:rPr>
        <w:t xml:space="preserve">It is important to proceed fast with </w:t>
      </w:r>
      <w:r w:rsidR="00FD44F2">
        <w:rPr>
          <w:rFonts w:ascii="Times New Roman" w:hAnsi="Times New Roman" w:cs="Times New Roman"/>
          <w:sz w:val="24"/>
          <w:szCs w:val="24"/>
        </w:rPr>
        <w:t>both</w:t>
      </w:r>
      <w:r w:rsidR="00FD44F2" w:rsidRPr="00FD44F2">
        <w:rPr>
          <w:rFonts w:ascii="Times New Roman" w:hAnsi="Times New Roman" w:cs="Times New Roman"/>
          <w:sz w:val="24"/>
          <w:szCs w:val="24"/>
        </w:rPr>
        <w:t xml:space="preserve"> negotiations in order to advance international cooperation on sharing electronic evidence, while ensuring compatibility with EU law and Member States’ obligations under it, taking also account of future developments in EU law.</w:t>
      </w:r>
    </w:p>
    <w:p w14:paraId="50A00B9A" w14:textId="16C32557" w:rsidR="00FD1033" w:rsidRPr="008D1951" w:rsidRDefault="001221C0" w:rsidP="00FD1033">
      <w:pPr>
        <w:widowControl w:val="0"/>
        <w:spacing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Reflecting</w:t>
      </w:r>
      <w:r w:rsidR="00CA54F2">
        <w:rPr>
          <w:rFonts w:ascii="Times New Roman" w:eastAsia="Calibri" w:hAnsi="Times New Roman" w:cs="Times New Roman"/>
          <w:iCs/>
          <w:sz w:val="24"/>
          <w:szCs w:val="24"/>
        </w:rPr>
        <w:t xml:space="preserve"> on-going </w:t>
      </w:r>
      <w:r>
        <w:rPr>
          <w:rFonts w:ascii="Times New Roman" w:eastAsia="Calibri" w:hAnsi="Times New Roman" w:cs="Times New Roman"/>
          <w:iCs/>
          <w:sz w:val="24"/>
          <w:szCs w:val="24"/>
        </w:rPr>
        <w:t>concerns about</w:t>
      </w:r>
      <w:r w:rsidR="00B75976">
        <w:rPr>
          <w:rFonts w:ascii="Times New Roman" w:eastAsia="Calibri" w:hAnsi="Times New Roman" w:cs="Times New Roman"/>
          <w:iCs/>
          <w:sz w:val="24"/>
          <w:szCs w:val="24"/>
        </w:rPr>
        <w:t xml:space="preserve"> money laundering, the European Parliament adopted on 19 September 2019 a </w:t>
      </w:r>
      <w:r w:rsidR="00B75976" w:rsidRPr="00B75976">
        <w:rPr>
          <w:rFonts w:ascii="Times New Roman" w:eastAsia="Calibri" w:hAnsi="Times New Roman" w:cs="Times New Roman"/>
          <w:b/>
          <w:iCs/>
          <w:sz w:val="24"/>
          <w:szCs w:val="24"/>
        </w:rPr>
        <w:t>R</w:t>
      </w:r>
      <w:r w:rsidR="00FD1033" w:rsidRPr="00B75976">
        <w:rPr>
          <w:rFonts w:ascii="Times New Roman" w:eastAsia="Calibri" w:hAnsi="Times New Roman" w:cs="Times New Roman"/>
          <w:b/>
          <w:iCs/>
          <w:sz w:val="24"/>
          <w:szCs w:val="24"/>
        </w:rPr>
        <w:t xml:space="preserve">esolution </w:t>
      </w:r>
      <w:r w:rsidR="00B75976" w:rsidRPr="00B75976">
        <w:rPr>
          <w:rFonts w:ascii="Times New Roman" w:eastAsia="Calibri" w:hAnsi="Times New Roman" w:cs="Times New Roman"/>
          <w:b/>
          <w:iCs/>
          <w:sz w:val="24"/>
          <w:szCs w:val="24"/>
        </w:rPr>
        <w:t>on the state of implementation of the Union’s anti-money laundering legislation</w:t>
      </w:r>
      <w:r w:rsidR="004A2894" w:rsidRPr="004A2894">
        <w:rPr>
          <w:rFonts w:ascii="Times New Roman" w:eastAsia="Calibri" w:hAnsi="Times New Roman" w:cs="Times New Roman"/>
          <w:iCs/>
          <w:sz w:val="24"/>
          <w:szCs w:val="24"/>
          <w:vertAlign w:val="superscript"/>
        </w:rPr>
        <w:footnoteReference w:id="24"/>
      </w:r>
      <w:r w:rsidR="00B75976">
        <w:rPr>
          <w:rFonts w:ascii="Times New Roman" w:eastAsia="Calibri" w:hAnsi="Times New Roman" w:cs="Times New Roman"/>
          <w:iCs/>
          <w:sz w:val="24"/>
          <w:szCs w:val="24"/>
        </w:rPr>
        <w:t xml:space="preserve">, </w:t>
      </w:r>
      <w:r w:rsidR="00FD1033" w:rsidRPr="008D1951">
        <w:rPr>
          <w:rFonts w:ascii="Times New Roman" w:eastAsia="Calibri" w:hAnsi="Times New Roman" w:cs="Times New Roman"/>
          <w:iCs/>
          <w:sz w:val="24"/>
          <w:szCs w:val="24"/>
        </w:rPr>
        <w:t>respon</w:t>
      </w:r>
      <w:r w:rsidR="00B75976">
        <w:rPr>
          <w:rFonts w:ascii="Times New Roman" w:eastAsia="Calibri" w:hAnsi="Times New Roman" w:cs="Times New Roman"/>
          <w:iCs/>
          <w:sz w:val="24"/>
          <w:szCs w:val="24"/>
        </w:rPr>
        <w:t>ding</w:t>
      </w:r>
      <w:r w:rsidR="00FD1033" w:rsidRPr="008D1951">
        <w:rPr>
          <w:rFonts w:ascii="Times New Roman" w:eastAsia="Calibri" w:hAnsi="Times New Roman" w:cs="Times New Roman"/>
          <w:iCs/>
          <w:sz w:val="24"/>
          <w:szCs w:val="24"/>
        </w:rPr>
        <w:t xml:space="preserve"> to the </w:t>
      </w:r>
      <w:r w:rsidR="00FD1033" w:rsidRPr="00B75976">
        <w:rPr>
          <w:rFonts w:ascii="Times New Roman" w:eastAsia="Calibri" w:hAnsi="Times New Roman" w:cs="Times New Roman"/>
          <w:iCs/>
          <w:sz w:val="24"/>
          <w:szCs w:val="24"/>
        </w:rPr>
        <w:t>package of four reports</w:t>
      </w:r>
      <w:r w:rsidR="00FD1033" w:rsidRPr="008D1951">
        <w:rPr>
          <w:rFonts w:ascii="Times New Roman" w:eastAsia="Calibri" w:hAnsi="Times New Roman" w:cs="Times New Roman"/>
          <w:iCs/>
          <w:sz w:val="24"/>
          <w:szCs w:val="24"/>
        </w:rPr>
        <w:t xml:space="preserve"> </w:t>
      </w:r>
      <w:r w:rsidR="00B75976">
        <w:rPr>
          <w:rFonts w:ascii="Times New Roman" w:eastAsia="Calibri" w:hAnsi="Times New Roman" w:cs="Times New Roman"/>
          <w:iCs/>
          <w:sz w:val="24"/>
          <w:szCs w:val="24"/>
        </w:rPr>
        <w:t xml:space="preserve">on </w:t>
      </w:r>
      <w:r w:rsidR="00B75976" w:rsidRPr="008D1951">
        <w:rPr>
          <w:rFonts w:ascii="Times New Roman" w:eastAsia="Calibri" w:hAnsi="Times New Roman" w:cs="Times New Roman"/>
          <w:iCs/>
          <w:sz w:val="24"/>
          <w:szCs w:val="24"/>
        </w:rPr>
        <w:t xml:space="preserve">anti-money laundering </w:t>
      </w:r>
      <w:r w:rsidR="00B75976">
        <w:rPr>
          <w:rFonts w:ascii="Times New Roman" w:eastAsia="Calibri" w:hAnsi="Times New Roman" w:cs="Times New Roman"/>
          <w:iCs/>
          <w:sz w:val="24"/>
          <w:szCs w:val="24"/>
        </w:rPr>
        <w:t>that</w:t>
      </w:r>
      <w:r w:rsidR="00FD1033" w:rsidRPr="008D1951">
        <w:rPr>
          <w:rFonts w:ascii="Times New Roman" w:eastAsia="Calibri" w:hAnsi="Times New Roman" w:cs="Times New Roman"/>
          <w:iCs/>
          <w:sz w:val="24"/>
          <w:szCs w:val="24"/>
        </w:rPr>
        <w:t xml:space="preserve"> the Commission adopted on 24 July 2019</w:t>
      </w:r>
      <w:r w:rsidR="00FD1033" w:rsidRPr="008D1951">
        <w:rPr>
          <w:rFonts w:ascii="Times New Roman" w:eastAsia="Calibri" w:hAnsi="Times New Roman" w:cs="Times New Roman"/>
          <w:iCs/>
          <w:sz w:val="24"/>
          <w:szCs w:val="24"/>
          <w:vertAlign w:val="superscript"/>
        </w:rPr>
        <w:footnoteReference w:id="25"/>
      </w:r>
      <w:r w:rsidR="00FD1033" w:rsidRPr="008D1951">
        <w:rPr>
          <w:rFonts w:ascii="Times New Roman" w:eastAsia="Calibri" w:hAnsi="Times New Roman" w:cs="Times New Roman"/>
          <w:iCs/>
          <w:sz w:val="24"/>
          <w:szCs w:val="24"/>
        </w:rPr>
        <w:t xml:space="preserve">. The </w:t>
      </w:r>
      <w:r w:rsidR="00FD1033">
        <w:rPr>
          <w:rFonts w:ascii="Times New Roman" w:eastAsia="Calibri" w:hAnsi="Times New Roman" w:cs="Times New Roman"/>
          <w:iCs/>
          <w:sz w:val="24"/>
          <w:szCs w:val="24"/>
        </w:rPr>
        <w:t xml:space="preserve">European </w:t>
      </w:r>
      <w:r w:rsidR="00FD1033" w:rsidRPr="008D1951">
        <w:rPr>
          <w:rFonts w:ascii="Times New Roman" w:eastAsia="Calibri" w:hAnsi="Times New Roman" w:cs="Times New Roman"/>
          <w:iCs/>
          <w:sz w:val="24"/>
          <w:szCs w:val="24"/>
        </w:rPr>
        <w:t>Parliament call</w:t>
      </w:r>
      <w:r w:rsidR="00FD1033">
        <w:rPr>
          <w:rFonts w:ascii="Times New Roman" w:eastAsia="Calibri" w:hAnsi="Times New Roman" w:cs="Times New Roman"/>
          <w:iCs/>
          <w:sz w:val="24"/>
          <w:szCs w:val="24"/>
        </w:rPr>
        <w:t>ed</w:t>
      </w:r>
      <w:r w:rsidR="00FD1033" w:rsidRPr="008D1951">
        <w:rPr>
          <w:rFonts w:ascii="Times New Roman" w:eastAsia="Calibri" w:hAnsi="Times New Roman" w:cs="Times New Roman"/>
          <w:iCs/>
          <w:sz w:val="24"/>
          <w:szCs w:val="24"/>
        </w:rPr>
        <w:t xml:space="preserve"> on Member State</w:t>
      </w:r>
      <w:r w:rsidR="00CA54F2">
        <w:rPr>
          <w:rFonts w:ascii="Times New Roman" w:eastAsia="Calibri" w:hAnsi="Times New Roman" w:cs="Times New Roman"/>
          <w:iCs/>
          <w:sz w:val="24"/>
          <w:szCs w:val="24"/>
        </w:rPr>
        <w:t>s</w:t>
      </w:r>
      <w:r w:rsidR="00FD1033" w:rsidRPr="008D1951">
        <w:rPr>
          <w:rFonts w:ascii="Times New Roman" w:eastAsia="Calibri" w:hAnsi="Times New Roman" w:cs="Times New Roman"/>
          <w:iCs/>
          <w:sz w:val="24"/>
          <w:szCs w:val="24"/>
        </w:rPr>
        <w:t xml:space="preserve"> to ensure </w:t>
      </w:r>
      <w:r w:rsidR="00CA54F2">
        <w:rPr>
          <w:rFonts w:ascii="Times New Roman" w:eastAsia="Calibri" w:hAnsi="Times New Roman" w:cs="Times New Roman"/>
          <w:iCs/>
          <w:sz w:val="24"/>
          <w:szCs w:val="24"/>
        </w:rPr>
        <w:t xml:space="preserve">the </w:t>
      </w:r>
      <w:r w:rsidR="00FD1033" w:rsidRPr="008D1951">
        <w:rPr>
          <w:rFonts w:ascii="Times New Roman" w:eastAsia="Calibri" w:hAnsi="Times New Roman" w:cs="Times New Roman"/>
          <w:iCs/>
          <w:sz w:val="24"/>
          <w:szCs w:val="24"/>
        </w:rPr>
        <w:t xml:space="preserve">proper and speedy implementation of anti-money laundering directives. The </w:t>
      </w:r>
      <w:r w:rsidR="00FD1033">
        <w:rPr>
          <w:rFonts w:ascii="Times New Roman" w:eastAsia="Calibri" w:hAnsi="Times New Roman" w:cs="Times New Roman"/>
          <w:iCs/>
          <w:sz w:val="24"/>
          <w:szCs w:val="24"/>
        </w:rPr>
        <w:t xml:space="preserve">European </w:t>
      </w:r>
      <w:r w:rsidR="00B75976">
        <w:rPr>
          <w:rFonts w:ascii="Times New Roman" w:eastAsia="Calibri" w:hAnsi="Times New Roman" w:cs="Times New Roman"/>
          <w:iCs/>
          <w:sz w:val="24"/>
          <w:szCs w:val="24"/>
        </w:rPr>
        <w:t>Parliament also called</w:t>
      </w:r>
      <w:r w:rsidR="00FD1033" w:rsidRPr="008D1951">
        <w:rPr>
          <w:rFonts w:ascii="Times New Roman" w:eastAsia="Calibri" w:hAnsi="Times New Roman" w:cs="Times New Roman"/>
          <w:iCs/>
          <w:sz w:val="24"/>
          <w:szCs w:val="24"/>
        </w:rPr>
        <w:t xml:space="preserve"> on the Commission to assess whether an anti-money laundering regulation would be more appropriate than a Directi</w:t>
      </w:r>
      <w:r w:rsidR="004A2894">
        <w:rPr>
          <w:rFonts w:ascii="Times New Roman" w:eastAsia="Calibri" w:hAnsi="Times New Roman" w:cs="Times New Roman"/>
          <w:iCs/>
          <w:sz w:val="24"/>
          <w:szCs w:val="24"/>
        </w:rPr>
        <w:t>ve and to assess the need for a</w:t>
      </w:r>
      <w:r w:rsidR="00FD1033" w:rsidRPr="008D1951">
        <w:rPr>
          <w:rFonts w:ascii="Times New Roman" w:eastAsia="Calibri" w:hAnsi="Times New Roman" w:cs="Times New Roman"/>
          <w:iCs/>
          <w:sz w:val="24"/>
          <w:szCs w:val="24"/>
        </w:rPr>
        <w:t xml:space="preserve"> coor</w:t>
      </w:r>
      <w:r w:rsidR="00B75976">
        <w:rPr>
          <w:rFonts w:ascii="Times New Roman" w:eastAsia="Calibri" w:hAnsi="Times New Roman" w:cs="Times New Roman"/>
          <w:iCs/>
          <w:sz w:val="24"/>
          <w:szCs w:val="24"/>
        </w:rPr>
        <w:t>dination and support mechanism</w:t>
      </w:r>
      <w:r w:rsidR="000F24D0">
        <w:rPr>
          <w:rFonts w:ascii="Times New Roman" w:eastAsia="Calibri" w:hAnsi="Times New Roman" w:cs="Times New Roman"/>
          <w:iCs/>
          <w:sz w:val="24"/>
          <w:szCs w:val="24"/>
        </w:rPr>
        <w:t xml:space="preserve"> for</w:t>
      </w:r>
      <w:r w:rsidR="000F24D0" w:rsidRPr="000F24D0">
        <w:rPr>
          <w:rFonts w:ascii="Times New Roman" w:eastAsia="Calibri" w:hAnsi="Times New Roman" w:cs="Times New Roman"/>
          <w:iCs/>
          <w:sz w:val="24"/>
          <w:szCs w:val="24"/>
        </w:rPr>
        <w:t xml:space="preserve"> </w:t>
      </w:r>
      <w:r w:rsidR="000F24D0">
        <w:rPr>
          <w:rFonts w:ascii="Times New Roman" w:eastAsia="Calibri" w:hAnsi="Times New Roman" w:cs="Times New Roman"/>
          <w:iCs/>
          <w:sz w:val="24"/>
          <w:szCs w:val="24"/>
        </w:rPr>
        <w:t>financial intelligence units</w:t>
      </w:r>
      <w:r w:rsidR="00B75976">
        <w:rPr>
          <w:rFonts w:ascii="Times New Roman" w:eastAsia="Calibri" w:hAnsi="Times New Roman" w:cs="Times New Roman"/>
          <w:iCs/>
          <w:sz w:val="24"/>
          <w:szCs w:val="24"/>
        </w:rPr>
        <w:t>.</w:t>
      </w:r>
    </w:p>
    <w:p w14:paraId="26EA03F0" w14:textId="77777777" w:rsidR="00FD1033" w:rsidRPr="008D1951" w:rsidRDefault="00FD1033" w:rsidP="00FD1033">
      <w:pPr>
        <w:keepNext/>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sz w:val="24"/>
          <w:szCs w:val="24"/>
        </w:rPr>
      </w:pPr>
      <w:r w:rsidRPr="008D1951">
        <w:rPr>
          <w:rFonts w:ascii="Times New Roman" w:hAnsi="Times New Roman" w:cs="Times New Roman"/>
          <w:b/>
          <w:sz w:val="24"/>
          <w:szCs w:val="24"/>
        </w:rPr>
        <w:t>In order to improve law enforcement access to electronic evidence, the Commission calls on the European Parliament and Council:</w:t>
      </w:r>
    </w:p>
    <w:tbl>
      <w:tblPr>
        <w:tblStyle w:val="TableGrid"/>
        <w:tblW w:w="0" w:type="auto"/>
        <w:tblLook w:val="04A0" w:firstRow="1" w:lastRow="0" w:firstColumn="1" w:lastColumn="0" w:noHBand="0" w:noVBand="1"/>
      </w:tblPr>
      <w:tblGrid>
        <w:gridCol w:w="9288"/>
      </w:tblGrid>
      <w:tr w:rsidR="00FD1033" w:rsidRPr="008D1951" w14:paraId="4944ABE8" w14:textId="77777777" w:rsidTr="00FA3706">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A5E4BA" w14:textId="77777777" w:rsidR="00FD1033" w:rsidRPr="008D1951" w:rsidRDefault="00FD1033" w:rsidP="005666EE">
            <w:pPr>
              <w:pStyle w:val="ListParagraph"/>
              <w:keepNext/>
              <w:numPr>
                <w:ilvl w:val="0"/>
                <w:numId w:val="20"/>
              </w:numPr>
              <w:shd w:val="clear" w:color="auto" w:fill="DBE5F1" w:themeFill="accent1" w:themeFillTint="33"/>
              <w:jc w:val="both"/>
              <w:rPr>
                <w:rFonts w:ascii="Times New Roman" w:hAnsi="Times New Roman"/>
                <w:sz w:val="24"/>
                <w:szCs w:val="24"/>
              </w:rPr>
            </w:pPr>
            <w:r w:rsidRPr="008D1951">
              <w:rPr>
                <w:rFonts w:ascii="Times New Roman" w:hAnsi="Times New Roman"/>
                <w:sz w:val="24"/>
                <w:szCs w:val="24"/>
              </w:rPr>
              <w:t xml:space="preserve">to </w:t>
            </w:r>
            <w:r w:rsidR="005666EE">
              <w:rPr>
                <w:rFonts w:ascii="Times New Roman" w:hAnsi="Times New Roman"/>
                <w:sz w:val="24"/>
                <w:szCs w:val="24"/>
              </w:rPr>
              <w:t>reach swift agreement</w:t>
            </w:r>
            <w:r w:rsidRPr="008D1951">
              <w:rPr>
                <w:rFonts w:ascii="Times New Roman" w:hAnsi="Times New Roman"/>
                <w:sz w:val="24"/>
                <w:szCs w:val="24"/>
              </w:rPr>
              <w:t xml:space="preserve"> on the legislative p</w:t>
            </w:r>
            <w:r w:rsidR="000F24D0">
              <w:rPr>
                <w:rFonts w:ascii="Times New Roman" w:hAnsi="Times New Roman"/>
                <w:sz w:val="24"/>
                <w:szCs w:val="24"/>
              </w:rPr>
              <w:t xml:space="preserve">roposals on </w:t>
            </w:r>
            <w:r w:rsidR="000F24D0" w:rsidRPr="000D0DAA">
              <w:rPr>
                <w:rFonts w:ascii="Times New Roman" w:hAnsi="Times New Roman"/>
                <w:b/>
                <w:sz w:val="24"/>
                <w:szCs w:val="24"/>
              </w:rPr>
              <w:t>electronic evidence</w:t>
            </w:r>
            <w:r w:rsidRPr="008D1951">
              <w:rPr>
                <w:rFonts w:ascii="Times New Roman" w:hAnsi="Times New Roman"/>
                <w:sz w:val="24"/>
                <w:szCs w:val="24"/>
              </w:rPr>
              <w:t xml:space="preserve"> </w:t>
            </w:r>
            <w:r w:rsidRPr="008D1951">
              <w:rPr>
                <w:rFonts w:ascii="Times New Roman" w:hAnsi="Times New Roman"/>
                <w:i/>
                <w:sz w:val="24"/>
                <w:szCs w:val="24"/>
              </w:rPr>
              <w:t>(Joint Declaration priority)</w:t>
            </w:r>
            <w:r w:rsidR="000F24D0">
              <w:rPr>
                <w:rFonts w:ascii="Times New Roman" w:hAnsi="Times New Roman"/>
                <w:sz w:val="24"/>
                <w:szCs w:val="24"/>
              </w:rPr>
              <w:t>.</w:t>
            </w:r>
          </w:p>
        </w:tc>
      </w:tr>
    </w:tbl>
    <w:p w14:paraId="6A83B254" w14:textId="77777777" w:rsidR="00AD06C7" w:rsidRPr="008D1951" w:rsidRDefault="00B75976" w:rsidP="006207BA">
      <w:pPr>
        <w:spacing w:before="240" w:after="24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4</w:t>
      </w:r>
      <w:r w:rsidR="00AD06C7" w:rsidRPr="008D1951">
        <w:rPr>
          <w:rFonts w:ascii="Times New Roman" w:eastAsia="Calibri" w:hAnsi="Times New Roman" w:cs="Times New Roman"/>
          <w:i/>
          <w:iCs/>
          <w:sz w:val="24"/>
          <w:szCs w:val="24"/>
        </w:rPr>
        <w:t xml:space="preserve">.      Enhancing cybersecurity </w:t>
      </w:r>
    </w:p>
    <w:p w14:paraId="595D328E" w14:textId="5984A7F1" w:rsidR="004A2894" w:rsidRDefault="004A2894" w:rsidP="006207BA">
      <w:pPr>
        <w:spacing w:line="240" w:lineRule="auto"/>
        <w:jc w:val="both"/>
        <w:rPr>
          <w:rFonts w:ascii="Times New Roman" w:hAnsi="Times New Roman" w:cs="Times New Roman"/>
          <w:sz w:val="24"/>
          <w:szCs w:val="24"/>
        </w:rPr>
      </w:pPr>
      <w:r>
        <w:rPr>
          <w:rFonts w:ascii="Times New Roman" w:hAnsi="Times New Roman" w:cs="Times New Roman"/>
          <w:sz w:val="24"/>
          <w:szCs w:val="24"/>
        </w:rPr>
        <w:t>Enhancing cybersecurity remains a key aspect of the work towards a genuine and effective Security Union. Implementing the 2017 EU Cybersecurity S</w:t>
      </w:r>
      <w:r w:rsidRPr="004A2894">
        <w:rPr>
          <w:rFonts w:ascii="Times New Roman" w:hAnsi="Times New Roman" w:cs="Times New Roman"/>
          <w:sz w:val="24"/>
          <w:szCs w:val="24"/>
        </w:rPr>
        <w:t>trategy</w:t>
      </w:r>
      <w:r w:rsidR="00D86753">
        <w:rPr>
          <w:rStyle w:val="FootnoteReference"/>
        </w:rPr>
        <w:footnoteReference w:id="26"/>
      </w:r>
      <w:r>
        <w:rPr>
          <w:rFonts w:ascii="Times New Roman" w:hAnsi="Times New Roman" w:cs="Times New Roman"/>
          <w:sz w:val="24"/>
          <w:szCs w:val="24"/>
        </w:rPr>
        <w:t xml:space="preserve">, the Union has strengthened </w:t>
      </w:r>
      <w:r w:rsidR="00D86753">
        <w:rPr>
          <w:rFonts w:ascii="Times New Roman" w:hAnsi="Times New Roman" w:cs="Times New Roman"/>
          <w:sz w:val="24"/>
          <w:szCs w:val="24"/>
        </w:rPr>
        <w:t>its</w:t>
      </w:r>
      <w:r w:rsidRPr="004A2894">
        <w:rPr>
          <w:rFonts w:ascii="Times New Roman" w:hAnsi="Times New Roman" w:cs="Times New Roman"/>
          <w:sz w:val="24"/>
          <w:szCs w:val="24"/>
        </w:rPr>
        <w:t xml:space="preserve"> resilience</w:t>
      </w:r>
      <w:r w:rsidR="00D86753">
        <w:rPr>
          <w:rFonts w:ascii="Times New Roman" w:hAnsi="Times New Roman" w:cs="Times New Roman"/>
          <w:sz w:val="24"/>
          <w:szCs w:val="24"/>
        </w:rPr>
        <w:t xml:space="preserve"> by </w:t>
      </w:r>
      <w:r w:rsidRPr="004A2894">
        <w:rPr>
          <w:rFonts w:ascii="Times New Roman" w:hAnsi="Times New Roman" w:cs="Times New Roman"/>
          <w:sz w:val="24"/>
          <w:szCs w:val="24"/>
        </w:rPr>
        <w:t xml:space="preserve">making </w:t>
      </w:r>
      <w:r w:rsidR="00D86753">
        <w:rPr>
          <w:rFonts w:ascii="Times New Roman" w:hAnsi="Times New Roman" w:cs="Times New Roman"/>
          <w:sz w:val="24"/>
          <w:szCs w:val="24"/>
        </w:rPr>
        <w:t>itself</w:t>
      </w:r>
      <w:r w:rsidRPr="004A2894">
        <w:rPr>
          <w:rFonts w:ascii="Times New Roman" w:hAnsi="Times New Roman" w:cs="Times New Roman"/>
          <w:sz w:val="24"/>
          <w:szCs w:val="24"/>
        </w:rPr>
        <w:t xml:space="preserve"> harder to attack and quicker to recover</w:t>
      </w:r>
      <w:r w:rsidR="00D86753">
        <w:rPr>
          <w:rFonts w:ascii="Times New Roman" w:hAnsi="Times New Roman" w:cs="Times New Roman"/>
          <w:sz w:val="24"/>
          <w:szCs w:val="24"/>
        </w:rPr>
        <w:t>, as well as</w:t>
      </w:r>
      <w:r w:rsidRPr="004A2894">
        <w:rPr>
          <w:rFonts w:ascii="Times New Roman" w:hAnsi="Times New Roman" w:cs="Times New Roman"/>
          <w:sz w:val="24"/>
          <w:szCs w:val="24"/>
        </w:rPr>
        <w:t xml:space="preserve"> </w:t>
      </w:r>
      <w:r w:rsidR="00D86753">
        <w:rPr>
          <w:rFonts w:ascii="Times New Roman" w:hAnsi="Times New Roman" w:cs="Times New Roman"/>
          <w:sz w:val="24"/>
          <w:szCs w:val="24"/>
        </w:rPr>
        <w:t>its</w:t>
      </w:r>
      <w:r w:rsidRPr="004A2894">
        <w:rPr>
          <w:rFonts w:ascii="Times New Roman" w:hAnsi="Times New Roman" w:cs="Times New Roman"/>
          <w:sz w:val="24"/>
          <w:szCs w:val="24"/>
        </w:rPr>
        <w:t xml:space="preserve"> deterrence</w:t>
      </w:r>
      <w:r w:rsidR="00D86753">
        <w:rPr>
          <w:rFonts w:ascii="Times New Roman" w:hAnsi="Times New Roman" w:cs="Times New Roman"/>
          <w:sz w:val="24"/>
          <w:szCs w:val="24"/>
        </w:rPr>
        <w:t xml:space="preserve"> by</w:t>
      </w:r>
      <w:r w:rsidRPr="004A2894">
        <w:rPr>
          <w:rFonts w:ascii="Times New Roman" w:hAnsi="Times New Roman" w:cs="Times New Roman"/>
          <w:sz w:val="24"/>
          <w:szCs w:val="24"/>
        </w:rPr>
        <w:t xml:space="preserve"> increasing the chances of attackers getting caught and punished</w:t>
      </w:r>
      <w:r w:rsidR="00D45F94">
        <w:rPr>
          <w:rFonts w:ascii="Times New Roman" w:hAnsi="Times New Roman" w:cs="Times New Roman"/>
          <w:sz w:val="24"/>
          <w:szCs w:val="24"/>
        </w:rPr>
        <w:t>, including</w:t>
      </w:r>
      <w:r w:rsidR="00D45F94" w:rsidRPr="00D45F94">
        <w:rPr>
          <w:rFonts w:ascii="Times New Roman" w:hAnsi="Times New Roman" w:cs="Times New Roman"/>
          <w:sz w:val="24"/>
          <w:szCs w:val="24"/>
        </w:rPr>
        <w:t xml:space="preserve"> through</w:t>
      </w:r>
      <w:r w:rsidR="00D45F94">
        <w:rPr>
          <w:rFonts w:ascii="Times New Roman" w:hAnsi="Times New Roman" w:cs="Times New Roman"/>
          <w:sz w:val="24"/>
          <w:szCs w:val="24"/>
        </w:rPr>
        <w:t xml:space="preserve"> a framework for</w:t>
      </w:r>
      <w:r w:rsidR="00D45F94" w:rsidRPr="00D45F94">
        <w:rPr>
          <w:rFonts w:ascii="Times New Roman" w:hAnsi="Times New Roman" w:cs="Times New Roman"/>
          <w:sz w:val="24"/>
          <w:szCs w:val="24"/>
        </w:rPr>
        <w:t xml:space="preserve"> a joint EU diplomatic response to malicious cyber activities</w:t>
      </w:r>
      <w:r w:rsidR="00CA54F2">
        <w:rPr>
          <w:rFonts w:ascii="Times New Roman" w:hAnsi="Times New Roman" w:cs="Times New Roman"/>
          <w:sz w:val="24"/>
          <w:szCs w:val="24"/>
        </w:rPr>
        <w:t>. T</w:t>
      </w:r>
      <w:r w:rsidR="00D86753">
        <w:rPr>
          <w:rFonts w:ascii="Times New Roman" w:hAnsi="Times New Roman" w:cs="Times New Roman"/>
          <w:sz w:val="24"/>
          <w:szCs w:val="24"/>
        </w:rPr>
        <w:t xml:space="preserve">he Union </w:t>
      </w:r>
      <w:r w:rsidR="00CA54F2">
        <w:rPr>
          <w:rFonts w:ascii="Times New Roman" w:hAnsi="Times New Roman" w:cs="Times New Roman"/>
          <w:sz w:val="24"/>
          <w:szCs w:val="24"/>
        </w:rPr>
        <w:t>also</w:t>
      </w:r>
      <w:r w:rsidRPr="004A2894">
        <w:rPr>
          <w:rFonts w:ascii="Times New Roman" w:hAnsi="Times New Roman" w:cs="Times New Roman"/>
          <w:sz w:val="24"/>
          <w:szCs w:val="24"/>
        </w:rPr>
        <w:t xml:space="preserve"> support</w:t>
      </w:r>
      <w:r w:rsidR="00CA54F2">
        <w:rPr>
          <w:rFonts w:ascii="Times New Roman" w:hAnsi="Times New Roman" w:cs="Times New Roman"/>
          <w:sz w:val="24"/>
          <w:szCs w:val="24"/>
        </w:rPr>
        <w:t>s</w:t>
      </w:r>
      <w:r w:rsidRPr="004A2894">
        <w:rPr>
          <w:rFonts w:ascii="Times New Roman" w:hAnsi="Times New Roman" w:cs="Times New Roman"/>
          <w:sz w:val="24"/>
          <w:szCs w:val="24"/>
        </w:rPr>
        <w:t xml:space="preserve"> Member States in cyber defence</w:t>
      </w:r>
      <w:r w:rsidR="00D45F94">
        <w:rPr>
          <w:rFonts w:ascii="Times New Roman" w:hAnsi="Times New Roman" w:cs="Times New Roman"/>
          <w:sz w:val="24"/>
          <w:szCs w:val="24"/>
        </w:rPr>
        <w:t xml:space="preserve">, </w:t>
      </w:r>
      <w:r w:rsidR="00D45F94" w:rsidRPr="0000518C">
        <w:rPr>
          <w:rFonts w:ascii="Times New Roman" w:hAnsi="Times New Roman" w:cs="Times New Roman"/>
          <w:sz w:val="24"/>
          <w:szCs w:val="24"/>
        </w:rPr>
        <w:t>implement</w:t>
      </w:r>
      <w:r w:rsidR="00D45F94">
        <w:rPr>
          <w:rFonts w:ascii="Times New Roman" w:hAnsi="Times New Roman" w:cs="Times New Roman"/>
          <w:sz w:val="24"/>
          <w:szCs w:val="24"/>
        </w:rPr>
        <w:t>ing</w:t>
      </w:r>
      <w:r w:rsidR="00D45F94" w:rsidRPr="0000518C">
        <w:rPr>
          <w:rFonts w:ascii="Times New Roman" w:hAnsi="Times New Roman" w:cs="Times New Roman"/>
          <w:sz w:val="24"/>
          <w:szCs w:val="24"/>
        </w:rPr>
        <w:t xml:space="preserve"> the EU Cyber Defence Policy Framework</w:t>
      </w:r>
      <w:r w:rsidR="00D45F94">
        <w:rPr>
          <w:rFonts w:ascii="Times New Roman" w:hAnsi="Times New Roman" w:cs="Times New Roman"/>
          <w:sz w:val="24"/>
          <w:szCs w:val="24"/>
        </w:rPr>
        <w:t>.</w:t>
      </w:r>
      <w:r w:rsidR="00D45F94" w:rsidRPr="0000518C">
        <w:rPr>
          <w:rFonts w:ascii="Times New Roman" w:hAnsi="Times New Roman" w:cs="Times New Roman"/>
          <w:sz w:val="24"/>
          <w:szCs w:val="24"/>
          <w:vertAlign w:val="superscript"/>
        </w:rPr>
        <w:footnoteReference w:id="27"/>
      </w:r>
    </w:p>
    <w:p w14:paraId="67695CF5" w14:textId="736EEC1E" w:rsidR="004A2894" w:rsidRDefault="001221C0" w:rsidP="00D86753">
      <w:pPr>
        <w:spacing w:line="240" w:lineRule="auto"/>
        <w:jc w:val="both"/>
        <w:rPr>
          <w:rFonts w:ascii="Times New Roman" w:hAnsi="Times New Roman" w:cs="Times New Roman"/>
          <w:sz w:val="24"/>
          <w:szCs w:val="24"/>
        </w:rPr>
      </w:pPr>
      <w:r>
        <w:rPr>
          <w:rFonts w:ascii="Times New Roman" w:hAnsi="Times New Roman" w:cs="Times New Roman"/>
          <w:sz w:val="24"/>
          <w:szCs w:val="24"/>
        </w:rPr>
        <w:t>With</w:t>
      </w:r>
      <w:r w:rsidRPr="004A2894">
        <w:rPr>
          <w:rFonts w:ascii="Times New Roman" w:hAnsi="Times New Roman" w:cs="Times New Roman"/>
          <w:sz w:val="24"/>
          <w:szCs w:val="24"/>
        </w:rPr>
        <w:t xml:space="preserve"> </w:t>
      </w:r>
      <w:r w:rsidR="004A2894" w:rsidRPr="004A2894">
        <w:rPr>
          <w:rFonts w:ascii="Times New Roman" w:hAnsi="Times New Roman" w:cs="Times New Roman"/>
          <w:sz w:val="24"/>
          <w:szCs w:val="24"/>
        </w:rPr>
        <w:t>the entry into force of the Cybersecurity Act</w:t>
      </w:r>
      <w:r w:rsidR="004A2894">
        <w:rPr>
          <w:rStyle w:val="FootnoteReference"/>
        </w:rPr>
        <w:footnoteReference w:id="28"/>
      </w:r>
      <w:r w:rsidR="004A2894" w:rsidRPr="004A2894">
        <w:rPr>
          <w:rFonts w:ascii="Times New Roman" w:hAnsi="Times New Roman" w:cs="Times New Roman"/>
          <w:sz w:val="24"/>
          <w:szCs w:val="24"/>
        </w:rPr>
        <w:t xml:space="preserve"> in June 2019, the </w:t>
      </w:r>
      <w:r w:rsidR="00D86753" w:rsidRPr="00D86753">
        <w:rPr>
          <w:rFonts w:ascii="Times New Roman" w:hAnsi="Times New Roman" w:cs="Times New Roman"/>
          <w:b/>
          <w:sz w:val="24"/>
          <w:szCs w:val="24"/>
        </w:rPr>
        <w:t>EU cybersecurity certification framework</w:t>
      </w:r>
      <w:r w:rsidR="004A2894" w:rsidRPr="004A2894">
        <w:rPr>
          <w:rFonts w:ascii="Times New Roman" w:hAnsi="Times New Roman" w:cs="Times New Roman"/>
          <w:sz w:val="24"/>
          <w:szCs w:val="24"/>
        </w:rPr>
        <w:t xml:space="preserve"> is taking shape</w:t>
      </w:r>
      <w:r w:rsidR="004A2894">
        <w:rPr>
          <w:rFonts w:ascii="Times New Roman" w:hAnsi="Times New Roman" w:cs="Times New Roman"/>
          <w:sz w:val="24"/>
          <w:szCs w:val="24"/>
        </w:rPr>
        <w:t>.</w:t>
      </w:r>
      <w:r w:rsidR="00D86753">
        <w:rPr>
          <w:rFonts w:ascii="Times New Roman" w:hAnsi="Times New Roman" w:cs="Times New Roman"/>
          <w:sz w:val="24"/>
          <w:szCs w:val="24"/>
        </w:rPr>
        <w:t xml:space="preserve"> </w:t>
      </w:r>
      <w:r w:rsidR="00D86753" w:rsidRPr="00D86753">
        <w:rPr>
          <w:rFonts w:ascii="Times New Roman" w:hAnsi="Times New Roman" w:cs="Times New Roman"/>
          <w:sz w:val="24"/>
          <w:szCs w:val="24"/>
        </w:rPr>
        <w:t>Certification plays a critical role in increasing trust and security in products and services that are crucial for the Digital Single Market. The certification framework will provide EU-wide certification schemes as a comprehensive set of rules, technical requirements, standards and procedures.</w:t>
      </w:r>
      <w:r w:rsidR="004A2894">
        <w:rPr>
          <w:rFonts w:ascii="Times New Roman" w:hAnsi="Times New Roman" w:cs="Times New Roman"/>
          <w:sz w:val="24"/>
          <w:szCs w:val="24"/>
        </w:rPr>
        <w:t xml:space="preserve"> It </w:t>
      </w:r>
      <w:r w:rsidR="00382CF6">
        <w:rPr>
          <w:rFonts w:ascii="Times New Roman" w:hAnsi="Times New Roman" w:cs="Times New Roman"/>
          <w:sz w:val="24"/>
          <w:szCs w:val="24"/>
        </w:rPr>
        <w:t>involves</w:t>
      </w:r>
      <w:r w:rsidR="004A2894" w:rsidRPr="004A2894">
        <w:rPr>
          <w:rFonts w:ascii="Times New Roman" w:hAnsi="Times New Roman" w:cs="Times New Roman"/>
          <w:sz w:val="24"/>
          <w:szCs w:val="24"/>
        </w:rPr>
        <w:t xml:space="preserve"> two expert groups</w:t>
      </w:r>
      <w:r w:rsidR="004A2894">
        <w:rPr>
          <w:rFonts w:ascii="Times New Roman" w:hAnsi="Times New Roman" w:cs="Times New Roman"/>
          <w:sz w:val="24"/>
          <w:szCs w:val="24"/>
        </w:rPr>
        <w:t>,</w:t>
      </w:r>
      <w:r w:rsidR="004A2894" w:rsidRPr="004A2894">
        <w:rPr>
          <w:rFonts w:ascii="Times New Roman" w:hAnsi="Times New Roman" w:cs="Times New Roman"/>
          <w:sz w:val="24"/>
          <w:szCs w:val="24"/>
        </w:rPr>
        <w:t xml:space="preserve"> namely the European Cybersecu</w:t>
      </w:r>
      <w:r w:rsidR="004A2894">
        <w:rPr>
          <w:rFonts w:ascii="Times New Roman" w:hAnsi="Times New Roman" w:cs="Times New Roman"/>
          <w:sz w:val="24"/>
          <w:szCs w:val="24"/>
        </w:rPr>
        <w:t xml:space="preserve">rity Certification Group </w:t>
      </w:r>
      <w:r w:rsidR="004A2894" w:rsidRPr="004A2894">
        <w:rPr>
          <w:rFonts w:ascii="Times New Roman" w:hAnsi="Times New Roman" w:cs="Times New Roman"/>
          <w:sz w:val="24"/>
          <w:szCs w:val="24"/>
        </w:rPr>
        <w:t>representing Member State authorities</w:t>
      </w:r>
      <w:r w:rsidR="004A2894">
        <w:rPr>
          <w:rFonts w:ascii="Times New Roman" w:hAnsi="Times New Roman" w:cs="Times New Roman"/>
          <w:sz w:val="24"/>
          <w:szCs w:val="24"/>
        </w:rPr>
        <w:t xml:space="preserve"> and </w:t>
      </w:r>
      <w:r w:rsidR="004A2894" w:rsidRPr="004A2894">
        <w:rPr>
          <w:rFonts w:ascii="Times New Roman" w:hAnsi="Times New Roman" w:cs="Times New Roman"/>
          <w:sz w:val="24"/>
          <w:szCs w:val="24"/>
        </w:rPr>
        <w:t>the Stakeholder Cybersecurity Certification Group representing industry</w:t>
      </w:r>
      <w:r w:rsidR="004A2894">
        <w:rPr>
          <w:rFonts w:ascii="Times New Roman" w:hAnsi="Times New Roman" w:cs="Times New Roman"/>
          <w:sz w:val="24"/>
          <w:szCs w:val="24"/>
        </w:rPr>
        <w:t xml:space="preserve">. The latter </w:t>
      </w:r>
      <w:r w:rsidR="00D86753">
        <w:rPr>
          <w:rFonts w:ascii="Times New Roman" w:hAnsi="Times New Roman" w:cs="Times New Roman"/>
          <w:sz w:val="24"/>
          <w:szCs w:val="24"/>
        </w:rPr>
        <w:t>brings together</w:t>
      </w:r>
      <w:r w:rsidR="004A2894" w:rsidRPr="004A2894">
        <w:rPr>
          <w:rFonts w:ascii="Times New Roman" w:hAnsi="Times New Roman" w:cs="Times New Roman"/>
          <w:sz w:val="24"/>
          <w:szCs w:val="24"/>
        </w:rPr>
        <w:t xml:space="preserve"> both the demand and supply</w:t>
      </w:r>
      <w:r w:rsidR="00D86753">
        <w:rPr>
          <w:rFonts w:ascii="Times New Roman" w:hAnsi="Times New Roman" w:cs="Times New Roman"/>
          <w:sz w:val="24"/>
          <w:szCs w:val="24"/>
        </w:rPr>
        <w:t xml:space="preserve"> side of information and communication technology products and</w:t>
      </w:r>
      <w:r w:rsidR="004A2894" w:rsidRPr="004A2894">
        <w:rPr>
          <w:rFonts w:ascii="Times New Roman" w:hAnsi="Times New Roman" w:cs="Times New Roman"/>
          <w:sz w:val="24"/>
          <w:szCs w:val="24"/>
        </w:rPr>
        <w:t xml:space="preserve"> services, including</w:t>
      </w:r>
      <w:r w:rsidR="00D86753">
        <w:rPr>
          <w:rFonts w:ascii="Times New Roman" w:hAnsi="Times New Roman" w:cs="Times New Roman"/>
          <w:sz w:val="24"/>
          <w:szCs w:val="24"/>
        </w:rPr>
        <w:t xml:space="preserve"> </w:t>
      </w:r>
      <w:r w:rsidR="00D86753" w:rsidRPr="00D86753">
        <w:rPr>
          <w:rFonts w:ascii="Times New Roman" w:hAnsi="Times New Roman" w:cs="Times New Roman"/>
          <w:sz w:val="24"/>
          <w:szCs w:val="24"/>
        </w:rPr>
        <w:t>smal</w:t>
      </w:r>
      <w:r w:rsidR="00D86753">
        <w:rPr>
          <w:rFonts w:ascii="Times New Roman" w:hAnsi="Times New Roman" w:cs="Times New Roman"/>
          <w:sz w:val="24"/>
          <w:szCs w:val="24"/>
        </w:rPr>
        <w:t>l and medium-sized enterprises,</w:t>
      </w:r>
      <w:r w:rsidR="004A2894" w:rsidRPr="004A2894">
        <w:rPr>
          <w:rFonts w:ascii="Times New Roman" w:hAnsi="Times New Roman" w:cs="Times New Roman"/>
          <w:sz w:val="24"/>
          <w:szCs w:val="24"/>
        </w:rPr>
        <w:t xml:space="preserve"> digital service providers, European and international standardisation bodies, national accreditation bodies, data protection supervisory authorities and conformity assessment bodies.</w:t>
      </w:r>
      <w:r w:rsidR="00200C23" w:rsidRPr="00200C23">
        <w:rPr>
          <w:rFonts w:ascii="Times New Roman" w:hAnsi="Times New Roman" w:cs="Times New Roman"/>
          <w:sz w:val="24"/>
          <w:szCs w:val="24"/>
        </w:rPr>
        <w:t xml:space="preserve"> </w:t>
      </w:r>
    </w:p>
    <w:p w14:paraId="398D8B8B" w14:textId="77777777" w:rsidR="00D40CA5" w:rsidRDefault="00D86753" w:rsidP="00BB07D3">
      <w:pPr>
        <w:widowControl w:val="0"/>
        <w:spacing w:after="240" w:line="240" w:lineRule="auto"/>
        <w:jc w:val="both"/>
        <w:rPr>
          <w:rFonts w:ascii="Times New Roman" w:hAnsi="Times New Roman" w:cs="Times New Roman"/>
          <w:sz w:val="24"/>
          <w:szCs w:val="24"/>
        </w:rPr>
      </w:pPr>
      <w:r>
        <w:rPr>
          <w:rFonts w:ascii="Times New Roman" w:eastAsia="Calibri" w:hAnsi="Times New Roman" w:cs="Times New Roman"/>
          <w:sz w:val="24"/>
          <w:szCs w:val="24"/>
        </w:rPr>
        <w:t>Meanwhile, t</w:t>
      </w:r>
      <w:r w:rsidR="00BB07D3" w:rsidRPr="00BB07D3">
        <w:rPr>
          <w:rFonts w:ascii="Times New Roman" w:eastAsia="Calibri" w:hAnsi="Times New Roman" w:cs="Times New Roman"/>
          <w:sz w:val="24"/>
          <w:szCs w:val="24"/>
        </w:rPr>
        <w:t xml:space="preserve">he European Parliament and the Council still </w:t>
      </w:r>
      <w:r w:rsidR="00B81216">
        <w:rPr>
          <w:rFonts w:ascii="Times New Roman" w:eastAsia="Calibri" w:hAnsi="Times New Roman" w:cs="Times New Roman"/>
          <w:sz w:val="24"/>
          <w:szCs w:val="24"/>
        </w:rPr>
        <w:t xml:space="preserve">have </w:t>
      </w:r>
      <w:r w:rsidR="00BB07D3" w:rsidRPr="00BB07D3">
        <w:rPr>
          <w:rFonts w:ascii="Times New Roman" w:eastAsia="Calibri" w:hAnsi="Times New Roman" w:cs="Times New Roman"/>
          <w:sz w:val="24"/>
          <w:szCs w:val="24"/>
        </w:rPr>
        <w:t xml:space="preserve">to reach agreement on the </w:t>
      </w:r>
      <w:r>
        <w:rPr>
          <w:rFonts w:ascii="Times New Roman" w:eastAsia="Calibri" w:hAnsi="Times New Roman" w:cs="Times New Roman"/>
          <w:bCs/>
          <w:sz w:val="24"/>
          <w:szCs w:val="24"/>
        </w:rPr>
        <w:t>legislative initiative</w:t>
      </w:r>
      <w:r w:rsidR="004E0C6D">
        <w:rPr>
          <w:rStyle w:val="FootnoteReference"/>
          <w:rFonts w:eastAsia="Calibri"/>
          <w:bCs/>
        </w:rPr>
        <w:footnoteReference w:id="29"/>
      </w:r>
      <w:r w:rsidR="00BB07D3" w:rsidRPr="00BB07D3">
        <w:rPr>
          <w:rFonts w:ascii="Times New Roman" w:eastAsia="Calibri" w:hAnsi="Times New Roman" w:cs="Times New Roman"/>
          <w:bCs/>
          <w:sz w:val="24"/>
          <w:szCs w:val="24"/>
        </w:rPr>
        <w:t xml:space="preserve"> for a </w:t>
      </w:r>
      <w:r w:rsidR="00BB07D3" w:rsidRPr="00BB07D3">
        <w:rPr>
          <w:rFonts w:ascii="Times New Roman" w:eastAsia="Calibri" w:hAnsi="Times New Roman" w:cs="Times New Roman"/>
          <w:b/>
          <w:bCs/>
          <w:sz w:val="24"/>
          <w:szCs w:val="24"/>
        </w:rPr>
        <w:t>European Cybersecurity Industrial, Technology and Research Competence Centre and Network of National Coordination Centres</w:t>
      </w:r>
      <w:r w:rsidR="00BB07D3" w:rsidRPr="00BB07D3">
        <w:rPr>
          <w:rFonts w:ascii="Times New Roman" w:eastAsia="Calibri" w:hAnsi="Times New Roman" w:cs="Times New Roman"/>
          <w:bCs/>
          <w:sz w:val="24"/>
          <w:szCs w:val="24"/>
        </w:rPr>
        <w:t xml:space="preserve">. </w:t>
      </w:r>
      <w:r w:rsidR="00BB07D3" w:rsidRPr="00BB07D3">
        <w:rPr>
          <w:rFonts w:ascii="Times New Roman" w:hAnsi="Times New Roman" w:cs="Times New Roman"/>
          <w:sz w:val="24"/>
          <w:szCs w:val="24"/>
        </w:rPr>
        <w:t>The proposal</w:t>
      </w:r>
      <w:r>
        <w:rPr>
          <w:rFonts w:ascii="Times New Roman" w:hAnsi="Times New Roman" w:cs="Times New Roman"/>
          <w:sz w:val="24"/>
          <w:szCs w:val="24"/>
        </w:rPr>
        <w:t xml:space="preserve"> </w:t>
      </w:r>
      <w:r w:rsidRPr="00D86753">
        <w:rPr>
          <w:rFonts w:ascii="Times New Roman" w:hAnsi="Times New Roman" w:cs="Times New Roman"/>
          <w:sz w:val="24"/>
          <w:szCs w:val="24"/>
        </w:rPr>
        <w:t xml:space="preserve">aims to strengthen </w:t>
      </w:r>
      <w:r>
        <w:rPr>
          <w:rFonts w:ascii="Times New Roman" w:hAnsi="Times New Roman" w:cs="Times New Roman"/>
          <w:sz w:val="24"/>
          <w:szCs w:val="24"/>
        </w:rPr>
        <w:t>the Union's cybersecurity capacity</w:t>
      </w:r>
      <w:r w:rsidRPr="00D86753">
        <w:rPr>
          <w:rFonts w:ascii="Times New Roman" w:hAnsi="Times New Roman" w:cs="Times New Roman"/>
          <w:sz w:val="24"/>
          <w:szCs w:val="24"/>
        </w:rPr>
        <w:t xml:space="preserve"> by stimulating the European technological and industrial cybersecurity ecosystem as well as coordinating and pooling related resources.</w:t>
      </w:r>
      <w:r w:rsidR="00BB07D3" w:rsidRPr="00D86753">
        <w:rPr>
          <w:rFonts w:ascii="Times New Roman" w:hAnsi="Times New Roman" w:cs="Times New Roman"/>
          <w:sz w:val="24"/>
          <w:szCs w:val="24"/>
        </w:rPr>
        <w:t xml:space="preserve"> </w:t>
      </w:r>
      <w:r w:rsidR="00BB07D3" w:rsidRPr="00D86753">
        <w:rPr>
          <w:rFonts w:ascii="Times New Roman" w:eastAsia="Calibri" w:hAnsi="Times New Roman" w:cs="Times New Roman"/>
          <w:sz w:val="24"/>
          <w:szCs w:val="24"/>
        </w:rPr>
        <w:t>The Commission calls on both co-legislators to resume and swiftly conclude interinstitutional negotiations on this priority initiative to enhance cybersecurity.</w:t>
      </w:r>
    </w:p>
    <w:p w14:paraId="50200802" w14:textId="5C8D734F" w:rsidR="00BB07D3" w:rsidRPr="00D86753" w:rsidRDefault="00D40CA5" w:rsidP="00BB07D3">
      <w:pPr>
        <w:widowControl w:val="0"/>
        <w:spacing w:after="240" w:line="240" w:lineRule="auto"/>
        <w:jc w:val="both"/>
        <w:rPr>
          <w:rFonts w:ascii="Times New Roman" w:eastAsia="Calibri" w:hAnsi="Times New Roman" w:cs="Times New Roman"/>
          <w:sz w:val="24"/>
          <w:szCs w:val="24"/>
        </w:rPr>
      </w:pPr>
      <w:r>
        <w:rPr>
          <w:rFonts w:ascii="Times New Roman" w:hAnsi="Times New Roman" w:cs="Times New Roman"/>
          <w:sz w:val="24"/>
          <w:szCs w:val="24"/>
        </w:rPr>
        <w:t>The work to enhance cybersecurity includes support for both the national and regional levels.</w:t>
      </w:r>
      <w:r>
        <w:rPr>
          <w:rStyle w:val="FootnoteReference"/>
        </w:rPr>
        <w:footnoteReference w:id="30"/>
      </w:r>
    </w:p>
    <w:p w14:paraId="77E008DE" w14:textId="0A8D0ED3" w:rsidR="004A2894" w:rsidRPr="004A2894" w:rsidRDefault="00BB07D3" w:rsidP="000F1A7F">
      <w:pPr>
        <w:widowControl w:val="0"/>
        <w:spacing w:after="240" w:line="240" w:lineRule="auto"/>
        <w:jc w:val="both"/>
        <w:rPr>
          <w:rFonts w:ascii="Times New Roman" w:eastAsia="Calibri" w:hAnsi="Times New Roman" w:cs="Times New Roman"/>
          <w:sz w:val="24"/>
          <w:szCs w:val="24"/>
          <w:highlight w:val="yellow"/>
        </w:rPr>
      </w:pPr>
      <w:r w:rsidRPr="00BB07D3">
        <w:rPr>
          <w:rFonts w:ascii="Times New Roman" w:eastAsia="Calibri" w:hAnsi="Times New Roman" w:cs="Times New Roman"/>
          <w:sz w:val="24"/>
          <w:szCs w:val="24"/>
        </w:rPr>
        <w:t xml:space="preserve">Beyond cyber threats targeting systems and data, the EU </w:t>
      </w:r>
      <w:r w:rsidR="00D86753">
        <w:rPr>
          <w:rFonts w:ascii="Times New Roman" w:eastAsia="Calibri" w:hAnsi="Times New Roman" w:cs="Times New Roman"/>
          <w:sz w:val="24"/>
          <w:szCs w:val="24"/>
        </w:rPr>
        <w:t>continues</w:t>
      </w:r>
      <w:r w:rsidRPr="00BB07D3">
        <w:rPr>
          <w:rFonts w:ascii="Times New Roman" w:eastAsia="Calibri" w:hAnsi="Times New Roman" w:cs="Times New Roman"/>
          <w:sz w:val="24"/>
          <w:szCs w:val="24"/>
        </w:rPr>
        <w:t xml:space="preserve"> to address the complex and multifaceted challenges posed by </w:t>
      </w:r>
      <w:r w:rsidRPr="00BB07D3">
        <w:rPr>
          <w:rFonts w:ascii="Times New Roman" w:eastAsia="Calibri" w:hAnsi="Times New Roman" w:cs="Times New Roman"/>
          <w:b/>
          <w:sz w:val="24"/>
          <w:szCs w:val="24"/>
        </w:rPr>
        <w:t>hybrid threats</w:t>
      </w:r>
      <w:r w:rsidRPr="00BB07D3">
        <w:rPr>
          <w:rFonts w:ascii="Times New Roman" w:eastAsia="Calibri" w:hAnsi="Times New Roman" w:cs="Times New Roman"/>
          <w:sz w:val="24"/>
          <w:szCs w:val="24"/>
        </w:rPr>
        <w:t>.</w:t>
      </w:r>
      <w:r w:rsidR="004A2894">
        <w:rPr>
          <w:rFonts w:ascii="Times New Roman" w:eastAsia="Calibri" w:hAnsi="Times New Roman" w:cs="Times New Roman"/>
          <w:sz w:val="24"/>
          <w:szCs w:val="24"/>
        </w:rPr>
        <w:t xml:space="preserve"> In the Council, a horizontal working p</w:t>
      </w:r>
      <w:r w:rsidR="004A2894" w:rsidRPr="00BB07D3">
        <w:rPr>
          <w:rFonts w:ascii="Times New Roman" w:eastAsia="Calibri" w:hAnsi="Times New Roman" w:cs="Times New Roman"/>
          <w:sz w:val="24"/>
          <w:szCs w:val="24"/>
        </w:rPr>
        <w:t xml:space="preserve">arty on </w:t>
      </w:r>
      <w:r w:rsidR="004A2894">
        <w:rPr>
          <w:rFonts w:ascii="Times New Roman" w:eastAsia="Calibri" w:hAnsi="Times New Roman" w:cs="Times New Roman"/>
          <w:sz w:val="24"/>
          <w:szCs w:val="24"/>
        </w:rPr>
        <w:t>countering hybrid threats has</w:t>
      </w:r>
      <w:r w:rsidRPr="00BB07D3">
        <w:rPr>
          <w:rFonts w:ascii="Times New Roman" w:eastAsia="Calibri" w:hAnsi="Times New Roman" w:cs="Times New Roman"/>
          <w:sz w:val="24"/>
          <w:szCs w:val="24"/>
        </w:rPr>
        <w:t xml:space="preserve"> </w:t>
      </w:r>
      <w:r w:rsidR="004A2894">
        <w:rPr>
          <w:rFonts w:ascii="Times New Roman" w:eastAsia="Calibri" w:hAnsi="Times New Roman" w:cs="Times New Roman"/>
          <w:sz w:val="24"/>
          <w:szCs w:val="24"/>
        </w:rPr>
        <w:t>been established</w:t>
      </w:r>
      <w:r w:rsidR="00CA54F2">
        <w:rPr>
          <w:rFonts w:ascii="Times New Roman" w:eastAsia="Calibri" w:hAnsi="Times New Roman" w:cs="Times New Roman"/>
          <w:sz w:val="24"/>
          <w:szCs w:val="24"/>
        </w:rPr>
        <w:t xml:space="preserve"> to</w:t>
      </w:r>
      <w:r w:rsidR="004A2894">
        <w:rPr>
          <w:rFonts w:ascii="Times New Roman" w:eastAsia="Calibri" w:hAnsi="Times New Roman" w:cs="Times New Roman"/>
          <w:sz w:val="24"/>
          <w:szCs w:val="24"/>
        </w:rPr>
        <w:t xml:space="preserve"> </w:t>
      </w:r>
      <w:r w:rsidR="004A2894" w:rsidRPr="004A2894">
        <w:rPr>
          <w:rFonts w:ascii="Times New Roman" w:eastAsia="Calibri" w:hAnsi="Times New Roman" w:cs="Times New Roman"/>
          <w:sz w:val="24"/>
          <w:szCs w:val="24"/>
        </w:rPr>
        <w:t xml:space="preserve">improve the resilience of the EU and its </w:t>
      </w:r>
      <w:r w:rsidR="00CA54F2">
        <w:rPr>
          <w:rFonts w:ascii="Times New Roman" w:eastAsia="Calibri" w:hAnsi="Times New Roman" w:cs="Times New Roman"/>
          <w:sz w:val="24"/>
          <w:szCs w:val="24"/>
        </w:rPr>
        <w:t>M</w:t>
      </w:r>
      <w:r w:rsidR="004A2894" w:rsidRPr="004A2894">
        <w:rPr>
          <w:rFonts w:ascii="Times New Roman" w:eastAsia="Calibri" w:hAnsi="Times New Roman" w:cs="Times New Roman"/>
          <w:sz w:val="24"/>
          <w:szCs w:val="24"/>
        </w:rPr>
        <w:t xml:space="preserve">ember </w:t>
      </w:r>
      <w:r w:rsidR="00CA54F2">
        <w:rPr>
          <w:rFonts w:ascii="Times New Roman" w:eastAsia="Calibri" w:hAnsi="Times New Roman" w:cs="Times New Roman"/>
          <w:sz w:val="24"/>
          <w:szCs w:val="24"/>
        </w:rPr>
        <w:t>S</w:t>
      </w:r>
      <w:r w:rsidR="004A2894" w:rsidRPr="004A2894">
        <w:rPr>
          <w:rFonts w:ascii="Times New Roman" w:eastAsia="Calibri" w:hAnsi="Times New Roman" w:cs="Times New Roman"/>
          <w:sz w:val="24"/>
          <w:szCs w:val="24"/>
        </w:rPr>
        <w:t>tates against hybrid threats and to support action to strengthen the crisis resilience of societies</w:t>
      </w:r>
      <w:r w:rsidR="004A2894">
        <w:rPr>
          <w:rFonts w:ascii="Times New Roman" w:eastAsia="Calibri" w:hAnsi="Times New Roman" w:cs="Times New Roman"/>
          <w:sz w:val="24"/>
          <w:szCs w:val="24"/>
        </w:rPr>
        <w:t>. The Commission</w:t>
      </w:r>
      <w:r w:rsidR="000F1A7F">
        <w:rPr>
          <w:rFonts w:ascii="Times New Roman" w:eastAsia="Calibri" w:hAnsi="Times New Roman" w:cs="Times New Roman"/>
          <w:sz w:val="24"/>
          <w:szCs w:val="24"/>
        </w:rPr>
        <w:t xml:space="preserve"> and the </w:t>
      </w:r>
      <w:r w:rsidR="000F1A7F" w:rsidRPr="000F1A7F">
        <w:rPr>
          <w:rFonts w:ascii="Times New Roman" w:eastAsia="Calibri" w:hAnsi="Times New Roman" w:cs="Times New Roman"/>
          <w:sz w:val="24"/>
          <w:szCs w:val="24"/>
        </w:rPr>
        <w:t>European External Action Service</w:t>
      </w:r>
      <w:r w:rsidR="004A2894">
        <w:rPr>
          <w:rFonts w:ascii="Times New Roman" w:eastAsia="Calibri" w:hAnsi="Times New Roman" w:cs="Times New Roman"/>
          <w:sz w:val="24"/>
          <w:szCs w:val="24"/>
        </w:rPr>
        <w:t xml:space="preserve"> </w:t>
      </w:r>
      <w:r w:rsidRPr="00BB07D3">
        <w:rPr>
          <w:rFonts w:ascii="Times New Roman" w:eastAsia="Calibri" w:hAnsi="Times New Roman" w:cs="Times New Roman"/>
          <w:sz w:val="24"/>
          <w:szCs w:val="24"/>
        </w:rPr>
        <w:t>support</w:t>
      </w:r>
      <w:r w:rsidR="004A2894">
        <w:rPr>
          <w:rFonts w:ascii="Times New Roman" w:eastAsia="Calibri" w:hAnsi="Times New Roman" w:cs="Times New Roman"/>
          <w:sz w:val="24"/>
          <w:szCs w:val="24"/>
        </w:rPr>
        <w:t xml:space="preserve"> </w:t>
      </w:r>
      <w:r w:rsidRPr="00BB07D3">
        <w:rPr>
          <w:rFonts w:ascii="Times New Roman" w:eastAsia="Calibri" w:hAnsi="Times New Roman" w:cs="Times New Roman"/>
          <w:sz w:val="24"/>
          <w:szCs w:val="24"/>
        </w:rPr>
        <w:t>these efforts</w:t>
      </w:r>
      <w:r w:rsidR="000F1A7F">
        <w:rPr>
          <w:rFonts w:ascii="Times New Roman" w:eastAsia="Calibri" w:hAnsi="Times New Roman" w:cs="Times New Roman"/>
          <w:sz w:val="24"/>
          <w:szCs w:val="24"/>
        </w:rPr>
        <w:t xml:space="preserve"> </w:t>
      </w:r>
      <w:r w:rsidR="000F1A7F" w:rsidRPr="000F1A7F">
        <w:rPr>
          <w:rFonts w:ascii="Times New Roman" w:eastAsia="Calibri" w:hAnsi="Times New Roman" w:cs="Times New Roman"/>
          <w:sz w:val="24"/>
          <w:szCs w:val="24"/>
        </w:rPr>
        <w:t>under the 2016 Joint Framework on Countering Hybrid Threats</w:t>
      </w:r>
      <w:r w:rsidR="000F1A7F">
        <w:rPr>
          <w:rStyle w:val="FootnoteReference"/>
          <w:rFonts w:eastAsia="Calibri"/>
        </w:rPr>
        <w:footnoteReference w:id="31"/>
      </w:r>
      <w:r w:rsidR="000F1A7F" w:rsidRPr="000F1A7F">
        <w:rPr>
          <w:rFonts w:ascii="Times New Roman" w:eastAsia="Calibri" w:hAnsi="Times New Roman" w:cs="Times New Roman"/>
          <w:sz w:val="24"/>
          <w:szCs w:val="24"/>
        </w:rPr>
        <w:t xml:space="preserve"> and the 2018 Joint Communication</w:t>
      </w:r>
      <w:r w:rsidR="000F1A7F">
        <w:rPr>
          <w:rStyle w:val="FootnoteReference"/>
          <w:rFonts w:eastAsia="Calibri"/>
        </w:rPr>
        <w:footnoteReference w:id="32"/>
      </w:r>
      <w:r w:rsidR="000F1A7F" w:rsidRPr="000F1A7F">
        <w:rPr>
          <w:rFonts w:ascii="Times New Roman" w:eastAsia="Calibri" w:hAnsi="Times New Roman" w:cs="Times New Roman"/>
          <w:sz w:val="24"/>
          <w:szCs w:val="24"/>
        </w:rPr>
        <w:t xml:space="preserve"> on increasing resilience and bolstering capabilities to address hybrid threats. Moreover, the Joint Research Centre is elaborating a ‘conceptual model’</w:t>
      </w:r>
      <w:r w:rsidR="004A2894" w:rsidRPr="000F1A7F">
        <w:rPr>
          <w:rFonts w:ascii="Times New Roman" w:eastAsia="Calibri" w:hAnsi="Times New Roman" w:cs="Times New Roman"/>
          <w:sz w:val="24"/>
          <w:szCs w:val="24"/>
        </w:rPr>
        <w:t xml:space="preserve"> framework to characterise hybrid threats</w:t>
      </w:r>
      <w:r w:rsidR="000F1A7F" w:rsidRPr="000F1A7F">
        <w:rPr>
          <w:rFonts w:ascii="Times New Roman" w:eastAsia="Calibri" w:hAnsi="Times New Roman" w:cs="Times New Roman"/>
          <w:sz w:val="24"/>
          <w:szCs w:val="24"/>
        </w:rPr>
        <w:t>, with the aim to help</w:t>
      </w:r>
      <w:r w:rsidR="00FE2296">
        <w:rPr>
          <w:rFonts w:ascii="Times New Roman" w:eastAsia="Calibri" w:hAnsi="Times New Roman" w:cs="Times New Roman"/>
          <w:sz w:val="24"/>
          <w:szCs w:val="24"/>
        </w:rPr>
        <w:t xml:space="preserve"> Member States and their competent authorities</w:t>
      </w:r>
      <w:r w:rsidR="004A2894" w:rsidRPr="000F1A7F">
        <w:rPr>
          <w:rFonts w:ascii="Times New Roman" w:eastAsia="Calibri" w:hAnsi="Times New Roman" w:cs="Times New Roman"/>
          <w:sz w:val="24"/>
          <w:szCs w:val="24"/>
        </w:rPr>
        <w:t xml:space="preserve"> </w:t>
      </w:r>
      <w:r w:rsidR="00B81216">
        <w:rPr>
          <w:rFonts w:ascii="Times New Roman" w:eastAsia="Calibri" w:hAnsi="Times New Roman" w:cs="Times New Roman"/>
          <w:sz w:val="24"/>
          <w:szCs w:val="24"/>
        </w:rPr>
        <w:t>to identify</w:t>
      </w:r>
      <w:r w:rsidR="00083D55">
        <w:rPr>
          <w:rFonts w:ascii="Times New Roman" w:eastAsia="Calibri" w:hAnsi="Times New Roman" w:cs="Times New Roman"/>
          <w:sz w:val="24"/>
          <w:szCs w:val="24"/>
        </w:rPr>
        <w:t xml:space="preserve"> the type of</w:t>
      </w:r>
      <w:r w:rsidR="00B81216">
        <w:rPr>
          <w:rFonts w:ascii="Times New Roman" w:eastAsia="Calibri" w:hAnsi="Times New Roman" w:cs="Times New Roman"/>
          <w:sz w:val="24"/>
          <w:szCs w:val="24"/>
        </w:rPr>
        <w:t xml:space="preserve"> </w:t>
      </w:r>
      <w:r w:rsidR="00083D55">
        <w:rPr>
          <w:rFonts w:ascii="Times New Roman" w:eastAsia="Calibri" w:hAnsi="Times New Roman" w:cs="Times New Roman"/>
          <w:sz w:val="24"/>
          <w:szCs w:val="24"/>
        </w:rPr>
        <w:t>hybrid attack they might face. The model looks at</w:t>
      </w:r>
      <w:r w:rsidR="00B81216" w:rsidRPr="000F1A7F">
        <w:rPr>
          <w:rFonts w:ascii="Times New Roman" w:eastAsia="Calibri" w:hAnsi="Times New Roman" w:cs="Times New Roman"/>
          <w:sz w:val="24"/>
          <w:szCs w:val="24"/>
        </w:rPr>
        <w:t xml:space="preserve"> </w:t>
      </w:r>
      <w:r w:rsidR="004A2894" w:rsidRPr="000F1A7F">
        <w:rPr>
          <w:rFonts w:ascii="Times New Roman" w:eastAsia="Calibri" w:hAnsi="Times New Roman" w:cs="Times New Roman"/>
          <w:sz w:val="24"/>
          <w:szCs w:val="24"/>
        </w:rPr>
        <w:t xml:space="preserve">the way </w:t>
      </w:r>
      <w:r w:rsidR="000F1A7F" w:rsidRPr="000F1A7F">
        <w:rPr>
          <w:rFonts w:ascii="Times New Roman" w:eastAsia="Calibri" w:hAnsi="Times New Roman" w:cs="Times New Roman"/>
          <w:sz w:val="24"/>
          <w:szCs w:val="24"/>
        </w:rPr>
        <w:t>in which</w:t>
      </w:r>
      <w:r w:rsidR="004A2894" w:rsidRPr="000F1A7F">
        <w:rPr>
          <w:rFonts w:ascii="Times New Roman" w:eastAsia="Calibri" w:hAnsi="Times New Roman" w:cs="Times New Roman"/>
          <w:sz w:val="24"/>
          <w:szCs w:val="24"/>
        </w:rPr>
        <w:t xml:space="preserve"> an actor (state or non-state) employs a series of tools (from disinformation to espionage or physical operations) in various domains (economic, military, social, political) to affect a target in order to achieve a series of objectives.</w:t>
      </w:r>
    </w:p>
    <w:p w14:paraId="68C12C2D" w14:textId="77777777" w:rsidR="007D2B63" w:rsidRPr="009C4AEC" w:rsidRDefault="007D2B63" w:rsidP="00F52277">
      <w:pPr>
        <w:keepNext/>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sz w:val="24"/>
          <w:szCs w:val="24"/>
        </w:rPr>
      </w:pPr>
      <w:r w:rsidRPr="008D1951">
        <w:rPr>
          <w:rFonts w:ascii="Times New Roman" w:hAnsi="Times New Roman" w:cs="Times New Roman"/>
          <w:b/>
          <w:sz w:val="24"/>
          <w:szCs w:val="24"/>
        </w:rPr>
        <w:t xml:space="preserve">In order to enhance cybersecurity, the Commission calls on the European Parliament </w:t>
      </w:r>
      <w:r w:rsidRPr="009C4AEC">
        <w:rPr>
          <w:rFonts w:ascii="Times New Roman" w:hAnsi="Times New Roman" w:cs="Times New Roman"/>
          <w:b/>
          <w:sz w:val="24"/>
          <w:szCs w:val="24"/>
        </w:rPr>
        <w:t>and the Council:</w:t>
      </w:r>
    </w:p>
    <w:tbl>
      <w:tblPr>
        <w:tblStyle w:val="TableGrid"/>
        <w:tblW w:w="0" w:type="auto"/>
        <w:tblLook w:val="04A0" w:firstRow="1" w:lastRow="0" w:firstColumn="1" w:lastColumn="0" w:noHBand="0" w:noVBand="1"/>
      </w:tblPr>
      <w:tblGrid>
        <w:gridCol w:w="9288"/>
      </w:tblGrid>
      <w:tr w:rsidR="009C4AEC" w:rsidRPr="009C4AEC" w14:paraId="0BCFBCC4" w14:textId="77777777" w:rsidTr="00573512">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C89A2E" w14:textId="77777777" w:rsidR="007D2B63" w:rsidRPr="009C4AEC" w:rsidRDefault="007D2B63" w:rsidP="00055568">
            <w:pPr>
              <w:pStyle w:val="ListParagraph"/>
              <w:numPr>
                <w:ilvl w:val="0"/>
                <w:numId w:val="20"/>
              </w:numPr>
              <w:shd w:val="clear" w:color="auto" w:fill="DBE5F1" w:themeFill="accent1" w:themeFillTint="33"/>
              <w:jc w:val="both"/>
              <w:rPr>
                <w:rFonts w:ascii="Times New Roman" w:hAnsi="Times New Roman"/>
                <w:sz w:val="24"/>
                <w:szCs w:val="24"/>
              </w:rPr>
            </w:pPr>
            <w:r w:rsidRPr="009C4AEC">
              <w:rPr>
                <w:rFonts w:ascii="Times New Roman" w:hAnsi="Times New Roman"/>
                <w:sz w:val="24"/>
                <w:szCs w:val="24"/>
              </w:rPr>
              <w:t xml:space="preserve">to </w:t>
            </w:r>
            <w:r w:rsidR="00905281" w:rsidRPr="009C4AEC">
              <w:rPr>
                <w:rFonts w:ascii="Times New Roman" w:hAnsi="Times New Roman" w:cs="Times New Roman"/>
                <w:sz w:val="24"/>
                <w:szCs w:val="24"/>
              </w:rPr>
              <w:t xml:space="preserve">reach swift agreement on the legislative proposal </w:t>
            </w:r>
            <w:r w:rsidR="00905281" w:rsidRPr="009C4AEC">
              <w:rPr>
                <w:rFonts w:ascii="Times New Roman" w:eastAsia="Calibri" w:hAnsi="Times New Roman" w:cs="Times New Roman"/>
                <w:bCs/>
                <w:sz w:val="24"/>
                <w:szCs w:val="24"/>
              </w:rPr>
              <w:t xml:space="preserve">for a </w:t>
            </w:r>
            <w:r w:rsidR="00905281" w:rsidRPr="009C4AEC">
              <w:rPr>
                <w:rFonts w:ascii="Times New Roman" w:eastAsia="Calibri" w:hAnsi="Times New Roman" w:cs="Times New Roman"/>
                <w:b/>
                <w:bCs/>
                <w:sz w:val="24"/>
                <w:szCs w:val="24"/>
              </w:rPr>
              <w:t>European Cybersecurity Industrial, Technology and Research Competence Centre and Network of National Coordination Centres</w:t>
            </w:r>
            <w:r w:rsidRPr="009C4AEC">
              <w:rPr>
                <w:rFonts w:ascii="Times New Roman" w:hAnsi="Times New Roman"/>
                <w:sz w:val="24"/>
                <w:szCs w:val="24"/>
              </w:rPr>
              <w:t>.</w:t>
            </w:r>
          </w:p>
        </w:tc>
      </w:tr>
    </w:tbl>
    <w:p w14:paraId="3B896DD1" w14:textId="77777777" w:rsidR="00C254B4" w:rsidRPr="008D1951" w:rsidRDefault="00C254B4" w:rsidP="0029123F">
      <w:pPr>
        <w:widowControl w:val="0"/>
        <w:spacing w:before="240" w:after="240" w:line="240" w:lineRule="auto"/>
        <w:jc w:val="both"/>
        <w:rPr>
          <w:rFonts w:ascii="Times New Roman" w:hAnsi="Times New Roman" w:cs="Times New Roman"/>
          <w:b/>
          <w:bCs/>
          <w:sz w:val="24"/>
          <w:szCs w:val="24"/>
        </w:rPr>
      </w:pPr>
      <w:r w:rsidRPr="008D1951">
        <w:rPr>
          <w:rFonts w:ascii="Times New Roman" w:hAnsi="Times New Roman" w:cs="Times New Roman"/>
          <w:b/>
          <w:bCs/>
          <w:sz w:val="24"/>
          <w:szCs w:val="24"/>
        </w:rPr>
        <w:t xml:space="preserve">III. </w:t>
      </w:r>
      <w:r w:rsidR="007B3264" w:rsidRPr="008D1951">
        <w:rPr>
          <w:rFonts w:ascii="Times New Roman" w:hAnsi="Times New Roman" w:cs="Times New Roman"/>
          <w:b/>
          <w:bCs/>
          <w:sz w:val="24"/>
          <w:szCs w:val="24"/>
        </w:rPr>
        <w:tab/>
      </w:r>
      <w:r w:rsidRPr="008D1951">
        <w:rPr>
          <w:rFonts w:ascii="Times New Roman" w:hAnsi="Times New Roman" w:cs="Times New Roman"/>
          <w:b/>
          <w:bCs/>
          <w:sz w:val="24"/>
          <w:szCs w:val="24"/>
        </w:rPr>
        <w:t xml:space="preserve">ENHANCING </w:t>
      </w:r>
      <w:r w:rsidR="007B3264" w:rsidRPr="008D1951">
        <w:rPr>
          <w:rFonts w:ascii="Times New Roman" w:hAnsi="Times New Roman" w:cs="Times New Roman"/>
          <w:b/>
          <w:bCs/>
          <w:sz w:val="24"/>
          <w:szCs w:val="24"/>
        </w:rPr>
        <w:t xml:space="preserve">THE </w:t>
      </w:r>
      <w:r w:rsidRPr="008D1951">
        <w:rPr>
          <w:rFonts w:ascii="Times New Roman" w:hAnsi="Times New Roman" w:cs="Times New Roman"/>
          <w:b/>
          <w:bCs/>
          <w:sz w:val="24"/>
          <w:szCs w:val="24"/>
        </w:rPr>
        <w:t>SECURITY OF DIGITAL INFRASTRUCTURES</w:t>
      </w:r>
    </w:p>
    <w:p w14:paraId="2246B0C3" w14:textId="3FC98E00" w:rsidR="004A2894" w:rsidRDefault="004A2894" w:rsidP="00C51426">
      <w:pPr>
        <w:spacing w:after="240" w:line="240" w:lineRule="auto"/>
        <w:jc w:val="both"/>
        <w:rPr>
          <w:rFonts w:ascii="Times New Roman" w:hAnsi="Times New Roman"/>
          <w:iCs/>
          <w:sz w:val="24"/>
          <w:szCs w:val="24"/>
        </w:rPr>
      </w:pPr>
      <w:r w:rsidRPr="00C51426">
        <w:rPr>
          <w:rFonts w:ascii="Times New Roman" w:hAnsi="Times New Roman"/>
          <w:iCs/>
          <w:sz w:val="24"/>
          <w:szCs w:val="24"/>
        </w:rPr>
        <w:t xml:space="preserve">Fifth Generation (5G) networks </w:t>
      </w:r>
      <w:r>
        <w:rPr>
          <w:rFonts w:ascii="Times New Roman" w:hAnsi="Times New Roman"/>
          <w:iCs/>
          <w:sz w:val="24"/>
          <w:szCs w:val="24"/>
        </w:rPr>
        <w:t>will be</w:t>
      </w:r>
      <w:r w:rsidRPr="00C51426">
        <w:rPr>
          <w:rFonts w:ascii="Times New Roman" w:hAnsi="Times New Roman"/>
          <w:iCs/>
          <w:sz w:val="24"/>
          <w:szCs w:val="24"/>
        </w:rPr>
        <w:t xml:space="preserve"> the future backbone of increasingly digitised economies and societies. Billions of connected objects and systems are concerned, including in critical sectors such as energy, transport, banking, and health, as well as industrial control systems carrying sensitive information and supporting safety systems. Ensuring the </w:t>
      </w:r>
      <w:r w:rsidR="008B3DA8">
        <w:rPr>
          <w:rFonts w:ascii="Times New Roman" w:hAnsi="Times New Roman"/>
          <w:iCs/>
          <w:sz w:val="24"/>
          <w:szCs w:val="24"/>
        </w:rPr>
        <w:t>cyber</w:t>
      </w:r>
      <w:r w:rsidRPr="00C51426">
        <w:rPr>
          <w:rFonts w:ascii="Times New Roman" w:hAnsi="Times New Roman"/>
          <w:iCs/>
          <w:sz w:val="24"/>
          <w:szCs w:val="24"/>
        </w:rPr>
        <w:t>security and resilience of 5G networks is therefore essential.</w:t>
      </w:r>
    </w:p>
    <w:p w14:paraId="0CF7E769" w14:textId="1A6B3053" w:rsidR="004A2894" w:rsidRPr="004A2894" w:rsidRDefault="004A2894" w:rsidP="00C51426">
      <w:pPr>
        <w:spacing w:after="240" w:line="240" w:lineRule="auto"/>
        <w:jc w:val="both"/>
        <w:rPr>
          <w:rFonts w:ascii="Times New Roman" w:hAnsi="Times New Roman"/>
          <w:iCs/>
          <w:sz w:val="24"/>
          <w:szCs w:val="24"/>
        </w:rPr>
      </w:pPr>
      <w:r>
        <w:rPr>
          <w:rFonts w:ascii="Times New Roman" w:hAnsi="Times New Roman"/>
          <w:iCs/>
          <w:sz w:val="24"/>
          <w:szCs w:val="24"/>
        </w:rPr>
        <w:t>As part of a coordinated approach</w:t>
      </w:r>
      <w:r w:rsidR="00BB07D3" w:rsidRPr="00BB07D3">
        <w:rPr>
          <w:rStyle w:val="Emphasis"/>
          <w:rFonts w:ascii="Times New Roman" w:hAnsi="Times New Roman"/>
          <w:i w:val="0"/>
          <w:sz w:val="24"/>
          <w:szCs w:val="24"/>
        </w:rPr>
        <w:t xml:space="preserve">, </w:t>
      </w:r>
      <w:r w:rsidR="00C51426" w:rsidRPr="00C51426">
        <w:rPr>
          <w:rFonts w:ascii="Times New Roman" w:hAnsi="Times New Roman"/>
          <w:iCs/>
          <w:sz w:val="24"/>
          <w:szCs w:val="24"/>
        </w:rPr>
        <w:t>Member States published</w:t>
      </w:r>
      <w:r w:rsidR="00CA54F2">
        <w:rPr>
          <w:rFonts w:ascii="Times New Roman" w:hAnsi="Times New Roman"/>
          <w:iCs/>
          <w:sz w:val="24"/>
          <w:szCs w:val="24"/>
        </w:rPr>
        <w:t xml:space="preserve"> on</w:t>
      </w:r>
      <w:r>
        <w:rPr>
          <w:rFonts w:ascii="Times New Roman" w:hAnsi="Times New Roman"/>
          <w:iCs/>
          <w:sz w:val="24"/>
          <w:szCs w:val="24"/>
        </w:rPr>
        <w:t xml:space="preserve"> 9 October 2019</w:t>
      </w:r>
      <w:r w:rsidR="00C51426" w:rsidRPr="00C51426">
        <w:rPr>
          <w:rFonts w:ascii="Times New Roman" w:hAnsi="Times New Roman"/>
          <w:iCs/>
          <w:sz w:val="24"/>
          <w:szCs w:val="24"/>
        </w:rPr>
        <w:t xml:space="preserve"> a report on the </w:t>
      </w:r>
      <w:r w:rsidR="00C51426" w:rsidRPr="004A2894">
        <w:rPr>
          <w:rFonts w:ascii="Times New Roman" w:hAnsi="Times New Roman"/>
          <w:b/>
          <w:iCs/>
          <w:sz w:val="24"/>
          <w:szCs w:val="24"/>
        </w:rPr>
        <w:t xml:space="preserve">EU coordinated risk assessment on cybersecurity in </w:t>
      </w:r>
      <w:r w:rsidRPr="004A2894">
        <w:rPr>
          <w:rFonts w:ascii="Times New Roman" w:hAnsi="Times New Roman"/>
          <w:b/>
          <w:iCs/>
          <w:sz w:val="24"/>
          <w:szCs w:val="24"/>
        </w:rPr>
        <w:t xml:space="preserve">5G </w:t>
      </w:r>
      <w:r w:rsidR="00C51426" w:rsidRPr="004A2894">
        <w:rPr>
          <w:rFonts w:ascii="Times New Roman" w:hAnsi="Times New Roman"/>
          <w:b/>
          <w:iCs/>
          <w:sz w:val="24"/>
          <w:szCs w:val="24"/>
        </w:rPr>
        <w:t>networks</w:t>
      </w:r>
      <w:r w:rsidR="00C51426">
        <w:rPr>
          <w:rFonts w:ascii="Times New Roman" w:hAnsi="Times New Roman"/>
          <w:iCs/>
          <w:sz w:val="24"/>
          <w:szCs w:val="24"/>
        </w:rPr>
        <w:t xml:space="preserve"> </w:t>
      </w:r>
      <w:r w:rsidR="00C51426" w:rsidRPr="00C51426">
        <w:rPr>
          <w:rFonts w:ascii="Times New Roman" w:hAnsi="Times New Roman"/>
          <w:iCs/>
          <w:sz w:val="24"/>
          <w:szCs w:val="24"/>
        </w:rPr>
        <w:t>with the support of the Commission and the European Agency for Cybersecurity.</w:t>
      </w:r>
      <w:r w:rsidR="00877D54">
        <w:rPr>
          <w:rStyle w:val="FootnoteReference"/>
          <w:iCs/>
        </w:rPr>
        <w:footnoteReference w:id="33"/>
      </w:r>
      <w:r w:rsidR="00C51426" w:rsidRPr="00C51426">
        <w:rPr>
          <w:rFonts w:ascii="Times New Roman" w:hAnsi="Times New Roman"/>
          <w:iCs/>
          <w:sz w:val="24"/>
          <w:szCs w:val="24"/>
        </w:rPr>
        <w:t xml:space="preserve"> This major step is part of the implementation of the </w:t>
      </w:r>
      <w:r>
        <w:rPr>
          <w:rFonts w:ascii="Times New Roman" w:hAnsi="Times New Roman"/>
          <w:iCs/>
          <w:sz w:val="24"/>
          <w:szCs w:val="24"/>
        </w:rPr>
        <w:t xml:space="preserve">March 2019 </w:t>
      </w:r>
      <w:r w:rsidR="00C51426" w:rsidRPr="00C51426">
        <w:rPr>
          <w:rFonts w:ascii="Times New Roman" w:hAnsi="Times New Roman"/>
          <w:iCs/>
          <w:sz w:val="24"/>
          <w:szCs w:val="24"/>
        </w:rPr>
        <w:t>Commission Recommendation to ensure a high level of cybersecurity of 5G networks across the EU.</w:t>
      </w:r>
      <w:r w:rsidR="009C13B2">
        <w:rPr>
          <w:rStyle w:val="FootnoteReference"/>
          <w:iCs/>
        </w:rPr>
        <w:footnoteReference w:id="34"/>
      </w:r>
      <w:r w:rsidR="00C51426" w:rsidRPr="00C51426">
        <w:rPr>
          <w:rFonts w:ascii="Times New Roman" w:hAnsi="Times New Roman"/>
          <w:iCs/>
          <w:sz w:val="24"/>
          <w:szCs w:val="24"/>
        </w:rPr>
        <w:t xml:space="preserve"> The </w:t>
      </w:r>
      <w:r w:rsidRPr="004A2894">
        <w:rPr>
          <w:rFonts w:ascii="Times New Roman" w:hAnsi="Times New Roman"/>
          <w:iCs/>
          <w:sz w:val="24"/>
          <w:szCs w:val="24"/>
        </w:rPr>
        <w:t>report</w:t>
      </w:r>
      <w:r w:rsidR="00C51426" w:rsidRPr="00C51426">
        <w:rPr>
          <w:rFonts w:ascii="Times New Roman" w:hAnsi="Times New Roman"/>
          <w:iCs/>
          <w:sz w:val="24"/>
          <w:szCs w:val="24"/>
        </w:rPr>
        <w:t xml:space="preserve"> is based on the results of the national cybersecurity risk assessments by all Member States. It identifies the main threats and threat actors, the most sensitive assets, the main vulnerabilities (including technical ones and other types of vulnerabilities) and a number of strategic risks. This assessment provides the basis to identify mitigation measures that can be applied at national and European level</w:t>
      </w:r>
      <w:r w:rsidR="00C51426" w:rsidRPr="00C51426">
        <w:rPr>
          <w:rFonts w:ascii="Times New Roman" w:hAnsi="Times New Roman"/>
          <w:i/>
          <w:iCs/>
          <w:sz w:val="24"/>
          <w:szCs w:val="24"/>
        </w:rPr>
        <w:t>.</w:t>
      </w:r>
    </w:p>
    <w:p w14:paraId="1D754DF6" w14:textId="259E82F6" w:rsidR="00C51426" w:rsidRPr="004A2894" w:rsidRDefault="00C51426" w:rsidP="00C51426">
      <w:pPr>
        <w:spacing w:after="240" w:line="240" w:lineRule="auto"/>
        <w:jc w:val="both"/>
        <w:rPr>
          <w:rFonts w:ascii="Times New Roman" w:hAnsi="Times New Roman"/>
          <w:iCs/>
          <w:sz w:val="24"/>
          <w:szCs w:val="24"/>
        </w:rPr>
      </w:pPr>
      <w:r w:rsidRPr="00C51426">
        <w:rPr>
          <w:rFonts w:ascii="Times New Roman" w:hAnsi="Times New Roman"/>
          <w:iCs/>
          <w:sz w:val="24"/>
          <w:szCs w:val="24"/>
        </w:rPr>
        <w:t xml:space="preserve">The report identifies a number of important </w:t>
      </w:r>
      <w:r w:rsidR="009546C3" w:rsidRPr="00B7715D">
        <w:rPr>
          <w:rFonts w:ascii="Times New Roman" w:hAnsi="Times New Roman"/>
          <w:b/>
          <w:bCs/>
          <w:iCs/>
          <w:sz w:val="24"/>
          <w:szCs w:val="24"/>
        </w:rPr>
        <w:t>cyber</w:t>
      </w:r>
      <w:r w:rsidRPr="004A2894">
        <w:rPr>
          <w:rFonts w:ascii="Times New Roman" w:hAnsi="Times New Roman"/>
          <w:b/>
          <w:bCs/>
          <w:iCs/>
          <w:sz w:val="24"/>
          <w:szCs w:val="24"/>
        </w:rPr>
        <w:t>security challenges</w:t>
      </w:r>
      <w:r w:rsidRPr="00C51426">
        <w:rPr>
          <w:rFonts w:ascii="Times New Roman" w:hAnsi="Times New Roman"/>
          <w:iCs/>
          <w:sz w:val="24"/>
          <w:szCs w:val="24"/>
        </w:rPr>
        <w:t xml:space="preserve"> which are likely to appear or become more prominent in 5G networks</w:t>
      </w:r>
      <w:r w:rsidR="004A2894">
        <w:rPr>
          <w:rFonts w:ascii="Times New Roman" w:hAnsi="Times New Roman"/>
          <w:iCs/>
          <w:sz w:val="24"/>
          <w:szCs w:val="24"/>
        </w:rPr>
        <w:t xml:space="preserve">. </w:t>
      </w:r>
      <w:r w:rsidRPr="00C51426">
        <w:rPr>
          <w:rFonts w:ascii="Times New Roman" w:hAnsi="Times New Roman"/>
          <w:iCs/>
          <w:sz w:val="24"/>
          <w:szCs w:val="24"/>
          <w:lang w:val="en-IE"/>
        </w:rPr>
        <w:t xml:space="preserve">These </w:t>
      </w:r>
      <w:r w:rsidRPr="004A2894">
        <w:rPr>
          <w:rFonts w:ascii="Times New Roman" w:hAnsi="Times New Roman"/>
          <w:iCs/>
          <w:sz w:val="24"/>
          <w:szCs w:val="24"/>
          <w:lang w:val="en-IE"/>
        </w:rPr>
        <w:t>security challenges</w:t>
      </w:r>
      <w:r w:rsidRPr="00C51426">
        <w:rPr>
          <w:rFonts w:ascii="Times New Roman" w:hAnsi="Times New Roman"/>
          <w:iCs/>
          <w:sz w:val="24"/>
          <w:szCs w:val="24"/>
          <w:lang w:val="en-IE"/>
        </w:rPr>
        <w:t xml:space="preserve"> are mainly linked to key </w:t>
      </w:r>
      <w:r w:rsidRPr="004A2894">
        <w:rPr>
          <w:rFonts w:ascii="Times New Roman" w:hAnsi="Times New Roman"/>
          <w:i/>
          <w:iCs/>
          <w:sz w:val="24"/>
          <w:szCs w:val="24"/>
          <w:lang w:val="en-IE"/>
        </w:rPr>
        <w:t>innovations</w:t>
      </w:r>
      <w:r w:rsidRPr="00C51426">
        <w:rPr>
          <w:rFonts w:ascii="Times New Roman" w:hAnsi="Times New Roman"/>
          <w:iCs/>
          <w:sz w:val="24"/>
          <w:szCs w:val="24"/>
          <w:lang w:val="en-IE"/>
        </w:rPr>
        <w:t xml:space="preserve"> in 5G technology, in particular the importan</w:t>
      </w:r>
      <w:r w:rsidR="00CA54F2">
        <w:rPr>
          <w:rFonts w:ascii="Times New Roman" w:hAnsi="Times New Roman"/>
          <w:iCs/>
          <w:sz w:val="24"/>
          <w:szCs w:val="24"/>
          <w:lang w:val="en-IE"/>
        </w:rPr>
        <w:t>ce</w:t>
      </w:r>
      <w:r w:rsidRPr="00C51426">
        <w:rPr>
          <w:rFonts w:ascii="Times New Roman" w:hAnsi="Times New Roman"/>
          <w:iCs/>
          <w:sz w:val="24"/>
          <w:szCs w:val="24"/>
          <w:lang w:val="en-IE"/>
        </w:rPr>
        <w:t xml:space="preserve"> of software and the wide range of services and applications enabled by 5G, as well as the role of </w:t>
      </w:r>
      <w:r w:rsidRPr="00C51426">
        <w:rPr>
          <w:rFonts w:ascii="Times New Roman" w:hAnsi="Times New Roman"/>
          <w:i/>
          <w:iCs/>
          <w:sz w:val="24"/>
          <w:szCs w:val="24"/>
          <w:lang w:val="en-IE"/>
        </w:rPr>
        <w:t>suppliers</w:t>
      </w:r>
      <w:r w:rsidRPr="00C51426">
        <w:rPr>
          <w:rFonts w:ascii="Times New Roman" w:hAnsi="Times New Roman"/>
          <w:iCs/>
          <w:sz w:val="24"/>
          <w:szCs w:val="24"/>
          <w:lang w:val="en-IE"/>
        </w:rPr>
        <w:t xml:space="preserve"> in building and operating 5G networks and the degree of dependency on individual suppliers.</w:t>
      </w:r>
      <w:r w:rsidR="004A2894">
        <w:rPr>
          <w:rFonts w:ascii="Times New Roman" w:hAnsi="Times New Roman"/>
          <w:iCs/>
          <w:sz w:val="24"/>
          <w:szCs w:val="24"/>
          <w:lang w:val="en-IE"/>
        </w:rPr>
        <w:t xml:space="preserve"> </w:t>
      </w:r>
      <w:r w:rsidR="00CD4236" w:rsidRPr="00CD4236">
        <w:rPr>
          <w:rFonts w:ascii="Times New Roman" w:hAnsi="Times New Roman"/>
          <w:iCs/>
          <w:sz w:val="24"/>
          <w:szCs w:val="24"/>
          <w:lang w:val="en-IE"/>
        </w:rPr>
        <w:t>This means that suppliers’ products, services and operations increasingly become part of the ‘attack surface’ of 5G networks.</w:t>
      </w:r>
      <w:r w:rsidR="00CD4236">
        <w:rPr>
          <w:rFonts w:ascii="Times New Roman" w:hAnsi="Times New Roman"/>
          <w:iCs/>
          <w:sz w:val="24"/>
          <w:szCs w:val="24"/>
          <w:lang w:val="en-IE"/>
        </w:rPr>
        <w:t xml:space="preserve"> Moreover</w:t>
      </w:r>
      <w:r w:rsidRPr="00C51426">
        <w:rPr>
          <w:rFonts w:ascii="Times New Roman" w:hAnsi="Times New Roman"/>
          <w:iCs/>
          <w:sz w:val="24"/>
          <w:szCs w:val="24"/>
          <w:lang w:val="en-IE"/>
        </w:rPr>
        <w:t>, the risk profile of individual suppliers will become particularly important, including the likelihood of the supplier being subject to interference from a non-EU country.</w:t>
      </w:r>
    </w:p>
    <w:p w14:paraId="383C8D4A" w14:textId="4FC3E033" w:rsidR="006D5012" w:rsidRDefault="00927647" w:rsidP="00BB07D3">
      <w:pPr>
        <w:spacing w:after="240" w:line="240" w:lineRule="auto"/>
        <w:jc w:val="both"/>
        <w:rPr>
          <w:rFonts w:ascii="Times New Roman" w:hAnsi="Times New Roman"/>
          <w:iCs/>
          <w:sz w:val="24"/>
          <w:szCs w:val="24"/>
        </w:rPr>
      </w:pPr>
      <w:r>
        <w:rPr>
          <w:rFonts w:ascii="Times New Roman" w:hAnsi="Times New Roman"/>
          <w:iCs/>
          <w:sz w:val="24"/>
          <w:szCs w:val="24"/>
        </w:rPr>
        <w:t>In line with</w:t>
      </w:r>
      <w:r w:rsidR="004A2894">
        <w:rPr>
          <w:rFonts w:ascii="Times New Roman" w:hAnsi="Times New Roman"/>
          <w:iCs/>
          <w:sz w:val="24"/>
          <w:szCs w:val="24"/>
        </w:rPr>
        <w:t xml:space="preserve"> the process set out </w:t>
      </w:r>
      <w:r>
        <w:rPr>
          <w:rFonts w:ascii="Times New Roman" w:hAnsi="Times New Roman"/>
          <w:iCs/>
          <w:sz w:val="24"/>
          <w:szCs w:val="24"/>
        </w:rPr>
        <w:t xml:space="preserve">in </w:t>
      </w:r>
      <w:r w:rsidR="004A2894">
        <w:rPr>
          <w:rFonts w:ascii="Times New Roman" w:hAnsi="Times New Roman"/>
          <w:iCs/>
          <w:sz w:val="24"/>
          <w:szCs w:val="24"/>
        </w:rPr>
        <w:t>the March 2019 Commission Recommendation, Member States should agree b</w:t>
      </w:r>
      <w:r w:rsidR="00C51426" w:rsidRPr="00C51426">
        <w:rPr>
          <w:rFonts w:ascii="Times New Roman" w:hAnsi="Times New Roman"/>
          <w:iCs/>
          <w:sz w:val="24"/>
          <w:szCs w:val="24"/>
        </w:rPr>
        <w:t xml:space="preserve">y 31 December 2019 on a </w:t>
      </w:r>
      <w:r w:rsidR="00C51426" w:rsidRPr="004A2894">
        <w:rPr>
          <w:rFonts w:ascii="Times New Roman" w:hAnsi="Times New Roman"/>
          <w:b/>
          <w:iCs/>
          <w:sz w:val="24"/>
          <w:szCs w:val="24"/>
        </w:rPr>
        <w:t>toolbox of mitigating measures</w:t>
      </w:r>
      <w:r w:rsidR="00C51426" w:rsidRPr="00C51426">
        <w:rPr>
          <w:rFonts w:ascii="Times New Roman" w:hAnsi="Times New Roman"/>
          <w:iCs/>
          <w:sz w:val="24"/>
          <w:szCs w:val="24"/>
        </w:rPr>
        <w:t xml:space="preserve"> to address the identified cybersecurity risks at national and Union level.</w:t>
      </w:r>
      <w:r w:rsidR="00B20892">
        <w:rPr>
          <w:rFonts w:ascii="Times New Roman" w:hAnsi="Times New Roman"/>
          <w:iCs/>
          <w:sz w:val="24"/>
          <w:szCs w:val="24"/>
        </w:rPr>
        <w:t xml:space="preserve"> The Commission and the European External Action Service will also continue to exchange with like-minded partners about </w:t>
      </w:r>
      <w:r w:rsidR="00B20892" w:rsidRPr="00B20892">
        <w:rPr>
          <w:rFonts w:ascii="Times New Roman" w:hAnsi="Times New Roman"/>
          <w:iCs/>
          <w:sz w:val="24"/>
          <w:szCs w:val="24"/>
        </w:rPr>
        <w:t>cybersecurity and resilience of 5G networks</w:t>
      </w:r>
      <w:r w:rsidR="00B20892">
        <w:rPr>
          <w:rFonts w:ascii="Times New Roman" w:hAnsi="Times New Roman"/>
          <w:iCs/>
          <w:sz w:val="24"/>
          <w:szCs w:val="24"/>
        </w:rPr>
        <w:t>.</w:t>
      </w:r>
      <w:r w:rsidR="002E3D86" w:rsidRPr="002E3D86">
        <w:t xml:space="preserve"> </w:t>
      </w:r>
      <w:r w:rsidR="002E3D86" w:rsidRPr="00857232">
        <w:rPr>
          <w:rFonts w:ascii="Times New Roman" w:hAnsi="Times New Roman"/>
          <w:iCs/>
          <w:sz w:val="24"/>
          <w:szCs w:val="24"/>
        </w:rPr>
        <w:t>In that respect, the Commission is in contact with NATO on the EU coordinated risk assessment of the cybersecurity of 5G networks.</w:t>
      </w:r>
    </w:p>
    <w:p w14:paraId="07968629" w14:textId="77777777" w:rsidR="006D5012" w:rsidRDefault="006D5012">
      <w:pPr>
        <w:rPr>
          <w:rFonts w:ascii="Times New Roman" w:hAnsi="Times New Roman"/>
          <w:iCs/>
          <w:sz w:val="24"/>
          <w:szCs w:val="24"/>
        </w:rPr>
      </w:pPr>
      <w:r>
        <w:rPr>
          <w:rFonts w:ascii="Times New Roman" w:hAnsi="Times New Roman"/>
          <w:iCs/>
          <w:sz w:val="24"/>
          <w:szCs w:val="24"/>
        </w:rPr>
        <w:br w:type="page"/>
      </w:r>
    </w:p>
    <w:p w14:paraId="06052F32" w14:textId="77777777" w:rsidR="004A2894" w:rsidRPr="00217D22" w:rsidRDefault="004A2894" w:rsidP="004A2894">
      <w:pPr>
        <w:spacing w:before="240" w:after="240" w:line="240" w:lineRule="auto"/>
        <w:jc w:val="both"/>
        <w:rPr>
          <w:rFonts w:ascii="Times New Roman" w:eastAsia="Calibri" w:hAnsi="Times New Roman" w:cs="Times New Roman"/>
          <w:i/>
          <w:iCs/>
          <w:sz w:val="24"/>
          <w:szCs w:val="24"/>
        </w:rPr>
      </w:pPr>
      <w:r>
        <w:rPr>
          <w:rFonts w:ascii="Times New Roman" w:hAnsi="Times New Roman" w:cs="Times New Roman"/>
          <w:b/>
          <w:bCs/>
          <w:sz w:val="24"/>
          <w:szCs w:val="24"/>
        </w:rPr>
        <w:t xml:space="preserve">IV. </w:t>
      </w:r>
      <w:r>
        <w:rPr>
          <w:rFonts w:ascii="Times New Roman" w:hAnsi="Times New Roman" w:cs="Times New Roman"/>
          <w:b/>
          <w:bCs/>
          <w:sz w:val="24"/>
          <w:szCs w:val="24"/>
        </w:rPr>
        <w:tab/>
      </w:r>
      <w:r w:rsidRPr="004A2894">
        <w:rPr>
          <w:rFonts w:ascii="Times New Roman" w:hAnsi="Times New Roman" w:cs="Times New Roman"/>
          <w:b/>
          <w:bCs/>
          <w:sz w:val="24"/>
          <w:szCs w:val="24"/>
        </w:rPr>
        <w:t>COUNTERING DISINFORMATION AND PROTECTING ELECTIONS AGAINST OTHER CYBER-ENABLED THREATS</w:t>
      </w:r>
      <w:r>
        <w:rPr>
          <w:rFonts w:ascii="Times New Roman" w:hAnsi="Times New Roman" w:cs="Times New Roman"/>
          <w:b/>
          <w:bCs/>
          <w:sz w:val="24"/>
          <w:szCs w:val="24"/>
        </w:rPr>
        <w:tab/>
      </w:r>
      <w:r w:rsidRPr="00217D22">
        <w:rPr>
          <w:rFonts w:ascii="Times New Roman" w:eastAsia="Calibri" w:hAnsi="Times New Roman" w:cs="Times New Roman"/>
          <w:i/>
          <w:iCs/>
          <w:sz w:val="24"/>
          <w:szCs w:val="24"/>
        </w:rPr>
        <w:t xml:space="preserve"> </w:t>
      </w:r>
    </w:p>
    <w:p w14:paraId="0FF04671" w14:textId="62C1BDB0" w:rsidR="004A2894" w:rsidRPr="0002055E" w:rsidRDefault="004A2894" w:rsidP="0002055E">
      <w:pPr>
        <w:spacing w:after="240" w:line="240" w:lineRule="auto"/>
        <w:jc w:val="both"/>
        <w:rPr>
          <w:rFonts w:ascii="Times New Roman" w:eastAsia="Times New Roman" w:hAnsi="Times New Roman" w:cs="Times New Roman"/>
          <w:sz w:val="24"/>
          <w:szCs w:val="24"/>
          <w:lang w:eastAsia="en-GB"/>
        </w:rPr>
      </w:pPr>
      <w:r w:rsidRPr="0002055E">
        <w:rPr>
          <w:rFonts w:ascii="Times New Roman" w:eastAsia="Times New Roman" w:hAnsi="Times New Roman" w:cs="Times New Roman"/>
          <w:sz w:val="24"/>
          <w:szCs w:val="24"/>
          <w:lang w:eastAsia="en-GB"/>
        </w:rPr>
        <w:t xml:space="preserve">The EU has established a </w:t>
      </w:r>
      <w:r w:rsidRPr="0002055E">
        <w:rPr>
          <w:rFonts w:ascii="Times New Roman" w:eastAsia="Times New Roman" w:hAnsi="Times New Roman" w:cs="Times New Roman"/>
          <w:b/>
          <w:sz w:val="24"/>
          <w:szCs w:val="24"/>
          <w:lang w:eastAsia="en-GB"/>
        </w:rPr>
        <w:t>framework for coordinated action against disinformation</w:t>
      </w:r>
      <w:r w:rsidRPr="0002055E">
        <w:rPr>
          <w:rFonts w:ascii="Times New Roman" w:eastAsia="Times New Roman" w:hAnsi="Times New Roman" w:cs="Times New Roman"/>
          <w:sz w:val="24"/>
          <w:szCs w:val="24"/>
          <w:lang w:eastAsia="en-GB"/>
        </w:rPr>
        <w:t>, with full respect for European values and fundamental rights.</w:t>
      </w:r>
      <w:r w:rsidRPr="0002055E">
        <w:rPr>
          <w:rStyle w:val="FootnoteReference"/>
          <w:rFonts w:eastAsia="Times New Roman"/>
          <w:sz w:val="24"/>
          <w:szCs w:val="24"/>
          <w:lang w:eastAsia="en-GB"/>
        </w:rPr>
        <w:footnoteReference w:id="35"/>
      </w:r>
      <w:r w:rsidRPr="0002055E">
        <w:rPr>
          <w:rFonts w:ascii="Times New Roman" w:eastAsia="Times New Roman" w:hAnsi="Times New Roman" w:cs="Times New Roman"/>
          <w:sz w:val="24"/>
          <w:szCs w:val="24"/>
          <w:lang w:eastAsia="en-GB"/>
        </w:rPr>
        <w:t xml:space="preserve"> Under the Action Plan against Disinformation</w:t>
      </w:r>
      <w:r w:rsidRPr="0002055E">
        <w:rPr>
          <w:rStyle w:val="FootnoteReference"/>
          <w:rFonts w:eastAsia="Times New Roman"/>
          <w:sz w:val="24"/>
          <w:szCs w:val="24"/>
          <w:lang w:eastAsia="en-GB"/>
        </w:rPr>
        <w:footnoteReference w:id="36"/>
      </w:r>
      <w:r w:rsidRPr="0002055E">
        <w:rPr>
          <w:rFonts w:ascii="Times New Roman" w:eastAsia="Times New Roman" w:hAnsi="Times New Roman" w:cs="Times New Roman"/>
          <w:sz w:val="24"/>
          <w:szCs w:val="24"/>
          <w:lang w:eastAsia="en-GB"/>
        </w:rPr>
        <w:t>, work continues to close down the space for disinformation</w:t>
      </w:r>
      <w:r w:rsidR="00972613">
        <w:rPr>
          <w:rFonts w:ascii="Times New Roman" w:eastAsia="Times New Roman" w:hAnsi="Times New Roman" w:cs="Times New Roman"/>
          <w:sz w:val="24"/>
          <w:szCs w:val="24"/>
          <w:lang w:eastAsia="en-GB"/>
        </w:rPr>
        <w:t xml:space="preserve">, including with a view to </w:t>
      </w:r>
      <w:r w:rsidRPr="0002055E">
        <w:rPr>
          <w:rFonts w:ascii="Times New Roman" w:eastAsia="Times New Roman" w:hAnsi="Times New Roman" w:cs="Times New Roman"/>
          <w:sz w:val="24"/>
          <w:szCs w:val="24"/>
          <w:lang w:eastAsia="en-GB"/>
        </w:rPr>
        <w:t>protect the integrity of elections.</w:t>
      </w:r>
      <w:r w:rsidR="00217D22">
        <w:rPr>
          <w:rFonts w:ascii="Times New Roman" w:eastAsia="Times New Roman" w:hAnsi="Times New Roman" w:cs="Times New Roman"/>
          <w:sz w:val="24"/>
          <w:szCs w:val="24"/>
          <w:lang w:eastAsia="en-GB"/>
        </w:rPr>
        <w:t xml:space="preserve"> </w:t>
      </w:r>
    </w:p>
    <w:p w14:paraId="7DC864EA" w14:textId="01BF8CC7" w:rsidR="00B81216" w:rsidRDefault="00243CB6" w:rsidP="0002055E">
      <w:pPr>
        <w:spacing w:after="240" w:line="240" w:lineRule="auto"/>
        <w:jc w:val="both"/>
        <w:rPr>
          <w:rFonts w:ascii="Times New Roman" w:eastAsia="Calibri" w:hAnsi="Times New Roman" w:cs="Times New Roman"/>
          <w:sz w:val="24"/>
          <w:szCs w:val="24"/>
        </w:rPr>
      </w:pPr>
      <w:r w:rsidRPr="0002055E">
        <w:rPr>
          <w:rFonts w:ascii="Times New Roman" w:eastAsia="Calibri" w:hAnsi="Times New Roman" w:cs="Times New Roman"/>
          <w:sz w:val="24"/>
          <w:szCs w:val="24"/>
        </w:rPr>
        <w:t xml:space="preserve">Central to this is the </w:t>
      </w:r>
      <w:r w:rsidR="00A75513" w:rsidRPr="0002055E">
        <w:rPr>
          <w:rFonts w:ascii="Times New Roman" w:eastAsia="Calibri" w:hAnsi="Times New Roman" w:cs="Times New Roman"/>
          <w:sz w:val="24"/>
          <w:szCs w:val="24"/>
        </w:rPr>
        <w:t xml:space="preserve">work with industry through the self-regulatory </w:t>
      </w:r>
      <w:r w:rsidR="00A75513" w:rsidRPr="0002055E">
        <w:rPr>
          <w:rFonts w:ascii="Times New Roman" w:eastAsia="Calibri" w:hAnsi="Times New Roman" w:cs="Times New Roman"/>
          <w:b/>
          <w:sz w:val="24"/>
          <w:szCs w:val="24"/>
        </w:rPr>
        <w:t>Code of Practice on Disinformation</w:t>
      </w:r>
      <w:r w:rsidR="00A75513" w:rsidRPr="0002055E">
        <w:rPr>
          <w:rFonts w:ascii="Times New Roman" w:eastAsia="Calibri" w:hAnsi="Times New Roman" w:cs="Times New Roman"/>
          <w:sz w:val="24"/>
          <w:szCs w:val="24"/>
        </w:rPr>
        <w:t xml:space="preserve"> for online platforms and the advertising sector</w:t>
      </w:r>
      <w:r w:rsidRPr="0002055E">
        <w:rPr>
          <w:rFonts w:ascii="Times New Roman" w:eastAsia="Calibri" w:hAnsi="Times New Roman" w:cs="Times New Roman"/>
          <w:sz w:val="24"/>
          <w:szCs w:val="24"/>
        </w:rPr>
        <w:t xml:space="preserve"> that</w:t>
      </w:r>
      <w:r w:rsidR="00A75513" w:rsidRPr="0002055E">
        <w:rPr>
          <w:rFonts w:ascii="Times New Roman" w:eastAsia="Calibri" w:hAnsi="Times New Roman" w:cs="Times New Roman"/>
          <w:sz w:val="24"/>
          <w:szCs w:val="24"/>
        </w:rPr>
        <w:t xml:space="preserve"> </w:t>
      </w:r>
      <w:r w:rsidR="00CA3158">
        <w:rPr>
          <w:rFonts w:ascii="Times New Roman" w:eastAsia="Calibri" w:hAnsi="Times New Roman" w:cs="Times New Roman"/>
          <w:sz w:val="24"/>
          <w:szCs w:val="24"/>
        </w:rPr>
        <w:t>became applicable</w:t>
      </w:r>
      <w:r w:rsidR="00A75513" w:rsidRPr="0002055E">
        <w:rPr>
          <w:rFonts w:ascii="Times New Roman" w:eastAsia="Calibri" w:hAnsi="Times New Roman" w:cs="Times New Roman"/>
          <w:sz w:val="24"/>
          <w:szCs w:val="24"/>
        </w:rPr>
        <w:t xml:space="preserve"> in October 2018.</w:t>
      </w:r>
      <w:r w:rsidRPr="0002055E">
        <w:rPr>
          <w:rStyle w:val="FootnoteReference"/>
          <w:rFonts w:eastAsia="Calibri"/>
          <w:sz w:val="24"/>
          <w:szCs w:val="24"/>
        </w:rPr>
        <w:footnoteReference w:id="37"/>
      </w:r>
      <w:r w:rsidR="00A75513" w:rsidRPr="0002055E">
        <w:rPr>
          <w:rFonts w:ascii="Times New Roman" w:eastAsia="Calibri" w:hAnsi="Times New Roman" w:cs="Times New Roman"/>
          <w:sz w:val="24"/>
          <w:szCs w:val="24"/>
        </w:rPr>
        <w:t xml:space="preserve"> The Commission </w:t>
      </w:r>
      <w:r w:rsidRPr="0002055E">
        <w:rPr>
          <w:rFonts w:ascii="Times New Roman" w:eastAsia="Calibri" w:hAnsi="Times New Roman" w:cs="Times New Roman"/>
          <w:sz w:val="24"/>
          <w:szCs w:val="24"/>
        </w:rPr>
        <w:t>has</w:t>
      </w:r>
      <w:r w:rsidR="00A75513" w:rsidRPr="0002055E">
        <w:rPr>
          <w:rFonts w:ascii="Times New Roman" w:eastAsia="Calibri" w:hAnsi="Times New Roman" w:cs="Times New Roman"/>
          <w:sz w:val="24"/>
          <w:szCs w:val="24"/>
        </w:rPr>
        <w:t xml:space="preserve"> assess</w:t>
      </w:r>
      <w:r w:rsidRPr="0002055E">
        <w:rPr>
          <w:rFonts w:ascii="Times New Roman" w:eastAsia="Calibri" w:hAnsi="Times New Roman" w:cs="Times New Roman"/>
          <w:sz w:val="24"/>
          <w:szCs w:val="24"/>
        </w:rPr>
        <w:t>ed</w:t>
      </w:r>
      <w:r w:rsidR="00A75513" w:rsidRPr="0002055E">
        <w:rPr>
          <w:rFonts w:ascii="Times New Roman" w:eastAsia="Calibri" w:hAnsi="Times New Roman" w:cs="Times New Roman"/>
          <w:sz w:val="24"/>
          <w:szCs w:val="24"/>
        </w:rPr>
        <w:t xml:space="preserve"> the effectiveness of the Code following its </w:t>
      </w:r>
      <w:r w:rsidR="00927647">
        <w:rPr>
          <w:rFonts w:ascii="Times New Roman" w:eastAsia="Calibri" w:hAnsi="Times New Roman" w:cs="Times New Roman"/>
          <w:sz w:val="24"/>
          <w:szCs w:val="24"/>
        </w:rPr>
        <w:t>first year</w:t>
      </w:r>
      <w:r w:rsidR="00A75513" w:rsidRPr="0002055E">
        <w:rPr>
          <w:rFonts w:ascii="Times New Roman" w:eastAsia="Calibri" w:hAnsi="Times New Roman" w:cs="Times New Roman"/>
          <w:sz w:val="24"/>
          <w:szCs w:val="24"/>
        </w:rPr>
        <w:t xml:space="preserve"> of operations, based on </w:t>
      </w:r>
      <w:r w:rsidRPr="0002055E">
        <w:rPr>
          <w:rFonts w:ascii="Times New Roman" w:eastAsia="Calibri" w:hAnsi="Times New Roman" w:cs="Times New Roman"/>
          <w:sz w:val="24"/>
          <w:szCs w:val="24"/>
        </w:rPr>
        <w:t>a</w:t>
      </w:r>
      <w:r w:rsidR="00A75513" w:rsidRPr="0002055E">
        <w:rPr>
          <w:rFonts w:ascii="Times New Roman" w:eastAsia="Calibri" w:hAnsi="Times New Roman" w:cs="Times New Roman"/>
          <w:sz w:val="24"/>
          <w:szCs w:val="24"/>
        </w:rPr>
        <w:t xml:space="preserve">nnual </w:t>
      </w:r>
      <w:r w:rsidRPr="0002055E">
        <w:rPr>
          <w:rFonts w:ascii="Times New Roman" w:eastAsia="Calibri" w:hAnsi="Times New Roman" w:cs="Times New Roman"/>
          <w:sz w:val="24"/>
          <w:szCs w:val="24"/>
        </w:rPr>
        <w:t>s</w:t>
      </w:r>
      <w:r w:rsidR="00A75513" w:rsidRPr="0002055E">
        <w:rPr>
          <w:rFonts w:ascii="Times New Roman" w:eastAsia="Calibri" w:hAnsi="Times New Roman" w:cs="Times New Roman"/>
          <w:sz w:val="24"/>
          <w:szCs w:val="24"/>
        </w:rPr>
        <w:t>elf-</w:t>
      </w:r>
      <w:r w:rsidRPr="0002055E">
        <w:rPr>
          <w:rFonts w:ascii="Times New Roman" w:eastAsia="Calibri" w:hAnsi="Times New Roman" w:cs="Times New Roman"/>
          <w:sz w:val="24"/>
          <w:szCs w:val="24"/>
        </w:rPr>
        <w:t>a</w:t>
      </w:r>
      <w:r w:rsidR="00A75513" w:rsidRPr="0002055E">
        <w:rPr>
          <w:rFonts w:ascii="Times New Roman" w:eastAsia="Calibri" w:hAnsi="Times New Roman" w:cs="Times New Roman"/>
          <w:sz w:val="24"/>
          <w:szCs w:val="24"/>
        </w:rPr>
        <w:t xml:space="preserve">ssessment </w:t>
      </w:r>
      <w:r w:rsidRPr="0002055E">
        <w:rPr>
          <w:rFonts w:ascii="Times New Roman" w:eastAsia="Calibri" w:hAnsi="Times New Roman" w:cs="Times New Roman"/>
          <w:sz w:val="24"/>
          <w:szCs w:val="24"/>
        </w:rPr>
        <w:t>r</w:t>
      </w:r>
      <w:r w:rsidR="00A75513" w:rsidRPr="0002055E">
        <w:rPr>
          <w:rFonts w:ascii="Times New Roman" w:eastAsia="Calibri" w:hAnsi="Times New Roman" w:cs="Times New Roman"/>
          <w:sz w:val="24"/>
          <w:szCs w:val="24"/>
        </w:rPr>
        <w:t>eports submitted by the online platforms and the other Code signatories</w:t>
      </w:r>
      <w:r w:rsidRPr="0002055E">
        <w:rPr>
          <w:rFonts w:ascii="Times New Roman" w:eastAsia="Calibri" w:hAnsi="Times New Roman" w:cs="Times New Roman"/>
          <w:sz w:val="24"/>
          <w:szCs w:val="24"/>
        </w:rPr>
        <w:t xml:space="preserve"> and published on </w:t>
      </w:r>
      <w:r w:rsidR="00C43D93">
        <w:rPr>
          <w:rFonts w:ascii="Times New Roman" w:eastAsia="Calibri" w:hAnsi="Times New Roman" w:cs="Times New Roman"/>
          <w:sz w:val="24"/>
          <w:szCs w:val="24"/>
        </w:rPr>
        <w:t>29</w:t>
      </w:r>
      <w:r w:rsidR="00C43D93" w:rsidRPr="0002055E">
        <w:rPr>
          <w:rFonts w:ascii="Times New Roman" w:eastAsia="Calibri" w:hAnsi="Times New Roman" w:cs="Times New Roman"/>
          <w:sz w:val="24"/>
          <w:szCs w:val="24"/>
        </w:rPr>
        <w:t xml:space="preserve"> </w:t>
      </w:r>
      <w:r w:rsidRPr="0002055E">
        <w:rPr>
          <w:rFonts w:ascii="Times New Roman" w:eastAsia="Calibri" w:hAnsi="Times New Roman" w:cs="Times New Roman"/>
          <w:sz w:val="24"/>
          <w:szCs w:val="24"/>
        </w:rPr>
        <w:t>October 2019 together with a Commission Statement</w:t>
      </w:r>
      <w:r w:rsidR="00A75513" w:rsidRPr="0002055E">
        <w:rPr>
          <w:rFonts w:ascii="Times New Roman" w:eastAsia="Calibri" w:hAnsi="Times New Roman" w:cs="Times New Roman"/>
          <w:sz w:val="24"/>
          <w:szCs w:val="24"/>
        </w:rPr>
        <w:t>.</w:t>
      </w:r>
      <w:r w:rsidR="00A75513" w:rsidRPr="0002055E">
        <w:rPr>
          <w:rFonts w:ascii="Times New Roman" w:eastAsia="Calibri" w:hAnsi="Times New Roman" w:cs="Times New Roman"/>
          <w:sz w:val="24"/>
          <w:szCs w:val="24"/>
          <w:vertAlign w:val="superscript"/>
        </w:rPr>
        <w:footnoteReference w:id="38"/>
      </w:r>
      <w:r w:rsidR="00A75513" w:rsidRPr="0002055E">
        <w:rPr>
          <w:rFonts w:ascii="Times New Roman" w:eastAsia="Calibri" w:hAnsi="Times New Roman" w:cs="Times New Roman"/>
          <w:sz w:val="24"/>
          <w:szCs w:val="24"/>
        </w:rPr>
        <w:t xml:space="preserve"> Broadly, the reports demonstrate serious efforts by the signatories to implement their commitments. </w:t>
      </w:r>
    </w:p>
    <w:p w14:paraId="0FCB1626" w14:textId="52BB7D72" w:rsidR="004A2894" w:rsidRPr="0002055E" w:rsidRDefault="00A75513" w:rsidP="0002055E">
      <w:pPr>
        <w:spacing w:after="240" w:line="240" w:lineRule="auto"/>
        <w:jc w:val="both"/>
        <w:rPr>
          <w:rFonts w:ascii="Times New Roman" w:eastAsia="Calibri" w:hAnsi="Times New Roman" w:cs="Times New Roman"/>
          <w:sz w:val="24"/>
          <w:szCs w:val="24"/>
        </w:rPr>
      </w:pPr>
      <w:r w:rsidRPr="0002055E">
        <w:rPr>
          <w:rFonts w:ascii="Times New Roman" w:eastAsia="Calibri" w:hAnsi="Times New Roman" w:cs="Times New Roman"/>
          <w:sz w:val="24"/>
          <w:szCs w:val="24"/>
        </w:rPr>
        <w:t xml:space="preserve">Actions taken by the platforms signatories vary in terms of speed and scope across the Code’s five pillars of commitments. In general, progress is more advanced with respect to commitments </w:t>
      </w:r>
      <w:r w:rsidR="00243CB6" w:rsidRPr="0002055E">
        <w:rPr>
          <w:rFonts w:ascii="Times New Roman" w:eastAsia="Calibri" w:hAnsi="Times New Roman" w:cs="Times New Roman"/>
          <w:sz w:val="24"/>
          <w:szCs w:val="24"/>
        </w:rPr>
        <w:t xml:space="preserve">relating to </w:t>
      </w:r>
      <w:r w:rsidRPr="0002055E">
        <w:rPr>
          <w:rFonts w:ascii="Times New Roman" w:eastAsia="Calibri" w:hAnsi="Times New Roman" w:cs="Times New Roman"/>
          <w:sz w:val="24"/>
          <w:szCs w:val="24"/>
        </w:rPr>
        <w:t>the 2019 European election</w:t>
      </w:r>
      <w:r w:rsidR="00243CB6" w:rsidRPr="0002055E">
        <w:rPr>
          <w:rFonts w:ascii="Times New Roman" w:eastAsia="Calibri" w:hAnsi="Times New Roman" w:cs="Times New Roman"/>
          <w:sz w:val="24"/>
          <w:szCs w:val="24"/>
        </w:rPr>
        <w:t>, namely on</w:t>
      </w:r>
      <w:r w:rsidRPr="0002055E">
        <w:rPr>
          <w:rFonts w:ascii="Times New Roman" w:eastAsia="Calibri" w:hAnsi="Times New Roman" w:cs="Times New Roman"/>
          <w:sz w:val="24"/>
          <w:szCs w:val="24"/>
        </w:rPr>
        <w:t xml:space="preserve"> disrupting advertising and </w:t>
      </w:r>
      <w:r w:rsidR="00CA3158" w:rsidRPr="0002055E">
        <w:rPr>
          <w:rFonts w:ascii="Times New Roman" w:eastAsia="Calibri" w:hAnsi="Times New Roman" w:cs="Times New Roman"/>
          <w:sz w:val="24"/>
          <w:szCs w:val="24"/>
        </w:rPr>
        <w:t>moneti</w:t>
      </w:r>
      <w:r w:rsidR="00CA3158">
        <w:rPr>
          <w:rFonts w:ascii="Times New Roman" w:eastAsia="Calibri" w:hAnsi="Times New Roman" w:cs="Times New Roman"/>
          <w:sz w:val="24"/>
          <w:szCs w:val="24"/>
        </w:rPr>
        <w:t>s</w:t>
      </w:r>
      <w:r w:rsidR="00CA3158" w:rsidRPr="0002055E">
        <w:rPr>
          <w:rFonts w:ascii="Times New Roman" w:eastAsia="Calibri" w:hAnsi="Times New Roman" w:cs="Times New Roman"/>
          <w:sz w:val="24"/>
          <w:szCs w:val="24"/>
        </w:rPr>
        <w:t xml:space="preserve">ation </w:t>
      </w:r>
      <w:r w:rsidRPr="0002055E">
        <w:rPr>
          <w:rFonts w:ascii="Times New Roman" w:eastAsia="Calibri" w:hAnsi="Times New Roman" w:cs="Times New Roman"/>
          <w:sz w:val="24"/>
          <w:szCs w:val="24"/>
        </w:rPr>
        <w:t>incentives for disinformation (</w:t>
      </w:r>
      <w:r w:rsidR="00243CB6" w:rsidRPr="0002055E">
        <w:rPr>
          <w:rFonts w:ascii="Times New Roman" w:eastAsia="Calibri" w:hAnsi="Times New Roman" w:cs="Times New Roman"/>
          <w:sz w:val="24"/>
          <w:szCs w:val="24"/>
        </w:rPr>
        <w:t>p</w:t>
      </w:r>
      <w:r w:rsidRPr="0002055E">
        <w:rPr>
          <w:rFonts w:ascii="Times New Roman" w:eastAsia="Calibri" w:hAnsi="Times New Roman" w:cs="Times New Roman"/>
          <w:sz w:val="24"/>
          <w:szCs w:val="24"/>
        </w:rPr>
        <w:t>illar 1), ensuring the transparency of political and issue-based advertising (</w:t>
      </w:r>
      <w:r w:rsidR="00243CB6" w:rsidRPr="0002055E">
        <w:rPr>
          <w:rFonts w:ascii="Times New Roman" w:eastAsia="Calibri" w:hAnsi="Times New Roman" w:cs="Times New Roman"/>
          <w:sz w:val="24"/>
          <w:szCs w:val="24"/>
        </w:rPr>
        <w:t>p</w:t>
      </w:r>
      <w:r w:rsidRPr="0002055E">
        <w:rPr>
          <w:rFonts w:ascii="Times New Roman" w:eastAsia="Calibri" w:hAnsi="Times New Roman" w:cs="Times New Roman"/>
          <w:sz w:val="24"/>
          <w:szCs w:val="24"/>
        </w:rPr>
        <w:t>illar 2), and ensuring the integrity of services against inauthentic accounts and behaviours (</w:t>
      </w:r>
      <w:r w:rsidR="00243CB6" w:rsidRPr="0002055E">
        <w:rPr>
          <w:rFonts w:ascii="Times New Roman" w:eastAsia="Calibri" w:hAnsi="Times New Roman" w:cs="Times New Roman"/>
          <w:sz w:val="24"/>
          <w:szCs w:val="24"/>
        </w:rPr>
        <w:t>p</w:t>
      </w:r>
      <w:r w:rsidRPr="0002055E">
        <w:rPr>
          <w:rFonts w:ascii="Times New Roman" w:eastAsia="Calibri" w:hAnsi="Times New Roman" w:cs="Times New Roman"/>
          <w:sz w:val="24"/>
          <w:szCs w:val="24"/>
        </w:rPr>
        <w:t>illar 3). By contrast, progress is less advanced</w:t>
      </w:r>
      <w:r w:rsidR="00B20892">
        <w:rPr>
          <w:rFonts w:ascii="Times New Roman" w:eastAsia="Calibri" w:hAnsi="Times New Roman" w:cs="Times New Roman"/>
          <w:sz w:val="24"/>
          <w:szCs w:val="24"/>
        </w:rPr>
        <w:t xml:space="preserve"> or lacking</w:t>
      </w:r>
      <w:r w:rsidRPr="0002055E">
        <w:rPr>
          <w:rFonts w:ascii="Times New Roman" w:eastAsia="Calibri" w:hAnsi="Times New Roman" w:cs="Times New Roman"/>
          <w:sz w:val="24"/>
          <w:szCs w:val="24"/>
        </w:rPr>
        <w:t xml:space="preserve"> with respect to commitments to empower consumers (</w:t>
      </w:r>
      <w:r w:rsidR="00243CB6" w:rsidRPr="0002055E">
        <w:rPr>
          <w:rFonts w:ascii="Times New Roman" w:eastAsia="Calibri" w:hAnsi="Times New Roman" w:cs="Times New Roman"/>
          <w:sz w:val="24"/>
          <w:szCs w:val="24"/>
        </w:rPr>
        <w:t>p</w:t>
      </w:r>
      <w:r w:rsidRPr="0002055E">
        <w:rPr>
          <w:rFonts w:ascii="Times New Roman" w:eastAsia="Calibri" w:hAnsi="Times New Roman" w:cs="Times New Roman"/>
          <w:sz w:val="24"/>
          <w:szCs w:val="24"/>
        </w:rPr>
        <w:t>illar 4) and commitments to empower the research community, including via the provision by platforms of relevant and privacy-compliant access to datasets for research purposes (</w:t>
      </w:r>
      <w:r w:rsidR="00243CB6" w:rsidRPr="0002055E">
        <w:rPr>
          <w:rFonts w:ascii="Times New Roman" w:eastAsia="Calibri" w:hAnsi="Times New Roman" w:cs="Times New Roman"/>
          <w:sz w:val="24"/>
          <w:szCs w:val="24"/>
        </w:rPr>
        <w:t>p</w:t>
      </w:r>
      <w:r w:rsidRPr="0002055E">
        <w:rPr>
          <w:rFonts w:ascii="Times New Roman" w:eastAsia="Calibri" w:hAnsi="Times New Roman" w:cs="Times New Roman"/>
          <w:sz w:val="24"/>
          <w:szCs w:val="24"/>
        </w:rPr>
        <w:t>illar 5). There are also differences in the scope of actions undertaken by each platform to ensure the implementation of their commitments as well as differences across Member States as regards the deployment of the individual policies.</w:t>
      </w:r>
      <w:r w:rsidR="00243CB6" w:rsidRPr="0002055E">
        <w:rPr>
          <w:rFonts w:ascii="Times New Roman" w:eastAsia="Calibri" w:hAnsi="Times New Roman" w:cs="Times New Roman"/>
          <w:sz w:val="24"/>
          <w:szCs w:val="24"/>
        </w:rPr>
        <w:t xml:space="preserve"> The Commission continues to work with Code signatories and other stakeholders to step up the action taken against disinformation.</w:t>
      </w:r>
    </w:p>
    <w:p w14:paraId="7D1D7303" w14:textId="6759AC65" w:rsidR="000E7CFF" w:rsidRPr="0002055E" w:rsidRDefault="000E7CFF" w:rsidP="0002055E">
      <w:pPr>
        <w:spacing w:after="240" w:line="240" w:lineRule="auto"/>
        <w:jc w:val="both"/>
        <w:rPr>
          <w:rFonts w:ascii="Times New Roman" w:eastAsia="Calibri" w:hAnsi="Times New Roman" w:cs="Times New Roman"/>
          <w:iCs/>
          <w:sz w:val="24"/>
          <w:szCs w:val="24"/>
        </w:rPr>
      </w:pPr>
      <w:r w:rsidRPr="0002055E">
        <w:rPr>
          <w:rFonts w:ascii="Times New Roman" w:eastAsia="Calibri" w:hAnsi="Times New Roman" w:cs="Times New Roman"/>
          <w:iCs/>
          <w:sz w:val="24"/>
          <w:szCs w:val="24"/>
        </w:rPr>
        <w:t xml:space="preserve">Under the Action Plan against Disinformation, the Commission and the High Representative, in cooperation with the Member States, set up a </w:t>
      </w:r>
      <w:r w:rsidRPr="0002055E">
        <w:rPr>
          <w:rFonts w:ascii="Times New Roman" w:eastAsia="Calibri" w:hAnsi="Times New Roman" w:cs="Times New Roman"/>
          <w:b/>
          <w:iCs/>
          <w:sz w:val="24"/>
          <w:szCs w:val="24"/>
        </w:rPr>
        <w:t>Rapid Alert System</w:t>
      </w:r>
      <w:r w:rsidRPr="0002055E">
        <w:rPr>
          <w:rFonts w:ascii="Times New Roman" w:eastAsia="Calibri" w:hAnsi="Times New Roman" w:cs="Times New Roman"/>
          <w:iCs/>
          <w:sz w:val="24"/>
          <w:szCs w:val="24"/>
        </w:rPr>
        <w:t xml:space="preserve"> for addressing disinformation campaigns. </w:t>
      </w:r>
      <w:r w:rsidR="005666EE" w:rsidRPr="0002055E">
        <w:rPr>
          <w:rFonts w:ascii="Times New Roman" w:eastAsia="Calibri" w:hAnsi="Times New Roman" w:cs="Times New Roman"/>
          <w:iCs/>
          <w:sz w:val="24"/>
          <w:szCs w:val="24"/>
        </w:rPr>
        <w:t>T</w:t>
      </w:r>
      <w:r w:rsidRPr="0002055E">
        <w:rPr>
          <w:rFonts w:ascii="Times New Roman" w:eastAsia="Calibri" w:hAnsi="Times New Roman" w:cs="Times New Roman"/>
          <w:iCs/>
          <w:sz w:val="24"/>
          <w:szCs w:val="24"/>
        </w:rPr>
        <w:t xml:space="preserve">he Rapid Alert System enabled EU Institutions and Member States to share information and analyses ahead of the </w:t>
      </w:r>
      <w:r w:rsidR="005666EE" w:rsidRPr="0002055E">
        <w:rPr>
          <w:rFonts w:ascii="Times New Roman" w:eastAsia="Calibri" w:hAnsi="Times New Roman" w:cs="Times New Roman"/>
          <w:iCs/>
          <w:sz w:val="24"/>
          <w:szCs w:val="24"/>
        </w:rPr>
        <w:t xml:space="preserve">2019 </w:t>
      </w:r>
      <w:r w:rsidR="00E57DC1">
        <w:rPr>
          <w:rFonts w:ascii="Times New Roman" w:eastAsia="Calibri" w:hAnsi="Times New Roman" w:cs="Times New Roman"/>
          <w:iCs/>
          <w:sz w:val="24"/>
          <w:szCs w:val="24"/>
        </w:rPr>
        <w:t>e</w:t>
      </w:r>
      <w:r w:rsidR="00E57DC1" w:rsidRPr="0002055E">
        <w:rPr>
          <w:rFonts w:ascii="Times New Roman" w:eastAsia="Calibri" w:hAnsi="Times New Roman" w:cs="Times New Roman"/>
          <w:iCs/>
          <w:sz w:val="24"/>
          <w:szCs w:val="24"/>
        </w:rPr>
        <w:t xml:space="preserve">lections </w:t>
      </w:r>
      <w:r w:rsidRPr="0002055E">
        <w:rPr>
          <w:rFonts w:ascii="Times New Roman" w:eastAsia="Calibri" w:hAnsi="Times New Roman" w:cs="Times New Roman"/>
          <w:iCs/>
          <w:sz w:val="24"/>
          <w:szCs w:val="24"/>
        </w:rPr>
        <w:t xml:space="preserve">to the European Parliament, and to coordinate responses. This work has intensified further after the </w:t>
      </w:r>
      <w:r w:rsidR="005666EE" w:rsidRPr="0002055E">
        <w:rPr>
          <w:rFonts w:ascii="Times New Roman" w:eastAsia="Calibri" w:hAnsi="Times New Roman" w:cs="Times New Roman"/>
          <w:iCs/>
          <w:sz w:val="24"/>
          <w:szCs w:val="24"/>
        </w:rPr>
        <w:t>e</w:t>
      </w:r>
      <w:r w:rsidRPr="0002055E">
        <w:rPr>
          <w:rFonts w:ascii="Times New Roman" w:eastAsia="Calibri" w:hAnsi="Times New Roman" w:cs="Times New Roman"/>
          <w:iCs/>
          <w:sz w:val="24"/>
          <w:szCs w:val="24"/>
        </w:rPr>
        <w:t xml:space="preserve">lections, with working-level exchanges ongoing on a daily basis and three meetings of the Rapid Alert Systems Points of Contact organised by different Member States. </w:t>
      </w:r>
    </w:p>
    <w:p w14:paraId="6DD237AB" w14:textId="14B94947" w:rsidR="004A2894" w:rsidRDefault="00CA3158" w:rsidP="0002055E">
      <w:pPr>
        <w:spacing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Another practical step to identify disinformation has come with the work of</w:t>
      </w:r>
      <w:r w:rsidR="000E7CFF" w:rsidRPr="0002055E">
        <w:rPr>
          <w:rFonts w:ascii="Times New Roman" w:eastAsia="Calibri" w:hAnsi="Times New Roman" w:cs="Times New Roman"/>
          <w:iCs/>
          <w:sz w:val="24"/>
          <w:szCs w:val="24"/>
        </w:rPr>
        <w:t xml:space="preserve"> the </w:t>
      </w:r>
      <w:r w:rsidR="000E7CFF" w:rsidRPr="00424176">
        <w:rPr>
          <w:rFonts w:ascii="Times New Roman" w:eastAsia="Calibri" w:hAnsi="Times New Roman" w:cs="Times New Roman"/>
          <w:b/>
          <w:iCs/>
          <w:sz w:val="24"/>
          <w:szCs w:val="24"/>
        </w:rPr>
        <w:t xml:space="preserve">Strategic Communications </w:t>
      </w:r>
      <w:r w:rsidR="005666EE" w:rsidRPr="00424176">
        <w:rPr>
          <w:rFonts w:ascii="Times New Roman" w:eastAsia="Calibri" w:hAnsi="Times New Roman" w:cs="Times New Roman"/>
          <w:b/>
          <w:iCs/>
          <w:sz w:val="24"/>
          <w:szCs w:val="24"/>
        </w:rPr>
        <w:t>T</w:t>
      </w:r>
      <w:r w:rsidR="000E7CFF" w:rsidRPr="00424176">
        <w:rPr>
          <w:rFonts w:ascii="Times New Roman" w:eastAsia="Calibri" w:hAnsi="Times New Roman" w:cs="Times New Roman"/>
          <w:b/>
          <w:iCs/>
          <w:sz w:val="24"/>
          <w:szCs w:val="24"/>
        </w:rPr>
        <w:t>eam</w:t>
      </w:r>
      <w:r w:rsidR="005666EE" w:rsidRPr="0002055E">
        <w:rPr>
          <w:rFonts w:ascii="Times New Roman" w:eastAsia="Calibri" w:hAnsi="Times New Roman" w:cs="Times New Roman"/>
          <w:iCs/>
          <w:sz w:val="24"/>
          <w:szCs w:val="24"/>
        </w:rPr>
        <w:t xml:space="preserve"> (‘StratComms’)</w:t>
      </w:r>
      <w:r w:rsidR="000E7CFF" w:rsidRPr="0002055E">
        <w:rPr>
          <w:rFonts w:ascii="Times New Roman" w:eastAsia="Calibri" w:hAnsi="Times New Roman" w:cs="Times New Roman"/>
          <w:iCs/>
          <w:sz w:val="24"/>
          <w:szCs w:val="24"/>
        </w:rPr>
        <w:t>, and in particular</w:t>
      </w:r>
      <w:r w:rsidR="005666EE" w:rsidRPr="0002055E">
        <w:rPr>
          <w:rFonts w:ascii="Times New Roman" w:eastAsia="Calibri" w:hAnsi="Times New Roman" w:cs="Times New Roman"/>
          <w:iCs/>
          <w:sz w:val="24"/>
          <w:szCs w:val="24"/>
        </w:rPr>
        <w:t xml:space="preserve"> its</w:t>
      </w:r>
      <w:r w:rsidR="000E7CFF" w:rsidRPr="0002055E">
        <w:rPr>
          <w:rFonts w:ascii="Times New Roman" w:eastAsia="Calibri" w:hAnsi="Times New Roman" w:cs="Times New Roman"/>
          <w:iCs/>
          <w:sz w:val="24"/>
          <w:szCs w:val="24"/>
        </w:rPr>
        <w:t xml:space="preserve"> East Stratcom Taskforce, </w:t>
      </w:r>
      <w:r>
        <w:rPr>
          <w:rFonts w:ascii="Times New Roman" w:eastAsia="Calibri" w:hAnsi="Times New Roman" w:cs="Times New Roman"/>
          <w:iCs/>
          <w:sz w:val="24"/>
          <w:szCs w:val="24"/>
        </w:rPr>
        <w:t xml:space="preserve">which </w:t>
      </w:r>
      <w:r w:rsidR="000E7CFF" w:rsidRPr="0002055E">
        <w:rPr>
          <w:rFonts w:ascii="Times New Roman" w:eastAsia="Calibri" w:hAnsi="Times New Roman" w:cs="Times New Roman"/>
          <w:iCs/>
          <w:sz w:val="24"/>
          <w:szCs w:val="24"/>
        </w:rPr>
        <w:t xml:space="preserve">has been running the </w:t>
      </w:r>
      <w:r w:rsidR="005666EE" w:rsidRPr="0002055E">
        <w:rPr>
          <w:rFonts w:ascii="Times New Roman" w:eastAsia="Calibri" w:hAnsi="Times New Roman" w:cs="Times New Roman"/>
          <w:iCs/>
          <w:sz w:val="24"/>
          <w:szCs w:val="24"/>
        </w:rPr>
        <w:t>‘</w:t>
      </w:r>
      <w:r w:rsidR="000E7CFF" w:rsidRPr="0002055E">
        <w:rPr>
          <w:rFonts w:ascii="Times New Roman" w:eastAsia="Calibri" w:hAnsi="Times New Roman" w:cs="Times New Roman"/>
          <w:iCs/>
          <w:sz w:val="24"/>
          <w:szCs w:val="24"/>
        </w:rPr>
        <w:t>EUvsDisinfo</w:t>
      </w:r>
      <w:r w:rsidR="005666EE" w:rsidRPr="0002055E">
        <w:rPr>
          <w:rFonts w:ascii="Times New Roman" w:eastAsia="Calibri" w:hAnsi="Times New Roman" w:cs="Times New Roman"/>
          <w:iCs/>
          <w:sz w:val="24"/>
          <w:szCs w:val="24"/>
        </w:rPr>
        <w:t>’</w:t>
      </w:r>
      <w:r w:rsidR="000E7CFF" w:rsidRPr="0002055E">
        <w:rPr>
          <w:rFonts w:ascii="Times New Roman" w:eastAsia="Calibri" w:hAnsi="Times New Roman" w:cs="Times New Roman"/>
          <w:iCs/>
          <w:sz w:val="24"/>
          <w:szCs w:val="24"/>
        </w:rPr>
        <w:t xml:space="preserve"> project to monitor, analys</w:t>
      </w:r>
      <w:r w:rsidR="005666EE" w:rsidRPr="0002055E">
        <w:rPr>
          <w:rFonts w:ascii="Times New Roman" w:eastAsia="Calibri" w:hAnsi="Times New Roman" w:cs="Times New Roman"/>
          <w:iCs/>
          <w:sz w:val="24"/>
          <w:szCs w:val="24"/>
        </w:rPr>
        <w:t>e</w:t>
      </w:r>
      <w:r w:rsidR="000E7CFF" w:rsidRPr="0002055E">
        <w:rPr>
          <w:rFonts w:ascii="Times New Roman" w:eastAsia="Calibri" w:hAnsi="Times New Roman" w:cs="Times New Roman"/>
          <w:iCs/>
          <w:sz w:val="24"/>
          <w:szCs w:val="24"/>
        </w:rPr>
        <w:t xml:space="preserve"> and respond to pro-Kremlin disinformation.</w:t>
      </w:r>
      <w:r w:rsidR="008E4EA5">
        <w:rPr>
          <w:rStyle w:val="FootnoteReference"/>
          <w:rFonts w:eastAsia="Calibri"/>
          <w:iCs/>
        </w:rPr>
        <w:footnoteReference w:id="39"/>
      </w:r>
      <w:r w:rsidR="000E7CFF" w:rsidRPr="0002055E">
        <w:rPr>
          <w:rFonts w:ascii="Times New Roman" w:eastAsia="Calibri" w:hAnsi="Times New Roman" w:cs="Times New Roman"/>
          <w:iCs/>
          <w:sz w:val="24"/>
          <w:szCs w:val="24"/>
        </w:rPr>
        <w:t xml:space="preserve"> Since the beginning of </w:t>
      </w:r>
      <w:r w:rsidR="005666EE" w:rsidRPr="0002055E">
        <w:rPr>
          <w:rFonts w:ascii="Times New Roman" w:eastAsia="Calibri" w:hAnsi="Times New Roman" w:cs="Times New Roman"/>
          <w:iCs/>
          <w:sz w:val="24"/>
          <w:szCs w:val="24"/>
        </w:rPr>
        <w:t>2019</w:t>
      </w:r>
      <w:r w:rsidR="000E7CFF" w:rsidRPr="0002055E">
        <w:rPr>
          <w:rFonts w:ascii="Times New Roman" w:eastAsia="Calibri" w:hAnsi="Times New Roman" w:cs="Times New Roman"/>
          <w:iCs/>
          <w:sz w:val="24"/>
          <w:szCs w:val="24"/>
        </w:rPr>
        <w:t>, the first dedicated budget</w:t>
      </w:r>
      <w:r w:rsidR="005666EE" w:rsidRPr="0002055E">
        <w:rPr>
          <w:rFonts w:ascii="Times New Roman" w:eastAsia="Calibri" w:hAnsi="Times New Roman" w:cs="Times New Roman"/>
          <w:iCs/>
          <w:sz w:val="24"/>
          <w:szCs w:val="24"/>
        </w:rPr>
        <w:t xml:space="preserve"> of EUR</w:t>
      </w:r>
      <w:r w:rsidR="000E7CFF" w:rsidRPr="0002055E">
        <w:rPr>
          <w:rFonts w:ascii="Times New Roman" w:eastAsia="Calibri" w:hAnsi="Times New Roman" w:cs="Times New Roman"/>
          <w:iCs/>
          <w:sz w:val="24"/>
          <w:szCs w:val="24"/>
        </w:rPr>
        <w:t xml:space="preserve"> 3 million </w:t>
      </w:r>
      <w:r w:rsidR="005666EE" w:rsidRPr="0002055E">
        <w:rPr>
          <w:rFonts w:ascii="Times New Roman" w:eastAsia="Calibri" w:hAnsi="Times New Roman" w:cs="Times New Roman"/>
          <w:iCs/>
          <w:sz w:val="24"/>
          <w:szCs w:val="24"/>
        </w:rPr>
        <w:t>has made it possible to</w:t>
      </w:r>
      <w:r w:rsidR="000E7CFF" w:rsidRPr="0002055E">
        <w:rPr>
          <w:rFonts w:ascii="Times New Roman" w:eastAsia="Calibri" w:hAnsi="Times New Roman" w:cs="Times New Roman"/>
          <w:iCs/>
          <w:sz w:val="24"/>
          <w:szCs w:val="24"/>
        </w:rPr>
        <w:t xml:space="preserve"> step up and expand</w:t>
      </w:r>
      <w:r w:rsidR="005666EE" w:rsidRPr="0002055E">
        <w:rPr>
          <w:rFonts w:ascii="Times New Roman" w:eastAsia="Calibri" w:hAnsi="Times New Roman" w:cs="Times New Roman"/>
          <w:iCs/>
          <w:sz w:val="24"/>
          <w:szCs w:val="24"/>
        </w:rPr>
        <w:t xml:space="preserve"> this work</w:t>
      </w:r>
      <w:r w:rsidR="000E7CFF" w:rsidRPr="0002055E">
        <w:rPr>
          <w:rFonts w:ascii="Times New Roman" w:eastAsia="Calibri" w:hAnsi="Times New Roman" w:cs="Times New Roman"/>
          <w:iCs/>
          <w:sz w:val="24"/>
          <w:szCs w:val="24"/>
        </w:rPr>
        <w:t xml:space="preserve"> to include the monitoring and analysis of pro-Kremlin disinformation in web, broadcast and social media in 19 languages ranging from English to Serbian and Arabic. The amount of exposed disinformation activities more than doubled due to improved monitoring capacity</w:t>
      </w:r>
      <w:r w:rsidR="005666EE" w:rsidRPr="0002055E">
        <w:rPr>
          <w:rFonts w:ascii="Times New Roman" w:eastAsia="Calibri" w:hAnsi="Times New Roman" w:cs="Times New Roman"/>
          <w:iCs/>
          <w:sz w:val="24"/>
          <w:szCs w:val="24"/>
        </w:rPr>
        <w:t>,</w:t>
      </w:r>
      <w:r w:rsidR="000E7CFF" w:rsidRPr="0002055E">
        <w:rPr>
          <w:rFonts w:ascii="Times New Roman" w:eastAsia="Calibri" w:hAnsi="Times New Roman" w:cs="Times New Roman"/>
          <w:iCs/>
          <w:sz w:val="24"/>
          <w:szCs w:val="24"/>
        </w:rPr>
        <w:t xml:space="preserve"> </w:t>
      </w:r>
      <w:r w:rsidR="005666EE" w:rsidRPr="0002055E">
        <w:rPr>
          <w:rFonts w:ascii="Times New Roman" w:eastAsia="Calibri" w:hAnsi="Times New Roman" w:cs="Times New Roman"/>
          <w:iCs/>
          <w:sz w:val="24"/>
          <w:szCs w:val="24"/>
        </w:rPr>
        <w:t xml:space="preserve">with </w:t>
      </w:r>
      <w:r w:rsidR="00E57DC1">
        <w:rPr>
          <w:rFonts w:ascii="Times New Roman" w:eastAsia="Calibri" w:hAnsi="Times New Roman" w:cs="Times New Roman"/>
          <w:iCs/>
          <w:sz w:val="24"/>
          <w:szCs w:val="24"/>
        </w:rPr>
        <w:t>around 2000</w:t>
      </w:r>
      <w:r w:rsidR="00E57DC1" w:rsidRPr="0002055E">
        <w:rPr>
          <w:rFonts w:ascii="Times New Roman" w:eastAsia="Calibri" w:hAnsi="Times New Roman" w:cs="Times New Roman"/>
          <w:iCs/>
          <w:sz w:val="24"/>
          <w:szCs w:val="24"/>
        </w:rPr>
        <w:t xml:space="preserve"> </w:t>
      </w:r>
      <w:r w:rsidR="000E7CFF" w:rsidRPr="0002055E">
        <w:rPr>
          <w:rFonts w:ascii="Times New Roman" w:eastAsia="Calibri" w:hAnsi="Times New Roman" w:cs="Times New Roman"/>
          <w:iCs/>
          <w:sz w:val="24"/>
          <w:szCs w:val="24"/>
        </w:rPr>
        <w:t>disinformation cases</w:t>
      </w:r>
      <w:r w:rsidR="005666EE" w:rsidRPr="0002055E">
        <w:rPr>
          <w:rFonts w:ascii="Times New Roman" w:eastAsia="Calibri" w:hAnsi="Times New Roman" w:cs="Times New Roman"/>
          <w:iCs/>
          <w:sz w:val="24"/>
          <w:szCs w:val="24"/>
        </w:rPr>
        <w:t xml:space="preserve"> so far in 2019</w:t>
      </w:r>
      <w:r w:rsidR="000E7CFF" w:rsidRPr="0002055E">
        <w:rPr>
          <w:rFonts w:ascii="Times New Roman" w:eastAsia="Calibri" w:hAnsi="Times New Roman" w:cs="Times New Roman"/>
          <w:iCs/>
          <w:sz w:val="24"/>
          <w:szCs w:val="24"/>
        </w:rPr>
        <w:t xml:space="preserve"> compared to 765</w:t>
      </w:r>
      <w:r w:rsidR="005666EE" w:rsidRPr="0002055E">
        <w:rPr>
          <w:rFonts w:ascii="Times New Roman" w:eastAsia="Calibri" w:hAnsi="Times New Roman" w:cs="Times New Roman"/>
          <w:iCs/>
          <w:sz w:val="24"/>
          <w:szCs w:val="24"/>
        </w:rPr>
        <w:t xml:space="preserve"> cases</w:t>
      </w:r>
      <w:r w:rsidR="000E7CFF" w:rsidRPr="0002055E">
        <w:rPr>
          <w:rFonts w:ascii="Times New Roman" w:eastAsia="Calibri" w:hAnsi="Times New Roman" w:cs="Times New Roman"/>
          <w:iCs/>
          <w:sz w:val="24"/>
          <w:szCs w:val="24"/>
        </w:rPr>
        <w:t xml:space="preserve"> during the same period</w:t>
      </w:r>
      <w:r w:rsidR="005666EE" w:rsidRPr="0002055E">
        <w:rPr>
          <w:rFonts w:ascii="Times New Roman" w:eastAsia="Calibri" w:hAnsi="Times New Roman" w:cs="Times New Roman"/>
          <w:iCs/>
          <w:sz w:val="24"/>
          <w:szCs w:val="24"/>
        </w:rPr>
        <w:t xml:space="preserve"> in 2018</w:t>
      </w:r>
      <w:r w:rsidR="000E7CFF" w:rsidRPr="0002055E">
        <w:rPr>
          <w:rFonts w:ascii="Times New Roman" w:eastAsia="Calibri" w:hAnsi="Times New Roman" w:cs="Times New Roman"/>
          <w:iCs/>
          <w:sz w:val="24"/>
          <w:szCs w:val="24"/>
        </w:rPr>
        <w:t xml:space="preserve">. The </w:t>
      </w:r>
      <w:r w:rsidR="005666EE" w:rsidRPr="0002055E">
        <w:rPr>
          <w:rFonts w:ascii="Times New Roman" w:eastAsia="Calibri" w:hAnsi="Times New Roman" w:cs="Times New Roman"/>
          <w:iCs/>
          <w:sz w:val="24"/>
          <w:szCs w:val="24"/>
        </w:rPr>
        <w:t xml:space="preserve">East </w:t>
      </w:r>
      <w:r w:rsidR="000E7CFF" w:rsidRPr="0002055E">
        <w:rPr>
          <w:rFonts w:ascii="Times New Roman" w:eastAsia="Calibri" w:hAnsi="Times New Roman" w:cs="Times New Roman"/>
          <w:iCs/>
          <w:sz w:val="24"/>
          <w:szCs w:val="24"/>
        </w:rPr>
        <w:t>Stratcom</w:t>
      </w:r>
      <w:r w:rsidR="005666EE" w:rsidRPr="0002055E">
        <w:rPr>
          <w:rFonts w:ascii="Times New Roman" w:eastAsia="Calibri" w:hAnsi="Times New Roman" w:cs="Times New Roman"/>
          <w:iCs/>
          <w:sz w:val="24"/>
          <w:szCs w:val="24"/>
        </w:rPr>
        <w:t xml:space="preserve"> Taskforce</w:t>
      </w:r>
      <w:r w:rsidR="000E7CFF" w:rsidRPr="0002055E">
        <w:rPr>
          <w:rFonts w:ascii="Times New Roman" w:eastAsia="Calibri" w:hAnsi="Times New Roman" w:cs="Times New Roman"/>
          <w:iCs/>
          <w:sz w:val="24"/>
          <w:szCs w:val="24"/>
        </w:rPr>
        <w:t xml:space="preserve"> played a vital role in monitoring and exposing pro-Kremlin disinformation targeting the 2019 </w:t>
      </w:r>
      <w:r w:rsidR="00E57DC1">
        <w:rPr>
          <w:rFonts w:ascii="Times New Roman" w:eastAsia="Calibri" w:hAnsi="Times New Roman" w:cs="Times New Roman"/>
          <w:iCs/>
          <w:sz w:val="24"/>
          <w:szCs w:val="24"/>
        </w:rPr>
        <w:t>e</w:t>
      </w:r>
      <w:r w:rsidR="00E57DC1" w:rsidRPr="0002055E">
        <w:rPr>
          <w:rFonts w:ascii="Times New Roman" w:eastAsia="Calibri" w:hAnsi="Times New Roman" w:cs="Times New Roman"/>
          <w:iCs/>
          <w:sz w:val="24"/>
          <w:szCs w:val="24"/>
        </w:rPr>
        <w:t xml:space="preserve">lections </w:t>
      </w:r>
      <w:r w:rsidR="000E7CFF" w:rsidRPr="0002055E">
        <w:rPr>
          <w:rFonts w:ascii="Times New Roman" w:eastAsia="Calibri" w:hAnsi="Times New Roman" w:cs="Times New Roman"/>
          <w:iCs/>
          <w:sz w:val="24"/>
          <w:szCs w:val="24"/>
        </w:rPr>
        <w:t xml:space="preserve">to the European Parliament. The research was paired with a campaign to raise awareness about attempted interference in electoral processes around the world. Its outreach, carried out in close cooperation with the </w:t>
      </w:r>
      <w:r w:rsidR="00293EBC" w:rsidRPr="0002055E">
        <w:rPr>
          <w:rFonts w:ascii="Times New Roman" w:eastAsia="Calibri" w:hAnsi="Times New Roman" w:cs="Times New Roman"/>
          <w:iCs/>
          <w:sz w:val="24"/>
          <w:szCs w:val="24"/>
        </w:rPr>
        <w:t xml:space="preserve">European </w:t>
      </w:r>
      <w:r w:rsidR="000E7CFF" w:rsidRPr="0002055E">
        <w:rPr>
          <w:rFonts w:ascii="Times New Roman" w:eastAsia="Calibri" w:hAnsi="Times New Roman" w:cs="Times New Roman"/>
          <w:iCs/>
          <w:sz w:val="24"/>
          <w:szCs w:val="24"/>
        </w:rPr>
        <w:t>Parliament and the Commission, resulted in more than 20 media interviews, while the campaign engaged more than 300 journalists.</w:t>
      </w:r>
    </w:p>
    <w:p w14:paraId="233CF17A" w14:textId="3A4F3B8F" w:rsidR="00083D55" w:rsidRPr="0002055E" w:rsidRDefault="00083D55" w:rsidP="0002055E">
      <w:pPr>
        <w:spacing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T</w:t>
      </w:r>
      <w:r w:rsidRPr="00083D55">
        <w:rPr>
          <w:rFonts w:ascii="Times New Roman" w:eastAsia="Calibri" w:hAnsi="Times New Roman" w:cs="Times New Roman"/>
          <w:iCs/>
          <w:sz w:val="24"/>
          <w:szCs w:val="24"/>
        </w:rPr>
        <w:t xml:space="preserve">he Commission has </w:t>
      </w:r>
      <w:r>
        <w:rPr>
          <w:rFonts w:ascii="Times New Roman" w:eastAsia="Calibri" w:hAnsi="Times New Roman" w:cs="Times New Roman"/>
          <w:iCs/>
          <w:sz w:val="24"/>
          <w:szCs w:val="24"/>
        </w:rPr>
        <w:t>also</w:t>
      </w:r>
      <w:r w:rsidRPr="00083D55">
        <w:rPr>
          <w:rFonts w:ascii="Times New Roman" w:eastAsia="Calibri" w:hAnsi="Times New Roman" w:cs="Times New Roman"/>
          <w:iCs/>
          <w:sz w:val="24"/>
          <w:szCs w:val="24"/>
        </w:rPr>
        <w:t xml:space="preserve"> tak</w:t>
      </w:r>
      <w:r>
        <w:rPr>
          <w:rFonts w:ascii="Times New Roman" w:eastAsia="Calibri" w:hAnsi="Times New Roman" w:cs="Times New Roman"/>
          <w:iCs/>
          <w:sz w:val="24"/>
          <w:szCs w:val="24"/>
        </w:rPr>
        <w:t>en</w:t>
      </w:r>
      <w:r w:rsidRPr="00083D55">
        <w:rPr>
          <w:rFonts w:ascii="Times New Roman" w:eastAsia="Calibri" w:hAnsi="Times New Roman" w:cs="Times New Roman"/>
          <w:iCs/>
          <w:sz w:val="24"/>
          <w:szCs w:val="24"/>
        </w:rPr>
        <w:t xml:space="preserve"> action to </w:t>
      </w:r>
      <w:r>
        <w:rPr>
          <w:rFonts w:ascii="Times New Roman" w:eastAsia="Calibri" w:hAnsi="Times New Roman" w:cs="Times New Roman"/>
          <w:b/>
          <w:iCs/>
          <w:sz w:val="24"/>
          <w:szCs w:val="24"/>
        </w:rPr>
        <w:t xml:space="preserve">reduce the spread of disinformation and </w:t>
      </w:r>
      <w:r w:rsidRPr="00083D55">
        <w:rPr>
          <w:rFonts w:ascii="Times New Roman" w:eastAsia="Calibri" w:hAnsi="Times New Roman" w:cs="Times New Roman"/>
          <w:b/>
          <w:iCs/>
          <w:sz w:val="24"/>
          <w:szCs w:val="24"/>
        </w:rPr>
        <w:t>myths about EU institutions and policies</w:t>
      </w:r>
      <w:r w:rsidRPr="00083D5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It</w:t>
      </w:r>
      <w:r w:rsidRPr="00083D55">
        <w:rPr>
          <w:rFonts w:ascii="Times New Roman" w:eastAsia="Calibri" w:hAnsi="Times New Roman" w:cs="Times New Roman"/>
          <w:iCs/>
          <w:sz w:val="24"/>
          <w:szCs w:val="24"/>
        </w:rPr>
        <w:t xml:space="preserve"> has established a network of communication experts with an online portal providing interactive information material on </w:t>
      </w:r>
      <w:r>
        <w:rPr>
          <w:rFonts w:ascii="Times New Roman" w:eastAsia="Calibri" w:hAnsi="Times New Roman" w:cs="Times New Roman"/>
          <w:iCs/>
          <w:sz w:val="24"/>
          <w:szCs w:val="24"/>
        </w:rPr>
        <w:t xml:space="preserve">EU </w:t>
      </w:r>
      <w:r w:rsidRPr="00083D55">
        <w:rPr>
          <w:rFonts w:ascii="Times New Roman" w:eastAsia="Calibri" w:hAnsi="Times New Roman" w:cs="Times New Roman"/>
          <w:iCs/>
          <w:sz w:val="24"/>
          <w:szCs w:val="24"/>
        </w:rPr>
        <w:t>policies and the challenge of disinformation and its impact on society</w:t>
      </w:r>
      <w:r>
        <w:rPr>
          <w:rFonts w:ascii="Times New Roman" w:eastAsia="Calibri" w:hAnsi="Times New Roman" w:cs="Times New Roman"/>
          <w:iCs/>
          <w:sz w:val="24"/>
          <w:szCs w:val="24"/>
        </w:rPr>
        <w:t>. It has also launched</w:t>
      </w:r>
      <w:r w:rsidRPr="00083D55">
        <w:rPr>
          <w:rFonts w:ascii="Times New Roman" w:eastAsia="Calibri" w:hAnsi="Times New Roman" w:cs="Times New Roman"/>
          <w:iCs/>
          <w:sz w:val="24"/>
          <w:szCs w:val="24"/>
        </w:rPr>
        <w:t xml:space="preserve"> a series of social media campaign</w:t>
      </w:r>
      <w:r>
        <w:rPr>
          <w:rFonts w:ascii="Times New Roman" w:eastAsia="Calibri" w:hAnsi="Times New Roman" w:cs="Times New Roman"/>
          <w:iCs/>
          <w:sz w:val="24"/>
          <w:szCs w:val="24"/>
        </w:rPr>
        <w:t>s</w:t>
      </w:r>
      <w:r w:rsidRPr="00083D55">
        <w:rPr>
          <w:rFonts w:ascii="Times New Roman" w:eastAsia="Calibri" w:hAnsi="Times New Roman" w:cs="Times New Roman"/>
          <w:iCs/>
          <w:sz w:val="24"/>
          <w:szCs w:val="24"/>
        </w:rPr>
        <w:t xml:space="preserve"> focusing on tackling disinformation</w:t>
      </w:r>
      <w:r w:rsidR="00FB166D">
        <w:rPr>
          <w:rStyle w:val="FootnoteReference"/>
          <w:rFonts w:eastAsia="Calibri"/>
          <w:iCs/>
        </w:rPr>
        <w:footnoteReference w:id="40"/>
      </w:r>
      <w:r w:rsidRPr="00083D55">
        <w:rPr>
          <w:rFonts w:ascii="Times New Roman" w:eastAsia="Calibri" w:hAnsi="Times New Roman" w:cs="Times New Roman"/>
          <w:iCs/>
          <w:sz w:val="24"/>
          <w:szCs w:val="24"/>
        </w:rPr>
        <w:t>, in collaboration with the European Parliament</w:t>
      </w:r>
      <w:r>
        <w:rPr>
          <w:rFonts w:ascii="Times New Roman" w:eastAsia="Calibri" w:hAnsi="Times New Roman" w:cs="Times New Roman"/>
          <w:iCs/>
          <w:sz w:val="24"/>
          <w:szCs w:val="24"/>
        </w:rPr>
        <w:t xml:space="preserve"> and the</w:t>
      </w:r>
      <w:r w:rsidRPr="00083D55">
        <w:rPr>
          <w:rFonts w:ascii="Times New Roman" w:eastAsia="Calibri" w:hAnsi="Times New Roman" w:cs="Times New Roman"/>
          <w:iCs/>
          <w:sz w:val="24"/>
          <w:szCs w:val="24"/>
        </w:rPr>
        <w:t xml:space="preserve"> European</w:t>
      </w:r>
      <w:r>
        <w:rPr>
          <w:rFonts w:ascii="Times New Roman" w:eastAsia="Calibri" w:hAnsi="Times New Roman" w:cs="Times New Roman"/>
          <w:iCs/>
          <w:sz w:val="24"/>
          <w:szCs w:val="24"/>
        </w:rPr>
        <w:t xml:space="preserve"> External Action Service</w:t>
      </w:r>
      <w:r w:rsidRPr="00083D55">
        <w:rPr>
          <w:rFonts w:ascii="Times New Roman" w:eastAsia="Calibri" w:hAnsi="Times New Roman" w:cs="Times New Roman"/>
          <w:iCs/>
          <w:sz w:val="24"/>
          <w:szCs w:val="24"/>
        </w:rPr>
        <w:t>.</w:t>
      </w:r>
      <w:r w:rsidR="00FB166D">
        <w:rPr>
          <w:rFonts w:ascii="Times New Roman" w:eastAsia="Calibri" w:hAnsi="Times New Roman" w:cs="Times New Roman"/>
          <w:iCs/>
          <w:sz w:val="24"/>
          <w:szCs w:val="24"/>
        </w:rPr>
        <w:t xml:space="preserve"> </w:t>
      </w:r>
    </w:p>
    <w:p w14:paraId="34AE8572" w14:textId="77777777" w:rsidR="00C254B4" w:rsidRPr="008D1951" w:rsidRDefault="00C254B4" w:rsidP="00055568">
      <w:pPr>
        <w:spacing w:after="240" w:line="240" w:lineRule="auto"/>
        <w:rPr>
          <w:rFonts w:ascii="Times New Roman" w:hAnsi="Times New Roman" w:cs="Times New Roman"/>
          <w:sz w:val="24"/>
          <w:szCs w:val="24"/>
        </w:rPr>
      </w:pPr>
      <w:r w:rsidRPr="008D1951">
        <w:rPr>
          <w:rFonts w:ascii="Times New Roman" w:hAnsi="Times New Roman" w:cs="Times New Roman"/>
          <w:b/>
          <w:bCs/>
          <w:sz w:val="24"/>
          <w:szCs w:val="24"/>
        </w:rPr>
        <w:t xml:space="preserve">V. </w:t>
      </w:r>
      <w:r w:rsidR="004A2894">
        <w:rPr>
          <w:rFonts w:ascii="Times New Roman" w:hAnsi="Times New Roman" w:cs="Times New Roman"/>
          <w:b/>
          <w:bCs/>
          <w:sz w:val="24"/>
          <w:szCs w:val="24"/>
        </w:rPr>
        <w:tab/>
      </w:r>
      <w:r w:rsidRPr="008D1951">
        <w:rPr>
          <w:rFonts w:ascii="Times New Roman" w:hAnsi="Times New Roman" w:cs="Times New Roman"/>
          <w:b/>
          <w:bCs/>
          <w:sz w:val="24"/>
          <w:szCs w:val="24"/>
        </w:rPr>
        <w:t>IMPLEMENTATION OF OTHER PRIORITY FILES ON SECURITY</w:t>
      </w:r>
    </w:p>
    <w:p w14:paraId="264236AA" w14:textId="77777777" w:rsidR="00C254B4" w:rsidRPr="008D1951" w:rsidRDefault="00C254B4" w:rsidP="00055568">
      <w:pPr>
        <w:widowControl w:val="0"/>
        <w:spacing w:after="240" w:line="240" w:lineRule="auto"/>
        <w:jc w:val="both"/>
        <w:rPr>
          <w:rFonts w:ascii="Times New Roman" w:eastAsia="Calibri" w:hAnsi="Times New Roman" w:cs="Times New Roman"/>
          <w:i/>
          <w:iCs/>
          <w:sz w:val="24"/>
          <w:szCs w:val="24"/>
        </w:rPr>
      </w:pPr>
      <w:r w:rsidRPr="008D1951">
        <w:rPr>
          <w:rFonts w:ascii="Times New Roman" w:eastAsia="Calibri" w:hAnsi="Times New Roman" w:cs="Times New Roman"/>
          <w:i/>
          <w:iCs/>
          <w:sz w:val="24"/>
          <w:szCs w:val="24"/>
        </w:rPr>
        <w:t>1.      Implementation of legislative measures in the Security Union</w:t>
      </w:r>
    </w:p>
    <w:p w14:paraId="5537DFD6" w14:textId="450BFB20" w:rsidR="00530190" w:rsidRDefault="004E0C6D" w:rsidP="0097150D">
      <w:pPr>
        <w:widowControl w:val="0"/>
        <w:spacing w:after="240" w:line="240" w:lineRule="auto"/>
        <w:jc w:val="both"/>
        <w:rPr>
          <w:rFonts w:ascii="Times New Roman" w:eastAsia="Calibri" w:hAnsi="Times New Roman" w:cs="Times New Roman"/>
          <w:iCs/>
          <w:noProof/>
          <w:sz w:val="24"/>
          <w:szCs w:val="24"/>
        </w:rPr>
      </w:pPr>
      <w:r>
        <w:rPr>
          <w:rFonts w:ascii="Times New Roman" w:eastAsia="Calibri" w:hAnsi="Times New Roman" w:cs="Times New Roman"/>
          <w:iCs/>
          <w:noProof/>
          <w:sz w:val="24"/>
          <w:szCs w:val="24"/>
        </w:rPr>
        <w:t xml:space="preserve">Agreed measures in the Security Union will only bring full benefits to security if all Member States ensure their swift and complete implementation. To this end, the Commission is actively supporting Member States in the implementation of EU legislation, including through funding and by facilitating the exchange of best practices. </w:t>
      </w:r>
      <w:r w:rsidR="00B81216">
        <w:rPr>
          <w:rFonts w:ascii="Times New Roman" w:eastAsia="Calibri" w:hAnsi="Times New Roman" w:cs="Times New Roman"/>
          <w:iCs/>
          <w:noProof/>
          <w:sz w:val="24"/>
          <w:szCs w:val="24"/>
        </w:rPr>
        <w:t>T</w:t>
      </w:r>
      <w:r>
        <w:rPr>
          <w:rFonts w:ascii="Times New Roman" w:eastAsia="Calibri" w:hAnsi="Times New Roman" w:cs="Times New Roman"/>
          <w:iCs/>
          <w:noProof/>
          <w:sz w:val="24"/>
          <w:szCs w:val="24"/>
        </w:rPr>
        <w:t xml:space="preserve">he Commission </w:t>
      </w:r>
      <w:r w:rsidR="00B81216">
        <w:rPr>
          <w:rFonts w:ascii="Times New Roman" w:eastAsia="Calibri" w:hAnsi="Times New Roman" w:cs="Times New Roman"/>
          <w:iCs/>
          <w:noProof/>
          <w:sz w:val="24"/>
          <w:szCs w:val="24"/>
        </w:rPr>
        <w:t>makes</w:t>
      </w:r>
      <w:r>
        <w:rPr>
          <w:rFonts w:ascii="Times New Roman" w:eastAsia="Calibri" w:hAnsi="Times New Roman" w:cs="Times New Roman"/>
          <w:iCs/>
          <w:noProof/>
          <w:sz w:val="24"/>
          <w:szCs w:val="24"/>
        </w:rPr>
        <w:t xml:space="preserve"> full use of its powers under the Treaties for the enforcement of EU law, including infringement action </w:t>
      </w:r>
      <w:r w:rsidR="00B81216">
        <w:rPr>
          <w:rFonts w:ascii="Times New Roman" w:eastAsia="Calibri" w:hAnsi="Times New Roman" w:cs="Times New Roman"/>
          <w:iCs/>
          <w:noProof/>
          <w:sz w:val="24"/>
          <w:szCs w:val="24"/>
        </w:rPr>
        <w:t xml:space="preserve">as </w:t>
      </w:r>
      <w:r>
        <w:rPr>
          <w:rFonts w:ascii="Times New Roman" w:eastAsia="Calibri" w:hAnsi="Times New Roman" w:cs="Times New Roman"/>
          <w:iCs/>
          <w:noProof/>
          <w:sz w:val="24"/>
          <w:szCs w:val="24"/>
        </w:rPr>
        <w:t>appropriate.</w:t>
      </w:r>
    </w:p>
    <w:p w14:paraId="5B930AE7" w14:textId="1934FD74" w:rsidR="004E0C6D" w:rsidRDefault="004E0C6D" w:rsidP="0097150D">
      <w:pPr>
        <w:widowControl w:val="0"/>
        <w:spacing w:after="240" w:line="240" w:lineRule="auto"/>
        <w:jc w:val="both"/>
        <w:rPr>
          <w:rFonts w:ascii="Times New Roman" w:eastAsia="Calibri" w:hAnsi="Times New Roman" w:cs="Times New Roman"/>
          <w:iCs/>
          <w:sz w:val="24"/>
          <w:szCs w:val="24"/>
        </w:rPr>
      </w:pPr>
      <w:r w:rsidRPr="00A82D21">
        <w:rPr>
          <w:rFonts w:ascii="Times New Roman" w:eastAsia="Calibri" w:hAnsi="Times New Roman" w:cs="Times New Roman"/>
          <w:iCs/>
          <w:sz w:val="24"/>
          <w:szCs w:val="24"/>
        </w:rPr>
        <w:t>The</w:t>
      </w:r>
      <w:r>
        <w:rPr>
          <w:rFonts w:ascii="Times New Roman" w:eastAsia="Calibri" w:hAnsi="Times New Roman" w:cs="Times New Roman"/>
          <w:iCs/>
          <w:sz w:val="24"/>
          <w:szCs w:val="24"/>
        </w:rPr>
        <w:t xml:space="preserve"> deadline for </w:t>
      </w:r>
      <w:r w:rsidR="00927647">
        <w:rPr>
          <w:rFonts w:ascii="Times New Roman" w:eastAsia="Calibri" w:hAnsi="Times New Roman" w:cs="Times New Roman"/>
          <w:iCs/>
          <w:sz w:val="24"/>
          <w:szCs w:val="24"/>
        </w:rPr>
        <w:t xml:space="preserve">the </w:t>
      </w:r>
      <w:r w:rsidR="00216C88">
        <w:rPr>
          <w:rFonts w:ascii="Times New Roman" w:eastAsia="Calibri" w:hAnsi="Times New Roman" w:cs="Times New Roman"/>
          <w:iCs/>
          <w:sz w:val="24"/>
          <w:szCs w:val="24"/>
        </w:rPr>
        <w:t>transposition</w:t>
      </w:r>
      <w:r>
        <w:rPr>
          <w:rFonts w:ascii="Times New Roman" w:eastAsia="Calibri" w:hAnsi="Times New Roman" w:cs="Times New Roman"/>
          <w:iCs/>
          <w:sz w:val="24"/>
          <w:szCs w:val="24"/>
        </w:rPr>
        <w:t xml:space="preserve"> of the</w:t>
      </w:r>
      <w:r w:rsidRPr="00A82D21">
        <w:rPr>
          <w:rFonts w:ascii="Times New Roman" w:eastAsia="Calibri" w:hAnsi="Times New Roman" w:cs="Times New Roman"/>
          <w:iCs/>
          <w:sz w:val="24"/>
          <w:szCs w:val="24"/>
        </w:rPr>
        <w:t xml:space="preserve"> </w:t>
      </w:r>
      <w:r w:rsidRPr="00A82D21">
        <w:rPr>
          <w:rFonts w:ascii="Times New Roman" w:eastAsia="Calibri" w:hAnsi="Times New Roman" w:cs="Times New Roman"/>
          <w:b/>
          <w:iCs/>
          <w:sz w:val="24"/>
          <w:szCs w:val="24"/>
        </w:rPr>
        <w:t>EU Passenger Name Record Directive</w:t>
      </w:r>
      <w:r w:rsidRPr="004E0C6D">
        <w:rPr>
          <w:rStyle w:val="FootnoteReference"/>
          <w:rFonts w:eastAsia="Calibri"/>
          <w:iCs/>
        </w:rPr>
        <w:footnoteReference w:id="41"/>
      </w:r>
      <w:r w:rsidRPr="004E0C6D">
        <w:rPr>
          <w:rFonts w:ascii="Times New Roman" w:eastAsia="Calibri" w:hAnsi="Times New Roman" w:cs="Times New Roman"/>
          <w:iCs/>
          <w:sz w:val="24"/>
          <w:szCs w:val="24"/>
        </w:rPr>
        <w:t xml:space="preserve"> </w:t>
      </w:r>
      <w:r w:rsidR="00216C88">
        <w:rPr>
          <w:rFonts w:ascii="Times New Roman" w:eastAsia="Calibri" w:hAnsi="Times New Roman" w:cs="Times New Roman"/>
          <w:iCs/>
          <w:sz w:val="24"/>
          <w:szCs w:val="24"/>
        </w:rPr>
        <w:t>expired</w:t>
      </w:r>
      <w:r w:rsidRPr="00A82D21">
        <w:rPr>
          <w:rFonts w:ascii="Times New Roman" w:eastAsia="Calibri" w:hAnsi="Times New Roman" w:cs="Times New Roman"/>
          <w:iCs/>
          <w:sz w:val="24"/>
          <w:szCs w:val="24"/>
        </w:rPr>
        <w:t xml:space="preserve"> on 25 May 2018. </w:t>
      </w:r>
      <w:r w:rsidRPr="00A82D21">
        <w:rPr>
          <w:rFonts w:ascii="Times New Roman" w:hAnsi="Times New Roman" w:cs="Times New Roman"/>
          <w:sz w:val="24"/>
          <w:szCs w:val="24"/>
        </w:rPr>
        <w:t xml:space="preserve">To date, </w:t>
      </w:r>
      <w:r w:rsidRPr="00B6712F">
        <w:rPr>
          <w:rFonts w:ascii="Times New Roman" w:hAnsi="Times New Roman" w:cs="Times New Roman"/>
          <w:sz w:val="24"/>
          <w:szCs w:val="24"/>
        </w:rPr>
        <w:t>25</w:t>
      </w:r>
      <w:r w:rsidRPr="00A82D21">
        <w:rPr>
          <w:rFonts w:ascii="Times New Roman" w:hAnsi="Times New Roman" w:cs="Times New Roman"/>
          <w:sz w:val="24"/>
          <w:szCs w:val="24"/>
        </w:rPr>
        <w:t xml:space="preserve"> Member States have notified full transposition</w:t>
      </w:r>
      <w:r w:rsidRPr="00A82D21">
        <w:rPr>
          <w:rStyle w:val="FootnoteReference"/>
        </w:rPr>
        <w:footnoteReference w:id="42"/>
      </w:r>
      <w:r w:rsidR="00D51914">
        <w:rPr>
          <w:rFonts w:ascii="Times New Roman" w:hAnsi="Times New Roman" w:cs="Times New Roman"/>
          <w:sz w:val="24"/>
          <w:szCs w:val="24"/>
        </w:rPr>
        <w:t xml:space="preserve">, </w:t>
      </w:r>
      <w:r w:rsidR="00D51914">
        <w:rPr>
          <w:rFonts w:ascii="Times New Roman" w:eastAsia="Calibri" w:hAnsi="Times New Roman" w:cs="Times New Roman"/>
          <w:iCs/>
          <w:sz w:val="24"/>
          <w:szCs w:val="24"/>
        </w:rPr>
        <w:t>which represents significant progress since July 2018 when the Commission launched infringement procedures against 14 Member States.</w:t>
      </w:r>
      <w:r w:rsidR="00D51914" w:rsidRPr="00B501F2">
        <w:rPr>
          <w:rStyle w:val="FootnoteReference"/>
        </w:rPr>
        <w:footnoteReference w:id="43"/>
      </w:r>
      <w:r w:rsidRPr="00A82D21">
        <w:rPr>
          <w:rFonts w:ascii="Times New Roman" w:eastAsia="Calibri" w:hAnsi="Times New Roman" w:cs="Times New Roman"/>
          <w:iCs/>
          <w:sz w:val="24"/>
          <w:szCs w:val="24"/>
        </w:rPr>
        <w:t xml:space="preserve"> </w:t>
      </w:r>
      <w:r w:rsidR="00216C88">
        <w:rPr>
          <w:rFonts w:ascii="Times New Roman" w:eastAsia="Calibri" w:hAnsi="Times New Roman" w:cs="Times New Roman"/>
          <w:iCs/>
          <w:sz w:val="24"/>
          <w:szCs w:val="24"/>
        </w:rPr>
        <w:t>T</w:t>
      </w:r>
      <w:r w:rsidRPr="00A82D21">
        <w:rPr>
          <w:rFonts w:ascii="Times New Roman" w:eastAsia="Calibri" w:hAnsi="Times New Roman" w:cs="Times New Roman"/>
          <w:iCs/>
          <w:sz w:val="24"/>
          <w:szCs w:val="24"/>
        </w:rPr>
        <w:t>wo Member States</w:t>
      </w:r>
      <w:r w:rsidR="00216C88">
        <w:rPr>
          <w:rFonts w:ascii="Times New Roman" w:eastAsia="Calibri" w:hAnsi="Times New Roman" w:cs="Times New Roman"/>
          <w:iCs/>
          <w:sz w:val="24"/>
          <w:szCs w:val="24"/>
        </w:rPr>
        <w:t xml:space="preserve"> have yet to notify full transposition</w:t>
      </w:r>
      <w:r w:rsidRPr="00A82D21">
        <w:rPr>
          <w:rFonts w:ascii="Times New Roman" w:eastAsia="Calibri" w:hAnsi="Times New Roman" w:cs="Times New Roman"/>
          <w:iCs/>
          <w:sz w:val="24"/>
          <w:szCs w:val="24"/>
        </w:rPr>
        <w:t>, despite</w:t>
      </w:r>
      <w:r w:rsidR="00216C88">
        <w:rPr>
          <w:rFonts w:ascii="Times New Roman" w:eastAsia="Calibri" w:hAnsi="Times New Roman" w:cs="Times New Roman"/>
          <w:iCs/>
          <w:sz w:val="24"/>
          <w:szCs w:val="24"/>
        </w:rPr>
        <w:t xml:space="preserve"> on-going</w:t>
      </w:r>
      <w:r w:rsidRPr="00A82D21">
        <w:rPr>
          <w:rFonts w:ascii="Times New Roman" w:eastAsia="Calibri" w:hAnsi="Times New Roman" w:cs="Times New Roman"/>
          <w:iCs/>
          <w:sz w:val="24"/>
          <w:szCs w:val="24"/>
        </w:rPr>
        <w:t xml:space="preserve"> infringement procedures launched on 19 July 2018.</w:t>
      </w:r>
      <w:r w:rsidRPr="00A82D21">
        <w:rPr>
          <w:rStyle w:val="FootnoteReference"/>
          <w:rFonts w:eastAsia="Calibri"/>
          <w:iCs/>
        </w:rPr>
        <w:footnoteReference w:id="44"/>
      </w:r>
      <w:r w:rsidRPr="00A82D21">
        <w:rPr>
          <w:rFonts w:ascii="Times New Roman" w:eastAsia="Calibri" w:hAnsi="Times New Roman" w:cs="Times New Roman"/>
          <w:iCs/>
          <w:sz w:val="24"/>
          <w:szCs w:val="24"/>
        </w:rPr>
        <w:t xml:space="preserve"> In parallel, the Commission continues to support all Member States in their efforts to complete the development of their passenger name record systems, including </w:t>
      </w:r>
      <w:r w:rsidR="004546C8">
        <w:rPr>
          <w:rFonts w:ascii="Times New Roman" w:eastAsia="Calibri" w:hAnsi="Times New Roman" w:cs="Times New Roman"/>
          <w:iCs/>
          <w:sz w:val="24"/>
          <w:szCs w:val="24"/>
        </w:rPr>
        <w:t xml:space="preserve">by </w:t>
      </w:r>
      <w:r w:rsidRPr="00A82D21">
        <w:rPr>
          <w:rFonts w:ascii="Times New Roman" w:eastAsia="Calibri" w:hAnsi="Times New Roman" w:cs="Times New Roman"/>
          <w:iCs/>
          <w:sz w:val="24"/>
          <w:szCs w:val="24"/>
        </w:rPr>
        <w:t>facilitating the exchange of</w:t>
      </w:r>
      <w:r>
        <w:rPr>
          <w:rFonts w:ascii="Times New Roman" w:eastAsia="Calibri" w:hAnsi="Times New Roman" w:cs="Times New Roman"/>
          <w:iCs/>
          <w:sz w:val="24"/>
          <w:szCs w:val="24"/>
        </w:rPr>
        <w:t xml:space="preserve"> information and best practices.</w:t>
      </w:r>
    </w:p>
    <w:p w14:paraId="33162AEB" w14:textId="0878E98F" w:rsidR="004E0C6D" w:rsidRPr="008D1951" w:rsidRDefault="00216C88" w:rsidP="004E0C6D">
      <w:pPr>
        <w:widowControl w:val="0"/>
        <w:spacing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The deadline for </w:t>
      </w:r>
      <w:r w:rsidR="00927647">
        <w:rPr>
          <w:rFonts w:ascii="Times New Roman" w:eastAsia="Calibri" w:hAnsi="Times New Roman" w:cs="Times New Roman"/>
          <w:iCs/>
          <w:sz w:val="24"/>
          <w:szCs w:val="24"/>
        </w:rPr>
        <w:t xml:space="preserve">the </w:t>
      </w:r>
      <w:r>
        <w:rPr>
          <w:rFonts w:ascii="Times New Roman" w:eastAsia="Calibri" w:hAnsi="Times New Roman" w:cs="Times New Roman"/>
          <w:iCs/>
          <w:sz w:val="24"/>
          <w:szCs w:val="24"/>
        </w:rPr>
        <w:t>transposition of the</w:t>
      </w:r>
      <w:r w:rsidRPr="00216C88">
        <w:rPr>
          <w:rFonts w:ascii="Times New Roman" w:eastAsia="Calibri" w:hAnsi="Times New Roman" w:cs="Times New Roman"/>
          <w:b/>
          <w:bCs/>
          <w:iCs/>
          <w:sz w:val="24"/>
          <w:szCs w:val="24"/>
        </w:rPr>
        <w:t xml:space="preserve"> </w:t>
      </w:r>
      <w:r w:rsidRPr="008D1951">
        <w:rPr>
          <w:rFonts w:ascii="Times New Roman" w:eastAsia="Calibri" w:hAnsi="Times New Roman" w:cs="Times New Roman"/>
          <w:b/>
          <w:bCs/>
          <w:iCs/>
          <w:sz w:val="24"/>
          <w:szCs w:val="24"/>
        </w:rPr>
        <w:t>Directive on combating terrorism</w:t>
      </w:r>
      <w:r w:rsidRPr="008D1951">
        <w:rPr>
          <w:rFonts w:ascii="Times New Roman" w:eastAsia="Calibri" w:hAnsi="Times New Roman" w:cs="Times New Roman"/>
          <w:iCs/>
          <w:sz w:val="24"/>
          <w:szCs w:val="24"/>
          <w:vertAlign w:val="superscript"/>
        </w:rPr>
        <w:footnoteReference w:id="45"/>
      </w:r>
      <w:r>
        <w:rPr>
          <w:rFonts w:ascii="Times New Roman" w:eastAsia="Calibri" w:hAnsi="Times New Roman" w:cs="Times New Roman"/>
          <w:bCs/>
          <w:iCs/>
          <w:sz w:val="24"/>
          <w:szCs w:val="24"/>
        </w:rPr>
        <w:t xml:space="preserve"> expired on 8 September 2018. </w:t>
      </w:r>
      <w:r>
        <w:rPr>
          <w:rFonts w:ascii="Times New Roman" w:hAnsi="Times New Roman" w:cs="Times New Roman"/>
          <w:noProof/>
          <w:sz w:val="24"/>
          <w:szCs w:val="24"/>
        </w:rPr>
        <w:t xml:space="preserve">To date, </w:t>
      </w:r>
      <w:r w:rsidR="009804CB">
        <w:rPr>
          <w:rFonts w:ascii="Times New Roman" w:hAnsi="Times New Roman" w:cs="Times New Roman"/>
          <w:noProof/>
          <w:sz w:val="24"/>
          <w:szCs w:val="24"/>
        </w:rPr>
        <w:t xml:space="preserve">22 </w:t>
      </w:r>
      <w:r>
        <w:rPr>
          <w:rFonts w:ascii="Times New Roman" w:hAnsi="Times New Roman" w:cs="Times New Roman"/>
          <w:noProof/>
          <w:sz w:val="24"/>
          <w:szCs w:val="24"/>
        </w:rPr>
        <w:t>Member States have notified full transposition</w:t>
      </w:r>
      <w:r w:rsidR="00D51914">
        <w:rPr>
          <w:rFonts w:ascii="Times New Roman" w:hAnsi="Times New Roman" w:cs="Times New Roman"/>
          <w:noProof/>
          <w:sz w:val="24"/>
          <w:szCs w:val="24"/>
        </w:rPr>
        <w:t>,</w:t>
      </w:r>
      <w:r w:rsidR="00D51914" w:rsidRPr="00D51914">
        <w:rPr>
          <w:rFonts w:ascii="Times New Roman" w:eastAsia="Calibri" w:hAnsi="Times New Roman" w:cs="Times New Roman"/>
          <w:iCs/>
          <w:sz w:val="24"/>
          <w:szCs w:val="24"/>
        </w:rPr>
        <w:t xml:space="preserve"> </w:t>
      </w:r>
      <w:r w:rsidR="00D51914">
        <w:rPr>
          <w:rFonts w:ascii="Times New Roman" w:eastAsia="Calibri" w:hAnsi="Times New Roman" w:cs="Times New Roman"/>
          <w:iCs/>
          <w:sz w:val="24"/>
          <w:szCs w:val="24"/>
        </w:rPr>
        <w:t>which represents significant progress since November 2018 when the Commission launched infringement procedures against 16 Member States</w:t>
      </w:r>
      <w:r>
        <w:rPr>
          <w:rFonts w:ascii="Times New Roman" w:hAnsi="Times New Roman" w:cs="Times New Roman"/>
          <w:noProof/>
          <w:sz w:val="24"/>
          <w:szCs w:val="24"/>
        </w:rPr>
        <w:t>.</w:t>
      </w:r>
      <w:r w:rsidR="00D51914" w:rsidRPr="006F1AEB">
        <w:rPr>
          <w:rStyle w:val="FootnoteReference"/>
        </w:rPr>
        <w:footnoteReference w:id="46"/>
      </w:r>
      <w:r>
        <w:rPr>
          <w:rFonts w:ascii="Times New Roman" w:hAnsi="Times New Roman" w:cs="Times New Roman"/>
          <w:noProof/>
          <w:sz w:val="24"/>
          <w:szCs w:val="24"/>
        </w:rPr>
        <w:t xml:space="preserve"> </w:t>
      </w:r>
      <w:r w:rsidR="009804CB">
        <w:rPr>
          <w:rFonts w:ascii="Times New Roman" w:eastAsia="Calibri" w:hAnsi="Times New Roman" w:cs="Times New Roman"/>
          <w:iCs/>
          <w:sz w:val="24"/>
          <w:szCs w:val="24"/>
        </w:rPr>
        <w:t xml:space="preserve">Three </w:t>
      </w:r>
      <w:r w:rsidRPr="00A82D21">
        <w:rPr>
          <w:rFonts w:ascii="Times New Roman" w:eastAsia="Calibri" w:hAnsi="Times New Roman" w:cs="Times New Roman"/>
          <w:iCs/>
          <w:sz w:val="24"/>
          <w:szCs w:val="24"/>
        </w:rPr>
        <w:t>Member States</w:t>
      </w:r>
      <w:r>
        <w:rPr>
          <w:rFonts w:ascii="Times New Roman" w:eastAsia="Calibri" w:hAnsi="Times New Roman" w:cs="Times New Roman"/>
          <w:iCs/>
          <w:sz w:val="24"/>
          <w:szCs w:val="24"/>
        </w:rPr>
        <w:t xml:space="preserve"> have yet to notify full transposition</w:t>
      </w:r>
      <w:r w:rsidRPr="00A82D21">
        <w:rPr>
          <w:rFonts w:ascii="Times New Roman" w:eastAsia="Calibri" w:hAnsi="Times New Roman" w:cs="Times New Roman"/>
          <w:iCs/>
          <w:sz w:val="24"/>
          <w:szCs w:val="24"/>
        </w:rPr>
        <w:t>, despite</w:t>
      </w:r>
      <w:r>
        <w:rPr>
          <w:rFonts w:ascii="Times New Roman" w:eastAsia="Calibri" w:hAnsi="Times New Roman" w:cs="Times New Roman"/>
          <w:iCs/>
          <w:sz w:val="24"/>
          <w:szCs w:val="24"/>
        </w:rPr>
        <w:t xml:space="preserve"> </w:t>
      </w:r>
      <w:r w:rsidR="00D51914">
        <w:rPr>
          <w:rFonts w:ascii="Times New Roman" w:eastAsia="Calibri" w:hAnsi="Times New Roman" w:cs="Times New Roman"/>
          <w:iCs/>
          <w:sz w:val="24"/>
          <w:szCs w:val="24"/>
        </w:rPr>
        <w:t xml:space="preserve">the </w:t>
      </w:r>
      <w:r>
        <w:rPr>
          <w:rFonts w:ascii="Times New Roman" w:eastAsia="Calibri" w:hAnsi="Times New Roman" w:cs="Times New Roman"/>
          <w:iCs/>
          <w:sz w:val="24"/>
          <w:szCs w:val="24"/>
        </w:rPr>
        <w:t>on-going</w:t>
      </w:r>
      <w:r w:rsidRPr="00A82D21">
        <w:rPr>
          <w:rFonts w:ascii="Times New Roman" w:eastAsia="Calibri" w:hAnsi="Times New Roman" w:cs="Times New Roman"/>
          <w:iCs/>
          <w:sz w:val="24"/>
          <w:szCs w:val="24"/>
        </w:rPr>
        <w:t xml:space="preserve"> infringement procedures</w:t>
      </w:r>
      <w:r>
        <w:rPr>
          <w:rFonts w:ascii="Times New Roman" w:eastAsia="Calibri" w:hAnsi="Times New Roman" w:cs="Times New Roman"/>
          <w:iCs/>
          <w:sz w:val="24"/>
          <w:szCs w:val="24"/>
        </w:rPr>
        <w:t>.</w:t>
      </w:r>
      <w:r>
        <w:rPr>
          <w:rStyle w:val="FootnoteReference"/>
          <w:rFonts w:eastAsia="Calibri"/>
          <w:iCs/>
        </w:rPr>
        <w:footnoteReference w:id="47"/>
      </w:r>
      <w:r>
        <w:rPr>
          <w:rFonts w:ascii="Times New Roman" w:eastAsia="Calibri" w:hAnsi="Times New Roman" w:cs="Times New Roman"/>
          <w:iCs/>
          <w:sz w:val="24"/>
          <w:szCs w:val="24"/>
        </w:rPr>
        <w:t xml:space="preserve"> </w:t>
      </w:r>
      <w:r w:rsidR="004E0C6D" w:rsidRPr="008D1951">
        <w:rPr>
          <w:rFonts w:ascii="Times New Roman" w:eastAsia="Calibri" w:hAnsi="Times New Roman" w:cs="Times New Roman"/>
          <w:iCs/>
          <w:sz w:val="24"/>
          <w:szCs w:val="24"/>
        </w:rPr>
        <w:t xml:space="preserve">On 25 July 2019, the Commission sent reasoned opinions </w:t>
      </w:r>
      <w:r w:rsidR="007B1B3B">
        <w:rPr>
          <w:rFonts w:ascii="Times New Roman" w:eastAsia="Calibri" w:hAnsi="Times New Roman" w:cs="Times New Roman"/>
          <w:iCs/>
          <w:sz w:val="24"/>
          <w:szCs w:val="24"/>
        </w:rPr>
        <w:t>to</w:t>
      </w:r>
      <w:r w:rsidR="00707B30">
        <w:rPr>
          <w:rFonts w:ascii="Times New Roman" w:eastAsia="Calibri" w:hAnsi="Times New Roman" w:cs="Times New Roman"/>
          <w:iCs/>
          <w:sz w:val="24"/>
          <w:szCs w:val="24"/>
        </w:rPr>
        <w:t xml:space="preserve"> </w:t>
      </w:r>
      <w:r w:rsidR="009804CB">
        <w:rPr>
          <w:rFonts w:ascii="Times New Roman" w:eastAsia="Calibri" w:hAnsi="Times New Roman" w:cs="Times New Roman"/>
          <w:iCs/>
          <w:sz w:val="24"/>
          <w:szCs w:val="24"/>
        </w:rPr>
        <w:t>two</w:t>
      </w:r>
      <w:r w:rsidR="009804CB" w:rsidRPr="00216C88">
        <w:rPr>
          <w:rFonts w:ascii="Times New Roman" w:eastAsia="Calibri" w:hAnsi="Times New Roman" w:cs="Times New Roman"/>
          <w:iCs/>
          <w:sz w:val="24"/>
          <w:szCs w:val="24"/>
        </w:rPr>
        <w:t xml:space="preserve"> </w:t>
      </w:r>
      <w:r w:rsidR="00707B30" w:rsidRPr="00216C88">
        <w:rPr>
          <w:rFonts w:ascii="Times New Roman" w:eastAsia="Calibri" w:hAnsi="Times New Roman" w:cs="Times New Roman"/>
          <w:iCs/>
          <w:sz w:val="24"/>
          <w:szCs w:val="24"/>
        </w:rPr>
        <w:t>Member States</w:t>
      </w:r>
      <w:r w:rsidR="004E0C6D" w:rsidRPr="008D1951">
        <w:rPr>
          <w:rFonts w:ascii="Times New Roman" w:eastAsia="Calibri" w:hAnsi="Times New Roman" w:cs="Times New Roman"/>
          <w:iCs/>
          <w:sz w:val="24"/>
          <w:szCs w:val="24"/>
        </w:rPr>
        <w:t xml:space="preserve"> for failing to </w:t>
      </w:r>
      <w:r>
        <w:rPr>
          <w:rFonts w:ascii="Times New Roman" w:eastAsia="Calibri" w:hAnsi="Times New Roman" w:cs="Times New Roman"/>
          <w:iCs/>
          <w:sz w:val="24"/>
          <w:szCs w:val="24"/>
        </w:rPr>
        <w:t>notify</w:t>
      </w:r>
      <w:r w:rsidR="004E0C6D" w:rsidRPr="008D1951">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full transposition of the Directive</w:t>
      </w:r>
      <w:r w:rsidR="009804CB">
        <w:rPr>
          <w:rStyle w:val="FootnoteReference"/>
          <w:rFonts w:eastAsia="Calibri"/>
          <w:iCs/>
        </w:rPr>
        <w:footnoteReference w:id="48"/>
      </w:r>
      <w:r w:rsidR="004E0C6D" w:rsidRPr="008D1951">
        <w:rPr>
          <w:rFonts w:ascii="Times New Roman" w:eastAsia="Calibri" w:hAnsi="Times New Roman" w:cs="Times New Roman"/>
          <w:iCs/>
          <w:sz w:val="24"/>
          <w:szCs w:val="24"/>
        </w:rPr>
        <w:t xml:space="preserve">. </w:t>
      </w:r>
      <w:r>
        <w:rPr>
          <w:rFonts w:ascii="Times New Roman" w:hAnsi="Times New Roman" w:cs="Times New Roman"/>
          <w:sz w:val="24"/>
          <w:szCs w:val="24"/>
        </w:rPr>
        <w:t>In response, both</w:t>
      </w:r>
      <w:r w:rsidR="004E0C6D" w:rsidRPr="008D1951">
        <w:rPr>
          <w:rFonts w:ascii="Times New Roman" w:hAnsi="Times New Roman" w:cs="Times New Roman"/>
          <w:sz w:val="24"/>
          <w:szCs w:val="24"/>
        </w:rPr>
        <w:t xml:space="preserve"> Member States </w:t>
      </w:r>
      <w:r>
        <w:rPr>
          <w:rFonts w:ascii="Times New Roman" w:hAnsi="Times New Roman" w:cs="Times New Roman"/>
          <w:sz w:val="24"/>
          <w:szCs w:val="24"/>
        </w:rPr>
        <w:t xml:space="preserve">announced </w:t>
      </w:r>
      <w:r w:rsidR="004E0C6D" w:rsidRPr="008D1951">
        <w:rPr>
          <w:rFonts w:ascii="Times New Roman" w:hAnsi="Times New Roman" w:cs="Times New Roman"/>
          <w:sz w:val="24"/>
          <w:szCs w:val="24"/>
        </w:rPr>
        <w:t xml:space="preserve">that legislative work will be completed before the end of </w:t>
      </w:r>
      <w:r>
        <w:rPr>
          <w:rFonts w:ascii="Times New Roman" w:hAnsi="Times New Roman" w:cs="Times New Roman"/>
          <w:sz w:val="24"/>
          <w:szCs w:val="24"/>
        </w:rPr>
        <w:t>this</w:t>
      </w:r>
      <w:r w:rsidR="004E0C6D" w:rsidRPr="008D1951">
        <w:rPr>
          <w:rFonts w:ascii="Times New Roman" w:hAnsi="Times New Roman" w:cs="Times New Roman"/>
          <w:sz w:val="24"/>
          <w:szCs w:val="24"/>
        </w:rPr>
        <w:t xml:space="preserve"> year.</w:t>
      </w:r>
    </w:p>
    <w:p w14:paraId="74793B88" w14:textId="21A4C5E7" w:rsidR="004E0C6D" w:rsidRDefault="004E0C6D" w:rsidP="0097150D">
      <w:pPr>
        <w:widowControl w:val="0"/>
        <w:spacing w:after="240" w:line="240" w:lineRule="auto"/>
        <w:jc w:val="both"/>
        <w:rPr>
          <w:rFonts w:ascii="Times New Roman" w:eastAsia="Calibri" w:hAnsi="Times New Roman" w:cs="Times New Roman"/>
          <w:iCs/>
          <w:sz w:val="24"/>
          <w:szCs w:val="24"/>
        </w:rPr>
      </w:pPr>
      <w:r w:rsidRPr="008D1951">
        <w:rPr>
          <w:rFonts w:ascii="Times New Roman" w:eastAsia="Calibri" w:hAnsi="Times New Roman" w:cs="Times New Roman"/>
          <w:iCs/>
          <w:sz w:val="24"/>
          <w:szCs w:val="24"/>
        </w:rPr>
        <w:t xml:space="preserve">The deadline for </w:t>
      </w:r>
      <w:r w:rsidR="00927647">
        <w:rPr>
          <w:rFonts w:ascii="Times New Roman" w:eastAsia="Calibri" w:hAnsi="Times New Roman" w:cs="Times New Roman"/>
          <w:iCs/>
          <w:sz w:val="24"/>
          <w:szCs w:val="24"/>
        </w:rPr>
        <w:t xml:space="preserve">the </w:t>
      </w:r>
      <w:r w:rsidRPr="008D1951">
        <w:rPr>
          <w:rFonts w:ascii="Times New Roman" w:eastAsia="Calibri" w:hAnsi="Times New Roman" w:cs="Times New Roman"/>
          <w:iCs/>
          <w:sz w:val="24"/>
          <w:szCs w:val="24"/>
        </w:rPr>
        <w:t xml:space="preserve">transposition of the </w:t>
      </w:r>
      <w:r w:rsidRPr="008D1951">
        <w:rPr>
          <w:rFonts w:ascii="Times New Roman" w:eastAsia="Calibri" w:hAnsi="Times New Roman" w:cs="Times New Roman"/>
          <w:b/>
          <w:iCs/>
          <w:sz w:val="24"/>
          <w:szCs w:val="24"/>
        </w:rPr>
        <w:t>Directive on the control of the acquisition and possession of weapons</w:t>
      </w:r>
      <w:r w:rsidR="009804CB" w:rsidRPr="00B7715D">
        <w:rPr>
          <w:rStyle w:val="FootnoteReference"/>
          <w:rFonts w:eastAsia="Calibri"/>
          <w:iCs/>
        </w:rPr>
        <w:footnoteReference w:id="49"/>
      </w:r>
      <w:r w:rsidRPr="008D1951">
        <w:rPr>
          <w:rFonts w:ascii="Times New Roman" w:eastAsia="Calibri" w:hAnsi="Times New Roman" w:cs="Times New Roman"/>
          <w:iCs/>
          <w:sz w:val="24"/>
          <w:szCs w:val="24"/>
        </w:rPr>
        <w:t xml:space="preserve"> </w:t>
      </w:r>
      <w:r w:rsidR="00216C88">
        <w:rPr>
          <w:rFonts w:ascii="Times New Roman" w:eastAsia="Calibri" w:hAnsi="Times New Roman" w:cs="Times New Roman"/>
          <w:iCs/>
          <w:sz w:val="24"/>
          <w:szCs w:val="24"/>
        </w:rPr>
        <w:t>expired</w:t>
      </w:r>
      <w:r w:rsidRPr="008D1951">
        <w:rPr>
          <w:rFonts w:ascii="Times New Roman" w:eastAsia="Calibri" w:hAnsi="Times New Roman" w:cs="Times New Roman"/>
          <w:iCs/>
          <w:sz w:val="24"/>
          <w:szCs w:val="24"/>
        </w:rPr>
        <w:t xml:space="preserve"> on 14 September 2018. </w:t>
      </w:r>
      <w:r w:rsidR="00216C88">
        <w:rPr>
          <w:rFonts w:ascii="Times New Roman" w:hAnsi="Times New Roman" w:cs="Times New Roman"/>
          <w:noProof/>
          <w:sz w:val="24"/>
          <w:szCs w:val="24"/>
        </w:rPr>
        <w:t xml:space="preserve">To date, </w:t>
      </w:r>
      <w:r w:rsidR="00C70AC5">
        <w:rPr>
          <w:rFonts w:ascii="Times New Roman" w:hAnsi="Times New Roman" w:cs="Times New Roman"/>
          <w:noProof/>
          <w:sz w:val="24"/>
          <w:szCs w:val="24"/>
        </w:rPr>
        <w:t xml:space="preserve">13 </w:t>
      </w:r>
      <w:r w:rsidR="00216C88">
        <w:rPr>
          <w:rFonts w:ascii="Times New Roman" w:hAnsi="Times New Roman" w:cs="Times New Roman"/>
          <w:noProof/>
          <w:sz w:val="24"/>
          <w:szCs w:val="24"/>
        </w:rPr>
        <w:t xml:space="preserve">Member States have notified full transposition. </w:t>
      </w:r>
      <w:r w:rsidR="00C70AC5">
        <w:rPr>
          <w:rFonts w:ascii="Times New Roman" w:eastAsia="Calibri" w:hAnsi="Times New Roman" w:cs="Times New Roman"/>
          <w:iCs/>
          <w:sz w:val="24"/>
          <w:szCs w:val="24"/>
        </w:rPr>
        <w:t>15</w:t>
      </w:r>
      <w:r w:rsidR="00C70AC5" w:rsidRPr="00A82D21">
        <w:rPr>
          <w:rFonts w:ascii="Times New Roman" w:eastAsia="Calibri" w:hAnsi="Times New Roman" w:cs="Times New Roman"/>
          <w:iCs/>
          <w:sz w:val="24"/>
          <w:szCs w:val="24"/>
        </w:rPr>
        <w:t xml:space="preserve"> </w:t>
      </w:r>
      <w:r w:rsidR="00216C88" w:rsidRPr="00A82D21">
        <w:rPr>
          <w:rFonts w:ascii="Times New Roman" w:eastAsia="Calibri" w:hAnsi="Times New Roman" w:cs="Times New Roman"/>
          <w:iCs/>
          <w:sz w:val="24"/>
          <w:szCs w:val="24"/>
        </w:rPr>
        <w:t>Member States</w:t>
      </w:r>
      <w:r w:rsidR="00216C88">
        <w:rPr>
          <w:rFonts w:ascii="Times New Roman" w:eastAsia="Calibri" w:hAnsi="Times New Roman" w:cs="Times New Roman"/>
          <w:iCs/>
          <w:sz w:val="24"/>
          <w:szCs w:val="24"/>
        </w:rPr>
        <w:t xml:space="preserve"> have yet to notify full transposition</w:t>
      </w:r>
      <w:r w:rsidR="00216C88" w:rsidRPr="00A82D21">
        <w:rPr>
          <w:rFonts w:ascii="Times New Roman" w:eastAsia="Calibri" w:hAnsi="Times New Roman" w:cs="Times New Roman"/>
          <w:iCs/>
          <w:sz w:val="24"/>
          <w:szCs w:val="24"/>
        </w:rPr>
        <w:t>, despite</w:t>
      </w:r>
      <w:r w:rsidR="00216C88">
        <w:rPr>
          <w:rFonts w:ascii="Times New Roman" w:eastAsia="Calibri" w:hAnsi="Times New Roman" w:cs="Times New Roman"/>
          <w:iCs/>
          <w:sz w:val="24"/>
          <w:szCs w:val="24"/>
        </w:rPr>
        <w:t xml:space="preserve"> on-going</w:t>
      </w:r>
      <w:r w:rsidR="00216C88" w:rsidRPr="00A82D21">
        <w:rPr>
          <w:rFonts w:ascii="Times New Roman" w:eastAsia="Calibri" w:hAnsi="Times New Roman" w:cs="Times New Roman"/>
          <w:iCs/>
          <w:sz w:val="24"/>
          <w:szCs w:val="24"/>
        </w:rPr>
        <w:t xml:space="preserve"> infringement procedures launched on</w:t>
      </w:r>
      <w:r w:rsidRPr="008D1951">
        <w:rPr>
          <w:rFonts w:ascii="Times New Roman" w:eastAsia="Calibri" w:hAnsi="Times New Roman" w:cs="Times New Roman"/>
          <w:iCs/>
          <w:sz w:val="24"/>
          <w:szCs w:val="24"/>
        </w:rPr>
        <w:t xml:space="preserve"> 22 November 2018</w:t>
      </w:r>
      <w:r w:rsidR="00216C88">
        <w:rPr>
          <w:rFonts w:ascii="Times New Roman" w:eastAsia="Calibri" w:hAnsi="Times New Roman" w:cs="Times New Roman"/>
          <w:iCs/>
          <w:sz w:val="24"/>
          <w:szCs w:val="24"/>
        </w:rPr>
        <w:t>.</w:t>
      </w:r>
      <w:r w:rsidR="00216C88">
        <w:rPr>
          <w:rStyle w:val="FootnoteReference"/>
          <w:noProof/>
        </w:rPr>
        <w:footnoteReference w:id="50"/>
      </w:r>
      <w:r w:rsidR="00216C88">
        <w:rPr>
          <w:rFonts w:ascii="Times New Roman" w:eastAsia="Calibri" w:hAnsi="Times New Roman" w:cs="Times New Roman"/>
          <w:iCs/>
          <w:sz w:val="24"/>
          <w:szCs w:val="24"/>
        </w:rPr>
        <w:t xml:space="preserve"> On 25 July 2019, </w:t>
      </w:r>
      <w:r w:rsidR="00216C88" w:rsidRPr="00216C88">
        <w:rPr>
          <w:rFonts w:ascii="Times New Roman" w:eastAsia="Calibri" w:hAnsi="Times New Roman" w:cs="Times New Roman"/>
          <w:iCs/>
          <w:sz w:val="24"/>
          <w:szCs w:val="24"/>
        </w:rPr>
        <w:t xml:space="preserve">the Commission </w:t>
      </w:r>
      <w:r w:rsidR="00216C88">
        <w:rPr>
          <w:rFonts w:ascii="Times New Roman" w:eastAsia="Calibri" w:hAnsi="Times New Roman" w:cs="Times New Roman"/>
          <w:iCs/>
          <w:sz w:val="24"/>
          <w:szCs w:val="24"/>
        </w:rPr>
        <w:t>sent</w:t>
      </w:r>
      <w:r w:rsidR="00216C88" w:rsidRPr="00216C88">
        <w:rPr>
          <w:rFonts w:ascii="Times New Roman" w:eastAsia="Calibri" w:hAnsi="Times New Roman" w:cs="Times New Roman"/>
          <w:iCs/>
          <w:sz w:val="24"/>
          <w:szCs w:val="24"/>
        </w:rPr>
        <w:t xml:space="preserve"> reasoned opinions to 20 Member States </w:t>
      </w:r>
      <w:r w:rsidR="00216C88" w:rsidRPr="008D1951">
        <w:rPr>
          <w:rFonts w:ascii="Times New Roman" w:eastAsia="Calibri" w:hAnsi="Times New Roman" w:cs="Times New Roman"/>
          <w:iCs/>
          <w:sz w:val="24"/>
          <w:szCs w:val="24"/>
        </w:rPr>
        <w:t xml:space="preserve">for failing to </w:t>
      </w:r>
      <w:r w:rsidR="00216C88">
        <w:rPr>
          <w:rFonts w:ascii="Times New Roman" w:eastAsia="Calibri" w:hAnsi="Times New Roman" w:cs="Times New Roman"/>
          <w:iCs/>
          <w:sz w:val="24"/>
          <w:szCs w:val="24"/>
        </w:rPr>
        <w:t>notify</w:t>
      </w:r>
      <w:r w:rsidR="00216C88" w:rsidRPr="008D1951">
        <w:rPr>
          <w:rFonts w:ascii="Times New Roman" w:eastAsia="Calibri" w:hAnsi="Times New Roman" w:cs="Times New Roman"/>
          <w:iCs/>
          <w:sz w:val="24"/>
          <w:szCs w:val="24"/>
        </w:rPr>
        <w:t xml:space="preserve"> </w:t>
      </w:r>
      <w:r w:rsidR="00216C88">
        <w:rPr>
          <w:rFonts w:ascii="Times New Roman" w:eastAsia="Calibri" w:hAnsi="Times New Roman" w:cs="Times New Roman"/>
          <w:iCs/>
          <w:sz w:val="24"/>
          <w:szCs w:val="24"/>
        </w:rPr>
        <w:t>full transposition of the Directive</w:t>
      </w:r>
      <w:r w:rsidR="00216C88" w:rsidRPr="00216C88">
        <w:rPr>
          <w:rFonts w:ascii="Times New Roman" w:eastAsia="Calibri" w:hAnsi="Times New Roman" w:cs="Times New Roman"/>
          <w:iCs/>
          <w:sz w:val="24"/>
          <w:szCs w:val="24"/>
        </w:rPr>
        <w:t>.</w:t>
      </w:r>
      <w:r w:rsidR="00216C88">
        <w:rPr>
          <w:rFonts w:ascii="Times New Roman" w:eastAsia="Calibri" w:hAnsi="Times New Roman" w:cs="Times New Roman"/>
          <w:iCs/>
          <w:sz w:val="24"/>
          <w:szCs w:val="24"/>
        </w:rPr>
        <w:t xml:space="preserve"> In response, </w:t>
      </w:r>
      <w:r w:rsidR="00D51914">
        <w:rPr>
          <w:rFonts w:ascii="Times New Roman" w:eastAsia="Calibri" w:hAnsi="Times New Roman" w:cs="Times New Roman"/>
          <w:iCs/>
          <w:sz w:val="24"/>
          <w:szCs w:val="24"/>
        </w:rPr>
        <w:t xml:space="preserve">five </w:t>
      </w:r>
      <w:r w:rsidR="00216C88">
        <w:rPr>
          <w:rFonts w:ascii="Times New Roman" w:eastAsia="Calibri" w:hAnsi="Times New Roman" w:cs="Times New Roman"/>
          <w:iCs/>
          <w:sz w:val="24"/>
          <w:szCs w:val="24"/>
        </w:rPr>
        <w:t>Member States notified full transposition of the Directive.</w:t>
      </w:r>
      <w:r w:rsidR="00216C88">
        <w:rPr>
          <w:rStyle w:val="FootnoteReference"/>
          <w:rFonts w:eastAsia="Calibri"/>
          <w:iCs/>
        </w:rPr>
        <w:footnoteReference w:id="51"/>
      </w:r>
      <w:r w:rsidR="00216C88">
        <w:rPr>
          <w:rFonts w:ascii="Times New Roman" w:eastAsia="Calibri" w:hAnsi="Times New Roman" w:cs="Times New Roman"/>
          <w:iCs/>
          <w:sz w:val="24"/>
          <w:szCs w:val="24"/>
        </w:rPr>
        <w:t xml:space="preserve"> </w:t>
      </w:r>
    </w:p>
    <w:p w14:paraId="69EDB927" w14:textId="716A451A" w:rsidR="00216C88" w:rsidRDefault="00216C88" w:rsidP="00055568">
      <w:pPr>
        <w:widowControl w:val="0"/>
        <w:spacing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The deadline for</w:t>
      </w:r>
      <w:r w:rsidR="004E0C6D" w:rsidRPr="0097150D">
        <w:rPr>
          <w:rFonts w:ascii="Times New Roman" w:eastAsia="Calibri" w:hAnsi="Times New Roman" w:cs="Times New Roman"/>
          <w:iCs/>
          <w:sz w:val="24"/>
          <w:szCs w:val="24"/>
        </w:rPr>
        <w:t xml:space="preserve"> </w:t>
      </w:r>
      <w:r w:rsidR="00927647">
        <w:rPr>
          <w:rFonts w:ascii="Times New Roman" w:eastAsia="Calibri" w:hAnsi="Times New Roman" w:cs="Times New Roman"/>
          <w:iCs/>
          <w:sz w:val="24"/>
          <w:szCs w:val="24"/>
        </w:rPr>
        <w:t xml:space="preserve">the </w:t>
      </w:r>
      <w:r w:rsidR="004E0C6D" w:rsidRPr="0097150D">
        <w:rPr>
          <w:rFonts w:ascii="Times New Roman" w:eastAsia="Calibri" w:hAnsi="Times New Roman" w:cs="Times New Roman"/>
          <w:iCs/>
          <w:sz w:val="24"/>
          <w:szCs w:val="24"/>
        </w:rPr>
        <w:t xml:space="preserve">transposition of the </w:t>
      </w:r>
      <w:r w:rsidR="004E0C6D" w:rsidRPr="0097150D">
        <w:rPr>
          <w:rFonts w:ascii="Times New Roman" w:eastAsia="Calibri" w:hAnsi="Times New Roman" w:cs="Times New Roman"/>
          <w:b/>
          <w:bCs/>
          <w:iCs/>
          <w:sz w:val="24"/>
          <w:szCs w:val="24"/>
        </w:rPr>
        <w:t>Data Protection Law Enforcement Directive</w:t>
      </w:r>
      <w:r w:rsidR="004E0C6D" w:rsidRPr="004E0C6D">
        <w:rPr>
          <w:rStyle w:val="FootnoteReference"/>
          <w:rFonts w:eastAsia="Calibri"/>
          <w:bCs/>
          <w:iCs/>
        </w:rPr>
        <w:footnoteReference w:id="52"/>
      </w:r>
      <w:r w:rsidR="004E0C6D" w:rsidRPr="0097150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expired</w:t>
      </w:r>
      <w:r w:rsidR="004E0C6D" w:rsidRPr="0097150D">
        <w:rPr>
          <w:rFonts w:ascii="Times New Roman" w:eastAsia="Calibri" w:hAnsi="Times New Roman" w:cs="Times New Roman"/>
          <w:iCs/>
          <w:sz w:val="24"/>
          <w:szCs w:val="24"/>
        </w:rPr>
        <w:t xml:space="preserve"> on 6 May 2018. To date, </w:t>
      </w:r>
      <w:r w:rsidR="00472841" w:rsidRPr="00EF26E0">
        <w:rPr>
          <w:rFonts w:ascii="Times New Roman" w:eastAsia="Calibri" w:hAnsi="Times New Roman" w:cs="Times New Roman"/>
          <w:bCs/>
          <w:iCs/>
          <w:sz w:val="24"/>
          <w:szCs w:val="24"/>
        </w:rPr>
        <w:t>2</w:t>
      </w:r>
      <w:r w:rsidR="00472841">
        <w:rPr>
          <w:rFonts w:ascii="Times New Roman" w:eastAsia="Calibri" w:hAnsi="Times New Roman" w:cs="Times New Roman"/>
          <w:bCs/>
          <w:iCs/>
          <w:sz w:val="24"/>
          <w:szCs w:val="24"/>
        </w:rPr>
        <w:t>5</w:t>
      </w:r>
      <w:r w:rsidR="00472841" w:rsidRPr="0097150D">
        <w:rPr>
          <w:rFonts w:ascii="Times New Roman" w:eastAsia="Calibri" w:hAnsi="Times New Roman" w:cs="Times New Roman"/>
          <w:iCs/>
          <w:sz w:val="24"/>
          <w:szCs w:val="24"/>
        </w:rPr>
        <w:t xml:space="preserve"> </w:t>
      </w:r>
      <w:r w:rsidR="004E0C6D" w:rsidRPr="0097150D">
        <w:rPr>
          <w:rFonts w:ascii="Times New Roman" w:eastAsia="Calibri" w:hAnsi="Times New Roman" w:cs="Times New Roman"/>
          <w:iCs/>
          <w:sz w:val="24"/>
          <w:szCs w:val="24"/>
        </w:rPr>
        <w:t>Member States have notified full transposition</w:t>
      </w:r>
      <w:r w:rsidR="00D51914">
        <w:rPr>
          <w:rFonts w:ascii="Times New Roman" w:hAnsi="Times New Roman" w:cs="Times New Roman"/>
          <w:noProof/>
          <w:sz w:val="24"/>
          <w:szCs w:val="24"/>
        </w:rPr>
        <w:t>,</w:t>
      </w:r>
      <w:r w:rsidR="00D51914" w:rsidRPr="00D51914">
        <w:rPr>
          <w:rFonts w:ascii="Times New Roman" w:eastAsia="Calibri" w:hAnsi="Times New Roman" w:cs="Times New Roman"/>
          <w:iCs/>
          <w:sz w:val="24"/>
          <w:szCs w:val="24"/>
        </w:rPr>
        <w:t xml:space="preserve"> </w:t>
      </w:r>
      <w:r w:rsidR="00D51914">
        <w:rPr>
          <w:rFonts w:ascii="Times New Roman" w:eastAsia="Calibri" w:hAnsi="Times New Roman" w:cs="Times New Roman"/>
          <w:iCs/>
          <w:sz w:val="24"/>
          <w:szCs w:val="24"/>
        </w:rPr>
        <w:t>which represents significant progress since July 2018 when the Commission launched infringement procedures against 19 Member States</w:t>
      </w:r>
      <w:r>
        <w:rPr>
          <w:rFonts w:ascii="Times New Roman" w:eastAsia="Calibri" w:hAnsi="Times New Roman" w:cs="Times New Roman"/>
          <w:iCs/>
          <w:sz w:val="24"/>
          <w:szCs w:val="24"/>
        </w:rPr>
        <w:t>.</w:t>
      </w:r>
      <w:r w:rsidR="00D51914" w:rsidRPr="006F1AEB">
        <w:rPr>
          <w:rStyle w:val="FootnoteReference"/>
        </w:rPr>
        <w:footnoteReference w:id="53"/>
      </w:r>
      <w:r>
        <w:rPr>
          <w:rFonts w:ascii="Times New Roman" w:eastAsia="Calibri" w:hAnsi="Times New Roman" w:cs="Times New Roman"/>
          <w:iCs/>
          <w:sz w:val="24"/>
          <w:szCs w:val="24"/>
        </w:rPr>
        <w:t xml:space="preserve"> Three</w:t>
      </w:r>
      <w:r w:rsidR="004E0C6D" w:rsidRPr="0097150D">
        <w:rPr>
          <w:rFonts w:ascii="Times New Roman" w:eastAsia="Calibri" w:hAnsi="Times New Roman" w:cs="Times New Roman"/>
          <w:iCs/>
          <w:sz w:val="24"/>
          <w:szCs w:val="24"/>
        </w:rPr>
        <w:t xml:space="preserve"> Member States </w:t>
      </w:r>
      <w:r>
        <w:rPr>
          <w:rFonts w:ascii="Times New Roman" w:eastAsia="Calibri" w:hAnsi="Times New Roman" w:cs="Times New Roman"/>
          <w:iCs/>
          <w:sz w:val="24"/>
          <w:szCs w:val="24"/>
        </w:rPr>
        <w:t>have yet to notify full transposition</w:t>
      </w:r>
      <w:r w:rsidR="004E0C6D" w:rsidRPr="0097150D">
        <w:rPr>
          <w:rFonts w:ascii="Times New Roman" w:eastAsia="Calibri" w:hAnsi="Times New Roman" w:cs="Times New Roman"/>
          <w:iCs/>
          <w:sz w:val="24"/>
          <w:szCs w:val="24"/>
        </w:rPr>
        <w:t>, despite</w:t>
      </w:r>
      <w:r w:rsidR="00D51914">
        <w:rPr>
          <w:rFonts w:ascii="Times New Roman" w:eastAsia="Calibri" w:hAnsi="Times New Roman" w:cs="Times New Roman"/>
          <w:iCs/>
          <w:sz w:val="24"/>
          <w:szCs w:val="24"/>
        </w:rPr>
        <w:t xml:space="preserve"> the</w:t>
      </w:r>
      <w:r w:rsidR="004E0C6D" w:rsidRPr="0097150D">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on-going</w:t>
      </w:r>
      <w:r w:rsidR="004E0C6D" w:rsidRPr="0097150D">
        <w:rPr>
          <w:rFonts w:ascii="Times New Roman" w:eastAsia="Calibri" w:hAnsi="Times New Roman" w:cs="Times New Roman"/>
          <w:iCs/>
          <w:sz w:val="24"/>
          <w:szCs w:val="24"/>
        </w:rPr>
        <w:t xml:space="preserve"> infringement procedures</w:t>
      </w:r>
      <w:r w:rsidR="004E0C6D">
        <w:rPr>
          <w:rFonts w:ascii="Times New Roman" w:eastAsia="Calibri" w:hAnsi="Times New Roman" w:cs="Times New Roman"/>
          <w:iCs/>
          <w:sz w:val="24"/>
          <w:szCs w:val="24"/>
        </w:rPr>
        <w:t>.</w:t>
      </w:r>
      <w:r w:rsidR="004E0C6D">
        <w:rPr>
          <w:rStyle w:val="FootnoteReference"/>
          <w:rFonts w:eastAsia="Calibri"/>
          <w:iCs/>
        </w:rPr>
        <w:footnoteReference w:id="54"/>
      </w:r>
      <w:r>
        <w:rPr>
          <w:rFonts w:ascii="Times New Roman" w:eastAsia="Calibri" w:hAnsi="Times New Roman" w:cs="Times New Roman"/>
          <w:iCs/>
          <w:sz w:val="24"/>
          <w:szCs w:val="24"/>
        </w:rPr>
        <w:t xml:space="preserve"> On 25 July 2019, </w:t>
      </w:r>
      <w:r w:rsidRPr="00216C88">
        <w:rPr>
          <w:rFonts w:ascii="Times New Roman" w:eastAsia="Calibri" w:hAnsi="Times New Roman" w:cs="Times New Roman"/>
          <w:iCs/>
          <w:sz w:val="24"/>
          <w:szCs w:val="24"/>
        </w:rPr>
        <w:t xml:space="preserve">the Commission decided to refer </w:t>
      </w:r>
      <w:r>
        <w:rPr>
          <w:rFonts w:ascii="Times New Roman" w:eastAsia="Calibri" w:hAnsi="Times New Roman" w:cs="Times New Roman"/>
          <w:iCs/>
          <w:sz w:val="24"/>
          <w:szCs w:val="24"/>
        </w:rPr>
        <w:t>two Member States</w:t>
      </w:r>
      <w:r>
        <w:rPr>
          <w:rStyle w:val="FootnoteReference"/>
          <w:rFonts w:eastAsia="Calibri"/>
          <w:iCs/>
        </w:rPr>
        <w:footnoteReference w:id="55"/>
      </w:r>
      <w:r w:rsidRPr="00216C88">
        <w:rPr>
          <w:rFonts w:ascii="Times New Roman" w:eastAsia="Calibri" w:hAnsi="Times New Roman" w:cs="Times New Roman"/>
          <w:iCs/>
          <w:sz w:val="24"/>
          <w:szCs w:val="24"/>
        </w:rPr>
        <w:t xml:space="preserve"> to the Court of Justice of the European Union for non</w:t>
      </w:r>
      <w:r>
        <w:rPr>
          <w:rFonts w:ascii="Times New Roman" w:eastAsia="Calibri" w:hAnsi="Times New Roman" w:cs="Times New Roman"/>
          <w:iCs/>
          <w:sz w:val="24"/>
          <w:szCs w:val="24"/>
        </w:rPr>
        <w:t>-transposition of the Directive</w:t>
      </w:r>
      <w:r w:rsidRPr="00216C88">
        <w:rPr>
          <w:rFonts w:ascii="Times New Roman" w:eastAsia="Calibri" w:hAnsi="Times New Roman" w:cs="Times New Roman"/>
          <w:iCs/>
          <w:sz w:val="24"/>
          <w:szCs w:val="24"/>
        </w:rPr>
        <w:t xml:space="preserve"> </w:t>
      </w:r>
      <w:r w:rsidR="003450FB">
        <w:rPr>
          <w:rFonts w:ascii="Times New Roman" w:eastAsia="Calibri" w:hAnsi="Times New Roman" w:cs="Times New Roman"/>
          <w:iCs/>
          <w:sz w:val="24"/>
          <w:szCs w:val="24"/>
        </w:rPr>
        <w:t xml:space="preserve">and </w:t>
      </w:r>
      <w:r w:rsidRPr="00216C88">
        <w:rPr>
          <w:rFonts w:ascii="Times New Roman" w:eastAsia="Calibri" w:hAnsi="Times New Roman" w:cs="Times New Roman"/>
          <w:iCs/>
          <w:sz w:val="24"/>
          <w:szCs w:val="24"/>
        </w:rPr>
        <w:t>sent a le</w:t>
      </w:r>
      <w:r>
        <w:rPr>
          <w:rFonts w:ascii="Times New Roman" w:eastAsia="Calibri" w:hAnsi="Times New Roman" w:cs="Times New Roman"/>
          <w:iCs/>
          <w:sz w:val="24"/>
          <w:szCs w:val="24"/>
        </w:rPr>
        <w:t>tter of formal notice to one Member State</w:t>
      </w:r>
      <w:r>
        <w:rPr>
          <w:rStyle w:val="FootnoteReference"/>
          <w:rFonts w:eastAsia="Calibri"/>
          <w:iCs/>
        </w:rPr>
        <w:footnoteReference w:id="56"/>
      </w:r>
      <w:r>
        <w:rPr>
          <w:rFonts w:ascii="Times New Roman" w:eastAsia="Calibri" w:hAnsi="Times New Roman" w:cs="Times New Roman"/>
          <w:iCs/>
          <w:sz w:val="24"/>
          <w:szCs w:val="24"/>
        </w:rPr>
        <w:t xml:space="preserve"> for failing</w:t>
      </w:r>
      <w:r w:rsidRPr="00216C88">
        <w:rPr>
          <w:rFonts w:ascii="Times New Roman" w:eastAsia="Calibri" w:hAnsi="Times New Roman" w:cs="Times New Roman"/>
          <w:iCs/>
          <w:sz w:val="24"/>
          <w:szCs w:val="24"/>
        </w:rPr>
        <w:t xml:space="preserve"> to </w:t>
      </w:r>
      <w:r>
        <w:rPr>
          <w:rFonts w:ascii="Times New Roman" w:eastAsia="Calibri" w:hAnsi="Times New Roman" w:cs="Times New Roman"/>
          <w:iCs/>
          <w:sz w:val="24"/>
          <w:szCs w:val="24"/>
        </w:rPr>
        <w:t>fully</w:t>
      </w:r>
      <w:r w:rsidRPr="00216C88">
        <w:rPr>
          <w:rFonts w:ascii="Times New Roman" w:eastAsia="Calibri" w:hAnsi="Times New Roman" w:cs="Times New Roman"/>
          <w:iCs/>
          <w:sz w:val="24"/>
          <w:szCs w:val="24"/>
        </w:rPr>
        <w:t xml:space="preserve"> transpose the Directive.</w:t>
      </w:r>
      <w:r w:rsidR="00F12ACE">
        <w:rPr>
          <w:rStyle w:val="FootnoteReference"/>
          <w:rFonts w:eastAsia="Calibri"/>
          <w:iCs/>
        </w:rPr>
        <w:footnoteReference w:id="57"/>
      </w:r>
      <w:r w:rsidRPr="00216C88">
        <w:rPr>
          <w:rFonts w:ascii="Times New Roman" w:eastAsia="Calibri" w:hAnsi="Times New Roman" w:cs="Times New Roman"/>
          <w:iCs/>
          <w:sz w:val="24"/>
          <w:szCs w:val="24"/>
        </w:rPr>
        <w:t xml:space="preserve"> </w:t>
      </w:r>
    </w:p>
    <w:p w14:paraId="5FE50AF9" w14:textId="5A41C01D" w:rsidR="004E0C6D" w:rsidRDefault="004E0C6D" w:rsidP="00055568">
      <w:pPr>
        <w:widowControl w:val="0"/>
        <w:spacing w:after="240" w:line="240" w:lineRule="auto"/>
        <w:jc w:val="both"/>
        <w:rPr>
          <w:rFonts w:ascii="Times New Roman" w:eastAsia="Calibri" w:hAnsi="Times New Roman" w:cs="Times New Roman"/>
          <w:iCs/>
          <w:sz w:val="24"/>
          <w:szCs w:val="24"/>
        </w:rPr>
      </w:pPr>
      <w:r w:rsidRPr="0097150D">
        <w:rPr>
          <w:rFonts w:ascii="Times New Roman" w:eastAsia="Calibri" w:hAnsi="Times New Roman" w:cs="Times New Roman"/>
          <w:iCs/>
          <w:sz w:val="24"/>
          <w:szCs w:val="24"/>
        </w:rPr>
        <w:t xml:space="preserve">The Commission is assessing the transposition of the </w:t>
      </w:r>
      <w:r w:rsidRPr="0097150D">
        <w:rPr>
          <w:rFonts w:ascii="Times New Roman" w:eastAsia="Calibri" w:hAnsi="Times New Roman" w:cs="Times New Roman"/>
          <w:b/>
          <w:iCs/>
          <w:sz w:val="24"/>
          <w:szCs w:val="24"/>
        </w:rPr>
        <w:t>4</w:t>
      </w:r>
      <w:r w:rsidRPr="0097150D">
        <w:rPr>
          <w:rFonts w:ascii="Times New Roman" w:eastAsia="Calibri" w:hAnsi="Times New Roman" w:cs="Times New Roman"/>
          <w:b/>
          <w:iCs/>
          <w:sz w:val="24"/>
          <w:szCs w:val="24"/>
          <w:vertAlign w:val="superscript"/>
        </w:rPr>
        <w:t>th</w:t>
      </w:r>
      <w:r>
        <w:rPr>
          <w:rFonts w:ascii="Times New Roman" w:eastAsia="Calibri" w:hAnsi="Times New Roman" w:cs="Times New Roman"/>
          <w:b/>
          <w:iCs/>
          <w:sz w:val="24"/>
          <w:szCs w:val="24"/>
          <w:vertAlign w:val="superscript"/>
        </w:rPr>
        <w:t xml:space="preserve"> </w:t>
      </w:r>
      <w:r w:rsidRPr="0097150D">
        <w:rPr>
          <w:rFonts w:ascii="Times New Roman" w:eastAsia="Calibri" w:hAnsi="Times New Roman" w:cs="Times New Roman"/>
          <w:b/>
          <w:iCs/>
          <w:sz w:val="24"/>
          <w:szCs w:val="24"/>
        </w:rPr>
        <w:t>Anti-Money Laundering Directive</w:t>
      </w:r>
      <w:r w:rsidRPr="00216C88">
        <w:rPr>
          <w:rStyle w:val="FootnoteReference"/>
          <w:rFonts w:eastAsia="Calibri"/>
          <w:iCs/>
        </w:rPr>
        <w:footnoteReference w:id="58"/>
      </w:r>
      <w:r w:rsidRPr="00216C88">
        <w:rPr>
          <w:rFonts w:ascii="Times New Roman" w:eastAsia="Calibri" w:hAnsi="Times New Roman" w:cs="Times New Roman"/>
          <w:iCs/>
          <w:sz w:val="24"/>
          <w:szCs w:val="24"/>
        </w:rPr>
        <w:t>,</w:t>
      </w:r>
      <w:r w:rsidRPr="0097150D">
        <w:rPr>
          <w:rFonts w:ascii="Times New Roman" w:eastAsia="Calibri" w:hAnsi="Times New Roman" w:cs="Times New Roman"/>
          <w:iCs/>
          <w:sz w:val="24"/>
          <w:szCs w:val="24"/>
        </w:rPr>
        <w:t xml:space="preserve"> while also working to verify that the rules are implemented by Member States.</w:t>
      </w:r>
      <w:r w:rsidR="00083D55">
        <w:rPr>
          <w:rFonts w:ascii="Times New Roman" w:eastAsia="Calibri" w:hAnsi="Times New Roman" w:cs="Times New Roman"/>
          <w:iCs/>
          <w:sz w:val="24"/>
          <w:szCs w:val="24"/>
        </w:rPr>
        <w:t xml:space="preserve"> They</w:t>
      </w:r>
      <w:r w:rsidR="00083D55" w:rsidRPr="00083D55">
        <w:rPr>
          <w:rFonts w:ascii="Times New Roman" w:eastAsia="Calibri" w:hAnsi="Times New Roman" w:cs="Times New Roman"/>
          <w:iCs/>
          <w:sz w:val="24"/>
          <w:szCs w:val="24"/>
        </w:rPr>
        <w:t xml:space="preserve"> had to transpose the Directive into national law by 26 June 2018.</w:t>
      </w:r>
      <w:r w:rsidRPr="0097150D">
        <w:rPr>
          <w:rFonts w:ascii="Times New Roman" w:eastAsia="Calibri" w:hAnsi="Times New Roman" w:cs="Times New Roman"/>
          <w:iCs/>
          <w:sz w:val="24"/>
          <w:szCs w:val="24"/>
        </w:rPr>
        <w:t xml:space="preserve"> The Commission </w:t>
      </w:r>
      <w:r w:rsidR="00A41BF9">
        <w:rPr>
          <w:rFonts w:ascii="Times New Roman" w:eastAsia="Calibri" w:hAnsi="Times New Roman" w:cs="Times New Roman"/>
          <w:iCs/>
          <w:sz w:val="24"/>
          <w:szCs w:val="24"/>
        </w:rPr>
        <w:t>maintains i</w:t>
      </w:r>
      <w:r w:rsidRPr="0097150D">
        <w:rPr>
          <w:rFonts w:ascii="Times New Roman" w:eastAsia="Calibri" w:hAnsi="Times New Roman" w:cs="Times New Roman"/>
          <w:iCs/>
          <w:sz w:val="24"/>
          <w:szCs w:val="24"/>
        </w:rPr>
        <w:t xml:space="preserve">nfringement </w:t>
      </w:r>
      <w:r w:rsidR="00216C88">
        <w:rPr>
          <w:rFonts w:ascii="Times New Roman" w:eastAsia="Calibri" w:hAnsi="Times New Roman" w:cs="Times New Roman"/>
          <w:iCs/>
          <w:sz w:val="24"/>
          <w:szCs w:val="24"/>
        </w:rPr>
        <w:t>procedures</w:t>
      </w:r>
      <w:r w:rsidRPr="0097150D">
        <w:rPr>
          <w:rFonts w:ascii="Times New Roman" w:eastAsia="Calibri" w:hAnsi="Times New Roman" w:cs="Times New Roman"/>
          <w:iCs/>
          <w:sz w:val="24"/>
          <w:szCs w:val="24"/>
        </w:rPr>
        <w:t xml:space="preserve"> against </w:t>
      </w:r>
      <w:r w:rsidRPr="00CA4113">
        <w:rPr>
          <w:rFonts w:ascii="Times New Roman" w:eastAsia="Calibri" w:hAnsi="Times New Roman" w:cs="Times New Roman"/>
          <w:iCs/>
          <w:sz w:val="24"/>
          <w:szCs w:val="24"/>
        </w:rPr>
        <w:t>21 M</w:t>
      </w:r>
      <w:r w:rsidRPr="0097150D">
        <w:rPr>
          <w:rFonts w:ascii="Times New Roman" w:eastAsia="Calibri" w:hAnsi="Times New Roman" w:cs="Times New Roman"/>
          <w:iCs/>
          <w:sz w:val="24"/>
          <w:szCs w:val="24"/>
        </w:rPr>
        <w:t xml:space="preserve">ember States as it </w:t>
      </w:r>
      <w:r w:rsidR="00216C88">
        <w:rPr>
          <w:rFonts w:ascii="Times New Roman" w:eastAsia="Calibri" w:hAnsi="Times New Roman" w:cs="Times New Roman"/>
          <w:iCs/>
          <w:sz w:val="24"/>
          <w:szCs w:val="24"/>
        </w:rPr>
        <w:t>assessed that the communication</w:t>
      </w:r>
      <w:r w:rsidRPr="0097150D">
        <w:rPr>
          <w:rFonts w:ascii="Times New Roman" w:eastAsia="Calibri" w:hAnsi="Times New Roman" w:cs="Times New Roman"/>
          <w:iCs/>
          <w:sz w:val="24"/>
          <w:szCs w:val="24"/>
        </w:rPr>
        <w:t xml:space="preserve"> received from the Member States do</w:t>
      </w:r>
      <w:r w:rsidR="00B81216">
        <w:rPr>
          <w:rFonts w:ascii="Times New Roman" w:eastAsia="Calibri" w:hAnsi="Times New Roman" w:cs="Times New Roman"/>
          <w:iCs/>
          <w:sz w:val="24"/>
          <w:szCs w:val="24"/>
        </w:rPr>
        <w:t>es</w:t>
      </w:r>
      <w:r w:rsidRPr="0097150D">
        <w:rPr>
          <w:rFonts w:ascii="Times New Roman" w:eastAsia="Calibri" w:hAnsi="Times New Roman" w:cs="Times New Roman"/>
          <w:iCs/>
          <w:sz w:val="24"/>
          <w:szCs w:val="24"/>
        </w:rPr>
        <w:t xml:space="preserve"> not represent a complete transposition of this Directive.</w:t>
      </w:r>
      <w:r>
        <w:rPr>
          <w:rStyle w:val="FootnoteReference"/>
          <w:rFonts w:eastAsia="Calibri"/>
          <w:iCs/>
        </w:rPr>
        <w:footnoteReference w:id="59"/>
      </w:r>
    </w:p>
    <w:p w14:paraId="70E2CB52" w14:textId="13C53CC2" w:rsidR="0002055E" w:rsidRDefault="0002055E" w:rsidP="00055568">
      <w:pPr>
        <w:widowControl w:val="0"/>
        <w:spacing w:after="240" w:line="240" w:lineRule="auto"/>
        <w:jc w:val="both"/>
        <w:rPr>
          <w:rFonts w:ascii="Times New Roman" w:eastAsia="Calibri" w:hAnsi="Times New Roman" w:cs="Times New Roman"/>
          <w:iCs/>
          <w:sz w:val="24"/>
          <w:szCs w:val="24"/>
        </w:rPr>
      </w:pPr>
      <w:r w:rsidRPr="005666EE">
        <w:rPr>
          <w:rFonts w:ascii="Times New Roman" w:eastAsia="Calibri" w:hAnsi="Times New Roman" w:cs="Times New Roman"/>
          <w:iCs/>
          <w:sz w:val="24"/>
          <w:szCs w:val="24"/>
        </w:rPr>
        <w:t xml:space="preserve">The Commission has assessed the conformity of the transposition of </w:t>
      </w:r>
      <w:r w:rsidRPr="005666EE">
        <w:rPr>
          <w:rFonts w:ascii="Times New Roman" w:eastAsia="Calibri" w:hAnsi="Times New Roman" w:cs="Times New Roman"/>
          <w:b/>
          <w:iCs/>
          <w:sz w:val="24"/>
          <w:szCs w:val="24"/>
        </w:rPr>
        <w:t>cybercrime-related directives</w:t>
      </w:r>
      <w:r w:rsidRPr="005666EE">
        <w:rPr>
          <w:rFonts w:ascii="Times New Roman" w:eastAsia="Calibri" w:hAnsi="Times New Roman" w:cs="Times New Roman"/>
          <w:iCs/>
          <w:sz w:val="24"/>
          <w:szCs w:val="24"/>
        </w:rPr>
        <w:t>. It has launched in</w:t>
      </w:r>
      <w:r>
        <w:rPr>
          <w:rFonts w:ascii="Times New Roman" w:eastAsia="Calibri" w:hAnsi="Times New Roman" w:cs="Times New Roman"/>
          <w:iCs/>
          <w:sz w:val="24"/>
          <w:szCs w:val="24"/>
        </w:rPr>
        <w:t xml:space="preserve"> July and October</w:t>
      </w:r>
      <w:r w:rsidRPr="005666EE">
        <w:rPr>
          <w:rFonts w:ascii="Times New Roman" w:eastAsia="Calibri" w:hAnsi="Times New Roman" w:cs="Times New Roman"/>
          <w:iCs/>
          <w:sz w:val="24"/>
          <w:szCs w:val="24"/>
        </w:rPr>
        <w:t xml:space="preserve"> 2019 infringement procedures against 23 Member States</w:t>
      </w:r>
      <w:r w:rsidRPr="005666EE">
        <w:rPr>
          <w:rStyle w:val="FootnoteReference"/>
          <w:rFonts w:eastAsia="Calibri"/>
          <w:iCs/>
        </w:rPr>
        <w:footnoteReference w:id="60"/>
      </w:r>
      <w:r w:rsidRPr="005666EE">
        <w:rPr>
          <w:rFonts w:ascii="Times New Roman" w:eastAsia="Calibri" w:hAnsi="Times New Roman" w:cs="Times New Roman"/>
          <w:iCs/>
          <w:sz w:val="24"/>
          <w:szCs w:val="24"/>
        </w:rPr>
        <w:t xml:space="preserve"> as it assessed that the national implementing legislation notified by those Member States did not represent a </w:t>
      </w:r>
      <w:r w:rsidR="00D51914">
        <w:rPr>
          <w:rFonts w:ascii="Times New Roman" w:eastAsia="Calibri" w:hAnsi="Times New Roman" w:cs="Times New Roman"/>
          <w:iCs/>
          <w:sz w:val="24"/>
          <w:szCs w:val="24"/>
        </w:rPr>
        <w:t>correct</w:t>
      </w:r>
      <w:r w:rsidR="00D51914" w:rsidRPr="005666EE">
        <w:rPr>
          <w:rFonts w:ascii="Times New Roman" w:eastAsia="Calibri" w:hAnsi="Times New Roman" w:cs="Times New Roman"/>
          <w:iCs/>
          <w:sz w:val="24"/>
          <w:szCs w:val="24"/>
        </w:rPr>
        <w:t xml:space="preserve"> </w:t>
      </w:r>
      <w:r w:rsidRPr="005666EE">
        <w:rPr>
          <w:rFonts w:ascii="Times New Roman" w:eastAsia="Calibri" w:hAnsi="Times New Roman" w:cs="Times New Roman"/>
          <w:iCs/>
          <w:sz w:val="24"/>
          <w:szCs w:val="24"/>
        </w:rPr>
        <w:t xml:space="preserve">transposition of the </w:t>
      </w:r>
      <w:r w:rsidRPr="000D0DAA">
        <w:rPr>
          <w:rFonts w:ascii="Times New Roman" w:eastAsia="Calibri" w:hAnsi="Times New Roman" w:cs="Times New Roman"/>
          <w:b/>
          <w:iCs/>
          <w:sz w:val="24"/>
          <w:szCs w:val="24"/>
        </w:rPr>
        <w:t>Directive on combatting child sexual abuse</w:t>
      </w:r>
      <w:r w:rsidRPr="005666EE">
        <w:rPr>
          <w:rFonts w:ascii="Times New Roman" w:eastAsia="Calibri" w:hAnsi="Times New Roman" w:cs="Times New Roman"/>
          <w:iCs/>
          <w:sz w:val="24"/>
          <w:szCs w:val="24"/>
          <w:vertAlign w:val="superscript"/>
        </w:rPr>
        <w:footnoteReference w:id="61"/>
      </w:r>
      <w:r w:rsidRPr="005666EE">
        <w:rPr>
          <w:rFonts w:ascii="Times New Roman" w:eastAsia="Calibri" w:hAnsi="Times New Roman" w:cs="Times New Roman"/>
          <w:iCs/>
          <w:sz w:val="24"/>
          <w:szCs w:val="24"/>
        </w:rPr>
        <w:t>. The Commission has likewise initiated in</w:t>
      </w:r>
      <w:r>
        <w:rPr>
          <w:rFonts w:ascii="Times New Roman" w:eastAsia="Calibri" w:hAnsi="Times New Roman" w:cs="Times New Roman"/>
          <w:iCs/>
          <w:sz w:val="24"/>
          <w:szCs w:val="24"/>
        </w:rPr>
        <w:t xml:space="preserve"> July and October</w:t>
      </w:r>
      <w:r w:rsidRPr="005666EE">
        <w:rPr>
          <w:rFonts w:ascii="Times New Roman" w:eastAsia="Calibri" w:hAnsi="Times New Roman" w:cs="Times New Roman"/>
          <w:iCs/>
          <w:sz w:val="24"/>
          <w:szCs w:val="24"/>
        </w:rPr>
        <w:t xml:space="preserve"> 2019 infringement procedures against </w:t>
      </w:r>
      <w:r w:rsidR="00D51914">
        <w:rPr>
          <w:rFonts w:ascii="Times New Roman" w:eastAsia="Calibri" w:hAnsi="Times New Roman" w:cs="Times New Roman"/>
          <w:iCs/>
          <w:sz w:val="24"/>
          <w:szCs w:val="24"/>
        </w:rPr>
        <w:t>four</w:t>
      </w:r>
      <w:r w:rsidR="00D51914" w:rsidRPr="005666EE">
        <w:rPr>
          <w:rFonts w:ascii="Times New Roman" w:eastAsia="Calibri" w:hAnsi="Times New Roman" w:cs="Times New Roman"/>
          <w:iCs/>
          <w:sz w:val="24"/>
          <w:szCs w:val="24"/>
        </w:rPr>
        <w:t xml:space="preserve"> </w:t>
      </w:r>
      <w:r w:rsidRPr="005666EE">
        <w:rPr>
          <w:rFonts w:ascii="Times New Roman" w:eastAsia="Calibri" w:hAnsi="Times New Roman" w:cs="Times New Roman"/>
          <w:iCs/>
          <w:sz w:val="24"/>
          <w:szCs w:val="24"/>
        </w:rPr>
        <w:t>Member States</w:t>
      </w:r>
      <w:r w:rsidRPr="005666EE">
        <w:rPr>
          <w:rStyle w:val="FootnoteReference"/>
          <w:rFonts w:eastAsia="Calibri"/>
          <w:iCs/>
        </w:rPr>
        <w:footnoteReference w:id="62"/>
      </w:r>
      <w:r w:rsidRPr="005666EE">
        <w:rPr>
          <w:rFonts w:ascii="Times New Roman" w:eastAsia="Calibri" w:hAnsi="Times New Roman" w:cs="Times New Roman"/>
          <w:iCs/>
          <w:sz w:val="24"/>
          <w:szCs w:val="24"/>
        </w:rPr>
        <w:t xml:space="preserve"> </w:t>
      </w:r>
      <w:r w:rsidR="00D51914" w:rsidRPr="003804F1">
        <w:rPr>
          <w:rFonts w:ascii="Times New Roman" w:eastAsia="Calibri" w:hAnsi="Times New Roman" w:cs="Times New Roman"/>
          <w:iCs/>
          <w:sz w:val="24"/>
          <w:szCs w:val="24"/>
          <w:lang w:val="en-US"/>
        </w:rPr>
        <w:t>as it assessed that the national implementing legislation notified by those Member States did not represent a correct</w:t>
      </w:r>
      <w:r w:rsidR="00D51914" w:rsidRPr="003804F1">
        <w:rPr>
          <w:rFonts w:ascii="Times New Roman" w:eastAsia="Calibri" w:hAnsi="Times New Roman" w:cs="Times New Roman"/>
          <w:iCs/>
          <w:sz w:val="24"/>
          <w:szCs w:val="24"/>
        </w:rPr>
        <w:t xml:space="preserve"> </w:t>
      </w:r>
      <w:r w:rsidR="00D51914" w:rsidRPr="003804F1">
        <w:rPr>
          <w:rFonts w:ascii="Times New Roman" w:hAnsi="Times New Roman"/>
          <w:iCs/>
          <w:sz w:val="24"/>
          <w:szCs w:val="24"/>
        </w:rPr>
        <w:t>transposition of the</w:t>
      </w:r>
      <w:r w:rsidR="00D51914" w:rsidRPr="003804F1" w:rsidDel="00D51914">
        <w:rPr>
          <w:rFonts w:ascii="Times New Roman" w:eastAsia="Calibri" w:hAnsi="Times New Roman" w:cs="Times New Roman"/>
          <w:iCs/>
          <w:sz w:val="24"/>
          <w:szCs w:val="24"/>
        </w:rPr>
        <w:t xml:space="preserve"> </w:t>
      </w:r>
      <w:r w:rsidRPr="000D0DAA">
        <w:rPr>
          <w:rFonts w:ascii="Times New Roman" w:eastAsia="Calibri" w:hAnsi="Times New Roman" w:cs="Times New Roman"/>
          <w:b/>
          <w:iCs/>
          <w:sz w:val="24"/>
          <w:szCs w:val="24"/>
        </w:rPr>
        <w:t>Directive on attacks against information systems</w:t>
      </w:r>
      <w:r w:rsidRPr="005666EE">
        <w:rPr>
          <w:rFonts w:ascii="Times New Roman" w:eastAsia="Calibri" w:hAnsi="Times New Roman" w:cs="Times New Roman"/>
          <w:iCs/>
          <w:sz w:val="24"/>
          <w:szCs w:val="24"/>
          <w:vertAlign w:val="superscript"/>
        </w:rPr>
        <w:footnoteReference w:id="63"/>
      </w:r>
      <w:r w:rsidRPr="005666EE">
        <w:rPr>
          <w:rFonts w:ascii="Times New Roman" w:eastAsia="Calibri" w:hAnsi="Times New Roman" w:cs="Times New Roman"/>
          <w:iCs/>
          <w:sz w:val="24"/>
          <w:szCs w:val="24"/>
        </w:rPr>
        <w:t>.</w:t>
      </w:r>
    </w:p>
    <w:p w14:paraId="479EF2F6" w14:textId="77777777" w:rsidR="00C254B4" w:rsidRPr="008D1951" w:rsidRDefault="00C254B4" w:rsidP="00055568">
      <w:pPr>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sz w:val="24"/>
          <w:szCs w:val="24"/>
        </w:rPr>
      </w:pPr>
      <w:r w:rsidRPr="008D1951">
        <w:rPr>
          <w:rFonts w:ascii="Times New Roman" w:hAnsi="Times New Roman" w:cs="Times New Roman"/>
          <w:b/>
          <w:sz w:val="24"/>
          <w:szCs w:val="24"/>
        </w:rPr>
        <w:t>The Commission calls</w:t>
      </w:r>
      <w:r w:rsidR="00B30D4B" w:rsidRPr="008D1951">
        <w:rPr>
          <w:rFonts w:ascii="Times New Roman" w:hAnsi="Times New Roman" w:cs="Times New Roman"/>
          <w:b/>
          <w:sz w:val="24"/>
          <w:szCs w:val="24"/>
        </w:rPr>
        <w:t xml:space="preserve"> on Member States, as a matter of urgency, to take the necessary measures to fully transpose the following Directives into national law and communicate them to the Commission</w:t>
      </w:r>
      <w:r w:rsidRPr="008D1951">
        <w:rPr>
          <w:rFonts w:ascii="Times New Roman" w:hAnsi="Times New Roman" w:cs="Times New Roman"/>
          <w:b/>
          <w:sz w:val="24"/>
          <w:szCs w:val="24"/>
        </w:rPr>
        <w:t>:</w:t>
      </w:r>
    </w:p>
    <w:tbl>
      <w:tblPr>
        <w:tblStyle w:val="TableGrid"/>
        <w:tblW w:w="0" w:type="auto"/>
        <w:shd w:val="clear" w:color="auto" w:fill="DBE5F1" w:themeFill="accent1" w:themeFillTint="33"/>
        <w:tblLook w:val="04A0" w:firstRow="1" w:lastRow="0" w:firstColumn="1" w:lastColumn="0" w:noHBand="0" w:noVBand="1"/>
      </w:tblPr>
      <w:tblGrid>
        <w:gridCol w:w="9288"/>
      </w:tblGrid>
      <w:tr w:rsidR="00C254B4" w:rsidRPr="008D1951" w14:paraId="416D48BE" w14:textId="77777777" w:rsidTr="00573512">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DBB00B" w14:textId="3A270A92" w:rsidR="004E0C6D" w:rsidRDefault="004E0C6D" w:rsidP="0097150D">
            <w:pPr>
              <w:pStyle w:val="ListParagraph"/>
              <w:numPr>
                <w:ilvl w:val="0"/>
                <w:numId w:val="20"/>
              </w:numPr>
              <w:spacing w:after="240"/>
              <w:jc w:val="both"/>
              <w:rPr>
                <w:rFonts w:ascii="Times New Roman" w:hAnsi="Times New Roman"/>
                <w:sz w:val="24"/>
                <w:szCs w:val="24"/>
              </w:rPr>
            </w:pPr>
            <w:r w:rsidRPr="00A82D21">
              <w:rPr>
                <w:rFonts w:ascii="Times New Roman" w:hAnsi="Times New Roman"/>
                <w:sz w:val="24"/>
                <w:szCs w:val="24"/>
              </w:rPr>
              <w:t xml:space="preserve">the </w:t>
            </w:r>
            <w:r w:rsidRPr="00A82D21">
              <w:rPr>
                <w:rFonts w:ascii="Times New Roman" w:hAnsi="Times New Roman"/>
                <w:b/>
                <w:sz w:val="24"/>
                <w:szCs w:val="24"/>
              </w:rPr>
              <w:t>EU Passenger Name Record Directive</w:t>
            </w:r>
            <w:r w:rsidRPr="00A82D21">
              <w:rPr>
                <w:rFonts w:ascii="Times New Roman" w:hAnsi="Times New Roman"/>
                <w:sz w:val="24"/>
                <w:szCs w:val="24"/>
              </w:rPr>
              <w:t xml:space="preserve">, where </w:t>
            </w:r>
            <w:r w:rsidR="00CF160F">
              <w:rPr>
                <w:rFonts w:ascii="Times New Roman" w:hAnsi="Times New Roman"/>
                <w:sz w:val="24"/>
                <w:szCs w:val="24"/>
              </w:rPr>
              <w:t>1</w:t>
            </w:r>
            <w:r w:rsidR="00CF160F" w:rsidRPr="00A82D21">
              <w:rPr>
                <w:rFonts w:ascii="Times New Roman" w:hAnsi="Times New Roman"/>
                <w:sz w:val="24"/>
                <w:szCs w:val="24"/>
              </w:rPr>
              <w:t xml:space="preserve"> </w:t>
            </w:r>
            <w:r w:rsidRPr="00A82D21">
              <w:rPr>
                <w:rFonts w:ascii="Times New Roman" w:hAnsi="Times New Roman"/>
                <w:sz w:val="24"/>
                <w:szCs w:val="24"/>
              </w:rPr>
              <w:t>Member State still need</w:t>
            </w:r>
            <w:r w:rsidR="00CF160F">
              <w:rPr>
                <w:rFonts w:ascii="Times New Roman" w:hAnsi="Times New Roman"/>
                <w:sz w:val="24"/>
                <w:szCs w:val="24"/>
              </w:rPr>
              <w:t>s</w:t>
            </w:r>
            <w:r w:rsidRPr="00A82D21">
              <w:rPr>
                <w:rFonts w:ascii="Times New Roman" w:hAnsi="Times New Roman"/>
                <w:sz w:val="24"/>
                <w:szCs w:val="24"/>
              </w:rPr>
              <w:t xml:space="preserve"> to notify transposition into national law and 1 Member State</w:t>
            </w:r>
            <w:r w:rsidR="00CF160F">
              <w:rPr>
                <w:rFonts w:ascii="Times New Roman" w:hAnsi="Times New Roman"/>
                <w:sz w:val="24"/>
                <w:szCs w:val="24"/>
              </w:rPr>
              <w:t xml:space="preserve"> still</w:t>
            </w:r>
            <w:r w:rsidRPr="00A82D21">
              <w:rPr>
                <w:rFonts w:ascii="Times New Roman" w:hAnsi="Times New Roman"/>
                <w:sz w:val="24"/>
                <w:szCs w:val="24"/>
              </w:rPr>
              <w:t xml:space="preserve"> needs to complete th</w:t>
            </w:r>
            <w:r>
              <w:rPr>
                <w:rFonts w:ascii="Times New Roman" w:hAnsi="Times New Roman"/>
                <w:sz w:val="24"/>
                <w:szCs w:val="24"/>
              </w:rPr>
              <w:t>e notification of transposition</w:t>
            </w:r>
            <w:r w:rsidR="00271957">
              <w:rPr>
                <w:rFonts w:ascii="Times New Roman" w:hAnsi="Times New Roman"/>
                <w:sz w:val="24"/>
                <w:szCs w:val="24"/>
              </w:rPr>
              <w:t>;</w:t>
            </w:r>
            <w:r w:rsidRPr="00A82D21">
              <w:rPr>
                <w:rStyle w:val="FootnoteReference"/>
                <w:sz w:val="24"/>
                <w:szCs w:val="24"/>
              </w:rPr>
              <w:footnoteReference w:id="64"/>
            </w:r>
          </w:p>
          <w:p w14:paraId="01FD6653" w14:textId="06CD638D" w:rsidR="004E0C6D" w:rsidRDefault="004E0C6D" w:rsidP="00CF160F">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b/>
                <w:noProof/>
                <w:sz w:val="24"/>
                <w:szCs w:val="24"/>
              </w:rPr>
              <w:t xml:space="preserve"> Directive on combating terrorism</w:t>
            </w:r>
            <w:r>
              <w:rPr>
                <w:rFonts w:ascii="Times New Roman" w:hAnsi="Times New Roman"/>
                <w:noProof/>
                <w:sz w:val="24"/>
                <w:szCs w:val="24"/>
              </w:rPr>
              <w:t xml:space="preserve">, where </w:t>
            </w:r>
            <w:r w:rsidR="00CF160F">
              <w:rPr>
                <w:rFonts w:ascii="Times New Roman" w:hAnsi="Times New Roman"/>
                <w:noProof/>
                <w:sz w:val="24"/>
                <w:szCs w:val="24"/>
              </w:rPr>
              <w:t xml:space="preserve">2 </w:t>
            </w:r>
            <w:r>
              <w:rPr>
                <w:rFonts w:ascii="Times New Roman" w:hAnsi="Times New Roman"/>
                <w:noProof/>
                <w:sz w:val="24"/>
                <w:szCs w:val="24"/>
              </w:rPr>
              <w:t>Member States still need to notify transposition into national law</w:t>
            </w:r>
            <w:r w:rsidR="00CF160F">
              <w:t xml:space="preserve"> </w:t>
            </w:r>
            <w:r w:rsidR="00CF160F" w:rsidRPr="00CF160F">
              <w:rPr>
                <w:rFonts w:ascii="Times New Roman" w:hAnsi="Times New Roman"/>
                <w:noProof/>
                <w:sz w:val="24"/>
                <w:szCs w:val="24"/>
              </w:rPr>
              <w:t>and 1 Member State</w:t>
            </w:r>
            <w:r w:rsidR="00CF160F">
              <w:rPr>
                <w:rFonts w:ascii="Times New Roman" w:hAnsi="Times New Roman"/>
                <w:noProof/>
                <w:sz w:val="24"/>
                <w:szCs w:val="24"/>
              </w:rPr>
              <w:t xml:space="preserve"> still</w:t>
            </w:r>
            <w:r w:rsidR="00CF160F" w:rsidRPr="00CF160F">
              <w:rPr>
                <w:rFonts w:ascii="Times New Roman" w:hAnsi="Times New Roman"/>
                <w:noProof/>
                <w:sz w:val="24"/>
                <w:szCs w:val="24"/>
              </w:rPr>
              <w:t xml:space="preserve"> needs to complete the notification of transposition</w:t>
            </w:r>
            <w:r>
              <w:rPr>
                <w:rFonts w:ascii="Times New Roman" w:hAnsi="Times New Roman"/>
                <w:noProof/>
                <w:sz w:val="24"/>
                <w:szCs w:val="24"/>
              </w:rPr>
              <w:t>;</w:t>
            </w:r>
            <w:r>
              <w:rPr>
                <w:rStyle w:val="FootnoteReference"/>
                <w:noProof/>
                <w:sz w:val="24"/>
                <w:szCs w:val="24"/>
              </w:rPr>
              <w:footnoteReference w:id="65"/>
            </w:r>
          </w:p>
          <w:p w14:paraId="714B26D6" w14:textId="77777777" w:rsidR="004E0C6D" w:rsidRDefault="004E0C6D" w:rsidP="004E0C6D">
            <w:pPr>
              <w:pStyle w:val="ListParagraph"/>
              <w:numPr>
                <w:ilvl w:val="0"/>
                <w:numId w:val="20"/>
              </w:numPr>
              <w:spacing w:after="240"/>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Directive on the control of the acquisition and possession of weapons</w:t>
            </w:r>
            <w:r>
              <w:rPr>
                <w:rFonts w:ascii="Times New Roman" w:hAnsi="Times New Roman"/>
                <w:noProof/>
                <w:sz w:val="24"/>
                <w:szCs w:val="24"/>
              </w:rPr>
              <w:t xml:space="preserve">, where </w:t>
            </w:r>
            <w:r w:rsidR="00D1186F">
              <w:rPr>
                <w:rFonts w:ascii="Times New Roman" w:hAnsi="Times New Roman"/>
                <w:noProof/>
                <w:sz w:val="24"/>
                <w:szCs w:val="24"/>
              </w:rPr>
              <w:t xml:space="preserve">8 </w:t>
            </w:r>
            <w:r>
              <w:rPr>
                <w:rFonts w:ascii="Times New Roman" w:hAnsi="Times New Roman"/>
                <w:noProof/>
                <w:sz w:val="24"/>
                <w:szCs w:val="24"/>
              </w:rPr>
              <w:t xml:space="preserve">Member States still need to notify transposition into national law and </w:t>
            </w:r>
            <w:r w:rsidR="00D1186F">
              <w:rPr>
                <w:rFonts w:ascii="Times New Roman" w:hAnsi="Times New Roman"/>
                <w:noProof/>
                <w:sz w:val="24"/>
                <w:szCs w:val="24"/>
              </w:rPr>
              <w:t xml:space="preserve">7 </w:t>
            </w:r>
            <w:r>
              <w:rPr>
                <w:rFonts w:ascii="Times New Roman" w:hAnsi="Times New Roman"/>
                <w:noProof/>
                <w:sz w:val="24"/>
                <w:szCs w:val="24"/>
              </w:rPr>
              <w:t xml:space="preserve">Member States </w:t>
            </w:r>
            <w:r w:rsidR="005666EE">
              <w:rPr>
                <w:rFonts w:ascii="Times New Roman" w:hAnsi="Times New Roman"/>
                <w:noProof/>
                <w:sz w:val="24"/>
                <w:szCs w:val="24"/>
              </w:rPr>
              <w:t xml:space="preserve">still </w:t>
            </w:r>
            <w:r>
              <w:rPr>
                <w:rFonts w:ascii="Times New Roman" w:hAnsi="Times New Roman"/>
                <w:noProof/>
                <w:sz w:val="24"/>
                <w:szCs w:val="24"/>
              </w:rPr>
              <w:t>need to complete the notification of transposition;</w:t>
            </w:r>
            <w:r>
              <w:rPr>
                <w:rStyle w:val="FootnoteReference"/>
                <w:noProof/>
                <w:sz w:val="24"/>
                <w:szCs w:val="24"/>
              </w:rPr>
              <w:footnoteReference w:id="66"/>
            </w:r>
            <w:r>
              <w:rPr>
                <w:rFonts w:ascii="Times New Roman" w:hAnsi="Times New Roman"/>
                <w:noProof/>
                <w:sz w:val="24"/>
                <w:szCs w:val="24"/>
              </w:rPr>
              <w:t xml:space="preserve"> </w:t>
            </w:r>
          </w:p>
          <w:p w14:paraId="6B1DD1C8" w14:textId="77777777" w:rsidR="004E0C6D" w:rsidRDefault="004E0C6D" w:rsidP="00131A72">
            <w:pPr>
              <w:pStyle w:val="ListParagraph"/>
              <w:numPr>
                <w:ilvl w:val="0"/>
                <w:numId w:val="20"/>
              </w:numPr>
              <w:ind w:left="357" w:hanging="357"/>
              <w:contextualSpacing w:val="0"/>
              <w:jc w:val="both"/>
              <w:rPr>
                <w:rFonts w:ascii="Times New Roman" w:hAnsi="Times New Roman"/>
                <w:noProof/>
                <w:sz w:val="24"/>
                <w:szCs w:val="24"/>
              </w:rPr>
            </w:pPr>
            <w:r w:rsidRPr="0097150D">
              <w:rPr>
                <w:rFonts w:ascii="Times New Roman" w:hAnsi="Times New Roman"/>
                <w:sz w:val="24"/>
                <w:szCs w:val="24"/>
              </w:rPr>
              <w:t xml:space="preserve">the </w:t>
            </w:r>
            <w:r w:rsidRPr="0097150D">
              <w:rPr>
                <w:rFonts w:ascii="Times New Roman" w:hAnsi="Times New Roman"/>
                <w:b/>
                <w:sz w:val="24"/>
                <w:szCs w:val="24"/>
              </w:rPr>
              <w:t>Data Protection Law Enforcement Directive,</w:t>
            </w:r>
            <w:r w:rsidRPr="0097150D">
              <w:rPr>
                <w:rFonts w:ascii="Times New Roman" w:hAnsi="Times New Roman"/>
                <w:sz w:val="24"/>
                <w:szCs w:val="24"/>
              </w:rPr>
              <w:t xml:space="preserve"> where </w:t>
            </w:r>
            <w:r w:rsidRPr="009775DC">
              <w:rPr>
                <w:rFonts w:ascii="Times New Roman" w:hAnsi="Times New Roman"/>
                <w:sz w:val="24"/>
                <w:szCs w:val="24"/>
              </w:rPr>
              <w:t>1</w:t>
            </w:r>
            <w:r w:rsidRPr="0097150D">
              <w:rPr>
                <w:rFonts w:ascii="Times New Roman" w:hAnsi="Times New Roman"/>
                <w:sz w:val="24"/>
                <w:szCs w:val="24"/>
              </w:rPr>
              <w:t xml:space="preserve"> Member State still needs to notify transposition into national law and </w:t>
            </w:r>
            <w:r w:rsidRPr="009775DC">
              <w:rPr>
                <w:rFonts w:ascii="Times New Roman" w:hAnsi="Times New Roman"/>
                <w:sz w:val="24"/>
                <w:szCs w:val="24"/>
              </w:rPr>
              <w:t>2</w:t>
            </w:r>
            <w:r w:rsidRPr="0097150D">
              <w:rPr>
                <w:rFonts w:ascii="Times New Roman" w:hAnsi="Times New Roman"/>
                <w:sz w:val="24"/>
                <w:szCs w:val="24"/>
              </w:rPr>
              <w:t xml:space="preserve"> Member States</w:t>
            </w:r>
            <w:r w:rsidR="005666EE">
              <w:rPr>
                <w:rFonts w:ascii="Times New Roman" w:hAnsi="Times New Roman"/>
                <w:sz w:val="24"/>
                <w:szCs w:val="24"/>
              </w:rPr>
              <w:t xml:space="preserve"> still</w:t>
            </w:r>
            <w:r w:rsidRPr="0097150D">
              <w:rPr>
                <w:rFonts w:ascii="Times New Roman" w:hAnsi="Times New Roman"/>
                <w:sz w:val="24"/>
                <w:szCs w:val="24"/>
              </w:rPr>
              <w:t xml:space="preserve"> need to complete the notification of transposition</w:t>
            </w:r>
            <w:r w:rsidR="00216C88">
              <w:rPr>
                <w:rFonts w:ascii="Times New Roman" w:hAnsi="Times New Roman"/>
                <w:sz w:val="24"/>
                <w:szCs w:val="24"/>
              </w:rPr>
              <w:t>;</w:t>
            </w:r>
            <w:r w:rsidR="00216C88">
              <w:rPr>
                <w:rStyle w:val="FootnoteReference"/>
              </w:rPr>
              <w:footnoteReference w:id="67"/>
            </w:r>
          </w:p>
          <w:p w14:paraId="7205E81B" w14:textId="77777777" w:rsidR="00C254B4" w:rsidRPr="00217D22" w:rsidRDefault="0097150D" w:rsidP="009775DC">
            <w:pPr>
              <w:pStyle w:val="ListParagraph"/>
              <w:numPr>
                <w:ilvl w:val="0"/>
                <w:numId w:val="20"/>
              </w:numPr>
              <w:ind w:left="357" w:hanging="357"/>
              <w:contextualSpacing w:val="0"/>
              <w:jc w:val="both"/>
              <w:rPr>
                <w:rFonts w:ascii="Times New Roman" w:hAnsi="Times New Roman" w:cs="Times New Roman"/>
                <w:sz w:val="24"/>
                <w:szCs w:val="24"/>
              </w:rPr>
            </w:pPr>
            <w:r w:rsidRPr="0097150D">
              <w:rPr>
                <w:rFonts w:ascii="Times New Roman" w:hAnsi="Times New Roman"/>
                <w:sz w:val="24"/>
                <w:szCs w:val="24"/>
              </w:rPr>
              <w:t xml:space="preserve">the </w:t>
            </w:r>
            <w:r w:rsidRPr="0097150D">
              <w:rPr>
                <w:rFonts w:ascii="Times New Roman" w:hAnsi="Times New Roman"/>
                <w:b/>
                <w:sz w:val="24"/>
                <w:szCs w:val="24"/>
              </w:rPr>
              <w:t>4</w:t>
            </w:r>
            <w:r w:rsidRPr="000F24D0">
              <w:rPr>
                <w:rFonts w:ascii="Times New Roman" w:hAnsi="Times New Roman"/>
                <w:b/>
                <w:sz w:val="24"/>
                <w:szCs w:val="24"/>
                <w:vertAlign w:val="superscript"/>
              </w:rPr>
              <w:t>th</w:t>
            </w:r>
            <w:r w:rsidR="000F24D0">
              <w:rPr>
                <w:rFonts w:ascii="Times New Roman" w:hAnsi="Times New Roman"/>
                <w:b/>
                <w:sz w:val="24"/>
                <w:szCs w:val="24"/>
              </w:rPr>
              <w:t xml:space="preserve"> </w:t>
            </w:r>
            <w:r w:rsidRPr="0097150D">
              <w:rPr>
                <w:rFonts w:ascii="Times New Roman" w:hAnsi="Times New Roman"/>
                <w:b/>
                <w:sz w:val="24"/>
                <w:szCs w:val="24"/>
              </w:rPr>
              <w:t>Anti-Money Laundering Directive</w:t>
            </w:r>
            <w:r w:rsidRPr="0097150D">
              <w:rPr>
                <w:rFonts w:ascii="Times New Roman" w:hAnsi="Times New Roman"/>
                <w:sz w:val="24"/>
                <w:szCs w:val="24"/>
              </w:rPr>
              <w:t xml:space="preserve">, where </w:t>
            </w:r>
            <w:r w:rsidRPr="009775DC">
              <w:rPr>
                <w:rFonts w:ascii="Times New Roman" w:hAnsi="Times New Roman"/>
                <w:sz w:val="24"/>
                <w:szCs w:val="24"/>
              </w:rPr>
              <w:t>21</w:t>
            </w:r>
            <w:r w:rsidRPr="0097150D">
              <w:rPr>
                <w:rFonts w:ascii="Times New Roman" w:hAnsi="Times New Roman"/>
                <w:sz w:val="24"/>
                <w:szCs w:val="24"/>
              </w:rPr>
              <w:t xml:space="preserve"> Member States still need to complete the notification of transposition</w:t>
            </w:r>
            <w:r w:rsidR="00271957">
              <w:rPr>
                <w:rFonts w:ascii="Times New Roman" w:hAnsi="Times New Roman"/>
                <w:sz w:val="24"/>
                <w:szCs w:val="24"/>
              </w:rPr>
              <w:t>;</w:t>
            </w:r>
            <w:r w:rsidR="001F4F3D">
              <w:rPr>
                <w:rStyle w:val="FootnoteReference"/>
              </w:rPr>
              <w:footnoteReference w:id="68"/>
            </w:r>
            <w:r w:rsidRPr="0097150D">
              <w:rPr>
                <w:rFonts w:ascii="Times New Roman" w:hAnsi="Times New Roman"/>
                <w:sz w:val="24"/>
                <w:szCs w:val="24"/>
              </w:rPr>
              <w:t xml:space="preserve"> </w:t>
            </w:r>
          </w:p>
          <w:p w14:paraId="67A636C9" w14:textId="77777777" w:rsidR="002A5C7E" w:rsidRPr="000E17D6" w:rsidRDefault="005666EE" w:rsidP="002A5C7E">
            <w:pPr>
              <w:pStyle w:val="ListParagraph"/>
              <w:numPr>
                <w:ilvl w:val="0"/>
                <w:numId w:val="20"/>
              </w:numPr>
              <w:contextualSpacing w:val="0"/>
              <w:jc w:val="both"/>
              <w:rPr>
                <w:rFonts w:ascii="Times New Roman" w:hAnsi="Times New Roman" w:cs="Times New Roman"/>
                <w:sz w:val="24"/>
                <w:szCs w:val="24"/>
              </w:rPr>
            </w:pPr>
            <w:r>
              <w:rPr>
                <w:rFonts w:ascii="Times New Roman" w:eastAsia="Calibri" w:hAnsi="Times New Roman" w:cs="Times New Roman"/>
                <w:sz w:val="24"/>
                <w:szCs w:val="24"/>
              </w:rPr>
              <w:t>t</w:t>
            </w:r>
            <w:r w:rsidR="000E17D6" w:rsidRPr="000E17D6">
              <w:rPr>
                <w:rFonts w:ascii="Times New Roman" w:eastAsia="Calibri" w:hAnsi="Times New Roman" w:cs="Times New Roman"/>
                <w:sz w:val="24"/>
                <w:szCs w:val="24"/>
              </w:rPr>
              <w:t>he</w:t>
            </w:r>
            <w:r w:rsidR="000E17D6">
              <w:rPr>
                <w:rFonts w:ascii="Times New Roman" w:eastAsia="Calibri" w:hAnsi="Times New Roman" w:cs="Times New Roman"/>
                <w:sz w:val="24"/>
                <w:szCs w:val="24"/>
              </w:rPr>
              <w:t xml:space="preserve"> </w:t>
            </w:r>
            <w:r w:rsidR="000E17D6" w:rsidRPr="000E17D6">
              <w:rPr>
                <w:rFonts w:ascii="Times New Roman" w:eastAsia="Calibri" w:hAnsi="Times New Roman" w:cs="Times New Roman"/>
                <w:b/>
                <w:bCs/>
                <w:sz w:val="24"/>
                <w:szCs w:val="24"/>
              </w:rPr>
              <w:t xml:space="preserve">Directive on combatting child sexual abuse, </w:t>
            </w:r>
            <w:r w:rsidR="000E17D6" w:rsidRPr="000E17D6">
              <w:rPr>
                <w:rFonts w:ascii="Times New Roman" w:eastAsia="Calibri" w:hAnsi="Times New Roman" w:cs="Times New Roman"/>
                <w:sz w:val="24"/>
                <w:szCs w:val="24"/>
              </w:rPr>
              <w:t>where infringement procedures for incorrect transposition have been launched against 23 Member States</w:t>
            </w:r>
            <w:r w:rsidR="002A5C7E" w:rsidRPr="000E17D6">
              <w:rPr>
                <w:rFonts w:ascii="Times New Roman" w:hAnsi="Times New Roman"/>
                <w:sz w:val="24"/>
                <w:szCs w:val="24"/>
              </w:rPr>
              <w:t>;</w:t>
            </w:r>
            <w:r w:rsidR="0002055E">
              <w:rPr>
                <w:rStyle w:val="FootnoteReference"/>
              </w:rPr>
              <w:footnoteReference w:id="69"/>
            </w:r>
          </w:p>
          <w:p w14:paraId="6E90BB45" w14:textId="77777777" w:rsidR="002A5C7E" w:rsidRPr="008D1951" w:rsidRDefault="000E17D6" w:rsidP="002A5C7E">
            <w:pPr>
              <w:pStyle w:val="ListParagraph"/>
              <w:numPr>
                <w:ilvl w:val="0"/>
                <w:numId w:val="20"/>
              </w:numPr>
              <w:contextualSpacing w:val="0"/>
              <w:jc w:val="both"/>
              <w:rPr>
                <w:rFonts w:ascii="Times New Roman" w:hAnsi="Times New Roman" w:cs="Times New Roman"/>
                <w:color w:val="FF0000"/>
                <w:sz w:val="24"/>
                <w:szCs w:val="24"/>
              </w:rPr>
            </w:pPr>
            <w:r w:rsidRPr="00E6720E">
              <w:rPr>
                <w:rFonts w:ascii="Times New Roman" w:eastAsia="Calibri" w:hAnsi="Times New Roman" w:cs="Times New Roman"/>
                <w:sz w:val="24"/>
                <w:szCs w:val="24"/>
              </w:rPr>
              <w:t xml:space="preserve">the </w:t>
            </w:r>
            <w:r w:rsidRPr="00E6720E">
              <w:rPr>
                <w:rFonts w:ascii="Times New Roman" w:eastAsia="Calibri" w:hAnsi="Times New Roman" w:cs="Times New Roman"/>
                <w:b/>
                <w:bCs/>
                <w:sz w:val="24"/>
                <w:szCs w:val="24"/>
              </w:rPr>
              <w:t>Directive on</w:t>
            </w:r>
            <w:r w:rsidRPr="00203811">
              <w:rPr>
                <w:rFonts w:ascii="Calibri" w:eastAsia="Calibri" w:hAnsi="Calibri" w:cs="Times New Roman"/>
                <w:b/>
                <w:bCs/>
              </w:rPr>
              <w:t xml:space="preserve"> </w:t>
            </w:r>
            <w:r w:rsidRPr="00203811">
              <w:rPr>
                <w:rFonts w:ascii="Times New Roman" w:eastAsia="Calibri" w:hAnsi="Times New Roman" w:cs="Times New Roman"/>
                <w:b/>
                <w:bCs/>
                <w:sz w:val="24"/>
                <w:szCs w:val="24"/>
              </w:rPr>
              <w:t>attacks against information systems</w:t>
            </w:r>
            <w:r w:rsidRPr="00203811">
              <w:rPr>
                <w:rFonts w:ascii="Times New Roman" w:eastAsia="Calibri" w:hAnsi="Times New Roman" w:cs="Times New Roman"/>
                <w:sz w:val="24"/>
                <w:szCs w:val="24"/>
              </w:rPr>
              <w:t xml:space="preserve"> where infringement procedures for incorrect transposition have been launched </w:t>
            </w:r>
            <w:r w:rsidRPr="00986D01">
              <w:rPr>
                <w:rFonts w:ascii="Times New Roman" w:eastAsia="Calibri" w:hAnsi="Times New Roman" w:cs="Times New Roman"/>
                <w:sz w:val="24"/>
                <w:szCs w:val="24"/>
              </w:rPr>
              <w:t>ag</w:t>
            </w:r>
            <w:r w:rsidRPr="00952EE1">
              <w:rPr>
                <w:rFonts w:ascii="Times New Roman" w:eastAsia="Calibri" w:hAnsi="Times New Roman" w:cs="Times New Roman"/>
                <w:sz w:val="24"/>
                <w:szCs w:val="24"/>
              </w:rPr>
              <w:t>ainst 4 Member States</w:t>
            </w:r>
            <w:r w:rsidR="00271957">
              <w:rPr>
                <w:rFonts w:ascii="Times New Roman" w:eastAsia="Calibri" w:hAnsi="Times New Roman" w:cs="Times New Roman"/>
                <w:sz w:val="24"/>
                <w:szCs w:val="24"/>
              </w:rPr>
              <w:t>.</w:t>
            </w:r>
            <w:r w:rsidR="0002055E">
              <w:rPr>
                <w:rStyle w:val="FootnoteReference"/>
                <w:rFonts w:eastAsia="Calibri"/>
              </w:rPr>
              <w:footnoteReference w:id="70"/>
            </w:r>
          </w:p>
        </w:tc>
      </w:tr>
    </w:tbl>
    <w:p w14:paraId="188C7279" w14:textId="77777777" w:rsidR="00C254B4" w:rsidRPr="008D1951" w:rsidRDefault="00131A72" w:rsidP="00216C88">
      <w:pPr>
        <w:spacing w:before="240" w:after="24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2</w:t>
      </w:r>
      <w:r w:rsidR="00C254B4" w:rsidRPr="008D1951">
        <w:rPr>
          <w:rFonts w:ascii="Times New Roman" w:eastAsia="Calibri" w:hAnsi="Times New Roman" w:cs="Times New Roman"/>
          <w:i/>
          <w:iCs/>
          <w:sz w:val="24"/>
          <w:szCs w:val="24"/>
        </w:rPr>
        <w:t>.    </w:t>
      </w:r>
      <w:r w:rsidR="002D23FD" w:rsidRPr="008D1951">
        <w:rPr>
          <w:rFonts w:ascii="Times New Roman" w:eastAsia="Calibri" w:hAnsi="Times New Roman" w:cs="Times New Roman"/>
          <w:i/>
          <w:iCs/>
          <w:sz w:val="24"/>
          <w:szCs w:val="24"/>
        </w:rPr>
        <w:t>Preparedness and protection</w:t>
      </w:r>
    </w:p>
    <w:p w14:paraId="5F105071" w14:textId="7E7E02D9" w:rsidR="002B1BB9" w:rsidRPr="002B1BB9" w:rsidRDefault="00690212" w:rsidP="002B1BB9">
      <w:pPr>
        <w:spacing w:after="240" w:line="240" w:lineRule="auto"/>
        <w:jc w:val="both"/>
        <w:rPr>
          <w:rFonts w:ascii="Times New Roman" w:eastAsia="Calibri" w:hAnsi="Times New Roman" w:cs="Times New Roman"/>
          <w:i/>
          <w:iCs/>
          <w:sz w:val="24"/>
          <w:szCs w:val="24"/>
        </w:rPr>
      </w:pPr>
      <w:r>
        <w:rPr>
          <w:rFonts w:ascii="Times New Roman" w:eastAsia="Calibri" w:hAnsi="Times New Roman" w:cs="Times New Roman"/>
          <w:iCs/>
          <w:sz w:val="24"/>
          <w:szCs w:val="24"/>
        </w:rPr>
        <w:t>Building</w:t>
      </w:r>
      <w:r w:rsidR="002B1BB9" w:rsidRPr="002B1BB9">
        <w:rPr>
          <w:rFonts w:ascii="Times New Roman" w:eastAsia="Calibri" w:hAnsi="Times New Roman" w:cs="Times New Roman"/>
          <w:iCs/>
          <w:sz w:val="24"/>
          <w:szCs w:val="24"/>
        </w:rPr>
        <w:t xml:space="preserve"> resilience against security threats</w:t>
      </w:r>
      <w:r>
        <w:rPr>
          <w:rFonts w:ascii="Times New Roman" w:eastAsia="Calibri" w:hAnsi="Times New Roman" w:cs="Times New Roman"/>
          <w:iCs/>
          <w:sz w:val="24"/>
          <w:szCs w:val="24"/>
        </w:rPr>
        <w:t xml:space="preserve"> is an essential part of the work towards </w:t>
      </w:r>
      <w:r w:rsidRPr="002B1BB9">
        <w:rPr>
          <w:rFonts w:ascii="Times New Roman" w:eastAsia="Calibri" w:hAnsi="Times New Roman" w:cs="Times New Roman"/>
          <w:iCs/>
          <w:sz w:val="24"/>
          <w:szCs w:val="24"/>
        </w:rPr>
        <w:t>a</w:t>
      </w:r>
      <w:r>
        <w:rPr>
          <w:rFonts w:ascii="Times New Roman" w:eastAsia="Calibri" w:hAnsi="Times New Roman" w:cs="Times New Roman"/>
          <w:iCs/>
          <w:sz w:val="24"/>
          <w:szCs w:val="24"/>
        </w:rPr>
        <w:t>n</w:t>
      </w:r>
      <w:r w:rsidRPr="002B1BB9">
        <w:rPr>
          <w:rFonts w:ascii="Times New Roman" w:eastAsia="Calibri" w:hAnsi="Times New Roman" w:cs="Times New Roman"/>
          <w:iCs/>
          <w:sz w:val="24"/>
          <w:szCs w:val="24"/>
        </w:rPr>
        <w:t xml:space="preserve"> effective and genuine Security Union</w:t>
      </w:r>
      <w:r w:rsidR="002B1BB9" w:rsidRPr="002B1BB9">
        <w:rPr>
          <w:rFonts w:ascii="Times New Roman" w:eastAsia="Calibri" w:hAnsi="Times New Roman" w:cs="Times New Roman"/>
          <w:iCs/>
          <w:sz w:val="24"/>
          <w:szCs w:val="24"/>
        </w:rPr>
        <w:t xml:space="preserve">. The Commission </w:t>
      </w:r>
      <w:r>
        <w:rPr>
          <w:rFonts w:ascii="Times New Roman" w:eastAsia="Calibri" w:hAnsi="Times New Roman" w:cs="Times New Roman"/>
          <w:iCs/>
          <w:sz w:val="24"/>
          <w:szCs w:val="24"/>
        </w:rPr>
        <w:t>supports</w:t>
      </w:r>
      <w:r w:rsidR="002B1BB9" w:rsidRPr="002B1BB9">
        <w:rPr>
          <w:rFonts w:ascii="Times New Roman" w:eastAsia="Calibri" w:hAnsi="Times New Roman" w:cs="Times New Roman"/>
          <w:iCs/>
          <w:sz w:val="24"/>
          <w:szCs w:val="24"/>
        </w:rPr>
        <w:t xml:space="preserve"> Member States and local authorities </w:t>
      </w:r>
      <w:r>
        <w:rPr>
          <w:rFonts w:ascii="Times New Roman" w:eastAsia="Calibri" w:hAnsi="Times New Roman" w:cs="Times New Roman"/>
          <w:iCs/>
          <w:sz w:val="24"/>
          <w:szCs w:val="24"/>
        </w:rPr>
        <w:t>in</w:t>
      </w:r>
      <w:r w:rsidR="002B1BB9" w:rsidRPr="002B1BB9">
        <w:rPr>
          <w:rFonts w:ascii="Times New Roman" w:eastAsia="Calibri" w:hAnsi="Times New Roman" w:cs="Times New Roman"/>
          <w:iCs/>
          <w:sz w:val="24"/>
          <w:szCs w:val="24"/>
        </w:rPr>
        <w:t xml:space="preserve"> </w:t>
      </w:r>
      <w:r w:rsidR="002B1BB9">
        <w:rPr>
          <w:rFonts w:ascii="Times New Roman" w:eastAsia="Calibri" w:hAnsi="Times New Roman" w:cs="Times New Roman"/>
          <w:iCs/>
          <w:sz w:val="24"/>
          <w:szCs w:val="24"/>
        </w:rPr>
        <w:t>enhancing</w:t>
      </w:r>
      <w:r w:rsidR="002B1BB9" w:rsidRPr="002B1BB9">
        <w:rPr>
          <w:rFonts w:ascii="Times New Roman" w:eastAsia="Calibri" w:hAnsi="Times New Roman" w:cs="Times New Roman"/>
          <w:iCs/>
          <w:sz w:val="24"/>
          <w:szCs w:val="24"/>
        </w:rPr>
        <w:t xml:space="preserve"> the protection of public spaces</w:t>
      </w:r>
      <w:r>
        <w:rPr>
          <w:rFonts w:ascii="Times New Roman" w:eastAsia="Calibri" w:hAnsi="Times New Roman" w:cs="Times New Roman"/>
          <w:iCs/>
          <w:sz w:val="24"/>
          <w:szCs w:val="24"/>
        </w:rPr>
        <w:t xml:space="preserve">, implementing the October 2017 Action Plan and the January 2019 </w:t>
      </w:r>
      <w:r w:rsidR="005A4A0D">
        <w:rPr>
          <w:rFonts w:ascii="Times New Roman" w:eastAsia="Calibri" w:hAnsi="Times New Roman" w:cs="Times New Roman"/>
          <w:iCs/>
          <w:sz w:val="24"/>
          <w:szCs w:val="24"/>
        </w:rPr>
        <w:t>P</w:t>
      </w:r>
      <w:r>
        <w:rPr>
          <w:rFonts w:ascii="Times New Roman" w:eastAsia="Calibri" w:hAnsi="Times New Roman" w:cs="Times New Roman"/>
          <w:iCs/>
          <w:sz w:val="24"/>
          <w:szCs w:val="24"/>
        </w:rPr>
        <w:t xml:space="preserve">artnership </w:t>
      </w:r>
      <w:r w:rsidR="005A4A0D">
        <w:rPr>
          <w:rFonts w:ascii="Times New Roman" w:eastAsia="Calibri" w:hAnsi="Times New Roman" w:cs="Times New Roman"/>
          <w:iCs/>
          <w:sz w:val="24"/>
          <w:szCs w:val="24"/>
        </w:rPr>
        <w:t>for</w:t>
      </w:r>
      <w:r>
        <w:rPr>
          <w:rFonts w:ascii="Times New Roman" w:eastAsia="Calibri" w:hAnsi="Times New Roman" w:cs="Times New Roman"/>
          <w:iCs/>
          <w:sz w:val="24"/>
          <w:szCs w:val="24"/>
        </w:rPr>
        <w:t xml:space="preserve"> </w:t>
      </w:r>
      <w:r w:rsidR="005A4A0D">
        <w:rPr>
          <w:rFonts w:ascii="Times New Roman" w:eastAsia="Calibri" w:hAnsi="Times New Roman" w:cs="Times New Roman"/>
          <w:iCs/>
          <w:sz w:val="24"/>
          <w:szCs w:val="24"/>
        </w:rPr>
        <w:t>Security in Public S</w:t>
      </w:r>
      <w:r w:rsidRPr="00690212">
        <w:rPr>
          <w:rFonts w:ascii="Times New Roman" w:eastAsia="Calibri" w:hAnsi="Times New Roman" w:cs="Times New Roman"/>
          <w:iCs/>
          <w:sz w:val="24"/>
          <w:szCs w:val="24"/>
        </w:rPr>
        <w:t>paces</w:t>
      </w:r>
      <w:r>
        <w:rPr>
          <w:rFonts w:ascii="Times New Roman" w:eastAsia="Calibri" w:hAnsi="Times New Roman" w:cs="Times New Roman"/>
          <w:iCs/>
          <w:sz w:val="24"/>
          <w:szCs w:val="24"/>
        </w:rPr>
        <w:t xml:space="preserve"> under the </w:t>
      </w:r>
      <w:r w:rsidRPr="00690212">
        <w:rPr>
          <w:rFonts w:ascii="Times New Roman" w:eastAsia="Calibri" w:hAnsi="Times New Roman" w:cs="Times New Roman"/>
          <w:iCs/>
          <w:sz w:val="24"/>
          <w:szCs w:val="24"/>
        </w:rPr>
        <w:t>Urban Agenda for the EU</w:t>
      </w:r>
      <w:r w:rsidR="002B1BB9" w:rsidRPr="002B1BB9">
        <w:rPr>
          <w:rFonts w:ascii="Times New Roman" w:eastAsia="Calibri" w:hAnsi="Times New Roman" w:cs="Times New Roman"/>
          <w:iCs/>
          <w:sz w:val="24"/>
          <w:szCs w:val="24"/>
        </w:rPr>
        <w:t>.</w:t>
      </w:r>
      <w:r w:rsidR="007459F5">
        <w:rPr>
          <w:rFonts w:ascii="Times New Roman" w:eastAsia="Calibri" w:hAnsi="Times New Roman" w:cs="Times New Roman"/>
          <w:iCs/>
          <w:sz w:val="24"/>
          <w:szCs w:val="24"/>
        </w:rPr>
        <w:t xml:space="preserve"> This work </w:t>
      </w:r>
      <w:r w:rsidR="00CA54F2">
        <w:rPr>
          <w:rFonts w:ascii="Times New Roman" w:eastAsia="Calibri" w:hAnsi="Times New Roman" w:cs="Times New Roman"/>
          <w:iCs/>
          <w:sz w:val="24"/>
          <w:szCs w:val="24"/>
        </w:rPr>
        <w:t>involves those</w:t>
      </w:r>
      <w:r w:rsidR="007459F5">
        <w:rPr>
          <w:rFonts w:ascii="Times New Roman" w:eastAsia="Calibri" w:hAnsi="Times New Roman" w:cs="Times New Roman"/>
          <w:iCs/>
          <w:sz w:val="24"/>
          <w:szCs w:val="24"/>
        </w:rPr>
        <w:t xml:space="preserve"> cities that approached the Commission and asked for support in addressing the challenges they had faced in protecting public spaces.</w:t>
      </w:r>
    </w:p>
    <w:p w14:paraId="0FEAD9A4" w14:textId="1F72EEC9" w:rsidR="00373950" w:rsidRDefault="00690212" w:rsidP="00CC70EC">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Exchanging best practice</w:t>
      </w:r>
      <w:r w:rsidR="00B81216">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374423">
        <w:rPr>
          <w:rFonts w:ascii="Times New Roman" w:eastAsia="Calibri" w:hAnsi="Times New Roman" w:cs="Times New Roman"/>
          <w:sz w:val="24"/>
          <w:szCs w:val="24"/>
        </w:rPr>
        <w:t>among</w:t>
      </w:r>
      <w:r>
        <w:rPr>
          <w:rFonts w:ascii="Times New Roman" w:eastAsia="Calibri" w:hAnsi="Times New Roman" w:cs="Times New Roman"/>
          <w:sz w:val="24"/>
          <w:szCs w:val="24"/>
        </w:rPr>
        <w:t xml:space="preserve"> local authorities and with private operators is key to strengthen</w:t>
      </w:r>
      <w:r w:rsidR="00927647">
        <w:rPr>
          <w:rFonts w:ascii="Times New Roman" w:eastAsia="Calibri" w:hAnsi="Times New Roman" w:cs="Times New Roman"/>
          <w:sz w:val="24"/>
          <w:szCs w:val="24"/>
        </w:rPr>
        <w:t>ing</w:t>
      </w:r>
      <w:r>
        <w:rPr>
          <w:rFonts w:ascii="Times New Roman" w:eastAsia="Calibri" w:hAnsi="Times New Roman" w:cs="Times New Roman"/>
          <w:sz w:val="24"/>
          <w:szCs w:val="24"/>
        </w:rPr>
        <w:t xml:space="preserve"> the security of public spaces. This was at the heart of the </w:t>
      </w:r>
      <w:r w:rsidR="006D0673" w:rsidRPr="008D1951">
        <w:rPr>
          <w:rFonts w:ascii="Times New Roman" w:eastAsia="Calibri" w:hAnsi="Times New Roman" w:cs="Times New Roman"/>
          <w:b/>
          <w:sz w:val="24"/>
          <w:szCs w:val="24"/>
        </w:rPr>
        <w:t>European Week of Security</w:t>
      </w:r>
      <w:r w:rsidR="006D0673" w:rsidRPr="008D19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Nice, France from 14 to 18 October 2019, </w:t>
      </w:r>
      <w:r w:rsidR="006D0673" w:rsidRPr="008D1951">
        <w:rPr>
          <w:rFonts w:ascii="Times New Roman" w:eastAsia="Calibri" w:hAnsi="Times New Roman" w:cs="Times New Roman"/>
          <w:sz w:val="24"/>
          <w:szCs w:val="24"/>
        </w:rPr>
        <w:t>orga</w:t>
      </w:r>
      <w:r>
        <w:rPr>
          <w:rFonts w:ascii="Times New Roman" w:eastAsia="Calibri" w:hAnsi="Times New Roman" w:cs="Times New Roman"/>
          <w:sz w:val="24"/>
          <w:szCs w:val="24"/>
        </w:rPr>
        <w:t>nised by the EU-funded project ‘</w:t>
      </w:r>
      <w:r w:rsidR="006D0673" w:rsidRPr="008D1951">
        <w:rPr>
          <w:rFonts w:ascii="Times New Roman" w:eastAsia="Calibri" w:hAnsi="Times New Roman" w:cs="Times New Roman"/>
          <w:sz w:val="24"/>
          <w:szCs w:val="24"/>
        </w:rPr>
        <w:t xml:space="preserve">Protect Allied Cities </w:t>
      </w:r>
      <w:r>
        <w:rPr>
          <w:rFonts w:ascii="Times New Roman" w:eastAsia="Calibri" w:hAnsi="Times New Roman" w:cs="Times New Roman"/>
          <w:sz w:val="24"/>
          <w:szCs w:val="24"/>
        </w:rPr>
        <w:t>against Terrorism i</w:t>
      </w:r>
      <w:r w:rsidRPr="008D1951">
        <w:rPr>
          <w:rFonts w:ascii="Times New Roman" w:eastAsia="Calibri" w:hAnsi="Times New Roman" w:cs="Times New Roman"/>
          <w:sz w:val="24"/>
          <w:szCs w:val="24"/>
        </w:rPr>
        <w:t xml:space="preserve">n </w:t>
      </w:r>
      <w:r w:rsidR="006D0673" w:rsidRPr="008D1951">
        <w:rPr>
          <w:rFonts w:ascii="Times New Roman" w:eastAsia="Calibri" w:hAnsi="Times New Roman" w:cs="Times New Roman"/>
          <w:sz w:val="24"/>
          <w:szCs w:val="24"/>
        </w:rPr>
        <w:t xml:space="preserve">Securing Urban </w:t>
      </w:r>
      <w:r w:rsidRPr="008D1951">
        <w:rPr>
          <w:rFonts w:ascii="Times New Roman" w:eastAsia="Calibri" w:hAnsi="Times New Roman" w:cs="Times New Roman"/>
          <w:sz w:val="24"/>
          <w:szCs w:val="24"/>
        </w:rPr>
        <w:t>Areas</w:t>
      </w:r>
      <w:r>
        <w:rPr>
          <w:rFonts w:ascii="Times New Roman" w:eastAsia="Calibri" w:hAnsi="Times New Roman" w:cs="Times New Roman"/>
          <w:sz w:val="24"/>
          <w:szCs w:val="24"/>
        </w:rPr>
        <w:t xml:space="preserve">’. Bringing together 500 participants from cities all over Europe, national authorities and research institutions, the event highlighted </w:t>
      </w:r>
      <w:r w:rsidR="006D0673" w:rsidRPr="008D1951">
        <w:rPr>
          <w:rFonts w:ascii="Times New Roman" w:eastAsia="Calibri" w:hAnsi="Times New Roman" w:cs="Times New Roman"/>
          <w:sz w:val="24"/>
          <w:szCs w:val="24"/>
        </w:rPr>
        <w:t xml:space="preserve">the importance of close cooperation between all stakeholders involved, both public and private, </w:t>
      </w:r>
      <w:r w:rsidR="00877A57">
        <w:rPr>
          <w:rFonts w:ascii="Times New Roman" w:eastAsia="Calibri" w:hAnsi="Times New Roman" w:cs="Times New Roman"/>
          <w:sz w:val="24"/>
          <w:szCs w:val="24"/>
        </w:rPr>
        <w:t xml:space="preserve">and </w:t>
      </w:r>
      <w:r>
        <w:rPr>
          <w:rFonts w:ascii="Times New Roman" w:eastAsia="Calibri" w:hAnsi="Times New Roman" w:cs="Times New Roman"/>
          <w:sz w:val="24"/>
          <w:szCs w:val="24"/>
        </w:rPr>
        <w:t>the role of n</w:t>
      </w:r>
      <w:r w:rsidR="006D0673" w:rsidRPr="008D1951">
        <w:rPr>
          <w:rFonts w:ascii="Times New Roman" w:eastAsia="Calibri" w:hAnsi="Times New Roman" w:cs="Times New Roman"/>
          <w:sz w:val="24"/>
          <w:szCs w:val="24"/>
        </w:rPr>
        <w:t>ew technologies in better protecting cities.</w:t>
      </w:r>
      <w:r w:rsidR="00877A57">
        <w:rPr>
          <w:rFonts w:ascii="Times New Roman" w:eastAsia="Calibri" w:hAnsi="Times New Roman" w:cs="Times New Roman"/>
          <w:sz w:val="24"/>
          <w:szCs w:val="24"/>
        </w:rPr>
        <w:t xml:space="preserve"> </w:t>
      </w:r>
      <w:r w:rsidR="006368FC">
        <w:rPr>
          <w:rFonts w:ascii="Times New Roman" w:eastAsia="Calibri" w:hAnsi="Times New Roman" w:cs="Times New Roman"/>
          <w:sz w:val="24"/>
          <w:szCs w:val="24"/>
        </w:rPr>
        <w:t>P</w:t>
      </w:r>
      <w:r>
        <w:rPr>
          <w:rFonts w:ascii="Times New Roman" w:eastAsia="Calibri" w:hAnsi="Times New Roman" w:cs="Times New Roman"/>
          <w:sz w:val="24"/>
          <w:szCs w:val="24"/>
        </w:rPr>
        <w:t xml:space="preserve">rotection of public spaces also featured in the </w:t>
      </w:r>
      <w:r w:rsidRPr="00690212">
        <w:rPr>
          <w:rFonts w:ascii="Times New Roman" w:eastAsia="Calibri" w:hAnsi="Times New Roman" w:cs="Times New Roman"/>
          <w:b/>
          <w:sz w:val="24"/>
          <w:szCs w:val="24"/>
        </w:rPr>
        <w:t>European Week of Regions and Cities</w:t>
      </w:r>
      <w:r w:rsidR="005A4A0D">
        <w:rPr>
          <w:rFonts w:ascii="Times New Roman" w:eastAsia="Calibri" w:hAnsi="Times New Roman" w:cs="Times New Roman"/>
          <w:sz w:val="24"/>
          <w:szCs w:val="24"/>
        </w:rPr>
        <w:t xml:space="preserve"> in Brussels from 7 to 10 October 2019</w:t>
      </w:r>
      <w:r>
        <w:rPr>
          <w:rFonts w:ascii="Times New Roman" w:eastAsia="Calibri" w:hAnsi="Times New Roman" w:cs="Times New Roman"/>
          <w:sz w:val="24"/>
          <w:szCs w:val="24"/>
        </w:rPr>
        <w:t>, with a</w:t>
      </w:r>
      <w:r w:rsidR="005A4A0D">
        <w:rPr>
          <w:rFonts w:ascii="Times New Roman" w:eastAsia="Calibri" w:hAnsi="Times New Roman" w:cs="Times New Roman"/>
          <w:sz w:val="24"/>
          <w:szCs w:val="24"/>
        </w:rPr>
        <w:t xml:space="preserve"> workshop on the</w:t>
      </w:r>
      <w:r w:rsidR="00C01512">
        <w:rPr>
          <w:rFonts w:ascii="Times New Roman" w:eastAsia="Calibri" w:hAnsi="Times New Roman" w:cs="Times New Roman"/>
          <w:sz w:val="24"/>
          <w:szCs w:val="24"/>
        </w:rPr>
        <w:t xml:space="preserve"> </w:t>
      </w:r>
      <w:r w:rsidR="00C01512" w:rsidRPr="00C01512">
        <w:rPr>
          <w:rFonts w:ascii="Times New Roman" w:eastAsia="Calibri" w:hAnsi="Times New Roman" w:cs="Times New Roman"/>
          <w:sz w:val="24"/>
          <w:szCs w:val="24"/>
        </w:rPr>
        <w:t>Urban Agenda for the EU</w:t>
      </w:r>
      <w:r w:rsidR="006D0673" w:rsidRPr="008D1951">
        <w:rPr>
          <w:rFonts w:ascii="Times New Roman" w:eastAsia="Calibri" w:hAnsi="Times New Roman" w:cs="Times New Roman"/>
          <w:sz w:val="24"/>
          <w:szCs w:val="24"/>
        </w:rPr>
        <w:t xml:space="preserve"> </w:t>
      </w:r>
      <w:r w:rsidR="005A4A0D">
        <w:rPr>
          <w:rFonts w:ascii="Times New Roman" w:eastAsia="Calibri" w:hAnsi="Times New Roman" w:cs="Times New Roman"/>
          <w:sz w:val="24"/>
          <w:szCs w:val="24"/>
        </w:rPr>
        <w:t>P</w:t>
      </w:r>
      <w:r w:rsidR="005A4A0D" w:rsidRPr="005A4A0D">
        <w:rPr>
          <w:rFonts w:ascii="Times New Roman" w:eastAsia="Calibri" w:hAnsi="Times New Roman" w:cs="Times New Roman"/>
          <w:sz w:val="24"/>
          <w:szCs w:val="24"/>
        </w:rPr>
        <w:t xml:space="preserve">artnership </w:t>
      </w:r>
      <w:r w:rsidR="005A4A0D">
        <w:rPr>
          <w:rFonts w:ascii="Times New Roman" w:eastAsia="Calibri" w:hAnsi="Times New Roman" w:cs="Times New Roman"/>
          <w:sz w:val="24"/>
          <w:szCs w:val="24"/>
        </w:rPr>
        <w:t>for S</w:t>
      </w:r>
      <w:r w:rsidR="005A4A0D" w:rsidRPr="005A4A0D">
        <w:rPr>
          <w:rFonts w:ascii="Times New Roman" w:eastAsia="Calibri" w:hAnsi="Times New Roman" w:cs="Times New Roman"/>
          <w:sz w:val="24"/>
          <w:szCs w:val="24"/>
        </w:rPr>
        <w:t>ecurity</w:t>
      </w:r>
      <w:r w:rsidR="005A4A0D">
        <w:rPr>
          <w:rFonts w:ascii="Times New Roman" w:eastAsia="Calibri" w:hAnsi="Times New Roman" w:cs="Times New Roman"/>
          <w:sz w:val="24"/>
          <w:szCs w:val="24"/>
        </w:rPr>
        <w:t xml:space="preserve"> in Public </w:t>
      </w:r>
      <w:r w:rsidR="00877A57">
        <w:rPr>
          <w:rFonts w:ascii="Times New Roman" w:eastAsia="Calibri" w:hAnsi="Times New Roman" w:cs="Times New Roman"/>
          <w:sz w:val="24"/>
          <w:szCs w:val="24"/>
        </w:rPr>
        <w:t>Spaces</w:t>
      </w:r>
      <w:r w:rsidR="006368FC">
        <w:rPr>
          <w:rFonts w:ascii="Times New Roman" w:eastAsia="Calibri" w:hAnsi="Times New Roman" w:cs="Times New Roman"/>
          <w:sz w:val="24"/>
          <w:szCs w:val="24"/>
        </w:rPr>
        <w:t>. It</w:t>
      </w:r>
      <w:r w:rsidR="005A4A0D">
        <w:rPr>
          <w:rFonts w:ascii="Times New Roman" w:eastAsia="Calibri" w:hAnsi="Times New Roman" w:cs="Times New Roman"/>
          <w:sz w:val="24"/>
          <w:szCs w:val="24"/>
        </w:rPr>
        <w:t xml:space="preserve"> focused on</w:t>
      </w:r>
      <w:r w:rsidR="005A4A0D" w:rsidRPr="005A4A0D">
        <w:rPr>
          <w:rFonts w:ascii="Times New Roman" w:eastAsia="Calibri" w:hAnsi="Times New Roman" w:cs="Times New Roman"/>
          <w:sz w:val="24"/>
          <w:szCs w:val="24"/>
        </w:rPr>
        <w:t xml:space="preserve"> the role of local authorities in the security policy domain</w:t>
      </w:r>
      <w:r w:rsidR="005A4A0D">
        <w:rPr>
          <w:rFonts w:ascii="Times New Roman" w:eastAsia="Calibri" w:hAnsi="Times New Roman" w:cs="Times New Roman"/>
          <w:sz w:val="24"/>
          <w:szCs w:val="24"/>
        </w:rPr>
        <w:t>,</w:t>
      </w:r>
      <w:r w:rsidR="005A4A0D" w:rsidRPr="005A4A0D">
        <w:rPr>
          <w:rFonts w:ascii="Times New Roman" w:eastAsia="Calibri" w:hAnsi="Times New Roman" w:cs="Times New Roman"/>
          <w:sz w:val="24"/>
          <w:szCs w:val="24"/>
        </w:rPr>
        <w:t xml:space="preserve"> EU regulation and funding to face main security challenges in urban public spaces</w:t>
      </w:r>
      <w:r w:rsidR="005A4A0D">
        <w:rPr>
          <w:rFonts w:ascii="Times New Roman" w:eastAsia="Calibri" w:hAnsi="Times New Roman" w:cs="Times New Roman"/>
          <w:sz w:val="24"/>
          <w:szCs w:val="24"/>
        </w:rPr>
        <w:t xml:space="preserve">, and </w:t>
      </w:r>
      <w:r w:rsidR="005A4A0D" w:rsidRPr="005A4A0D">
        <w:rPr>
          <w:rFonts w:ascii="Times New Roman" w:eastAsia="Calibri" w:hAnsi="Times New Roman" w:cs="Times New Roman"/>
          <w:sz w:val="24"/>
          <w:szCs w:val="24"/>
        </w:rPr>
        <w:t xml:space="preserve">key themes such as innovation through smart solutions and technologies, </w:t>
      </w:r>
      <w:r w:rsidR="006368FC" w:rsidRPr="006368FC">
        <w:rPr>
          <w:rFonts w:ascii="Times New Roman" w:eastAsia="Calibri" w:hAnsi="Times New Roman" w:cs="Times New Roman"/>
          <w:sz w:val="24"/>
          <w:szCs w:val="24"/>
        </w:rPr>
        <w:t xml:space="preserve">including the concept of security by design, </w:t>
      </w:r>
      <w:r w:rsidR="005A4A0D" w:rsidRPr="005A4A0D">
        <w:rPr>
          <w:rFonts w:ascii="Times New Roman" w:eastAsia="Calibri" w:hAnsi="Times New Roman" w:cs="Times New Roman"/>
          <w:sz w:val="24"/>
          <w:szCs w:val="24"/>
        </w:rPr>
        <w:t>prevention and social inclusion.</w:t>
      </w:r>
      <w:r w:rsidR="00C01512">
        <w:rPr>
          <w:rFonts w:ascii="Times New Roman" w:eastAsia="Calibri" w:hAnsi="Times New Roman" w:cs="Times New Roman"/>
          <w:sz w:val="24"/>
          <w:szCs w:val="24"/>
        </w:rPr>
        <w:t xml:space="preserve"> The Commission is also </w:t>
      </w:r>
      <w:r w:rsidR="00C01512" w:rsidRPr="00CA0BC9">
        <w:rPr>
          <w:rFonts w:ascii="Times New Roman" w:eastAsia="Calibri" w:hAnsi="Times New Roman" w:cs="Times New Roman"/>
          <w:sz w:val="24"/>
          <w:szCs w:val="24"/>
        </w:rPr>
        <w:t xml:space="preserve">contributing to foster cities’ innovation in these fields through its last call for proposals of the Urban </w:t>
      </w:r>
      <w:r w:rsidR="00C01512">
        <w:rPr>
          <w:rFonts w:ascii="Times New Roman" w:eastAsia="Calibri" w:hAnsi="Times New Roman" w:cs="Times New Roman"/>
          <w:sz w:val="24"/>
          <w:szCs w:val="24"/>
        </w:rPr>
        <w:t>I</w:t>
      </w:r>
      <w:r w:rsidR="00C01512" w:rsidRPr="00CA0BC9">
        <w:rPr>
          <w:rFonts w:ascii="Times New Roman" w:eastAsia="Calibri" w:hAnsi="Times New Roman" w:cs="Times New Roman"/>
          <w:sz w:val="24"/>
          <w:szCs w:val="24"/>
        </w:rPr>
        <w:t xml:space="preserve">nnovative </w:t>
      </w:r>
      <w:r w:rsidR="00C01512">
        <w:rPr>
          <w:rFonts w:ascii="Times New Roman" w:eastAsia="Calibri" w:hAnsi="Times New Roman" w:cs="Times New Roman"/>
          <w:sz w:val="24"/>
          <w:szCs w:val="24"/>
        </w:rPr>
        <w:t>A</w:t>
      </w:r>
      <w:r w:rsidR="00C01512" w:rsidRPr="00CA0BC9">
        <w:rPr>
          <w:rFonts w:ascii="Times New Roman" w:eastAsia="Calibri" w:hAnsi="Times New Roman" w:cs="Times New Roman"/>
          <w:sz w:val="24"/>
          <w:szCs w:val="24"/>
        </w:rPr>
        <w:t>ctions</w:t>
      </w:r>
      <w:r w:rsidR="00C01512">
        <w:rPr>
          <w:rFonts w:ascii="Times New Roman" w:eastAsia="Calibri" w:hAnsi="Times New Roman" w:cs="Times New Roman"/>
          <w:sz w:val="24"/>
          <w:szCs w:val="24"/>
        </w:rPr>
        <w:t>, the</w:t>
      </w:r>
      <w:r w:rsidR="00C01512" w:rsidRPr="00CA0BC9">
        <w:rPr>
          <w:rFonts w:ascii="Times New Roman" w:eastAsia="Calibri" w:hAnsi="Times New Roman" w:cs="Times New Roman"/>
          <w:sz w:val="24"/>
          <w:szCs w:val="24"/>
        </w:rPr>
        <w:t xml:space="preserve"> results</w:t>
      </w:r>
      <w:r w:rsidR="00C01512">
        <w:rPr>
          <w:rFonts w:ascii="Times New Roman" w:eastAsia="Calibri" w:hAnsi="Times New Roman" w:cs="Times New Roman"/>
          <w:sz w:val="24"/>
          <w:szCs w:val="24"/>
        </w:rPr>
        <w:t xml:space="preserve"> of which</w:t>
      </w:r>
      <w:r w:rsidR="00C01512" w:rsidRPr="00CA0BC9">
        <w:rPr>
          <w:rFonts w:ascii="Times New Roman" w:eastAsia="Calibri" w:hAnsi="Times New Roman" w:cs="Times New Roman"/>
          <w:sz w:val="24"/>
          <w:szCs w:val="24"/>
        </w:rPr>
        <w:t xml:space="preserve"> were announced in August 2019. Among the projects selected, three cities (</w:t>
      </w:r>
      <w:r w:rsidR="00C01512" w:rsidRPr="00AB3F85">
        <w:rPr>
          <w:rFonts w:ascii="Times New Roman" w:hAnsi="Times New Roman" w:cs="Times New Roman"/>
          <w:color w:val="002329"/>
          <w:sz w:val="24"/>
          <w:szCs w:val="24"/>
        </w:rPr>
        <w:t xml:space="preserve">Piraeus in Greece, </w:t>
      </w:r>
      <w:r w:rsidR="00C01512" w:rsidRPr="00CA0BC9">
        <w:rPr>
          <w:rFonts w:ascii="Times New Roman" w:eastAsia="Calibri" w:hAnsi="Times New Roman" w:cs="Times New Roman"/>
          <w:sz w:val="24"/>
          <w:szCs w:val="24"/>
        </w:rPr>
        <w:t xml:space="preserve">Tampere in Finland </w:t>
      </w:r>
      <w:r w:rsidR="00C01512">
        <w:rPr>
          <w:rFonts w:ascii="Times New Roman" w:eastAsia="Calibri" w:hAnsi="Times New Roman" w:cs="Times New Roman"/>
          <w:sz w:val="24"/>
          <w:szCs w:val="24"/>
        </w:rPr>
        <w:t xml:space="preserve">and Turin in Italy) </w:t>
      </w:r>
      <w:r w:rsidR="00C01512" w:rsidRPr="00CA0BC9">
        <w:rPr>
          <w:rFonts w:ascii="Times New Roman" w:eastAsia="Calibri" w:hAnsi="Times New Roman" w:cs="Times New Roman"/>
          <w:sz w:val="24"/>
          <w:szCs w:val="24"/>
        </w:rPr>
        <w:t>will be testing new solutions on urban security matters</w:t>
      </w:r>
      <w:r w:rsidR="00C01512">
        <w:rPr>
          <w:rFonts w:ascii="Times New Roman" w:eastAsia="Calibri" w:hAnsi="Times New Roman" w:cs="Times New Roman"/>
          <w:sz w:val="24"/>
          <w:szCs w:val="24"/>
        </w:rPr>
        <w:t>.</w:t>
      </w:r>
      <w:r w:rsidR="00C01512" w:rsidRPr="00AB3F85">
        <w:rPr>
          <w:rStyle w:val="FootnoteReference"/>
          <w:rFonts w:eastAsia="Calibri"/>
          <w:sz w:val="24"/>
          <w:szCs w:val="24"/>
        </w:rPr>
        <w:footnoteReference w:id="71"/>
      </w:r>
    </w:p>
    <w:p w14:paraId="3FAC3335" w14:textId="66B90599" w:rsidR="006D0673" w:rsidRDefault="006368FC" w:rsidP="00CC70EC">
      <w:pPr>
        <w:spacing w:after="240" w:line="240" w:lineRule="auto"/>
        <w:jc w:val="both"/>
        <w:rPr>
          <w:rFonts w:ascii="Times New Roman" w:eastAsia="Calibri" w:hAnsi="Times New Roman" w:cs="Times New Roman"/>
          <w:sz w:val="24"/>
          <w:szCs w:val="24"/>
        </w:rPr>
      </w:pPr>
      <w:r w:rsidRPr="006368FC">
        <w:rPr>
          <w:rFonts w:ascii="Times New Roman" w:eastAsia="Calibri" w:hAnsi="Times New Roman" w:cs="Times New Roman"/>
          <w:sz w:val="24"/>
          <w:szCs w:val="24"/>
        </w:rPr>
        <w:t xml:space="preserve">To better </w:t>
      </w:r>
      <w:r w:rsidRPr="003C6859">
        <w:rPr>
          <w:rFonts w:ascii="Times New Roman" w:eastAsia="Calibri" w:hAnsi="Times New Roman" w:cs="Times New Roman"/>
          <w:b/>
          <w:sz w:val="24"/>
          <w:szCs w:val="24"/>
        </w:rPr>
        <w:t>protect places of worship</w:t>
      </w:r>
      <w:r w:rsidRPr="006368FC">
        <w:rPr>
          <w:rFonts w:ascii="Times New Roman" w:eastAsia="Calibri" w:hAnsi="Times New Roman" w:cs="Times New Roman"/>
          <w:sz w:val="24"/>
          <w:szCs w:val="24"/>
        </w:rPr>
        <w:t xml:space="preserve"> and to explore the needs of different religious groups, the Commission organised a meeting on 7 October 2019</w:t>
      </w:r>
      <w:r w:rsidR="00877A57">
        <w:rPr>
          <w:rFonts w:ascii="Times New Roman" w:eastAsia="Calibri" w:hAnsi="Times New Roman" w:cs="Times New Roman"/>
          <w:sz w:val="24"/>
          <w:szCs w:val="24"/>
        </w:rPr>
        <w:t xml:space="preserve"> with</w:t>
      </w:r>
      <w:r w:rsidRPr="006368FC">
        <w:rPr>
          <w:rFonts w:ascii="Times New Roman" w:eastAsia="Calibri" w:hAnsi="Times New Roman" w:cs="Times New Roman"/>
          <w:sz w:val="24"/>
          <w:szCs w:val="24"/>
        </w:rPr>
        <w:t xml:space="preserve"> representatives of Jewish, Muslim, Christian and Buddhist communities.</w:t>
      </w:r>
      <w:r w:rsidR="00877A57">
        <w:rPr>
          <w:rFonts w:ascii="Times New Roman" w:eastAsia="Calibri" w:hAnsi="Times New Roman" w:cs="Times New Roman"/>
          <w:sz w:val="24"/>
          <w:szCs w:val="24"/>
        </w:rPr>
        <w:t xml:space="preserve"> </w:t>
      </w:r>
      <w:r w:rsidR="00040016">
        <w:rPr>
          <w:rFonts w:ascii="Times New Roman" w:eastAsia="Calibri" w:hAnsi="Times New Roman" w:cs="Times New Roman"/>
          <w:sz w:val="24"/>
          <w:szCs w:val="24"/>
        </w:rPr>
        <w:t>P</w:t>
      </w:r>
      <w:r w:rsidR="00BE04B6">
        <w:rPr>
          <w:rFonts w:ascii="Times New Roman" w:eastAsia="Calibri" w:hAnsi="Times New Roman" w:cs="Times New Roman"/>
          <w:sz w:val="24"/>
          <w:szCs w:val="24"/>
        </w:rPr>
        <w:t>art of the implementation of the 2017 EU</w:t>
      </w:r>
      <w:r w:rsidR="00BE04B6" w:rsidRPr="00BE04B6">
        <w:rPr>
          <w:rFonts w:ascii="Times New Roman" w:eastAsia="Calibri" w:hAnsi="Times New Roman" w:cs="Times New Roman"/>
          <w:sz w:val="24"/>
          <w:szCs w:val="24"/>
        </w:rPr>
        <w:t xml:space="preserve"> Action Plan to support the protection of public spaces</w:t>
      </w:r>
      <w:r w:rsidR="00BE04B6">
        <w:rPr>
          <w:rFonts w:ascii="Times New Roman" w:eastAsia="Calibri" w:hAnsi="Times New Roman" w:cs="Times New Roman"/>
          <w:sz w:val="24"/>
          <w:szCs w:val="24"/>
        </w:rPr>
        <w:t>, the meeting indicated</w:t>
      </w:r>
      <w:r w:rsidR="00BE04B6" w:rsidRPr="00BE04B6">
        <w:rPr>
          <w:rFonts w:ascii="Times New Roman" w:eastAsia="Calibri" w:hAnsi="Times New Roman" w:cs="Times New Roman"/>
          <w:sz w:val="24"/>
          <w:szCs w:val="24"/>
        </w:rPr>
        <w:t xml:space="preserve"> that the security awareness and preparedness vary significantly between different</w:t>
      </w:r>
      <w:r w:rsidR="00BE04B6">
        <w:rPr>
          <w:rFonts w:ascii="Times New Roman" w:eastAsia="Calibri" w:hAnsi="Times New Roman" w:cs="Times New Roman"/>
          <w:sz w:val="24"/>
          <w:szCs w:val="24"/>
        </w:rPr>
        <w:t xml:space="preserve"> religious</w:t>
      </w:r>
      <w:r w:rsidR="00BE04B6" w:rsidRPr="00BE04B6">
        <w:rPr>
          <w:rFonts w:ascii="Times New Roman" w:eastAsia="Calibri" w:hAnsi="Times New Roman" w:cs="Times New Roman"/>
          <w:sz w:val="24"/>
          <w:szCs w:val="24"/>
        </w:rPr>
        <w:t xml:space="preserve"> communities</w:t>
      </w:r>
      <w:r w:rsidR="00BE04B6">
        <w:rPr>
          <w:rFonts w:ascii="Times New Roman" w:eastAsia="Calibri" w:hAnsi="Times New Roman" w:cs="Times New Roman"/>
          <w:sz w:val="24"/>
          <w:szCs w:val="24"/>
        </w:rPr>
        <w:t xml:space="preserve">, </w:t>
      </w:r>
      <w:r w:rsidR="00BE04B6" w:rsidRPr="00BE04B6">
        <w:rPr>
          <w:rFonts w:ascii="Times New Roman" w:eastAsia="Calibri" w:hAnsi="Times New Roman" w:cs="Times New Roman"/>
          <w:sz w:val="24"/>
          <w:szCs w:val="24"/>
        </w:rPr>
        <w:t>highlight</w:t>
      </w:r>
      <w:r w:rsidR="00BE04B6">
        <w:rPr>
          <w:rFonts w:ascii="Times New Roman" w:eastAsia="Calibri" w:hAnsi="Times New Roman" w:cs="Times New Roman"/>
          <w:sz w:val="24"/>
          <w:szCs w:val="24"/>
        </w:rPr>
        <w:t>ing</w:t>
      </w:r>
      <w:r w:rsidR="00BE04B6" w:rsidRPr="00BE04B6">
        <w:rPr>
          <w:rFonts w:ascii="Times New Roman" w:eastAsia="Calibri" w:hAnsi="Times New Roman" w:cs="Times New Roman"/>
          <w:sz w:val="24"/>
          <w:szCs w:val="24"/>
        </w:rPr>
        <w:t xml:space="preserve"> the</w:t>
      </w:r>
      <w:r w:rsidR="00BE04B6">
        <w:rPr>
          <w:rFonts w:ascii="Times New Roman" w:eastAsia="Calibri" w:hAnsi="Times New Roman" w:cs="Times New Roman"/>
          <w:sz w:val="24"/>
          <w:szCs w:val="24"/>
        </w:rPr>
        <w:t xml:space="preserve"> importance of further exchange</w:t>
      </w:r>
      <w:r w:rsidR="00BE04B6" w:rsidRPr="00BE04B6">
        <w:rPr>
          <w:rFonts w:ascii="Times New Roman" w:eastAsia="Calibri" w:hAnsi="Times New Roman" w:cs="Times New Roman"/>
          <w:sz w:val="24"/>
          <w:szCs w:val="24"/>
        </w:rPr>
        <w:t xml:space="preserve"> of good practices. </w:t>
      </w:r>
      <w:r w:rsidR="00BE04B6">
        <w:rPr>
          <w:rFonts w:ascii="Times New Roman" w:eastAsia="Calibri" w:hAnsi="Times New Roman" w:cs="Times New Roman"/>
          <w:sz w:val="24"/>
          <w:szCs w:val="24"/>
        </w:rPr>
        <w:t>The meeting also showed that</w:t>
      </w:r>
      <w:r w:rsidR="00BE04B6" w:rsidRPr="00BE04B6">
        <w:rPr>
          <w:rFonts w:ascii="Times New Roman" w:eastAsia="Calibri" w:hAnsi="Times New Roman" w:cs="Times New Roman"/>
          <w:sz w:val="24"/>
          <w:szCs w:val="24"/>
        </w:rPr>
        <w:t xml:space="preserve"> introducing basic security measures and a better security awareness are not incompatible with</w:t>
      </w:r>
      <w:r w:rsidR="00BE04B6">
        <w:rPr>
          <w:rFonts w:ascii="Times New Roman" w:eastAsia="Calibri" w:hAnsi="Times New Roman" w:cs="Times New Roman"/>
          <w:sz w:val="24"/>
          <w:szCs w:val="24"/>
        </w:rPr>
        <w:t xml:space="preserve"> maintaining</w:t>
      </w:r>
      <w:r w:rsidR="00BE04B6" w:rsidRPr="00BE04B6">
        <w:rPr>
          <w:rFonts w:ascii="Times New Roman" w:eastAsia="Calibri" w:hAnsi="Times New Roman" w:cs="Times New Roman"/>
          <w:sz w:val="24"/>
          <w:szCs w:val="24"/>
        </w:rPr>
        <w:t xml:space="preserve"> the open and accessible character </w:t>
      </w:r>
      <w:r w:rsidR="00BE04B6">
        <w:rPr>
          <w:rFonts w:ascii="Times New Roman" w:eastAsia="Calibri" w:hAnsi="Times New Roman" w:cs="Times New Roman"/>
          <w:sz w:val="24"/>
          <w:szCs w:val="24"/>
        </w:rPr>
        <w:t>of</w:t>
      </w:r>
      <w:r w:rsidR="00BE04B6" w:rsidRPr="00BE04B6">
        <w:rPr>
          <w:rFonts w:ascii="Times New Roman" w:eastAsia="Calibri" w:hAnsi="Times New Roman" w:cs="Times New Roman"/>
          <w:sz w:val="24"/>
          <w:szCs w:val="24"/>
        </w:rPr>
        <w:t xml:space="preserve"> places of worship. The Commission will collect good practices and awareness raising material on its electronic expert platform and bring the </w:t>
      </w:r>
      <w:r w:rsidR="00BE04B6">
        <w:rPr>
          <w:rFonts w:ascii="Times New Roman" w:eastAsia="Calibri" w:hAnsi="Times New Roman" w:cs="Times New Roman"/>
          <w:sz w:val="24"/>
          <w:szCs w:val="24"/>
        </w:rPr>
        <w:t>matter</w:t>
      </w:r>
      <w:r w:rsidR="00BE04B6" w:rsidRPr="00BE04B6">
        <w:rPr>
          <w:rFonts w:ascii="Times New Roman" w:eastAsia="Calibri" w:hAnsi="Times New Roman" w:cs="Times New Roman"/>
          <w:sz w:val="24"/>
          <w:szCs w:val="24"/>
        </w:rPr>
        <w:t xml:space="preserve"> to the attention of Member States’ security aut</w:t>
      </w:r>
      <w:r w:rsidR="00BE04B6">
        <w:rPr>
          <w:rFonts w:ascii="Times New Roman" w:eastAsia="Calibri" w:hAnsi="Times New Roman" w:cs="Times New Roman"/>
          <w:sz w:val="24"/>
          <w:szCs w:val="24"/>
        </w:rPr>
        <w:t>horities in the public-private f</w:t>
      </w:r>
      <w:r w:rsidR="00BE04B6" w:rsidRPr="00BE04B6">
        <w:rPr>
          <w:rFonts w:ascii="Times New Roman" w:eastAsia="Calibri" w:hAnsi="Times New Roman" w:cs="Times New Roman"/>
          <w:sz w:val="24"/>
          <w:szCs w:val="24"/>
        </w:rPr>
        <w:t>orum for the protection of public spaces</w:t>
      </w:r>
      <w:r w:rsidR="00877A57">
        <w:rPr>
          <w:rFonts w:ascii="Times New Roman" w:eastAsia="Calibri" w:hAnsi="Times New Roman" w:cs="Times New Roman"/>
          <w:sz w:val="24"/>
          <w:szCs w:val="24"/>
        </w:rPr>
        <w:t>.</w:t>
      </w:r>
    </w:p>
    <w:p w14:paraId="4C354ECC" w14:textId="5F4AF1E0" w:rsidR="002D23FD" w:rsidRDefault="002D23FD" w:rsidP="00CC70EC">
      <w:pPr>
        <w:spacing w:after="240" w:line="240" w:lineRule="auto"/>
        <w:jc w:val="both"/>
        <w:rPr>
          <w:rFonts w:ascii="Times New Roman" w:eastAsia="Calibri" w:hAnsi="Times New Roman" w:cs="Times New Roman"/>
          <w:sz w:val="24"/>
          <w:szCs w:val="24"/>
        </w:rPr>
      </w:pPr>
      <w:r>
        <w:rPr>
          <w:rFonts w:ascii="Times New Roman" w:hAnsi="Times New Roman" w:cs="Times New Roman"/>
          <w:sz w:val="24"/>
          <w:szCs w:val="24"/>
        </w:rPr>
        <w:t>One specific area requiring further attention is the increasing security threat to critical infrastructure and public spaces</w:t>
      </w:r>
      <w:r w:rsidR="00CA54F2" w:rsidRPr="00CA54F2">
        <w:rPr>
          <w:rFonts w:ascii="Times New Roman" w:hAnsi="Times New Roman" w:cs="Times New Roman"/>
          <w:sz w:val="24"/>
          <w:szCs w:val="24"/>
        </w:rPr>
        <w:t xml:space="preserve"> </w:t>
      </w:r>
      <w:r w:rsidR="00CA54F2">
        <w:rPr>
          <w:rFonts w:ascii="Times New Roman" w:hAnsi="Times New Roman" w:cs="Times New Roman"/>
          <w:sz w:val="24"/>
          <w:szCs w:val="24"/>
        </w:rPr>
        <w:t xml:space="preserve">posed by </w:t>
      </w:r>
      <w:r w:rsidR="00CA54F2" w:rsidRPr="002244C7">
        <w:rPr>
          <w:rFonts w:ascii="Times New Roman" w:hAnsi="Times New Roman" w:cs="Times New Roman"/>
          <w:b/>
          <w:sz w:val="24"/>
          <w:szCs w:val="24"/>
        </w:rPr>
        <w:t>drones</w:t>
      </w:r>
      <w:r>
        <w:rPr>
          <w:rFonts w:ascii="Times New Roman" w:hAnsi="Times New Roman" w:cs="Times New Roman"/>
          <w:sz w:val="24"/>
          <w:szCs w:val="24"/>
        </w:rPr>
        <w:t>. Complementing recent EU</w:t>
      </w:r>
      <w:r w:rsidRPr="008D1951">
        <w:rPr>
          <w:rFonts w:ascii="Times New Roman" w:hAnsi="Times New Roman" w:cs="Times New Roman"/>
          <w:sz w:val="24"/>
          <w:szCs w:val="24"/>
        </w:rPr>
        <w:t xml:space="preserve"> legislation</w:t>
      </w:r>
      <w:r>
        <w:rPr>
          <w:rStyle w:val="FootnoteReference"/>
        </w:rPr>
        <w:footnoteReference w:id="72"/>
      </w:r>
      <w:r w:rsidRPr="008D1951">
        <w:rPr>
          <w:rFonts w:ascii="Times New Roman" w:hAnsi="Times New Roman" w:cs="Times New Roman"/>
          <w:sz w:val="24"/>
          <w:szCs w:val="24"/>
        </w:rPr>
        <w:t xml:space="preserve"> on safe drone operations in manned airspace</w:t>
      </w:r>
      <w:r>
        <w:rPr>
          <w:rFonts w:ascii="Times New Roman" w:hAnsi="Times New Roman" w:cs="Times New Roman"/>
          <w:sz w:val="24"/>
          <w:szCs w:val="24"/>
        </w:rPr>
        <w:t xml:space="preserve">, and without undermining the opportunities for </w:t>
      </w:r>
      <w:r w:rsidR="00CA54F2">
        <w:rPr>
          <w:rFonts w:ascii="Times New Roman" w:hAnsi="Times New Roman" w:cs="Times New Roman"/>
          <w:sz w:val="24"/>
          <w:szCs w:val="24"/>
        </w:rPr>
        <w:t xml:space="preserve">the </w:t>
      </w:r>
      <w:r>
        <w:rPr>
          <w:rFonts w:ascii="Times New Roman" w:hAnsi="Times New Roman" w:cs="Times New Roman"/>
          <w:sz w:val="24"/>
          <w:szCs w:val="24"/>
        </w:rPr>
        <w:t>beneficial use of drones, the Commission supports Member States in</w:t>
      </w:r>
      <w:r w:rsidRPr="008D1951">
        <w:rPr>
          <w:rFonts w:ascii="Times New Roman" w:hAnsi="Times New Roman" w:cs="Times New Roman"/>
          <w:sz w:val="24"/>
          <w:szCs w:val="24"/>
        </w:rPr>
        <w:t xml:space="preserve"> track</w:t>
      </w:r>
      <w:r>
        <w:rPr>
          <w:rFonts w:ascii="Times New Roman" w:hAnsi="Times New Roman" w:cs="Times New Roman"/>
          <w:sz w:val="24"/>
          <w:szCs w:val="24"/>
        </w:rPr>
        <w:t>ing</w:t>
      </w:r>
      <w:r w:rsidRPr="008D1951">
        <w:rPr>
          <w:rFonts w:ascii="Times New Roman" w:hAnsi="Times New Roman" w:cs="Times New Roman"/>
          <w:sz w:val="24"/>
          <w:szCs w:val="24"/>
        </w:rPr>
        <w:t xml:space="preserve"> trends in </w:t>
      </w:r>
      <w:r w:rsidR="00CA54F2">
        <w:rPr>
          <w:rFonts w:ascii="Times New Roman" w:hAnsi="Times New Roman" w:cs="Times New Roman"/>
          <w:sz w:val="24"/>
          <w:szCs w:val="24"/>
        </w:rPr>
        <w:t xml:space="preserve">the </w:t>
      </w:r>
      <w:r w:rsidRPr="008D1951">
        <w:rPr>
          <w:rFonts w:ascii="Times New Roman" w:hAnsi="Times New Roman" w:cs="Times New Roman"/>
          <w:sz w:val="24"/>
          <w:szCs w:val="24"/>
        </w:rPr>
        <w:t>malicious</w:t>
      </w:r>
      <w:r>
        <w:rPr>
          <w:rFonts w:ascii="Times New Roman" w:hAnsi="Times New Roman" w:cs="Times New Roman"/>
          <w:sz w:val="24"/>
          <w:szCs w:val="24"/>
        </w:rPr>
        <w:t xml:space="preserve"> use of</w:t>
      </w:r>
      <w:r w:rsidRPr="008D1951">
        <w:rPr>
          <w:rFonts w:ascii="Times New Roman" w:hAnsi="Times New Roman" w:cs="Times New Roman"/>
          <w:sz w:val="24"/>
          <w:szCs w:val="24"/>
        </w:rPr>
        <w:t xml:space="preserve"> drone</w:t>
      </w:r>
      <w:r w:rsidR="00CA54F2">
        <w:rPr>
          <w:rFonts w:ascii="Times New Roman" w:hAnsi="Times New Roman" w:cs="Times New Roman"/>
          <w:sz w:val="24"/>
          <w:szCs w:val="24"/>
        </w:rPr>
        <w:t>s</w:t>
      </w:r>
      <w:r w:rsidRPr="008D1951">
        <w:rPr>
          <w:rFonts w:ascii="Times New Roman" w:hAnsi="Times New Roman" w:cs="Times New Roman"/>
          <w:sz w:val="24"/>
          <w:szCs w:val="24"/>
        </w:rPr>
        <w:t>, fund</w:t>
      </w:r>
      <w:r>
        <w:rPr>
          <w:rFonts w:ascii="Times New Roman" w:hAnsi="Times New Roman" w:cs="Times New Roman"/>
          <w:sz w:val="24"/>
          <w:szCs w:val="24"/>
        </w:rPr>
        <w:t>ing</w:t>
      </w:r>
      <w:r w:rsidRPr="008D1951">
        <w:rPr>
          <w:rFonts w:ascii="Times New Roman" w:hAnsi="Times New Roman" w:cs="Times New Roman"/>
          <w:sz w:val="24"/>
          <w:szCs w:val="24"/>
        </w:rPr>
        <w:t xml:space="preserve"> relevant re</w:t>
      </w:r>
      <w:r>
        <w:rPr>
          <w:rFonts w:ascii="Times New Roman" w:hAnsi="Times New Roman" w:cs="Times New Roman"/>
          <w:sz w:val="24"/>
          <w:szCs w:val="24"/>
        </w:rPr>
        <w:t>search</w:t>
      </w:r>
      <w:r w:rsidRPr="008D1951">
        <w:rPr>
          <w:rFonts w:ascii="Times New Roman" w:hAnsi="Times New Roman" w:cs="Times New Roman"/>
          <w:sz w:val="24"/>
          <w:szCs w:val="24"/>
        </w:rPr>
        <w:t xml:space="preserve"> and facilitat</w:t>
      </w:r>
      <w:r>
        <w:rPr>
          <w:rFonts w:ascii="Times New Roman" w:hAnsi="Times New Roman" w:cs="Times New Roman"/>
          <w:sz w:val="24"/>
          <w:szCs w:val="24"/>
        </w:rPr>
        <w:t>ing the</w:t>
      </w:r>
      <w:r w:rsidRPr="008D1951">
        <w:rPr>
          <w:rFonts w:ascii="Times New Roman" w:hAnsi="Times New Roman" w:cs="Times New Roman"/>
          <w:sz w:val="24"/>
          <w:szCs w:val="24"/>
        </w:rPr>
        <w:t xml:space="preserve"> testing of countermeasures</w:t>
      </w:r>
      <w:r>
        <w:rPr>
          <w:rFonts w:ascii="Times New Roman" w:hAnsi="Times New Roman" w:cs="Times New Roman"/>
          <w:sz w:val="24"/>
          <w:szCs w:val="24"/>
        </w:rPr>
        <w:t xml:space="preserve">. Exchange of experiences and best practices are crucial, as shown by the </w:t>
      </w:r>
      <w:r w:rsidR="00CA54F2">
        <w:rPr>
          <w:rFonts w:ascii="Times New Roman" w:hAnsi="Times New Roman" w:cs="Times New Roman"/>
          <w:sz w:val="24"/>
          <w:szCs w:val="24"/>
        </w:rPr>
        <w:t>high-l</w:t>
      </w:r>
      <w:r w:rsidRPr="008D1951">
        <w:rPr>
          <w:rFonts w:ascii="Times New Roman" w:hAnsi="Times New Roman" w:cs="Times New Roman"/>
          <w:sz w:val="24"/>
          <w:szCs w:val="24"/>
        </w:rPr>
        <w:t xml:space="preserve">evel </w:t>
      </w:r>
      <w:r w:rsidR="00CA54F2">
        <w:rPr>
          <w:rFonts w:ascii="Times New Roman" w:hAnsi="Times New Roman" w:cs="Times New Roman"/>
          <w:sz w:val="24"/>
          <w:szCs w:val="24"/>
        </w:rPr>
        <w:t>international c</w:t>
      </w:r>
      <w:r w:rsidRPr="008237B8">
        <w:rPr>
          <w:rFonts w:ascii="Times New Roman" w:hAnsi="Times New Roman" w:cs="Times New Roman"/>
          <w:sz w:val="24"/>
          <w:szCs w:val="24"/>
        </w:rPr>
        <w:t xml:space="preserve">onference on countering the threats posed by unmanned aircraft systems </w:t>
      </w:r>
      <w:r>
        <w:rPr>
          <w:rFonts w:ascii="Times New Roman" w:hAnsi="Times New Roman" w:cs="Times New Roman"/>
          <w:sz w:val="24"/>
          <w:szCs w:val="24"/>
        </w:rPr>
        <w:t xml:space="preserve">in Brussels </w:t>
      </w:r>
      <w:r w:rsidRPr="008D1951">
        <w:rPr>
          <w:rFonts w:ascii="Times New Roman" w:hAnsi="Times New Roman" w:cs="Times New Roman"/>
          <w:sz w:val="24"/>
          <w:szCs w:val="24"/>
        </w:rPr>
        <w:t>on 17 October 2019</w:t>
      </w:r>
      <w:r>
        <w:rPr>
          <w:rFonts w:ascii="Times New Roman" w:hAnsi="Times New Roman" w:cs="Times New Roman"/>
          <w:sz w:val="24"/>
          <w:szCs w:val="24"/>
        </w:rPr>
        <w:t xml:space="preserve">. Organised by the Commission, </w:t>
      </w:r>
      <w:r w:rsidR="00CA54F2">
        <w:rPr>
          <w:rFonts w:ascii="Times New Roman" w:hAnsi="Times New Roman" w:cs="Times New Roman"/>
          <w:sz w:val="24"/>
          <w:szCs w:val="24"/>
        </w:rPr>
        <w:t>this</w:t>
      </w:r>
      <w:r>
        <w:rPr>
          <w:rFonts w:ascii="Times New Roman" w:hAnsi="Times New Roman" w:cs="Times New Roman"/>
          <w:sz w:val="24"/>
          <w:szCs w:val="24"/>
        </w:rPr>
        <w:t xml:space="preserve"> event brought together 250 participants from </w:t>
      </w:r>
      <w:r w:rsidRPr="008D1951">
        <w:rPr>
          <w:rFonts w:ascii="Times New Roman" w:hAnsi="Times New Roman" w:cs="Times New Roman"/>
          <w:sz w:val="24"/>
          <w:szCs w:val="24"/>
        </w:rPr>
        <w:t>Member States, international organisations, third countries</w:t>
      </w:r>
      <w:r>
        <w:rPr>
          <w:rFonts w:ascii="Times New Roman" w:hAnsi="Times New Roman" w:cs="Times New Roman"/>
          <w:sz w:val="24"/>
          <w:szCs w:val="24"/>
        </w:rPr>
        <w:t xml:space="preserve"> partners</w:t>
      </w:r>
      <w:r w:rsidRPr="008D1951">
        <w:rPr>
          <w:rFonts w:ascii="Times New Roman" w:hAnsi="Times New Roman" w:cs="Times New Roman"/>
          <w:sz w:val="24"/>
          <w:szCs w:val="24"/>
        </w:rPr>
        <w:t>, industry</w:t>
      </w:r>
      <w:r>
        <w:rPr>
          <w:rFonts w:ascii="Times New Roman" w:hAnsi="Times New Roman" w:cs="Times New Roman"/>
          <w:sz w:val="24"/>
          <w:szCs w:val="24"/>
        </w:rPr>
        <w:t>, academia</w:t>
      </w:r>
      <w:r w:rsidRPr="008D1951">
        <w:rPr>
          <w:rFonts w:ascii="Times New Roman" w:hAnsi="Times New Roman" w:cs="Times New Roman"/>
          <w:sz w:val="24"/>
          <w:szCs w:val="24"/>
        </w:rPr>
        <w:t xml:space="preserve"> and civil society</w:t>
      </w:r>
      <w:r>
        <w:rPr>
          <w:rFonts w:ascii="Times New Roman" w:hAnsi="Times New Roman" w:cs="Times New Roman"/>
          <w:sz w:val="24"/>
          <w:szCs w:val="24"/>
        </w:rPr>
        <w:t xml:space="preserve"> to discuss the security challenges posed</w:t>
      </w:r>
      <w:r w:rsidR="00CA54F2">
        <w:rPr>
          <w:rFonts w:ascii="Times New Roman" w:hAnsi="Times New Roman" w:cs="Times New Roman"/>
          <w:sz w:val="24"/>
          <w:szCs w:val="24"/>
        </w:rPr>
        <w:t xml:space="preserve"> by drones and ways to address</w:t>
      </w:r>
      <w:r>
        <w:rPr>
          <w:rFonts w:ascii="Times New Roman" w:hAnsi="Times New Roman" w:cs="Times New Roman"/>
          <w:sz w:val="24"/>
          <w:szCs w:val="24"/>
        </w:rPr>
        <w:t xml:space="preserve"> them</w:t>
      </w:r>
      <w:r w:rsidRPr="008D1951">
        <w:rPr>
          <w:rFonts w:ascii="Times New Roman" w:hAnsi="Times New Roman" w:cs="Times New Roman"/>
          <w:sz w:val="24"/>
          <w:szCs w:val="24"/>
        </w:rPr>
        <w:t>.</w:t>
      </w:r>
      <w:r w:rsidR="004E4A31">
        <w:rPr>
          <w:rFonts w:ascii="Times New Roman" w:hAnsi="Times New Roman" w:cs="Times New Roman"/>
          <w:sz w:val="24"/>
          <w:szCs w:val="24"/>
        </w:rPr>
        <w:t xml:space="preserve"> </w:t>
      </w:r>
      <w:r w:rsidR="004E4A31" w:rsidRPr="004E4A31">
        <w:rPr>
          <w:rFonts w:ascii="Times New Roman" w:hAnsi="Times New Roman" w:cs="Times New Roman"/>
          <w:sz w:val="24"/>
          <w:szCs w:val="24"/>
        </w:rPr>
        <w:t xml:space="preserve">The </w:t>
      </w:r>
      <w:r w:rsidR="004E4A31">
        <w:rPr>
          <w:rFonts w:ascii="Times New Roman" w:hAnsi="Times New Roman" w:cs="Times New Roman"/>
          <w:sz w:val="24"/>
          <w:szCs w:val="24"/>
        </w:rPr>
        <w:t>meeting showed a</w:t>
      </w:r>
      <w:r w:rsidR="004E4A31" w:rsidRPr="004E4A31">
        <w:rPr>
          <w:rFonts w:ascii="Times New Roman" w:hAnsi="Times New Roman" w:cs="Times New Roman"/>
          <w:sz w:val="24"/>
          <w:szCs w:val="24"/>
        </w:rPr>
        <w:t xml:space="preserve"> need for regular risk assessments </w:t>
      </w:r>
      <w:r w:rsidR="004E4A31">
        <w:rPr>
          <w:rFonts w:ascii="Times New Roman" w:hAnsi="Times New Roman" w:cs="Times New Roman"/>
          <w:sz w:val="24"/>
          <w:szCs w:val="24"/>
        </w:rPr>
        <w:t xml:space="preserve">related to drones and </w:t>
      </w:r>
      <w:r w:rsidR="004E4A31" w:rsidRPr="004E4A31">
        <w:rPr>
          <w:rFonts w:ascii="Times New Roman" w:hAnsi="Times New Roman" w:cs="Times New Roman"/>
          <w:sz w:val="24"/>
          <w:szCs w:val="24"/>
        </w:rPr>
        <w:t>for close cooperation between aviation and law enforcement authorities in further develop</w:t>
      </w:r>
      <w:r w:rsidR="004E4A31">
        <w:rPr>
          <w:rFonts w:ascii="Times New Roman" w:hAnsi="Times New Roman" w:cs="Times New Roman"/>
          <w:sz w:val="24"/>
          <w:szCs w:val="24"/>
        </w:rPr>
        <w:t>ing</w:t>
      </w:r>
      <w:r w:rsidR="004E4A31" w:rsidRPr="004E4A31">
        <w:rPr>
          <w:rFonts w:ascii="Times New Roman" w:hAnsi="Times New Roman" w:cs="Times New Roman"/>
          <w:sz w:val="24"/>
          <w:szCs w:val="24"/>
        </w:rPr>
        <w:t xml:space="preserve"> European legislation on safe drone operations. </w:t>
      </w:r>
      <w:r w:rsidR="004E4A31">
        <w:rPr>
          <w:rFonts w:ascii="Times New Roman" w:hAnsi="Times New Roman" w:cs="Times New Roman"/>
          <w:sz w:val="24"/>
          <w:szCs w:val="24"/>
        </w:rPr>
        <w:t>T</w:t>
      </w:r>
      <w:r w:rsidR="004E4A31" w:rsidRPr="004E4A31">
        <w:rPr>
          <w:rFonts w:ascii="Times New Roman" w:hAnsi="Times New Roman" w:cs="Times New Roman"/>
          <w:sz w:val="24"/>
          <w:szCs w:val="24"/>
        </w:rPr>
        <w:t>here is a</w:t>
      </w:r>
      <w:r w:rsidR="004E4A31">
        <w:rPr>
          <w:rFonts w:ascii="Times New Roman" w:hAnsi="Times New Roman" w:cs="Times New Roman"/>
          <w:sz w:val="24"/>
          <w:szCs w:val="24"/>
        </w:rPr>
        <w:t xml:space="preserve">lso a </w:t>
      </w:r>
      <w:r w:rsidR="004E4A31" w:rsidRPr="004E4A31">
        <w:rPr>
          <w:rFonts w:ascii="Times New Roman" w:hAnsi="Times New Roman" w:cs="Times New Roman"/>
          <w:sz w:val="24"/>
          <w:szCs w:val="24"/>
        </w:rPr>
        <w:t>n</w:t>
      </w:r>
      <w:r w:rsidR="004E4A31">
        <w:rPr>
          <w:rFonts w:ascii="Times New Roman" w:hAnsi="Times New Roman" w:cs="Times New Roman"/>
          <w:sz w:val="24"/>
          <w:szCs w:val="24"/>
        </w:rPr>
        <w:t>eed for further testing of</w:t>
      </w:r>
      <w:r w:rsidR="004E4A31" w:rsidRPr="004E4A31">
        <w:rPr>
          <w:rFonts w:ascii="Times New Roman" w:hAnsi="Times New Roman" w:cs="Times New Roman"/>
          <w:sz w:val="24"/>
          <w:szCs w:val="24"/>
        </w:rPr>
        <w:t xml:space="preserve"> countermeasures</w:t>
      </w:r>
      <w:r w:rsidR="004E4A31">
        <w:rPr>
          <w:rFonts w:ascii="Times New Roman" w:hAnsi="Times New Roman" w:cs="Times New Roman"/>
          <w:sz w:val="24"/>
          <w:szCs w:val="24"/>
        </w:rPr>
        <w:t xml:space="preserve"> against drones</w:t>
      </w:r>
      <w:r w:rsidR="004E4A31" w:rsidRPr="004E4A31">
        <w:rPr>
          <w:rFonts w:ascii="Times New Roman" w:hAnsi="Times New Roman" w:cs="Times New Roman"/>
          <w:sz w:val="24"/>
          <w:szCs w:val="24"/>
        </w:rPr>
        <w:t xml:space="preserve"> through a coordinated European approach. Furthermore, there was agreement </w:t>
      </w:r>
      <w:r w:rsidR="004E4A31">
        <w:rPr>
          <w:rFonts w:ascii="Times New Roman" w:hAnsi="Times New Roman" w:cs="Times New Roman"/>
          <w:sz w:val="24"/>
          <w:szCs w:val="24"/>
        </w:rPr>
        <w:t>that for</w:t>
      </w:r>
      <w:r w:rsidR="004E4A31" w:rsidRPr="004E4A31">
        <w:rPr>
          <w:rFonts w:ascii="Times New Roman" w:hAnsi="Times New Roman" w:cs="Times New Roman"/>
          <w:sz w:val="24"/>
          <w:szCs w:val="24"/>
        </w:rPr>
        <w:t xml:space="preserve"> drones </w:t>
      </w:r>
      <w:r w:rsidR="004E4A31">
        <w:rPr>
          <w:rFonts w:ascii="Times New Roman" w:hAnsi="Times New Roman" w:cs="Times New Roman"/>
          <w:sz w:val="24"/>
          <w:szCs w:val="24"/>
        </w:rPr>
        <w:t xml:space="preserve">to </w:t>
      </w:r>
      <w:r w:rsidR="004E4A31" w:rsidRPr="004E4A31">
        <w:rPr>
          <w:rFonts w:ascii="Times New Roman" w:hAnsi="Times New Roman" w:cs="Times New Roman"/>
          <w:sz w:val="24"/>
          <w:szCs w:val="24"/>
        </w:rPr>
        <w:t>be safe, secure, operationally reliable</w:t>
      </w:r>
      <w:r w:rsidR="004E4A31">
        <w:rPr>
          <w:rFonts w:ascii="Times New Roman" w:hAnsi="Times New Roman" w:cs="Times New Roman"/>
          <w:sz w:val="24"/>
          <w:szCs w:val="24"/>
        </w:rPr>
        <w:t xml:space="preserve"> and</w:t>
      </w:r>
      <w:r w:rsidR="004E4A31" w:rsidRPr="004E4A31">
        <w:rPr>
          <w:rFonts w:ascii="Times New Roman" w:hAnsi="Times New Roman" w:cs="Times New Roman"/>
          <w:sz w:val="24"/>
          <w:szCs w:val="24"/>
        </w:rPr>
        <w:t xml:space="preserve"> difficult to </w:t>
      </w:r>
      <w:r w:rsidR="004E4A31">
        <w:rPr>
          <w:rFonts w:ascii="Times New Roman" w:hAnsi="Times New Roman" w:cs="Times New Roman"/>
          <w:sz w:val="24"/>
          <w:szCs w:val="24"/>
        </w:rPr>
        <w:t>mis</w:t>
      </w:r>
      <w:r w:rsidR="004E4A31" w:rsidRPr="004E4A31">
        <w:rPr>
          <w:rFonts w:ascii="Times New Roman" w:hAnsi="Times New Roman" w:cs="Times New Roman"/>
          <w:sz w:val="24"/>
          <w:szCs w:val="24"/>
        </w:rPr>
        <w:t>use for malicious purposes</w:t>
      </w:r>
      <w:r w:rsidR="004E4A31">
        <w:rPr>
          <w:rFonts w:ascii="Times New Roman" w:hAnsi="Times New Roman" w:cs="Times New Roman"/>
          <w:sz w:val="24"/>
          <w:szCs w:val="24"/>
        </w:rPr>
        <w:t xml:space="preserve">, </w:t>
      </w:r>
      <w:r w:rsidR="004E4A31" w:rsidRPr="004E4A31">
        <w:rPr>
          <w:rFonts w:ascii="Times New Roman" w:hAnsi="Times New Roman" w:cs="Times New Roman"/>
          <w:sz w:val="24"/>
          <w:szCs w:val="24"/>
        </w:rPr>
        <w:t>close engagement between authorit</w:t>
      </w:r>
      <w:r w:rsidR="004E4A31">
        <w:rPr>
          <w:rFonts w:ascii="Times New Roman" w:hAnsi="Times New Roman" w:cs="Times New Roman"/>
          <w:sz w:val="24"/>
          <w:szCs w:val="24"/>
        </w:rPr>
        <w:t>ies and industry is essential</w:t>
      </w:r>
      <w:r w:rsidR="004E4A31" w:rsidRPr="004E4A31">
        <w:rPr>
          <w:rFonts w:ascii="Times New Roman" w:hAnsi="Times New Roman" w:cs="Times New Roman"/>
          <w:sz w:val="24"/>
          <w:szCs w:val="24"/>
        </w:rPr>
        <w:t xml:space="preserve">. </w:t>
      </w:r>
    </w:p>
    <w:p w14:paraId="341CBA15" w14:textId="77777777" w:rsidR="00C254B4" w:rsidRPr="008D1951" w:rsidRDefault="00131A72" w:rsidP="00055568">
      <w:pPr>
        <w:spacing w:before="240" w:after="24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3</w:t>
      </w:r>
      <w:r w:rsidR="00C254B4" w:rsidRPr="008D1951">
        <w:rPr>
          <w:rFonts w:ascii="Times New Roman" w:eastAsia="Calibri" w:hAnsi="Times New Roman" w:cs="Times New Roman"/>
          <w:i/>
          <w:iCs/>
          <w:sz w:val="24"/>
          <w:szCs w:val="24"/>
        </w:rPr>
        <w:t xml:space="preserve">.      External </w:t>
      </w:r>
      <w:r w:rsidR="000C4E42" w:rsidRPr="008D1951">
        <w:rPr>
          <w:rFonts w:ascii="Times New Roman" w:eastAsia="Calibri" w:hAnsi="Times New Roman" w:cs="Times New Roman"/>
          <w:i/>
          <w:iCs/>
          <w:sz w:val="24"/>
          <w:szCs w:val="24"/>
        </w:rPr>
        <w:t>dimension</w:t>
      </w:r>
    </w:p>
    <w:p w14:paraId="4D1B8687" w14:textId="77777777" w:rsidR="00632ADA" w:rsidRDefault="00632ADA" w:rsidP="00907BB7">
      <w:pPr>
        <w:spacing w:before="100" w:beforeAutospacing="1" w:after="240" w:line="240" w:lineRule="auto"/>
        <w:jc w:val="both"/>
        <w:rPr>
          <w:rFonts w:ascii="Times New Roman" w:eastAsia="Calibri" w:hAnsi="Times New Roman" w:cs="Times New Roman"/>
          <w:iCs/>
          <w:sz w:val="24"/>
          <w:szCs w:val="24"/>
        </w:rPr>
      </w:pPr>
      <w:r w:rsidRPr="00632ADA">
        <w:rPr>
          <w:rFonts w:ascii="Times New Roman" w:eastAsia="Calibri" w:hAnsi="Times New Roman" w:cs="Times New Roman"/>
          <w:iCs/>
          <w:sz w:val="24"/>
          <w:szCs w:val="24"/>
        </w:rPr>
        <w:t>As most</w:t>
      </w:r>
      <w:r w:rsidR="00CA54F2">
        <w:rPr>
          <w:rFonts w:ascii="Times New Roman" w:eastAsia="Calibri" w:hAnsi="Times New Roman" w:cs="Times New Roman"/>
          <w:iCs/>
          <w:sz w:val="24"/>
          <w:szCs w:val="24"/>
        </w:rPr>
        <w:t xml:space="preserve"> of the</w:t>
      </w:r>
      <w:r w:rsidRPr="00632ADA">
        <w:rPr>
          <w:rFonts w:ascii="Times New Roman" w:eastAsia="Calibri" w:hAnsi="Times New Roman" w:cs="Times New Roman"/>
          <w:iCs/>
          <w:sz w:val="24"/>
          <w:szCs w:val="24"/>
        </w:rPr>
        <w:t xml:space="preserve"> security risks facing the </w:t>
      </w:r>
      <w:r w:rsidR="001E023D">
        <w:rPr>
          <w:rFonts w:ascii="Times New Roman" w:eastAsia="Calibri" w:hAnsi="Times New Roman" w:cs="Times New Roman"/>
          <w:iCs/>
          <w:sz w:val="24"/>
          <w:szCs w:val="24"/>
        </w:rPr>
        <w:t>Union</w:t>
      </w:r>
      <w:r w:rsidRPr="00632ADA">
        <w:rPr>
          <w:rFonts w:ascii="Times New Roman" w:eastAsia="Calibri" w:hAnsi="Times New Roman" w:cs="Times New Roman"/>
          <w:iCs/>
          <w:sz w:val="24"/>
          <w:szCs w:val="24"/>
        </w:rPr>
        <w:t xml:space="preserve"> go beyond EU borders and represent global threats, cooperation with partner countries, organisations and relevant stakeholders </w:t>
      </w:r>
      <w:r w:rsidR="00CA54F2">
        <w:rPr>
          <w:rFonts w:ascii="Times New Roman" w:eastAsia="Calibri" w:hAnsi="Times New Roman" w:cs="Times New Roman"/>
          <w:iCs/>
          <w:sz w:val="24"/>
          <w:szCs w:val="24"/>
        </w:rPr>
        <w:t>p</w:t>
      </w:r>
      <w:r w:rsidRPr="00632ADA">
        <w:rPr>
          <w:rFonts w:ascii="Times New Roman" w:eastAsia="Calibri" w:hAnsi="Times New Roman" w:cs="Times New Roman"/>
          <w:iCs/>
          <w:sz w:val="24"/>
          <w:szCs w:val="24"/>
        </w:rPr>
        <w:t>lay</w:t>
      </w:r>
      <w:r w:rsidR="00CA54F2">
        <w:rPr>
          <w:rFonts w:ascii="Times New Roman" w:eastAsia="Calibri" w:hAnsi="Times New Roman" w:cs="Times New Roman"/>
          <w:iCs/>
          <w:sz w:val="24"/>
          <w:szCs w:val="24"/>
        </w:rPr>
        <w:t>s</w:t>
      </w:r>
      <w:r w:rsidRPr="00632ADA">
        <w:rPr>
          <w:rFonts w:ascii="Times New Roman" w:eastAsia="Calibri" w:hAnsi="Times New Roman" w:cs="Times New Roman"/>
          <w:iCs/>
          <w:sz w:val="24"/>
          <w:szCs w:val="24"/>
        </w:rPr>
        <w:t xml:space="preserve"> a vital role in </w:t>
      </w:r>
      <w:r w:rsidR="001E023D">
        <w:rPr>
          <w:rFonts w:ascii="Times New Roman" w:eastAsia="Calibri" w:hAnsi="Times New Roman" w:cs="Times New Roman"/>
          <w:iCs/>
          <w:sz w:val="24"/>
          <w:szCs w:val="24"/>
        </w:rPr>
        <w:t>building</w:t>
      </w:r>
      <w:r w:rsidRPr="00632ADA">
        <w:rPr>
          <w:rFonts w:ascii="Times New Roman" w:eastAsia="Calibri" w:hAnsi="Times New Roman" w:cs="Times New Roman"/>
          <w:iCs/>
          <w:sz w:val="24"/>
          <w:szCs w:val="24"/>
        </w:rPr>
        <w:t xml:space="preserve"> an effective and genuine Security Union.</w:t>
      </w:r>
    </w:p>
    <w:p w14:paraId="3404CD26" w14:textId="51FE66CD" w:rsidR="001E023D" w:rsidRDefault="009C0DA9" w:rsidP="001E023D">
      <w:pPr>
        <w:spacing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Information exchange is central </w:t>
      </w:r>
      <w:r w:rsidR="00CA54F2">
        <w:rPr>
          <w:rFonts w:ascii="Times New Roman" w:eastAsia="Calibri" w:hAnsi="Times New Roman" w:cs="Times New Roman"/>
          <w:iCs/>
          <w:sz w:val="24"/>
          <w:szCs w:val="24"/>
        </w:rPr>
        <w:t>to</w:t>
      </w:r>
      <w:r>
        <w:rPr>
          <w:rFonts w:ascii="Times New Roman" w:eastAsia="Calibri" w:hAnsi="Times New Roman" w:cs="Times New Roman"/>
          <w:iCs/>
          <w:sz w:val="24"/>
          <w:szCs w:val="24"/>
        </w:rPr>
        <w:t xml:space="preserve"> this cooperation. </w:t>
      </w:r>
      <w:r w:rsidR="001E023D">
        <w:rPr>
          <w:rFonts w:ascii="Times New Roman" w:eastAsia="Calibri" w:hAnsi="Times New Roman" w:cs="Times New Roman"/>
          <w:iCs/>
          <w:sz w:val="24"/>
          <w:szCs w:val="24"/>
        </w:rPr>
        <w:t>Together with this report, the Commission adopt</w:t>
      </w:r>
      <w:r>
        <w:rPr>
          <w:rFonts w:ascii="Times New Roman" w:eastAsia="Calibri" w:hAnsi="Times New Roman" w:cs="Times New Roman"/>
          <w:iCs/>
          <w:sz w:val="24"/>
          <w:szCs w:val="24"/>
        </w:rPr>
        <w:t>ed</w:t>
      </w:r>
      <w:r w:rsidR="001E023D">
        <w:rPr>
          <w:rFonts w:ascii="Times New Roman" w:eastAsia="Calibri" w:hAnsi="Times New Roman" w:cs="Times New Roman"/>
          <w:iCs/>
          <w:sz w:val="24"/>
          <w:szCs w:val="24"/>
        </w:rPr>
        <w:t xml:space="preserve"> a r</w:t>
      </w:r>
      <w:r w:rsidR="001E023D" w:rsidRPr="008D1951">
        <w:rPr>
          <w:rFonts w:ascii="Times New Roman" w:eastAsia="Calibri" w:hAnsi="Times New Roman" w:cs="Times New Roman"/>
          <w:iCs/>
          <w:sz w:val="24"/>
          <w:szCs w:val="24"/>
        </w:rPr>
        <w:t xml:space="preserve">ecommendation to the Council </w:t>
      </w:r>
      <w:r w:rsidR="006D58B1">
        <w:rPr>
          <w:rFonts w:ascii="Times New Roman" w:eastAsia="Calibri" w:hAnsi="Times New Roman" w:cs="Times New Roman"/>
          <w:iCs/>
          <w:sz w:val="24"/>
          <w:szCs w:val="24"/>
        </w:rPr>
        <w:t xml:space="preserve">for </w:t>
      </w:r>
      <w:r w:rsidR="001E023D" w:rsidRPr="008D1951">
        <w:rPr>
          <w:rFonts w:ascii="Times New Roman" w:eastAsia="Calibri" w:hAnsi="Times New Roman" w:cs="Times New Roman"/>
          <w:iCs/>
          <w:sz w:val="24"/>
          <w:szCs w:val="24"/>
        </w:rPr>
        <w:t>authoris</w:t>
      </w:r>
      <w:r w:rsidR="00CA54F2">
        <w:rPr>
          <w:rFonts w:ascii="Times New Roman" w:eastAsia="Calibri" w:hAnsi="Times New Roman" w:cs="Times New Roman"/>
          <w:iCs/>
          <w:sz w:val="24"/>
          <w:szCs w:val="24"/>
        </w:rPr>
        <w:t>ing</w:t>
      </w:r>
      <w:r w:rsidR="001E023D" w:rsidRPr="008D1951">
        <w:rPr>
          <w:rFonts w:ascii="Times New Roman" w:eastAsia="Calibri" w:hAnsi="Times New Roman" w:cs="Times New Roman"/>
          <w:iCs/>
          <w:sz w:val="24"/>
          <w:szCs w:val="24"/>
        </w:rPr>
        <w:t xml:space="preserve"> the opening of negotiations for an </w:t>
      </w:r>
      <w:r w:rsidR="001E023D" w:rsidRPr="008D1951">
        <w:rPr>
          <w:rFonts w:ascii="Times New Roman" w:eastAsia="Calibri" w:hAnsi="Times New Roman" w:cs="Times New Roman"/>
          <w:b/>
          <w:iCs/>
          <w:sz w:val="24"/>
          <w:szCs w:val="24"/>
        </w:rPr>
        <w:t>agreement between the EU and New Zealand on the exchange of personal data for fighting serious crime and terrorism</w:t>
      </w:r>
      <w:r w:rsidR="001E023D" w:rsidRPr="008D1951">
        <w:rPr>
          <w:rFonts w:ascii="Times New Roman" w:eastAsia="Calibri" w:hAnsi="Times New Roman" w:cs="Times New Roman"/>
          <w:iCs/>
          <w:sz w:val="24"/>
          <w:szCs w:val="24"/>
        </w:rPr>
        <w:t xml:space="preserve"> between Europol and New Zealand competent authorities. Such </w:t>
      </w:r>
      <w:r w:rsidR="001E023D">
        <w:rPr>
          <w:rFonts w:ascii="Times New Roman" w:eastAsia="Calibri" w:hAnsi="Times New Roman" w:cs="Times New Roman"/>
          <w:iCs/>
          <w:sz w:val="24"/>
          <w:szCs w:val="24"/>
        </w:rPr>
        <w:t>a</w:t>
      </w:r>
      <w:r w:rsidR="001E023D" w:rsidRPr="008D1951">
        <w:rPr>
          <w:rFonts w:ascii="Times New Roman" w:eastAsia="Calibri" w:hAnsi="Times New Roman" w:cs="Times New Roman"/>
          <w:iCs/>
          <w:sz w:val="24"/>
          <w:szCs w:val="24"/>
        </w:rPr>
        <w:t xml:space="preserve">greement will further strengthen Europol’s capabilities to engage with New Zealand for the purposes of preventing and combatting crimes falling within the scope of Europol’s objectives. </w:t>
      </w:r>
      <w:r w:rsidR="001E023D">
        <w:rPr>
          <w:rFonts w:ascii="Times New Roman" w:eastAsia="Calibri" w:hAnsi="Times New Roman" w:cs="Times New Roman"/>
          <w:iCs/>
          <w:sz w:val="24"/>
          <w:szCs w:val="24"/>
        </w:rPr>
        <w:t>While the April 2019</w:t>
      </w:r>
      <w:r w:rsidR="001E023D" w:rsidRPr="008D1951">
        <w:rPr>
          <w:rFonts w:ascii="Times New Roman" w:eastAsia="Calibri" w:hAnsi="Times New Roman" w:cs="Times New Roman"/>
          <w:iCs/>
          <w:sz w:val="24"/>
          <w:szCs w:val="24"/>
        </w:rPr>
        <w:t xml:space="preserve"> working arrangement </w:t>
      </w:r>
      <w:r w:rsidR="001E023D">
        <w:rPr>
          <w:rFonts w:ascii="Times New Roman" w:eastAsia="Calibri" w:hAnsi="Times New Roman" w:cs="Times New Roman"/>
          <w:iCs/>
          <w:sz w:val="24"/>
          <w:szCs w:val="24"/>
        </w:rPr>
        <w:t>between Europol and New Zealand Police</w:t>
      </w:r>
      <w:r w:rsidR="001E023D" w:rsidRPr="008D1951">
        <w:rPr>
          <w:rFonts w:ascii="Times New Roman" w:eastAsia="Calibri" w:hAnsi="Times New Roman" w:cs="Times New Roman"/>
          <w:iCs/>
          <w:sz w:val="24"/>
          <w:szCs w:val="24"/>
        </w:rPr>
        <w:t xml:space="preserve"> provides a framework for structured strategic-level cooperation, it does not provide a legal basis for the exchange of personal data</w:t>
      </w:r>
      <w:r w:rsidR="001E023D">
        <w:rPr>
          <w:rFonts w:ascii="Times New Roman" w:eastAsia="Calibri" w:hAnsi="Times New Roman" w:cs="Times New Roman"/>
          <w:iCs/>
          <w:sz w:val="24"/>
          <w:szCs w:val="24"/>
        </w:rPr>
        <w:t xml:space="preserve">. Exchanging personal data </w:t>
      </w:r>
      <w:r w:rsidR="006D58B1">
        <w:rPr>
          <w:rFonts w:ascii="Times New Roman" w:eastAsia="Calibri" w:hAnsi="Times New Roman" w:cs="Times New Roman"/>
          <w:iCs/>
          <w:sz w:val="24"/>
          <w:szCs w:val="24"/>
        </w:rPr>
        <w:t xml:space="preserve">in full respect of EU law and fundamental rights </w:t>
      </w:r>
      <w:r w:rsidR="001E023D">
        <w:rPr>
          <w:rFonts w:ascii="Times New Roman" w:eastAsia="Calibri" w:hAnsi="Times New Roman" w:cs="Times New Roman"/>
          <w:iCs/>
          <w:sz w:val="24"/>
          <w:szCs w:val="24"/>
        </w:rPr>
        <w:t>is</w:t>
      </w:r>
      <w:r w:rsidR="001E023D" w:rsidRPr="008D1951">
        <w:rPr>
          <w:rFonts w:ascii="Times New Roman" w:eastAsia="Calibri" w:hAnsi="Times New Roman" w:cs="Times New Roman"/>
          <w:iCs/>
          <w:sz w:val="24"/>
          <w:szCs w:val="24"/>
        </w:rPr>
        <w:t xml:space="preserve"> essential for effective operational</w:t>
      </w:r>
      <w:r w:rsidR="001E023D">
        <w:rPr>
          <w:rFonts w:ascii="Times New Roman" w:eastAsia="Calibri" w:hAnsi="Times New Roman" w:cs="Times New Roman"/>
          <w:iCs/>
          <w:sz w:val="24"/>
          <w:szCs w:val="24"/>
        </w:rPr>
        <w:t xml:space="preserve"> police cooperation</w:t>
      </w:r>
      <w:r w:rsidR="001E023D" w:rsidRPr="008D1951">
        <w:rPr>
          <w:rFonts w:ascii="Times New Roman" w:eastAsia="Calibri" w:hAnsi="Times New Roman" w:cs="Times New Roman"/>
          <w:iCs/>
          <w:sz w:val="24"/>
          <w:szCs w:val="24"/>
        </w:rPr>
        <w:t>.</w:t>
      </w:r>
      <w:r w:rsidR="006257E6">
        <w:rPr>
          <w:rFonts w:ascii="Times New Roman" w:eastAsia="Calibri" w:hAnsi="Times New Roman" w:cs="Times New Roman"/>
          <w:iCs/>
          <w:sz w:val="24"/>
          <w:szCs w:val="24"/>
        </w:rPr>
        <w:t xml:space="preserve"> Previously,</w:t>
      </w:r>
      <w:r w:rsidR="006257E6" w:rsidRPr="006257E6">
        <w:rPr>
          <w:rFonts w:ascii="Times New Roman" w:eastAsia="Calibri" w:hAnsi="Times New Roman" w:cs="Times New Roman"/>
          <w:iCs/>
          <w:sz w:val="24"/>
          <w:szCs w:val="24"/>
        </w:rPr>
        <w:t xml:space="preserve"> the Commission identified eight priority countries in the Middle East/North Africa Region on the basis of the terrorist threat, migration</w:t>
      </w:r>
      <w:r w:rsidR="00FB6B34">
        <w:rPr>
          <w:rFonts w:ascii="Times New Roman" w:eastAsia="Calibri" w:hAnsi="Times New Roman" w:cs="Times New Roman"/>
          <w:iCs/>
          <w:sz w:val="24"/>
          <w:szCs w:val="24"/>
        </w:rPr>
        <w:t>-related challenges and Europol’</w:t>
      </w:r>
      <w:r w:rsidR="006257E6" w:rsidRPr="006257E6">
        <w:rPr>
          <w:rFonts w:ascii="Times New Roman" w:eastAsia="Calibri" w:hAnsi="Times New Roman" w:cs="Times New Roman"/>
          <w:iCs/>
          <w:sz w:val="24"/>
          <w:szCs w:val="24"/>
        </w:rPr>
        <w:t>s operational needs to start negotiations.</w:t>
      </w:r>
      <w:r w:rsidR="006257E6" w:rsidRPr="006257E6">
        <w:rPr>
          <w:rFonts w:ascii="Times New Roman" w:eastAsia="Calibri" w:hAnsi="Times New Roman" w:cs="Times New Roman"/>
          <w:iCs/>
          <w:sz w:val="24"/>
          <w:szCs w:val="24"/>
          <w:vertAlign w:val="superscript"/>
        </w:rPr>
        <w:footnoteReference w:id="73"/>
      </w:r>
      <w:r w:rsidR="006257E6" w:rsidRPr="006257E6">
        <w:rPr>
          <w:rFonts w:ascii="Times New Roman" w:eastAsia="Calibri" w:hAnsi="Times New Roman" w:cs="Times New Roman"/>
          <w:iCs/>
          <w:sz w:val="24"/>
          <w:szCs w:val="24"/>
        </w:rPr>
        <w:t xml:space="preserve"> Taking into account the operational needs of law enforcement authorities across the EU, and the potential benefits of closer cooperation in this area as also demonstrated by the follow up to the Christchurch attack of March 2019, the Commission considers it necessary to add New Zealand as a priority country to start nego</w:t>
      </w:r>
      <w:r w:rsidR="009A7C0E">
        <w:rPr>
          <w:rFonts w:ascii="Times New Roman" w:eastAsia="Calibri" w:hAnsi="Times New Roman" w:cs="Times New Roman"/>
          <w:iCs/>
          <w:sz w:val="24"/>
          <w:szCs w:val="24"/>
        </w:rPr>
        <w:t>tiations with in the short-term</w:t>
      </w:r>
      <w:r w:rsidR="006257E6" w:rsidRPr="006257E6">
        <w:rPr>
          <w:rFonts w:ascii="Times New Roman" w:eastAsia="Calibri" w:hAnsi="Times New Roman" w:cs="Times New Roman"/>
          <w:iCs/>
          <w:sz w:val="24"/>
          <w:szCs w:val="24"/>
        </w:rPr>
        <w:t>.</w:t>
      </w:r>
    </w:p>
    <w:p w14:paraId="373EF80E" w14:textId="44879748" w:rsidR="009C0DA9" w:rsidRDefault="009C0DA9" w:rsidP="009C0DA9">
      <w:pPr>
        <w:spacing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Another cornerstone of the Union’s security cooperation with third country partners is the transfer of </w:t>
      </w:r>
      <w:r w:rsidRPr="009C0DA9">
        <w:rPr>
          <w:rFonts w:ascii="Times New Roman" w:eastAsia="Calibri" w:hAnsi="Times New Roman" w:cs="Times New Roman"/>
          <w:b/>
          <w:iCs/>
          <w:sz w:val="24"/>
          <w:szCs w:val="24"/>
        </w:rPr>
        <w:t>passenger name record data</w:t>
      </w:r>
      <w:r>
        <w:rPr>
          <w:rFonts w:ascii="Times New Roman" w:eastAsia="Calibri" w:hAnsi="Times New Roman" w:cs="Times New Roman"/>
          <w:iCs/>
          <w:sz w:val="24"/>
          <w:szCs w:val="24"/>
        </w:rPr>
        <w:t xml:space="preserve">. </w:t>
      </w:r>
      <w:r w:rsidR="001E023D" w:rsidRPr="008D1951">
        <w:rPr>
          <w:rFonts w:ascii="Times New Roman" w:eastAsia="Calibri" w:hAnsi="Times New Roman" w:cs="Times New Roman"/>
          <w:iCs/>
          <w:sz w:val="24"/>
          <w:szCs w:val="24"/>
        </w:rPr>
        <w:t xml:space="preserve">On 27 September 2019, the </w:t>
      </w:r>
      <w:r>
        <w:rPr>
          <w:rFonts w:ascii="Times New Roman" w:eastAsia="Calibri" w:hAnsi="Times New Roman" w:cs="Times New Roman"/>
          <w:iCs/>
          <w:sz w:val="24"/>
          <w:szCs w:val="24"/>
        </w:rPr>
        <w:t xml:space="preserve">Commission adopted a </w:t>
      </w:r>
      <w:r w:rsidR="00AA3DB5">
        <w:rPr>
          <w:rFonts w:ascii="Times New Roman" w:eastAsia="Calibri" w:hAnsi="Times New Roman" w:cs="Times New Roman"/>
          <w:iCs/>
          <w:sz w:val="24"/>
          <w:szCs w:val="24"/>
        </w:rPr>
        <w:t xml:space="preserve">Recommendation </w:t>
      </w:r>
      <w:r>
        <w:rPr>
          <w:rFonts w:ascii="Times New Roman" w:eastAsia="Calibri" w:hAnsi="Times New Roman" w:cs="Times New Roman"/>
          <w:iCs/>
          <w:sz w:val="24"/>
          <w:szCs w:val="24"/>
        </w:rPr>
        <w:t xml:space="preserve">to the Council to authorise the opening </w:t>
      </w:r>
      <w:r w:rsidR="001E023D" w:rsidRPr="008D1951">
        <w:rPr>
          <w:rFonts w:ascii="Times New Roman" w:eastAsia="Calibri" w:hAnsi="Times New Roman" w:cs="Times New Roman"/>
          <w:iCs/>
          <w:sz w:val="24"/>
          <w:szCs w:val="24"/>
        </w:rPr>
        <w:t xml:space="preserve">of negotiations for an </w:t>
      </w:r>
      <w:r w:rsidR="001E023D" w:rsidRPr="00B7715D">
        <w:rPr>
          <w:rFonts w:ascii="Times New Roman" w:eastAsia="Calibri" w:hAnsi="Times New Roman" w:cs="Times New Roman"/>
          <w:b/>
          <w:iCs/>
          <w:sz w:val="24"/>
          <w:szCs w:val="24"/>
        </w:rPr>
        <w:t>EU-</w:t>
      </w:r>
      <w:r w:rsidR="001E023D" w:rsidRPr="008D1951">
        <w:rPr>
          <w:rFonts w:ascii="Times New Roman" w:eastAsia="Calibri" w:hAnsi="Times New Roman" w:cs="Times New Roman"/>
          <w:b/>
          <w:iCs/>
          <w:sz w:val="24"/>
          <w:szCs w:val="24"/>
        </w:rPr>
        <w:t>Japan</w:t>
      </w:r>
      <w:r>
        <w:rPr>
          <w:rFonts w:ascii="Times New Roman" w:eastAsia="Calibri" w:hAnsi="Times New Roman" w:cs="Times New Roman"/>
          <w:b/>
          <w:iCs/>
          <w:sz w:val="24"/>
          <w:szCs w:val="24"/>
        </w:rPr>
        <w:t xml:space="preserve"> </w:t>
      </w:r>
      <w:r w:rsidRPr="009C0DA9">
        <w:rPr>
          <w:rFonts w:ascii="Times New Roman" w:eastAsia="Calibri" w:hAnsi="Times New Roman" w:cs="Times New Roman"/>
          <w:iCs/>
          <w:sz w:val="24"/>
          <w:szCs w:val="24"/>
        </w:rPr>
        <w:t>a</w:t>
      </w:r>
      <w:r w:rsidR="001E023D" w:rsidRPr="009C0DA9">
        <w:rPr>
          <w:rFonts w:ascii="Times New Roman" w:eastAsia="Calibri" w:hAnsi="Times New Roman" w:cs="Times New Roman"/>
          <w:iCs/>
          <w:sz w:val="24"/>
          <w:szCs w:val="24"/>
        </w:rPr>
        <w:t>greement</w:t>
      </w:r>
      <w:r w:rsidR="001E023D" w:rsidRPr="008D1951">
        <w:rPr>
          <w:rFonts w:ascii="Times New Roman" w:eastAsia="Calibri" w:hAnsi="Times New Roman" w:cs="Times New Roman"/>
          <w:b/>
          <w:iCs/>
          <w:sz w:val="24"/>
          <w:szCs w:val="24"/>
        </w:rPr>
        <w:t xml:space="preserve"> </w:t>
      </w:r>
      <w:r w:rsidR="00AA3DB5" w:rsidRPr="00877A57">
        <w:rPr>
          <w:rFonts w:ascii="Times New Roman" w:eastAsia="Calibri" w:hAnsi="Times New Roman" w:cs="Times New Roman"/>
          <w:iCs/>
          <w:sz w:val="24"/>
          <w:szCs w:val="24"/>
        </w:rPr>
        <w:t xml:space="preserve">on the transfer of passenger name record data </w:t>
      </w:r>
      <w:r w:rsidR="001E023D" w:rsidRPr="00877A57">
        <w:rPr>
          <w:rFonts w:ascii="Times New Roman" w:eastAsia="Calibri" w:hAnsi="Times New Roman" w:cs="Times New Roman"/>
          <w:iCs/>
          <w:sz w:val="24"/>
          <w:szCs w:val="24"/>
        </w:rPr>
        <w:t>i</w:t>
      </w:r>
      <w:r w:rsidR="001E023D" w:rsidRPr="008D1951">
        <w:rPr>
          <w:rFonts w:ascii="Times New Roman" w:eastAsia="Calibri" w:hAnsi="Times New Roman" w:cs="Times New Roman"/>
          <w:iCs/>
          <w:sz w:val="24"/>
          <w:szCs w:val="24"/>
        </w:rPr>
        <w:t>n order to prevent and combat terrorism and serious transnational crime</w:t>
      </w:r>
      <w:r>
        <w:rPr>
          <w:rFonts w:ascii="Times New Roman" w:eastAsia="Calibri" w:hAnsi="Times New Roman" w:cs="Times New Roman"/>
          <w:iCs/>
          <w:sz w:val="24"/>
          <w:szCs w:val="24"/>
        </w:rPr>
        <w:t xml:space="preserve"> in </w:t>
      </w:r>
      <w:r w:rsidR="001E023D" w:rsidRPr="008D1951">
        <w:rPr>
          <w:rFonts w:ascii="Times New Roman" w:eastAsia="Calibri" w:hAnsi="Times New Roman" w:cs="Times New Roman"/>
          <w:iCs/>
          <w:sz w:val="24"/>
          <w:szCs w:val="24"/>
        </w:rPr>
        <w:t>full respect of data protection sa</w:t>
      </w:r>
      <w:r>
        <w:rPr>
          <w:rFonts w:ascii="Times New Roman" w:eastAsia="Calibri" w:hAnsi="Times New Roman" w:cs="Times New Roman"/>
          <w:iCs/>
          <w:sz w:val="24"/>
          <w:szCs w:val="24"/>
        </w:rPr>
        <w:t>feguards and fundamental rights</w:t>
      </w:r>
      <w:r w:rsidR="001E023D" w:rsidRPr="008D1951">
        <w:rPr>
          <w:rFonts w:ascii="Times New Roman" w:eastAsia="Calibri" w:hAnsi="Times New Roman" w:cs="Times New Roman"/>
          <w:iCs/>
          <w:sz w:val="24"/>
          <w:szCs w:val="24"/>
        </w:rPr>
        <w:t>.</w:t>
      </w:r>
      <w:r w:rsidR="00363D18">
        <w:rPr>
          <w:rStyle w:val="FootnoteReference"/>
          <w:rFonts w:eastAsia="Calibri"/>
          <w:iCs/>
        </w:rPr>
        <w:footnoteReference w:id="74"/>
      </w:r>
      <w:r w:rsidR="005666EE">
        <w:rPr>
          <w:rFonts w:ascii="Times New Roman" w:eastAsia="Calibri" w:hAnsi="Times New Roman" w:cs="Times New Roman"/>
          <w:iCs/>
          <w:sz w:val="24"/>
          <w:szCs w:val="24"/>
        </w:rPr>
        <w:t xml:space="preserve"> The recommendation is being </w:t>
      </w:r>
      <w:r w:rsidR="006D58B1">
        <w:rPr>
          <w:rFonts w:ascii="Times New Roman" w:eastAsia="Calibri" w:hAnsi="Times New Roman" w:cs="Times New Roman"/>
          <w:iCs/>
          <w:sz w:val="24"/>
          <w:szCs w:val="24"/>
        </w:rPr>
        <w:t xml:space="preserve">examined </w:t>
      </w:r>
      <w:r w:rsidR="005666EE">
        <w:rPr>
          <w:rFonts w:ascii="Times New Roman" w:eastAsia="Calibri" w:hAnsi="Times New Roman" w:cs="Times New Roman"/>
          <w:iCs/>
          <w:sz w:val="24"/>
          <w:szCs w:val="24"/>
        </w:rPr>
        <w:t>at Council working group level and the Commission calls on the Council to adopt swiftly a mandate for negotiations with Japan.</w:t>
      </w:r>
      <w:r w:rsidR="003E4886">
        <w:rPr>
          <w:rFonts w:ascii="Times New Roman" w:eastAsia="Calibri" w:hAnsi="Times New Roman" w:cs="Times New Roman"/>
          <w:iCs/>
          <w:sz w:val="24"/>
          <w:szCs w:val="24"/>
        </w:rPr>
        <w:t xml:space="preserve"> Having arrangements in place in time for the 2020 Olympics </w:t>
      </w:r>
      <w:r w:rsidR="00FE2296">
        <w:rPr>
          <w:rFonts w:ascii="Times New Roman" w:eastAsia="Calibri" w:hAnsi="Times New Roman" w:cs="Times New Roman"/>
          <w:iCs/>
          <w:sz w:val="24"/>
          <w:szCs w:val="24"/>
        </w:rPr>
        <w:t>w</w:t>
      </w:r>
      <w:r w:rsidR="003E4886">
        <w:rPr>
          <w:rFonts w:ascii="Times New Roman" w:eastAsia="Calibri" w:hAnsi="Times New Roman" w:cs="Times New Roman"/>
          <w:iCs/>
          <w:sz w:val="24"/>
          <w:szCs w:val="24"/>
        </w:rPr>
        <w:t>ould bring a real security dividend.</w:t>
      </w:r>
    </w:p>
    <w:p w14:paraId="05BF1558" w14:textId="60A8E2D3" w:rsidR="009C0DA9" w:rsidRDefault="00CA54F2" w:rsidP="009C0DA9">
      <w:pPr>
        <w:spacing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On the</w:t>
      </w:r>
      <w:r w:rsidR="001E023D" w:rsidRPr="008D1951">
        <w:rPr>
          <w:rFonts w:ascii="Times New Roman" w:eastAsia="Calibri" w:hAnsi="Times New Roman" w:cs="Times New Roman"/>
          <w:iCs/>
          <w:sz w:val="24"/>
          <w:szCs w:val="24"/>
        </w:rPr>
        <w:t xml:space="preserve"> global level,</w:t>
      </w:r>
      <w:r w:rsidR="009C0DA9">
        <w:rPr>
          <w:rFonts w:ascii="Times New Roman" w:eastAsia="Calibri" w:hAnsi="Times New Roman" w:cs="Times New Roman"/>
          <w:iCs/>
          <w:sz w:val="24"/>
          <w:szCs w:val="24"/>
        </w:rPr>
        <w:t xml:space="preserve"> the Commission supports the work carried out </w:t>
      </w:r>
      <w:r>
        <w:rPr>
          <w:rFonts w:ascii="Times New Roman" w:eastAsia="Calibri" w:hAnsi="Times New Roman" w:cs="Times New Roman"/>
          <w:iCs/>
          <w:sz w:val="24"/>
          <w:szCs w:val="24"/>
        </w:rPr>
        <w:t>by</w:t>
      </w:r>
      <w:r w:rsidR="009C0DA9">
        <w:rPr>
          <w:rFonts w:ascii="Times New Roman" w:eastAsia="Calibri" w:hAnsi="Times New Roman" w:cs="Times New Roman"/>
          <w:iCs/>
          <w:sz w:val="24"/>
          <w:szCs w:val="24"/>
        </w:rPr>
        <w:t xml:space="preserve"> the</w:t>
      </w:r>
      <w:r w:rsidR="001E023D" w:rsidRPr="008D1951">
        <w:rPr>
          <w:rFonts w:ascii="Times New Roman" w:eastAsia="Calibri" w:hAnsi="Times New Roman" w:cs="Times New Roman"/>
          <w:iCs/>
          <w:sz w:val="24"/>
          <w:szCs w:val="24"/>
        </w:rPr>
        <w:t xml:space="preserve"> </w:t>
      </w:r>
      <w:r w:rsidR="009C0DA9" w:rsidRPr="008D1951">
        <w:rPr>
          <w:rFonts w:ascii="Times New Roman" w:eastAsia="Calibri" w:hAnsi="Times New Roman" w:cs="Times New Roman"/>
          <w:b/>
          <w:iCs/>
          <w:sz w:val="24"/>
          <w:szCs w:val="24"/>
        </w:rPr>
        <w:t xml:space="preserve">International Civil Aviation Organisation </w:t>
      </w:r>
      <w:r w:rsidR="009C0DA9" w:rsidRPr="008D1951">
        <w:rPr>
          <w:rFonts w:ascii="Times New Roman" w:eastAsia="Calibri" w:hAnsi="Times New Roman" w:cs="Times New Roman"/>
          <w:iCs/>
          <w:sz w:val="24"/>
          <w:szCs w:val="24"/>
        </w:rPr>
        <w:t xml:space="preserve">to establish a </w:t>
      </w:r>
      <w:r w:rsidR="009C0DA9" w:rsidRPr="009C0DA9">
        <w:rPr>
          <w:rFonts w:ascii="Times New Roman" w:eastAsia="Calibri" w:hAnsi="Times New Roman" w:cs="Times New Roman"/>
          <w:iCs/>
          <w:sz w:val="24"/>
          <w:szCs w:val="24"/>
        </w:rPr>
        <w:t xml:space="preserve">standard for processing </w:t>
      </w:r>
      <w:r w:rsidR="009C0DA9">
        <w:rPr>
          <w:rFonts w:ascii="Times New Roman" w:eastAsia="Calibri" w:hAnsi="Times New Roman" w:cs="Times New Roman"/>
          <w:iCs/>
          <w:sz w:val="24"/>
          <w:szCs w:val="24"/>
        </w:rPr>
        <w:t>passenger name record</w:t>
      </w:r>
      <w:r w:rsidR="009C0DA9" w:rsidRPr="009C0DA9">
        <w:rPr>
          <w:rFonts w:ascii="Times New Roman" w:eastAsia="Calibri" w:hAnsi="Times New Roman" w:cs="Times New Roman"/>
          <w:iCs/>
          <w:sz w:val="24"/>
          <w:szCs w:val="24"/>
        </w:rPr>
        <w:t xml:space="preserve"> data. </w:t>
      </w:r>
      <w:r w:rsidR="009C0DA9">
        <w:rPr>
          <w:rFonts w:ascii="Times New Roman" w:eastAsia="Calibri" w:hAnsi="Times New Roman" w:cs="Times New Roman"/>
          <w:iCs/>
          <w:sz w:val="24"/>
          <w:szCs w:val="24"/>
        </w:rPr>
        <w:t>This responds to a call by U</w:t>
      </w:r>
      <w:r w:rsidR="006D58B1">
        <w:rPr>
          <w:rFonts w:ascii="Times New Roman" w:eastAsia="Calibri" w:hAnsi="Times New Roman" w:cs="Times New Roman"/>
          <w:iCs/>
          <w:sz w:val="24"/>
          <w:szCs w:val="24"/>
        </w:rPr>
        <w:t xml:space="preserve">nited </w:t>
      </w:r>
      <w:r w:rsidR="009C0DA9">
        <w:rPr>
          <w:rFonts w:ascii="Times New Roman" w:eastAsia="Calibri" w:hAnsi="Times New Roman" w:cs="Times New Roman"/>
          <w:iCs/>
          <w:sz w:val="24"/>
          <w:szCs w:val="24"/>
        </w:rPr>
        <w:t>N</w:t>
      </w:r>
      <w:r w:rsidR="006D58B1">
        <w:rPr>
          <w:rFonts w:ascii="Times New Roman" w:eastAsia="Calibri" w:hAnsi="Times New Roman" w:cs="Times New Roman"/>
          <w:iCs/>
          <w:sz w:val="24"/>
          <w:szCs w:val="24"/>
        </w:rPr>
        <w:t>ations</w:t>
      </w:r>
      <w:r w:rsidR="001E023D" w:rsidRPr="008D1951">
        <w:rPr>
          <w:rFonts w:ascii="Times New Roman" w:eastAsia="Calibri" w:hAnsi="Times New Roman" w:cs="Times New Roman"/>
          <w:iCs/>
          <w:sz w:val="24"/>
          <w:szCs w:val="24"/>
        </w:rPr>
        <w:t xml:space="preserve"> Security Council Resolution 2396</w:t>
      </w:r>
      <w:r w:rsidR="009C0DA9">
        <w:rPr>
          <w:rFonts w:ascii="Times New Roman" w:eastAsia="Calibri" w:hAnsi="Times New Roman" w:cs="Times New Roman"/>
          <w:iCs/>
          <w:sz w:val="24"/>
          <w:szCs w:val="24"/>
        </w:rPr>
        <w:t xml:space="preserve"> that urges</w:t>
      </w:r>
      <w:r w:rsidR="001E023D" w:rsidRPr="008D1951">
        <w:rPr>
          <w:rFonts w:ascii="Times New Roman" w:eastAsia="Calibri" w:hAnsi="Times New Roman" w:cs="Times New Roman"/>
          <w:iCs/>
          <w:sz w:val="24"/>
          <w:szCs w:val="24"/>
        </w:rPr>
        <w:t xml:space="preserve"> all </w:t>
      </w:r>
      <w:r w:rsidR="009C0DA9">
        <w:rPr>
          <w:rFonts w:ascii="Times New Roman" w:eastAsia="Calibri" w:hAnsi="Times New Roman" w:cs="Times New Roman"/>
          <w:iCs/>
          <w:sz w:val="24"/>
          <w:szCs w:val="24"/>
        </w:rPr>
        <w:t>U</w:t>
      </w:r>
      <w:r w:rsidR="006D58B1">
        <w:rPr>
          <w:rFonts w:ascii="Times New Roman" w:eastAsia="Calibri" w:hAnsi="Times New Roman" w:cs="Times New Roman"/>
          <w:iCs/>
          <w:sz w:val="24"/>
          <w:szCs w:val="24"/>
        </w:rPr>
        <w:t xml:space="preserve">nited </w:t>
      </w:r>
      <w:r w:rsidR="009C0DA9">
        <w:rPr>
          <w:rFonts w:ascii="Times New Roman" w:eastAsia="Calibri" w:hAnsi="Times New Roman" w:cs="Times New Roman"/>
          <w:iCs/>
          <w:sz w:val="24"/>
          <w:szCs w:val="24"/>
        </w:rPr>
        <w:t>N</w:t>
      </w:r>
      <w:r w:rsidR="006D58B1">
        <w:rPr>
          <w:rFonts w:ascii="Times New Roman" w:eastAsia="Calibri" w:hAnsi="Times New Roman" w:cs="Times New Roman"/>
          <w:iCs/>
          <w:sz w:val="24"/>
          <w:szCs w:val="24"/>
        </w:rPr>
        <w:t>ations</w:t>
      </w:r>
      <w:r w:rsidR="009C0DA9">
        <w:rPr>
          <w:rFonts w:ascii="Times New Roman" w:eastAsia="Calibri" w:hAnsi="Times New Roman" w:cs="Times New Roman"/>
          <w:iCs/>
          <w:sz w:val="24"/>
          <w:szCs w:val="24"/>
        </w:rPr>
        <w:t xml:space="preserve"> </w:t>
      </w:r>
      <w:r w:rsidR="00B81216">
        <w:rPr>
          <w:rFonts w:ascii="Times New Roman" w:eastAsia="Calibri" w:hAnsi="Times New Roman" w:cs="Times New Roman"/>
          <w:iCs/>
          <w:sz w:val="24"/>
          <w:szCs w:val="24"/>
        </w:rPr>
        <w:t xml:space="preserve">Member States </w:t>
      </w:r>
      <w:r w:rsidR="009C0DA9">
        <w:rPr>
          <w:rFonts w:ascii="Times New Roman" w:eastAsia="Calibri" w:hAnsi="Times New Roman" w:cs="Times New Roman"/>
          <w:iCs/>
          <w:sz w:val="24"/>
          <w:szCs w:val="24"/>
        </w:rPr>
        <w:t xml:space="preserve">to </w:t>
      </w:r>
      <w:r w:rsidR="001E023D" w:rsidRPr="008D1951">
        <w:rPr>
          <w:rFonts w:ascii="Times New Roman" w:eastAsia="Calibri" w:hAnsi="Times New Roman" w:cs="Times New Roman"/>
          <w:iCs/>
          <w:sz w:val="24"/>
          <w:szCs w:val="24"/>
        </w:rPr>
        <w:t xml:space="preserve">develop the capability to collect, process and analyse </w:t>
      </w:r>
      <w:r w:rsidR="009C0DA9">
        <w:rPr>
          <w:rFonts w:ascii="Times New Roman" w:eastAsia="Calibri" w:hAnsi="Times New Roman" w:cs="Times New Roman"/>
          <w:iCs/>
          <w:sz w:val="24"/>
          <w:szCs w:val="24"/>
        </w:rPr>
        <w:t xml:space="preserve">passenger name record data. </w:t>
      </w:r>
      <w:r w:rsidR="001E023D" w:rsidRPr="008D1951">
        <w:rPr>
          <w:rFonts w:ascii="Times New Roman" w:eastAsia="Calibri" w:hAnsi="Times New Roman" w:cs="Times New Roman"/>
          <w:iCs/>
          <w:sz w:val="24"/>
          <w:szCs w:val="24"/>
        </w:rPr>
        <w:t>On 13 September 2019, the Commission presented</w:t>
      </w:r>
      <w:r>
        <w:rPr>
          <w:rFonts w:ascii="Times New Roman" w:eastAsia="Calibri" w:hAnsi="Times New Roman" w:cs="Times New Roman"/>
          <w:iCs/>
          <w:sz w:val="24"/>
          <w:szCs w:val="24"/>
        </w:rPr>
        <w:t xml:space="preserve"> a</w:t>
      </w:r>
      <w:r w:rsidR="001E023D" w:rsidRPr="008D1951">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p</w:t>
      </w:r>
      <w:r w:rsidR="009C0DA9" w:rsidRPr="009C0DA9">
        <w:rPr>
          <w:rFonts w:ascii="Times New Roman" w:eastAsia="Calibri" w:hAnsi="Times New Roman" w:cs="Times New Roman"/>
          <w:iCs/>
          <w:sz w:val="24"/>
          <w:szCs w:val="24"/>
        </w:rPr>
        <w:t>roposal</w:t>
      </w:r>
      <w:r w:rsidR="00363D18">
        <w:rPr>
          <w:rStyle w:val="FootnoteReference"/>
          <w:rFonts w:eastAsia="Calibri"/>
          <w:iCs/>
        </w:rPr>
        <w:footnoteReference w:id="75"/>
      </w:r>
      <w:r w:rsidR="009C0DA9" w:rsidRPr="009C0DA9">
        <w:rPr>
          <w:rFonts w:ascii="Times New Roman" w:eastAsia="Calibri" w:hAnsi="Times New Roman" w:cs="Times New Roman"/>
          <w:iCs/>
          <w:sz w:val="24"/>
          <w:szCs w:val="24"/>
        </w:rPr>
        <w:t xml:space="preserve"> for a Council Decision on the position to be taken on behalf of the </w:t>
      </w:r>
      <w:r w:rsidR="009C0DA9">
        <w:rPr>
          <w:rFonts w:ascii="Times New Roman" w:eastAsia="Calibri" w:hAnsi="Times New Roman" w:cs="Times New Roman"/>
          <w:iCs/>
          <w:sz w:val="24"/>
          <w:szCs w:val="24"/>
        </w:rPr>
        <w:t>EU</w:t>
      </w:r>
      <w:r w:rsidR="009C0DA9" w:rsidRPr="009C0DA9">
        <w:rPr>
          <w:rFonts w:ascii="Times New Roman" w:eastAsia="Calibri" w:hAnsi="Times New Roman" w:cs="Times New Roman"/>
          <w:iCs/>
          <w:sz w:val="24"/>
          <w:szCs w:val="24"/>
        </w:rPr>
        <w:t xml:space="preserve"> in the International Civil Aviation Organization with regard to standards and recommended practices on passenger name record data</w:t>
      </w:r>
      <w:r w:rsidR="001E023D">
        <w:rPr>
          <w:rFonts w:ascii="Times New Roman" w:eastAsia="Calibri" w:hAnsi="Times New Roman" w:cs="Times New Roman"/>
          <w:iCs/>
          <w:sz w:val="24"/>
          <w:szCs w:val="24"/>
        </w:rPr>
        <w:t>.</w:t>
      </w:r>
      <w:r w:rsidR="005666EE">
        <w:rPr>
          <w:rFonts w:ascii="Times New Roman" w:eastAsia="Calibri" w:hAnsi="Times New Roman" w:cs="Times New Roman"/>
          <w:iCs/>
          <w:sz w:val="24"/>
          <w:szCs w:val="24"/>
        </w:rPr>
        <w:t xml:space="preserve"> The proposal is being </w:t>
      </w:r>
      <w:r w:rsidR="006D58B1">
        <w:rPr>
          <w:rFonts w:ascii="Times New Roman" w:eastAsia="Calibri" w:hAnsi="Times New Roman" w:cs="Times New Roman"/>
          <w:iCs/>
          <w:sz w:val="24"/>
          <w:szCs w:val="24"/>
        </w:rPr>
        <w:t xml:space="preserve">examined </w:t>
      </w:r>
      <w:r w:rsidR="005666EE">
        <w:rPr>
          <w:rFonts w:ascii="Times New Roman" w:eastAsia="Calibri" w:hAnsi="Times New Roman" w:cs="Times New Roman"/>
          <w:iCs/>
          <w:sz w:val="24"/>
          <w:szCs w:val="24"/>
        </w:rPr>
        <w:t>at Council working group level and the Commission calls for swift adoption of the Council Decision.</w:t>
      </w:r>
      <w:r w:rsidR="009C0DA9">
        <w:rPr>
          <w:rFonts w:ascii="Times New Roman" w:eastAsia="Calibri" w:hAnsi="Times New Roman" w:cs="Times New Roman"/>
          <w:iCs/>
          <w:sz w:val="24"/>
          <w:szCs w:val="24"/>
        </w:rPr>
        <w:t xml:space="preserve"> The position of the Union </w:t>
      </w:r>
      <w:r w:rsidR="00F82F17">
        <w:rPr>
          <w:rFonts w:ascii="Times New Roman" w:eastAsia="Calibri" w:hAnsi="Times New Roman" w:cs="Times New Roman"/>
          <w:iCs/>
          <w:sz w:val="24"/>
          <w:szCs w:val="24"/>
        </w:rPr>
        <w:t xml:space="preserve">and its Member States </w:t>
      </w:r>
      <w:r w:rsidR="009C0DA9">
        <w:rPr>
          <w:rFonts w:ascii="Times New Roman" w:eastAsia="Calibri" w:hAnsi="Times New Roman" w:cs="Times New Roman"/>
          <w:iCs/>
          <w:sz w:val="24"/>
          <w:szCs w:val="24"/>
        </w:rPr>
        <w:t>has also been set out in an information p</w:t>
      </w:r>
      <w:r w:rsidR="009C0DA9" w:rsidRPr="009C0DA9">
        <w:rPr>
          <w:rFonts w:ascii="Times New Roman" w:eastAsia="Calibri" w:hAnsi="Times New Roman" w:cs="Times New Roman"/>
          <w:iCs/>
          <w:sz w:val="24"/>
          <w:szCs w:val="24"/>
        </w:rPr>
        <w:t xml:space="preserve">aper on ‘Standards and principles on the collection, use, processing and protection of Passenger Name Record data’ </w:t>
      </w:r>
      <w:r w:rsidR="009C0DA9">
        <w:rPr>
          <w:rFonts w:ascii="Times New Roman" w:eastAsia="Calibri" w:hAnsi="Times New Roman" w:cs="Times New Roman"/>
          <w:iCs/>
          <w:sz w:val="24"/>
          <w:szCs w:val="24"/>
        </w:rPr>
        <w:t>that was submitted to</w:t>
      </w:r>
      <w:r w:rsidR="009C0DA9" w:rsidRPr="009C0DA9">
        <w:rPr>
          <w:rFonts w:ascii="Times New Roman" w:eastAsia="Calibri" w:hAnsi="Times New Roman" w:cs="Times New Roman"/>
          <w:iCs/>
          <w:sz w:val="24"/>
          <w:szCs w:val="24"/>
        </w:rPr>
        <w:t xml:space="preserve"> the 40th Session of the International Civil Aviation Organisation Assembly.</w:t>
      </w:r>
    </w:p>
    <w:p w14:paraId="0EA285CC" w14:textId="07420A6F" w:rsidR="009C0DA9" w:rsidRDefault="00653D26" w:rsidP="009C0DA9">
      <w:pPr>
        <w:spacing w:after="24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As regards the work towards a new passenger name record agreement with </w:t>
      </w:r>
      <w:r w:rsidRPr="003C6859">
        <w:rPr>
          <w:rFonts w:ascii="Times New Roman" w:eastAsia="Calibri" w:hAnsi="Times New Roman" w:cs="Times New Roman"/>
          <w:b/>
          <w:iCs/>
          <w:sz w:val="24"/>
          <w:szCs w:val="24"/>
        </w:rPr>
        <w:t>Canada</w:t>
      </w:r>
      <w:r>
        <w:rPr>
          <w:rFonts w:ascii="Times New Roman" w:eastAsia="Calibri" w:hAnsi="Times New Roman" w:cs="Times New Roman"/>
          <w:iCs/>
          <w:sz w:val="24"/>
          <w:szCs w:val="24"/>
        </w:rPr>
        <w:t xml:space="preserve">, the Commission seeks swift finalisation of the agreement. </w:t>
      </w:r>
      <w:r w:rsidR="009C0DA9">
        <w:rPr>
          <w:rFonts w:ascii="Times New Roman" w:eastAsia="Calibri" w:hAnsi="Times New Roman" w:cs="Times New Roman"/>
          <w:iCs/>
          <w:sz w:val="24"/>
          <w:szCs w:val="24"/>
        </w:rPr>
        <w:t>Meanwhile, t</w:t>
      </w:r>
      <w:r w:rsidR="009C0DA9" w:rsidRPr="008D1951">
        <w:rPr>
          <w:rFonts w:ascii="Times New Roman" w:eastAsia="Calibri" w:hAnsi="Times New Roman" w:cs="Times New Roman"/>
          <w:iCs/>
          <w:sz w:val="24"/>
          <w:szCs w:val="24"/>
        </w:rPr>
        <w:t>he combined joint review and joint evaluation of the</w:t>
      </w:r>
      <w:r w:rsidR="009C0DA9">
        <w:rPr>
          <w:rFonts w:ascii="Times New Roman" w:eastAsia="Calibri" w:hAnsi="Times New Roman" w:cs="Times New Roman"/>
          <w:iCs/>
          <w:sz w:val="24"/>
          <w:szCs w:val="24"/>
        </w:rPr>
        <w:t xml:space="preserve"> passenger name record agreement with</w:t>
      </w:r>
      <w:r w:rsidR="009C0DA9" w:rsidRPr="008D1951">
        <w:rPr>
          <w:rFonts w:ascii="Times New Roman" w:eastAsia="Calibri" w:hAnsi="Times New Roman" w:cs="Times New Roman"/>
          <w:iCs/>
          <w:sz w:val="24"/>
          <w:szCs w:val="24"/>
        </w:rPr>
        <w:t xml:space="preserve"> </w:t>
      </w:r>
      <w:r w:rsidR="009C0DA9" w:rsidRPr="009C0DA9">
        <w:rPr>
          <w:rFonts w:ascii="Times New Roman" w:eastAsia="Calibri" w:hAnsi="Times New Roman" w:cs="Times New Roman"/>
          <w:b/>
          <w:iCs/>
          <w:sz w:val="24"/>
          <w:szCs w:val="24"/>
        </w:rPr>
        <w:t>Australia</w:t>
      </w:r>
      <w:r w:rsidR="009C0DA9">
        <w:rPr>
          <w:rFonts w:ascii="Times New Roman" w:eastAsia="Calibri" w:hAnsi="Times New Roman" w:cs="Times New Roman"/>
          <w:iCs/>
          <w:sz w:val="24"/>
          <w:szCs w:val="24"/>
        </w:rPr>
        <w:t xml:space="preserve"> as well as the j</w:t>
      </w:r>
      <w:r w:rsidR="009C0DA9" w:rsidRPr="008D1951">
        <w:rPr>
          <w:rFonts w:ascii="Times New Roman" w:eastAsia="Calibri" w:hAnsi="Times New Roman" w:cs="Times New Roman"/>
          <w:iCs/>
          <w:sz w:val="24"/>
          <w:szCs w:val="24"/>
        </w:rPr>
        <w:t>oint evaluation of the</w:t>
      </w:r>
      <w:r w:rsidR="009C0DA9">
        <w:rPr>
          <w:rFonts w:ascii="Times New Roman" w:eastAsia="Calibri" w:hAnsi="Times New Roman" w:cs="Times New Roman"/>
          <w:iCs/>
          <w:sz w:val="24"/>
          <w:szCs w:val="24"/>
        </w:rPr>
        <w:t xml:space="preserve"> passenger name record agreement with the </w:t>
      </w:r>
      <w:r w:rsidR="009C0DA9" w:rsidRPr="009C0DA9">
        <w:rPr>
          <w:rFonts w:ascii="Times New Roman" w:eastAsia="Calibri" w:hAnsi="Times New Roman" w:cs="Times New Roman"/>
          <w:b/>
          <w:iCs/>
          <w:sz w:val="24"/>
          <w:szCs w:val="24"/>
        </w:rPr>
        <w:t>United States</w:t>
      </w:r>
      <w:r w:rsidR="009C0DA9" w:rsidRPr="008D1951">
        <w:rPr>
          <w:rFonts w:ascii="Times New Roman" w:eastAsia="Calibri" w:hAnsi="Times New Roman" w:cs="Times New Roman"/>
          <w:iCs/>
          <w:sz w:val="24"/>
          <w:szCs w:val="24"/>
        </w:rPr>
        <w:t xml:space="preserve"> were launched this summer, starting with visits to Canberra and Washington in August and September</w:t>
      </w:r>
      <w:r w:rsidR="009C0DA9">
        <w:rPr>
          <w:rFonts w:ascii="Times New Roman" w:eastAsia="Calibri" w:hAnsi="Times New Roman" w:cs="Times New Roman"/>
          <w:iCs/>
          <w:sz w:val="24"/>
          <w:szCs w:val="24"/>
        </w:rPr>
        <w:t xml:space="preserve"> 2019</w:t>
      </w:r>
      <w:r w:rsidR="009C0DA9" w:rsidRPr="008D1951">
        <w:rPr>
          <w:rFonts w:ascii="Times New Roman" w:eastAsia="Calibri" w:hAnsi="Times New Roman" w:cs="Times New Roman"/>
          <w:iCs/>
          <w:sz w:val="24"/>
          <w:szCs w:val="24"/>
        </w:rPr>
        <w:t xml:space="preserve"> respectively.</w:t>
      </w:r>
      <w:r>
        <w:rPr>
          <w:rFonts w:ascii="Times New Roman" w:eastAsia="Calibri" w:hAnsi="Times New Roman" w:cs="Times New Roman"/>
          <w:iCs/>
          <w:sz w:val="24"/>
          <w:szCs w:val="24"/>
        </w:rPr>
        <w:t xml:space="preserve"> The Commission informed the European Parliament’s </w:t>
      </w:r>
      <w:r w:rsidRPr="00653D26">
        <w:rPr>
          <w:rFonts w:ascii="Times New Roman" w:eastAsia="Calibri" w:hAnsi="Times New Roman" w:cs="Times New Roman"/>
          <w:iCs/>
          <w:sz w:val="24"/>
          <w:szCs w:val="24"/>
        </w:rPr>
        <w:t xml:space="preserve">Committee on Civil Liberties, Justice and Home Affairs </w:t>
      </w:r>
      <w:r>
        <w:rPr>
          <w:rFonts w:ascii="Times New Roman" w:eastAsia="Calibri" w:hAnsi="Times New Roman" w:cs="Times New Roman"/>
          <w:iCs/>
          <w:sz w:val="24"/>
          <w:szCs w:val="24"/>
        </w:rPr>
        <w:t>in a closed session on 14 October 2019 about the state of play of the work with Japan, Australia and Canada on passenger name record data.</w:t>
      </w:r>
    </w:p>
    <w:p w14:paraId="0BF398C3" w14:textId="2A306C87" w:rsidR="001E023D" w:rsidRDefault="009C0DA9" w:rsidP="009C0DA9">
      <w:pPr>
        <w:spacing w:before="100" w:beforeAutospacing="1"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is also progress </w:t>
      </w:r>
      <w:r w:rsidR="00946C4E">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security cooperation with the </w:t>
      </w:r>
      <w:r w:rsidRPr="009C0DA9">
        <w:rPr>
          <w:rFonts w:ascii="Times New Roman" w:eastAsia="Calibri" w:hAnsi="Times New Roman" w:cs="Times New Roman"/>
          <w:b/>
          <w:sz w:val="24"/>
          <w:szCs w:val="24"/>
        </w:rPr>
        <w:t>Western Balkans</w:t>
      </w:r>
      <w:r>
        <w:rPr>
          <w:rFonts w:ascii="Times New Roman" w:eastAsia="Calibri" w:hAnsi="Times New Roman" w:cs="Times New Roman"/>
          <w:sz w:val="24"/>
          <w:szCs w:val="24"/>
        </w:rPr>
        <w:t xml:space="preserve"> partners, implementing the October 2018</w:t>
      </w:r>
      <w:r w:rsidR="001E023D" w:rsidRPr="008D1951">
        <w:rPr>
          <w:rFonts w:ascii="Times New Roman" w:eastAsia="Calibri" w:hAnsi="Times New Roman" w:cs="Times New Roman"/>
          <w:sz w:val="24"/>
          <w:szCs w:val="24"/>
        </w:rPr>
        <w:t xml:space="preserve"> Joint Action Plan on Counter-Terrorism for the </w:t>
      </w:r>
      <w:r w:rsidR="001E023D" w:rsidRPr="009C0DA9">
        <w:rPr>
          <w:rFonts w:ascii="Times New Roman" w:eastAsia="Calibri" w:hAnsi="Times New Roman" w:cs="Times New Roman"/>
          <w:sz w:val="24"/>
          <w:szCs w:val="24"/>
        </w:rPr>
        <w:t>Western Balkans</w:t>
      </w:r>
      <w:r>
        <w:rPr>
          <w:rFonts w:ascii="Times New Roman" w:eastAsia="Calibri" w:hAnsi="Times New Roman" w:cs="Times New Roman"/>
          <w:sz w:val="24"/>
          <w:szCs w:val="24"/>
        </w:rPr>
        <w:t>.</w:t>
      </w:r>
      <w:r w:rsidR="001E023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On 9 October, the Commission signed two non-binding </w:t>
      </w:r>
      <w:r w:rsidR="005D09FC">
        <w:rPr>
          <w:rFonts w:ascii="Times New Roman" w:eastAsia="Calibri" w:hAnsi="Times New Roman" w:cs="Times New Roman"/>
          <w:sz w:val="24"/>
          <w:szCs w:val="24"/>
        </w:rPr>
        <w:t>bilateral counter-t</w:t>
      </w:r>
      <w:r w:rsidRPr="008D1951">
        <w:rPr>
          <w:rFonts w:ascii="Times New Roman" w:eastAsia="Calibri" w:hAnsi="Times New Roman" w:cs="Times New Roman"/>
          <w:sz w:val="24"/>
          <w:szCs w:val="24"/>
        </w:rPr>
        <w:t xml:space="preserve">errorism </w:t>
      </w:r>
      <w:r>
        <w:rPr>
          <w:rFonts w:ascii="Times New Roman" w:eastAsia="Calibri" w:hAnsi="Times New Roman" w:cs="Times New Roman"/>
          <w:sz w:val="24"/>
          <w:szCs w:val="24"/>
        </w:rPr>
        <w:t>a</w:t>
      </w:r>
      <w:r w:rsidRPr="008D1951">
        <w:rPr>
          <w:rFonts w:ascii="Times New Roman" w:eastAsia="Calibri" w:hAnsi="Times New Roman" w:cs="Times New Roman"/>
          <w:sz w:val="24"/>
          <w:szCs w:val="24"/>
        </w:rPr>
        <w:t>rrangements</w:t>
      </w:r>
      <w:r>
        <w:rPr>
          <w:rFonts w:ascii="Times New Roman" w:eastAsia="Calibri" w:hAnsi="Times New Roman" w:cs="Times New Roman"/>
          <w:sz w:val="24"/>
          <w:szCs w:val="24"/>
        </w:rPr>
        <w:t xml:space="preserve"> with </w:t>
      </w:r>
      <w:r w:rsidRPr="008D1951">
        <w:rPr>
          <w:rFonts w:ascii="Times New Roman" w:eastAsia="Calibri" w:hAnsi="Times New Roman" w:cs="Times New Roman"/>
          <w:sz w:val="24"/>
          <w:szCs w:val="24"/>
        </w:rPr>
        <w:t>Albania and the Republic of North Macedonia</w:t>
      </w:r>
      <w:r w:rsidR="008E4EA5">
        <w:rPr>
          <w:rFonts w:ascii="Times New Roman" w:eastAsia="Calibri" w:hAnsi="Times New Roman" w:cs="Times New Roman"/>
          <w:sz w:val="24"/>
          <w:szCs w:val="24"/>
        </w:rPr>
        <w:t>.</w:t>
      </w:r>
      <w:r w:rsidR="004E0D03">
        <w:rPr>
          <w:rStyle w:val="FootnoteReference"/>
          <w:rFonts w:eastAsia="Calibri"/>
        </w:rPr>
        <w:footnoteReference w:id="76"/>
      </w:r>
      <w:r>
        <w:rPr>
          <w:rFonts w:ascii="Times New Roman" w:eastAsia="Calibri" w:hAnsi="Times New Roman" w:cs="Times New Roman"/>
          <w:sz w:val="24"/>
          <w:szCs w:val="24"/>
        </w:rPr>
        <w:t xml:space="preserve"> </w:t>
      </w:r>
      <w:r w:rsidR="001E023D" w:rsidRPr="008D1951">
        <w:rPr>
          <w:rFonts w:ascii="Times New Roman" w:eastAsia="Calibri" w:hAnsi="Times New Roman" w:cs="Times New Roman"/>
          <w:sz w:val="24"/>
          <w:szCs w:val="24"/>
        </w:rPr>
        <w:t xml:space="preserve">These </w:t>
      </w:r>
      <w:r w:rsidR="001E023D">
        <w:rPr>
          <w:rFonts w:ascii="Times New Roman" w:eastAsia="Calibri" w:hAnsi="Times New Roman" w:cs="Times New Roman"/>
          <w:sz w:val="24"/>
          <w:szCs w:val="24"/>
        </w:rPr>
        <w:t>a</w:t>
      </w:r>
      <w:r w:rsidR="001E023D" w:rsidRPr="008D1951">
        <w:rPr>
          <w:rFonts w:ascii="Times New Roman" w:eastAsia="Calibri" w:hAnsi="Times New Roman" w:cs="Times New Roman"/>
          <w:sz w:val="24"/>
          <w:szCs w:val="24"/>
        </w:rPr>
        <w:t xml:space="preserve">rrangements set out tailor-made priority actions to be taken by the authorities of </w:t>
      </w:r>
      <w:r>
        <w:rPr>
          <w:rFonts w:ascii="Times New Roman" w:eastAsia="Calibri" w:hAnsi="Times New Roman" w:cs="Times New Roman"/>
          <w:sz w:val="24"/>
          <w:szCs w:val="24"/>
        </w:rPr>
        <w:t>respective</w:t>
      </w:r>
      <w:r w:rsidR="001E023D" w:rsidRPr="008D1951">
        <w:rPr>
          <w:rFonts w:ascii="Times New Roman" w:eastAsia="Calibri" w:hAnsi="Times New Roman" w:cs="Times New Roman"/>
          <w:sz w:val="24"/>
          <w:szCs w:val="24"/>
        </w:rPr>
        <w:t xml:space="preserve"> partner</w:t>
      </w:r>
      <w:r>
        <w:rPr>
          <w:rFonts w:ascii="Times New Roman" w:eastAsia="Calibri" w:hAnsi="Times New Roman" w:cs="Times New Roman"/>
          <w:sz w:val="24"/>
          <w:szCs w:val="24"/>
        </w:rPr>
        <w:t xml:space="preserve"> country</w:t>
      </w:r>
      <w:r w:rsidR="001E023D" w:rsidRPr="008D1951">
        <w:rPr>
          <w:rFonts w:ascii="Times New Roman" w:eastAsia="Calibri" w:hAnsi="Times New Roman" w:cs="Times New Roman"/>
          <w:sz w:val="24"/>
          <w:szCs w:val="24"/>
        </w:rPr>
        <w:t>, covering the five objectives of the Joint Action Plan</w:t>
      </w:r>
      <w:r w:rsidR="001E023D" w:rsidRPr="008D1951">
        <w:rPr>
          <w:rStyle w:val="FootnoteReference"/>
          <w:rFonts w:eastAsia="Calibri"/>
        </w:rPr>
        <w:footnoteReference w:id="77"/>
      </w:r>
      <w:r>
        <w:rPr>
          <w:rFonts w:ascii="Times New Roman" w:eastAsia="Calibri" w:hAnsi="Times New Roman" w:cs="Times New Roman"/>
          <w:sz w:val="24"/>
          <w:szCs w:val="24"/>
        </w:rPr>
        <w:t xml:space="preserve"> and indicating the</w:t>
      </w:r>
      <w:r w:rsidR="001E023D" w:rsidRPr="008D1951">
        <w:rPr>
          <w:rFonts w:ascii="Times New Roman" w:eastAsia="Calibri" w:hAnsi="Times New Roman" w:cs="Times New Roman"/>
          <w:sz w:val="24"/>
          <w:szCs w:val="24"/>
        </w:rPr>
        <w:t xml:space="preserve"> support which the Commission envisages to provide. </w:t>
      </w:r>
      <w:r>
        <w:rPr>
          <w:rFonts w:ascii="Times New Roman" w:eastAsia="Calibri" w:hAnsi="Times New Roman" w:cs="Times New Roman"/>
          <w:sz w:val="24"/>
          <w:szCs w:val="24"/>
        </w:rPr>
        <w:t>Similar arrangements with the remaining Western Balkans partners are</w:t>
      </w:r>
      <w:r w:rsidR="001E023D" w:rsidRPr="008D1951">
        <w:rPr>
          <w:rFonts w:ascii="Times New Roman" w:eastAsia="Calibri" w:hAnsi="Times New Roman" w:cs="Times New Roman"/>
          <w:sz w:val="24"/>
          <w:szCs w:val="24"/>
        </w:rPr>
        <w:t xml:space="preserve"> expected </w:t>
      </w:r>
      <w:r>
        <w:rPr>
          <w:rFonts w:ascii="Times New Roman" w:eastAsia="Calibri" w:hAnsi="Times New Roman" w:cs="Times New Roman"/>
          <w:sz w:val="24"/>
          <w:szCs w:val="24"/>
        </w:rPr>
        <w:t>to</w:t>
      </w:r>
      <w:r w:rsidR="001E023D" w:rsidRPr="008D1951">
        <w:rPr>
          <w:rFonts w:ascii="Times New Roman" w:eastAsia="Calibri" w:hAnsi="Times New Roman" w:cs="Times New Roman"/>
          <w:sz w:val="24"/>
          <w:szCs w:val="24"/>
        </w:rPr>
        <w:t xml:space="preserve"> be signed in the coming weeks.</w:t>
      </w:r>
      <w:r w:rsidR="006A0CBC">
        <w:rPr>
          <w:rFonts w:ascii="Times New Roman" w:eastAsia="Calibri" w:hAnsi="Times New Roman" w:cs="Times New Roman"/>
          <w:sz w:val="24"/>
          <w:szCs w:val="24"/>
        </w:rPr>
        <w:t xml:space="preserve"> </w:t>
      </w:r>
      <w:r w:rsidR="006A0CBC" w:rsidRPr="006A0CBC">
        <w:rPr>
          <w:rFonts w:ascii="Times New Roman" w:eastAsia="Calibri" w:hAnsi="Times New Roman" w:cs="Times New Roman"/>
          <w:sz w:val="24"/>
          <w:szCs w:val="24"/>
        </w:rPr>
        <w:t>Moreover, on 7 October</w:t>
      </w:r>
      <w:r w:rsidR="006A0CBC">
        <w:rPr>
          <w:rFonts w:ascii="Times New Roman" w:eastAsia="Calibri" w:hAnsi="Times New Roman" w:cs="Times New Roman"/>
          <w:sz w:val="24"/>
          <w:szCs w:val="24"/>
        </w:rPr>
        <w:t xml:space="preserve"> 2019</w:t>
      </w:r>
      <w:r w:rsidR="006A0CBC" w:rsidRPr="006A0CBC">
        <w:rPr>
          <w:rFonts w:ascii="Times New Roman" w:eastAsia="Calibri" w:hAnsi="Times New Roman" w:cs="Times New Roman"/>
          <w:sz w:val="24"/>
          <w:szCs w:val="24"/>
        </w:rPr>
        <w:t xml:space="preserve">, the Commission signed an agreement with Montenegro on border management cooperation between Montenegro and the European Border and Coast Guard Agency (EBCGA). This agreement </w:t>
      </w:r>
      <w:r w:rsidR="006A0CBC">
        <w:rPr>
          <w:rFonts w:ascii="Times New Roman" w:eastAsia="Calibri" w:hAnsi="Times New Roman" w:cs="Times New Roman"/>
          <w:sz w:val="24"/>
          <w:szCs w:val="24"/>
        </w:rPr>
        <w:t>enables</w:t>
      </w:r>
      <w:r w:rsidR="006A0CBC" w:rsidRPr="006A0CBC">
        <w:rPr>
          <w:rFonts w:ascii="Times New Roman" w:eastAsia="Calibri" w:hAnsi="Times New Roman" w:cs="Times New Roman"/>
          <w:sz w:val="24"/>
          <w:szCs w:val="24"/>
        </w:rPr>
        <w:t xml:space="preserve"> </w:t>
      </w:r>
      <w:r w:rsidR="006A0CBC">
        <w:rPr>
          <w:rFonts w:ascii="Times New Roman" w:eastAsia="Calibri" w:hAnsi="Times New Roman" w:cs="Times New Roman"/>
          <w:sz w:val="24"/>
          <w:szCs w:val="24"/>
        </w:rPr>
        <w:t>the Agency</w:t>
      </w:r>
      <w:r w:rsidR="006A0CBC" w:rsidRPr="006A0CBC">
        <w:rPr>
          <w:rFonts w:ascii="Times New Roman" w:eastAsia="Calibri" w:hAnsi="Times New Roman" w:cs="Times New Roman"/>
          <w:sz w:val="24"/>
          <w:szCs w:val="24"/>
        </w:rPr>
        <w:t xml:space="preserve"> to assist Montenegro in border management </w:t>
      </w:r>
      <w:r w:rsidR="006A0CBC">
        <w:rPr>
          <w:rFonts w:ascii="Times New Roman" w:eastAsia="Calibri" w:hAnsi="Times New Roman" w:cs="Times New Roman"/>
          <w:sz w:val="24"/>
          <w:szCs w:val="24"/>
        </w:rPr>
        <w:t xml:space="preserve">with the </w:t>
      </w:r>
      <w:r w:rsidR="006A0CBC" w:rsidRPr="006A0CBC">
        <w:rPr>
          <w:rFonts w:ascii="Times New Roman" w:eastAsia="Calibri" w:hAnsi="Times New Roman" w:cs="Times New Roman"/>
          <w:sz w:val="24"/>
          <w:szCs w:val="24"/>
        </w:rPr>
        <w:t>aim</w:t>
      </w:r>
      <w:r w:rsidR="006A0CBC">
        <w:rPr>
          <w:rFonts w:ascii="Times New Roman" w:eastAsia="Calibri" w:hAnsi="Times New Roman" w:cs="Times New Roman"/>
          <w:sz w:val="24"/>
          <w:szCs w:val="24"/>
        </w:rPr>
        <w:t xml:space="preserve"> to</w:t>
      </w:r>
      <w:r w:rsidR="006A0CBC" w:rsidRPr="006A0CBC">
        <w:rPr>
          <w:rFonts w:ascii="Times New Roman" w:eastAsia="Calibri" w:hAnsi="Times New Roman" w:cs="Times New Roman"/>
          <w:sz w:val="24"/>
          <w:szCs w:val="24"/>
        </w:rPr>
        <w:t xml:space="preserve"> tackl</w:t>
      </w:r>
      <w:r w:rsidR="006A0CBC">
        <w:rPr>
          <w:rFonts w:ascii="Times New Roman" w:eastAsia="Calibri" w:hAnsi="Times New Roman" w:cs="Times New Roman"/>
          <w:sz w:val="24"/>
          <w:szCs w:val="24"/>
        </w:rPr>
        <w:t xml:space="preserve">e irregular migration </w:t>
      </w:r>
      <w:r w:rsidR="006A0CBC" w:rsidRPr="006A0CBC">
        <w:rPr>
          <w:rFonts w:ascii="Times New Roman" w:eastAsia="Calibri" w:hAnsi="Times New Roman" w:cs="Times New Roman"/>
          <w:sz w:val="24"/>
          <w:szCs w:val="24"/>
        </w:rPr>
        <w:t>and cross-border crime</w:t>
      </w:r>
      <w:r w:rsidR="006A0CBC">
        <w:rPr>
          <w:rFonts w:ascii="Times New Roman" w:eastAsia="Calibri" w:hAnsi="Times New Roman" w:cs="Times New Roman"/>
          <w:sz w:val="24"/>
          <w:szCs w:val="24"/>
        </w:rPr>
        <w:t xml:space="preserve">, thus </w:t>
      </w:r>
      <w:r w:rsidR="006A0CBC" w:rsidRPr="006A0CBC">
        <w:rPr>
          <w:rFonts w:ascii="Times New Roman" w:eastAsia="Calibri" w:hAnsi="Times New Roman" w:cs="Times New Roman"/>
          <w:sz w:val="24"/>
          <w:szCs w:val="24"/>
        </w:rPr>
        <w:t>enhanc</w:t>
      </w:r>
      <w:r w:rsidR="006A0CBC">
        <w:rPr>
          <w:rFonts w:ascii="Times New Roman" w:eastAsia="Calibri" w:hAnsi="Times New Roman" w:cs="Times New Roman"/>
          <w:sz w:val="24"/>
          <w:szCs w:val="24"/>
        </w:rPr>
        <w:t>ing</w:t>
      </w:r>
      <w:r w:rsidR="006A0CBC" w:rsidRPr="006A0CBC">
        <w:rPr>
          <w:rFonts w:ascii="Times New Roman" w:eastAsia="Calibri" w:hAnsi="Times New Roman" w:cs="Times New Roman"/>
          <w:sz w:val="24"/>
          <w:szCs w:val="24"/>
        </w:rPr>
        <w:t xml:space="preserve"> secur</w:t>
      </w:r>
      <w:r w:rsidR="006A0CBC">
        <w:rPr>
          <w:rFonts w:ascii="Times New Roman" w:eastAsia="Calibri" w:hAnsi="Times New Roman" w:cs="Times New Roman"/>
          <w:sz w:val="24"/>
          <w:szCs w:val="24"/>
        </w:rPr>
        <w:t>ity at the EU's external border</w:t>
      </w:r>
      <w:r w:rsidR="006A0CBC" w:rsidRPr="006A0CBC">
        <w:rPr>
          <w:rFonts w:ascii="Times New Roman" w:eastAsia="Calibri" w:hAnsi="Times New Roman" w:cs="Times New Roman"/>
          <w:sz w:val="24"/>
          <w:szCs w:val="24"/>
        </w:rPr>
        <w:t>.</w:t>
      </w:r>
    </w:p>
    <w:p w14:paraId="40EF4F71" w14:textId="21DA5A67" w:rsidR="00083D55" w:rsidRPr="009C4AEC" w:rsidRDefault="00083D55" w:rsidP="00083D55">
      <w:pPr>
        <w:keepNext/>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sz w:val="24"/>
          <w:szCs w:val="24"/>
        </w:rPr>
      </w:pPr>
      <w:r w:rsidRPr="008D1951">
        <w:rPr>
          <w:rFonts w:ascii="Times New Roman" w:hAnsi="Times New Roman" w:cs="Times New Roman"/>
          <w:b/>
          <w:sz w:val="24"/>
          <w:szCs w:val="24"/>
        </w:rPr>
        <w:t xml:space="preserve">In order to enhance </w:t>
      </w:r>
      <w:r>
        <w:rPr>
          <w:rFonts w:ascii="Times New Roman" w:hAnsi="Times New Roman" w:cs="Times New Roman"/>
          <w:b/>
          <w:sz w:val="24"/>
          <w:szCs w:val="24"/>
        </w:rPr>
        <w:t>the cooperation with partner countries in tackling shared security threats</w:t>
      </w:r>
      <w:r w:rsidRPr="008D1951">
        <w:rPr>
          <w:rFonts w:ascii="Times New Roman" w:hAnsi="Times New Roman" w:cs="Times New Roman"/>
          <w:b/>
          <w:sz w:val="24"/>
          <w:szCs w:val="24"/>
        </w:rPr>
        <w:t xml:space="preserve">, the Commission calls on </w:t>
      </w:r>
      <w:r w:rsidRPr="009C4AEC">
        <w:rPr>
          <w:rFonts w:ascii="Times New Roman" w:hAnsi="Times New Roman" w:cs="Times New Roman"/>
          <w:b/>
          <w:sz w:val="24"/>
          <w:szCs w:val="24"/>
        </w:rPr>
        <w:t>the Council:</w:t>
      </w:r>
    </w:p>
    <w:tbl>
      <w:tblPr>
        <w:tblStyle w:val="TableGrid"/>
        <w:tblW w:w="0" w:type="auto"/>
        <w:tblLook w:val="04A0" w:firstRow="1" w:lastRow="0" w:firstColumn="1" w:lastColumn="0" w:noHBand="0" w:noVBand="1"/>
      </w:tblPr>
      <w:tblGrid>
        <w:gridCol w:w="9288"/>
      </w:tblGrid>
      <w:tr w:rsidR="00083D55" w:rsidRPr="009C4AEC" w14:paraId="7BDFE060" w14:textId="77777777" w:rsidTr="00372E9D">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600B7F" w14:textId="535FCB43" w:rsidR="00083D55" w:rsidRPr="00083D55" w:rsidRDefault="00083D55" w:rsidP="00083D55">
            <w:pPr>
              <w:pStyle w:val="ListParagraph"/>
              <w:numPr>
                <w:ilvl w:val="0"/>
                <w:numId w:val="20"/>
              </w:numPr>
              <w:shd w:val="clear" w:color="auto" w:fill="DBE5F1" w:themeFill="accent1" w:themeFillTint="33"/>
              <w:jc w:val="both"/>
              <w:rPr>
                <w:rFonts w:ascii="Times New Roman" w:hAnsi="Times New Roman"/>
                <w:sz w:val="24"/>
                <w:szCs w:val="24"/>
              </w:rPr>
            </w:pPr>
            <w:r w:rsidRPr="009C4AEC">
              <w:rPr>
                <w:rFonts w:ascii="Times New Roman" w:hAnsi="Times New Roman"/>
                <w:sz w:val="24"/>
                <w:szCs w:val="24"/>
              </w:rPr>
              <w:t xml:space="preserve">to </w:t>
            </w:r>
            <w:r>
              <w:rPr>
                <w:rFonts w:ascii="Times New Roman" w:hAnsi="Times New Roman" w:cs="Times New Roman"/>
                <w:sz w:val="24"/>
                <w:szCs w:val="24"/>
              </w:rPr>
              <w:t xml:space="preserve">adopt the </w:t>
            </w:r>
            <w:r w:rsidRPr="00083D55">
              <w:rPr>
                <w:rFonts w:ascii="Times New Roman" w:hAnsi="Times New Roman" w:cs="Times New Roman"/>
                <w:sz w:val="24"/>
                <w:szCs w:val="24"/>
              </w:rPr>
              <w:t xml:space="preserve">authorisation for the launch of negotiations for an agreement between the EU and </w:t>
            </w:r>
            <w:r w:rsidRPr="000D0DAA">
              <w:rPr>
                <w:rFonts w:ascii="Times New Roman" w:hAnsi="Times New Roman" w:cs="Times New Roman"/>
                <w:b/>
                <w:sz w:val="24"/>
                <w:szCs w:val="24"/>
              </w:rPr>
              <w:t>New Zealand</w:t>
            </w:r>
            <w:r w:rsidRPr="00083D55">
              <w:rPr>
                <w:rFonts w:ascii="Times New Roman" w:hAnsi="Times New Roman" w:cs="Times New Roman"/>
                <w:sz w:val="24"/>
                <w:szCs w:val="24"/>
              </w:rPr>
              <w:t xml:space="preserve"> on the exchange of personal data to fight serious crime and terrorism</w:t>
            </w:r>
            <w:r>
              <w:rPr>
                <w:rFonts w:ascii="Times New Roman" w:hAnsi="Times New Roman" w:cs="Times New Roman"/>
                <w:sz w:val="24"/>
                <w:szCs w:val="24"/>
              </w:rPr>
              <w:t>;</w:t>
            </w:r>
          </w:p>
          <w:p w14:paraId="5DF0BC14" w14:textId="3C0EF25E" w:rsidR="00083D55" w:rsidRDefault="00083D55" w:rsidP="00083D55">
            <w:pPr>
              <w:pStyle w:val="ListParagraph"/>
              <w:numPr>
                <w:ilvl w:val="0"/>
                <w:numId w:val="20"/>
              </w:numPr>
              <w:shd w:val="clear" w:color="auto" w:fill="DBE5F1" w:themeFill="accent1" w:themeFillTint="33"/>
              <w:jc w:val="both"/>
              <w:rPr>
                <w:rFonts w:ascii="Times New Roman" w:hAnsi="Times New Roman"/>
                <w:sz w:val="24"/>
                <w:szCs w:val="24"/>
              </w:rPr>
            </w:pPr>
            <w:r>
              <w:rPr>
                <w:rFonts w:ascii="Times New Roman" w:hAnsi="Times New Roman"/>
                <w:sz w:val="24"/>
                <w:szCs w:val="24"/>
              </w:rPr>
              <w:t xml:space="preserve">to adopt the </w:t>
            </w:r>
            <w:r w:rsidRPr="00083D55">
              <w:rPr>
                <w:rFonts w:ascii="Times New Roman" w:hAnsi="Times New Roman"/>
                <w:sz w:val="24"/>
                <w:szCs w:val="24"/>
              </w:rPr>
              <w:t xml:space="preserve">authorisation for the launch of negotiations for an agreement between the EU and </w:t>
            </w:r>
            <w:r w:rsidRPr="000D0DAA">
              <w:rPr>
                <w:rFonts w:ascii="Times New Roman" w:hAnsi="Times New Roman"/>
                <w:b/>
                <w:sz w:val="24"/>
                <w:szCs w:val="24"/>
              </w:rPr>
              <w:t>Japan</w:t>
            </w:r>
            <w:r w:rsidRPr="00083D55">
              <w:rPr>
                <w:rFonts w:ascii="Times New Roman" w:hAnsi="Times New Roman"/>
                <w:sz w:val="24"/>
                <w:szCs w:val="24"/>
              </w:rPr>
              <w:t xml:space="preserve"> on </w:t>
            </w:r>
            <w:r>
              <w:rPr>
                <w:rFonts w:ascii="Times New Roman" w:hAnsi="Times New Roman"/>
                <w:sz w:val="24"/>
                <w:szCs w:val="24"/>
              </w:rPr>
              <w:t xml:space="preserve">the </w:t>
            </w:r>
            <w:r w:rsidRPr="00083D55">
              <w:rPr>
                <w:rFonts w:ascii="Times New Roman" w:hAnsi="Times New Roman"/>
                <w:sz w:val="24"/>
                <w:szCs w:val="24"/>
              </w:rPr>
              <w:t>transfer of passenger name record data</w:t>
            </w:r>
            <w:r>
              <w:rPr>
                <w:rFonts w:ascii="Times New Roman" w:hAnsi="Times New Roman"/>
                <w:sz w:val="24"/>
                <w:szCs w:val="24"/>
              </w:rPr>
              <w:t>;</w:t>
            </w:r>
          </w:p>
          <w:p w14:paraId="37C78256" w14:textId="7136BFDA" w:rsidR="00083D55" w:rsidRPr="009C4AEC" w:rsidRDefault="00083D55" w:rsidP="00083D55">
            <w:pPr>
              <w:pStyle w:val="ListParagraph"/>
              <w:numPr>
                <w:ilvl w:val="0"/>
                <w:numId w:val="20"/>
              </w:numPr>
              <w:shd w:val="clear" w:color="auto" w:fill="DBE5F1" w:themeFill="accent1" w:themeFillTint="33"/>
              <w:jc w:val="both"/>
              <w:rPr>
                <w:rFonts w:ascii="Times New Roman" w:hAnsi="Times New Roman"/>
                <w:sz w:val="24"/>
                <w:szCs w:val="24"/>
              </w:rPr>
            </w:pPr>
            <w:r>
              <w:rPr>
                <w:rFonts w:ascii="Times New Roman" w:hAnsi="Times New Roman"/>
                <w:sz w:val="24"/>
                <w:szCs w:val="24"/>
              </w:rPr>
              <w:t xml:space="preserve">to adopt the proposed </w:t>
            </w:r>
            <w:r w:rsidRPr="000D0DAA">
              <w:rPr>
                <w:rFonts w:ascii="Times New Roman" w:eastAsia="Calibri" w:hAnsi="Times New Roman" w:cs="Times New Roman"/>
                <w:b/>
                <w:iCs/>
                <w:sz w:val="24"/>
                <w:szCs w:val="24"/>
              </w:rPr>
              <w:t>Council Decision on the position to be taken on behalf of the EU in the International Civil Aviation Organization</w:t>
            </w:r>
            <w:r w:rsidRPr="009C0DA9">
              <w:rPr>
                <w:rFonts w:ascii="Times New Roman" w:eastAsia="Calibri" w:hAnsi="Times New Roman" w:cs="Times New Roman"/>
                <w:iCs/>
                <w:sz w:val="24"/>
                <w:szCs w:val="24"/>
              </w:rPr>
              <w:t xml:space="preserve"> with regard to standards and recommended practices on passenger name record data</w:t>
            </w:r>
            <w:r>
              <w:rPr>
                <w:rFonts w:ascii="Times New Roman" w:eastAsia="Calibri" w:hAnsi="Times New Roman" w:cs="Times New Roman"/>
                <w:iCs/>
                <w:sz w:val="24"/>
                <w:szCs w:val="24"/>
              </w:rPr>
              <w:t>.</w:t>
            </w:r>
          </w:p>
        </w:tc>
      </w:tr>
    </w:tbl>
    <w:p w14:paraId="1B38266B" w14:textId="385454AA" w:rsidR="00C254B4" w:rsidRPr="008D1951" w:rsidRDefault="00C254B4" w:rsidP="00083D55">
      <w:pPr>
        <w:spacing w:before="240" w:after="240" w:line="240" w:lineRule="auto"/>
        <w:jc w:val="both"/>
        <w:rPr>
          <w:rFonts w:ascii="Times New Roman" w:eastAsia="Calibri" w:hAnsi="Times New Roman" w:cs="Times New Roman"/>
          <w:sz w:val="24"/>
          <w:szCs w:val="24"/>
        </w:rPr>
      </w:pPr>
      <w:r w:rsidRPr="008D1951">
        <w:rPr>
          <w:rFonts w:ascii="Times New Roman" w:eastAsia="Calibri" w:hAnsi="Times New Roman" w:cs="Times New Roman"/>
          <w:b/>
          <w:bCs/>
          <w:sz w:val="24"/>
          <w:szCs w:val="24"/>
        </w:rPr>
        <w:t>VI. CONCLUSION</w:t>
      </w:r>
    </w:p>
    <w:p w14:paraId="5426857A" w14:textId="26AABCB9" w:rsidR="002229C0" w:rsidRDefault="002229C0" w:rsidP="006347DA">
      <w:pPr>
        <w:widowControl w:val="0"/>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report sets out the wide range of measures that the EU has been taking to address common threats in Europe and enhance our collective security. Driven by a shared understanding that today’s security challenges are best tackled by working together</w:t>
      </w:r>
      <w:r w:rsidR="001D5E77">
        <w:rPr>
          <w:rFonts w:ascii="Times New Roman" w:eastAsia="Calibri" w:hAnsi="Times New Roman" w:cs="Times New Roman"/>
          <w:sz w:val="24"/>
          <w:szCs w:val="24"/>
        </w:rPr>
        <w:t xml:space="preserve"> and with </w:t>
      </w:r>
      <w:r w:rsidR="008F2FF6">
        <w:rPr>
          <w:rFonts w:ascii="Times New Roman" w:eastAsia="Calibri" w:hAnsi="Times New Roman" w:cs="Times New Roman"/>
          <w:sz w:val="24"/>
          <w:szCs w:val="24"/>
        </w:rPr>
        <w:t>third</w:t>
      </w:r>
      <w:r w:rsidR="001D5E77">
        <w:rPr>
          <w:rFonts w:ascii="Times New Roman" w:eastAsia="Calibri" w:hAnsi="Times New Roman" w:cs="Times New Roman"/>
          <w:sz w:val="24"/>
          <w:szCs w:val="24"/>
        </w:rPr>
        <w:t xml:space="preserve"> countries</w:t>
      </w:r>
      <w:r>
        <w:rPr>
          <w:rFonts w:ascii="Times New Roman" w:eastAsia="Calibri" w:hAnsi="Times New Roman" w:cs="Times New Roman"/>
          <w:sz w:val="24"/>
          <w:szCs w:val="24"/>
        </w:rPr>
        <w:t xml:space="preserve">, the progress made towards an effective and genuine Security Union is the result of close cooperation </w:t>
      </w:r>
      <w:r w:rsidR="00CA54F2">
        <w:rPr>
          <w:rFonts w:ascii="Times New Roman" w:eastAsia="Calibri" w:hAnsi="Times New Roman" w:cs="Times New Roman"/>
          <w:sz w:val="24"/>
          <w:szCs w:val="24"/>
        </w:rPr>
        <w:t>between</w:t>
      </w:r>
      <w:r>
        <w:rPr>
          <w:rFonts w:ascii="Times New Roman" w:eastAsia="Calibri" w:hAnsi="Times New Roman" w:cs="Times New Roman"/>
          <w:sz w:val="24"/>
          <w:szCs w:val="24"/>
        </w:rPr>
        <w:t xml:space="preserve"> a wide range of actors</w:t>
      </w:r>
      <w:r w:rsidR="005D09FC">
        <w:rPr>
          <w:rFonts w:ascii="Times New Roman" w:eastAsia="Calibri" w:hAnsi="Times New Roman" w:cs="Times New Roman"/>
          <w:sz w:val="24"/>
          <w:szCs w:val="24"/>
        </w:rPr>
        <w:t>,</w:t>
      </w:r>
      <w:r w:rsidR="005D09FC" w:rsidRPr="005D09FC">
        <w:rPr>
          <w:rFonts w:ascii="Times New Roman" w:eastAsia="Calibri" w:hAnsi="Times New Roman" w:cs="Times New Roman"/>
          <w:sz w:val="24"/>
          <w:szCs w:val="24"/>
        </w:rPr>
        <w:t xml:space="preserve"> </w:t>
      </w:r>
      <w:r w:rsidR="005D09FC" w:rsidRPr="004E0D03">
        <w:rPr>
          <w:rFonts w:ascii="Times New Roman" w:eastAsia="Calibri" w:hAnsi="Times New Roman" w:cs="Times New Roman"/>
          <w:sz w:val="24"/>
          <w:szCs w:val="24"/>
        </w:rPr>
        <w:t>bu</w:t>
      </w:r>
      <w:r w:rsidR="005D09FC">
        <w:rPr>
          <w:rFonts w:ascii="Times New Roman" w:eastAsia="Calibri" w:hAnsi="Times New Roman" w:cs="Times New Roman"/>
          <w:sz w:val="24"/>
          <w:szCs w:val="24"/>
        </w:rPr>
        <w:t>ilding trust, sharing resources</w:t>
      </w:r>
      <w:r w:rsidR="005D09FC" w:rsidRPr="004E0D03">
        <w:rPr>
          <w:rFonts w:ascii="Times New Roman" w:eastAsia="Calibri" w:hAnsi="Times New Roman" w:cs="Times New Roman"/>
          <w:sz w:val="24"/>
          <w:szCs w:val="24"/>
        </w:rPr>
        <w:t xml:space="preserve"> and facing threats together</w:t>
      </w:r>
      <w:r>
        <w:rPr>
          <w:rFonts w:ascii="Times New Roman" w:eastAsia="Calibri" w:hAnsi="Times New Roman" w:cs="Times New Roman"/>
          <w:sz w:val="24"/>
          <w:szCs w:val="24"/>
        </w:rPr>
        <w:t xml:space="preserve">: across </w:t>
      </w:r>
      <w:r w:rsidR="005878E8">
        <w:rPr>
          <w:rFonts w:ascii="Times New Roman" w:eastAsia="Calibri" w:hAnsi="Times New Roman" w:cs="Times New Roman"/>
          <w:sz w:val="24"/>
          <w:szCs w:val="24"/>
        </w:rPr>
        <w:t xml:space="preserve">all </w:t>
      </w:r>
      <w:r>
        <w:rPr>
          <w:rFonts w:ascii="Times New Roman" w:eastAsia="Calibri" w:hAnsi="Times New Roman" w:cs="Times New Roman"/>
          <w:sz w:val="24"/>
          <w:szCs w:val="24"/>
        </w:rPr>
        <w:t xml:space="preserve">levels of government, from cities and other local actors, regions and national authorities to the EU level with the European Parliament and the Council; involving public authorities, EU </w:t>
      </w:r>
      <w:r w:rsidR="005D09FC">
        <w:rPr>
          <w:rFonts w:ascii="Times New Roman" w:eastAsia="Calibri" w:hAnsi="Times New Roman" w:cs="Times New Roman"/>
          <w:sz w:val="24"/>
          <w:szCs w:val="24"/>
        </w:rPr>
        <w:t>a</w:t>
      </w:r>
      <w:r>
        <w:rPr>
          <w:rFonts w:ascii="Times New Roman" w:eastAsia="Calibri" w:hAnsi="Times New Roman" w:cs="Times New Roman"/>
          <w:sz w:val="24"/>
          <w:szCs w:val="24"/>
        </w:rPr>
        <w:t>gencies, private actors and civil society; and using expertise, tools and resources across policy areas, such as transport policy, the digital single market or cohesion policy. In doing so, the work in the Security Union is embedded in the protection of fundamental rights, safeguarding and promoting our values.</w:t>
      </w:r>
    </w:p>
    <w:p w14:paraId="64DB7268" w14:textId="40E6893B" w:rsidR="00C254B4" w:rsidRPr="00217D22" w:rsidRDefault="002229C0" w:rsidP="002229C0">
      <w:pPr>
        <w:widowControl w:val="0"/>
        <w:spacing w:after="24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The work towards an effective and genuine Security Union must continue. There is a need for swift agreement on important pending initiatives, </w:t>
      </w:r>
      <w:r w:rsidR="009C5BB8">
        <w:rPr>
          <w:rFonts w:ascii="Times New Roman" w:eastAsia="Calibri" w:hAnsi="Times New Roman" w:cs="Times New Roman"/>
          <w:sz w:val="24"/>
          <w:szCs w:val="24"/>
        </w:rPr>
        <w:t>notably: (1)</w:t>
      </w:r>
      <w:r>
        <w:rPr>
          <w:rFonts w:ascii="Times New Roman" w:eastAsia="Calibri" w:hAnsi="Times New Roman" w:cs="Times New Roman"/>
          <w:sz w:val="24"/>
          <w:szCs w:val="24"/>
        </w:rPr>
        <w:t xml:space="preserve"> the legislative proposal on the removal of terrorist content online</w:t>
      </w:r>
      <w:r w:rsidR="00825F83">
        <w:rPr>
          <w:rFonts w:ascii="Times New Roman" w:eastAsia="Calibri" w:hAnsi="Times New Roman" w:cs="Times New Roman"/>
          <w:sz w:val="24"/>
          <w:szCs w:val="24"/>
        </w:rPr>
        <w:t>,</w:t>
      </w:r>
      <w:r w:rsidR="005666EE">
        <w:rPr>
          <w:rFonts w:ascii="Times New Roman" w:eastAsia="Calibri" w:hAnsi="Times New Roman" w:cs="Times New Roman"/>
          <w:sz w:val="24"/>
          <w:szCs w:val="24"/>
        </w:rPr>
        <w:t xml:space="preserve"> </w:t>
      </w:r>
      <w:r w:rsidR="009C5BB8">
        <w:rPr>
          <w:rFonts w:ascii="Times New Roman" w:eastAsia="Calibri" w:hAnsi="Times New Roman" w:cs="Times New Roman"/>
          <w:sz w:val="24"/>
          <w:szCs w:val="24"/>
        </w:rPr>
        <w:t xml:space="preserve">(2) </w:t>
      </w:r>
      <w:r w:rsidR="005666EE">
        <w:rPr>
          <w:rFonts w:ascii="Times New Roman" w:eastAsia="Calibri" w:hAnsi="Times New Roman" w:cs="Times New Roman"/>
          <w:sz w:val="24"/>
          <w:szCs w:val="24"/>
        </w:rPr>
        <w:t>the legislative proposal to improve law enforcement access to electronic evidence</w:t>
      </w:r>
      <w:r w:rsidR="009C5BB8">
        <w:rPr>
          <w:rFonts w:ascii="Times New Roman" w:eastAsia="Calibri" w:hAnsi="Times New Roman" w:cs="Times New Roman"/>
          <w:sz w:val="24"/>
          <w:szCs w:val="24"/>
        </w:rPr>
        <w:t>,</w:t>
      </w:r>
      <w:r w:rsidR="00825F83">
        <w:rPr>
          <w:rFonts w:ascii="Times New Roman" w:eastAsia="Calibri" w:hAnsi="Times New Roman" w:cs="Times New Roman"/>
          <w:sz w:val="24"/>
          <w:szCs w:val="24"/>
        </w:rPr>
        <w:t xml:space="preserve"> </w:t>
      </w:r>
      <w:r w:rsidR="009C5BB8">
        <w:rPr>
          <w:rFonts w:ascii="Times New Roman" w:eastAsia="Calibri" w:hAnsi="Times New Roman" w:cs="Times New Roman"/>
          <w:sz w:val="24"/>
          <w:szCs w:val="24"/>
        </w:rPr>
        <w:t xml:space="preserve">(3) </w:t>
      </w:r>
      <w:r w:rsidR="00825F83">
        <w:rPr>
          <w:rFonts w:ascii="Times New Roman" w:eastAsia="Calibri" w:hAnsi="Times New Roman" w:cs="Times New Roman"/>
          <w:sz w:val="24"/>
          <w:szCs w:val="24"/>
        </w:rPr>
        <w:t>the legislative proposal setting up</w:t>
      </w:r>
      <w:r w:rsidR="00825F83" w:rsidRPr="00BB07D3">
        <w:rPr>
          <w:rFonts w:ascii="Times New Roman" w:eastAsia="Calibri" w:hAnsi="Times New Roman" w:cs="Times New Roman"/>
          <w:bCs/>
          <w:sz w:val="24"/>
          <w:szCs w:val="24"/>
        </w:rPr>
        <w:t xml:space="preserve"> a </w:t>
      </w:r>
      <w:r w:rsidR="00825F83" w:rsidRPr="00B7715D">
        <w:rPr>
          <w:rFonts w:ascii="Times New Roman" w:eastAsia="Calibri" w:hAnsi="Times New Roman" w:cs="Times New Roman"/>
          <w:sz w:val="24"/>
          <w:szCs w:val="24"/>
        </w:rPr>
        <w:t>European Cybersecurity Industrial, Technology and Research Competence Centre and Network of National Coordination Centres</w:t>
      </w:r>
      <w:r w:rsidR="009C5BB8">
        <w:rPr>
          <w:rFonts w:ascii="Times New Roman" w:eastAsia="Calibri" w:hAnsi="Times New Roman" w:cs="Times New Roman"/>
          <w:sz w:val="24"/>
          <w:szCs w:val="24"/>
        </w:rPr>
        <w:t>, and (4) the pending legislative proposals  on s</w:t>
      </w:r>
      <w:r w:rsidR="009C5BB8" w:rsidRPr="009C5BB8">
        <w:rPr>
          <w:rFonts w:ascii="Times New Roman" w:eastAsia="Calibri" w:hAnsi="Times New Roman" w:cs="Times New Roman"/>
          <w:sz w:val="24"/>
          <w:szCs w:val="24"/>
        </w:rPr>
        <w:t>tronger and smarter information systems for security, border and migration management</w:t>
      </w:r>
      <w:r>
        <w:rPr>
          <w:rFonts w:ascii="Times New Roman" w:eastAsia="Calibri" w:hAnsi="Times New Roman" w:cs="Times New Roman"/>
          <w:sz w:val="24"/>
          <w:szCs w:val="24"/>
        </w:rPr>
        <w:t xml:space="preserve">. Agreed measures and instruments have to be turned into an operational reality on the ground, with timely and full implementation of EU legislation by all Member States to </w:t>
      </w:r>
      <w:r w:rsidR="00CA54F2">
        <w:rPr>
          <w:rFonts w:ascii="Times New Roman" w:eastAsia="Calibri" w:hAnsi="Times New Roman" w:cs="Times New Roman"/>
          <w:sz w:val="24"/>
          <w:szCs w:val="24"/>
        </w:rPr>
        <w:t>gain</w:t>
      </w:r>
      <w:r>
        <w:rPr>
          <w:rFonts w:ascii="Times New Roman" w:eastAsia="Calibri" w:hAnsi="Times New Roman" w:cs="Times New Roman"/>
          <w:sz w:val="24"/>
          <w:szCs w:val="24"/>
        </w:rPr>
        <w:t xml:space="preserve"> all its benefits for security. </w:t>
      </w:r>
      <w:r w:rsidR="009C5BB8">
        <w:rPr>
          <w:rFonts w:ascii="Times New Roman" w:eastAsia="Calibri" w:hAnsi="Times New Roman" w:cs="Times New Roman"/>
          <w:sz w:val="24"/>
          <w:szCs w:val="24"/>
        </w:rPr>
        <w:t xml:space="preserve">In particular, it is essential that </w:t>
      </w:r>
      <w:r w:rsidR="009C5BB8" w:rsidRPr="009C5BB8">
        <w:rPr>
          <w:rFonts w:ascii="Times New Roman" w:eastAsia="Calibri" w:hAnsi="Times New Roman" w:cs="Times New Roman"/>
          <w:sz w:val="24"/>
          <w:szCs w:val="24"/>
        </w:rPr>
        <w:t xml:space="preserve">all Member States </w:t>
      </w:r>
      <w:r w:rsidR="009C5BB8">
        <w:rPr>
          <w:rFonts w:ascii="Times New Roman" w:eastAsia="Calibri" w:hAnsi="Times New Roman" w:cs="Times New Roman"/>
          <w:sz w:val="24"/>
          <w:szCs w:val="24"/>
        </w:rPr>
        <w:t xml:space="preserve">implement the </w:t>
      </w:r>
      <w:r w:rsidR="009C5BB8" w:rsidRPr="009C5BB8">
        <w:rPr>
          <w:rFonts w:ascii="Times New Roman" w:eastAsia="Calibri" w:hAnsi="Times New Roman" w:cs="Times New Roman"/>
          <w:sz w:val="24"/>
          <w:szCs w:val="24"/>
        </w:rPr>
        <w:t>recently agreed legislation on the interoperability of EU information systems for security, border and migration management in order to attain the ambitious objective of achieving full interoperability by 2020</w:t>
      </w:r>
      <w:r w:rsidR="009C5BB8">
        <w:rPr>
          <w:rFonts w:ascii="Times New Roman" w:eastAsia="Calibri" w:hAnsi="Times New Roman" w:cs="Times New Roman"/>
          <w:sz w:val="24"/>
          <w:szCs w:val="24"/>
        </w:rPr>
        <w:t xml:space="preserve">. </w:t>
      </w:r>
      <w:r>
        <w:rPr>
          <w:rFonts w:ascii="Times New Roman" w:eastAsia="Calibri" w:hAnsi="Times New Roman" w:cs="Times New Roman"/>
          <w:sz w:val="24"/>
          <w:szCs w:val="24"/>
        </w:rPr>
        <w:t>Finally, Europe needs to remain vigilant about emerging and changing threats, and keep working together to enhance the security of all citizens</w:t>
      </w:r>
      <w:r w:rsidRPr="00217D22">
        <w:rPr>
          <w:rFonts w:ascii="Times New Roman" w:eastAsia="Calibri" w:hAnsi="Times New Roman" w:cs="Times New Roman"/>
          <w:sz w:val="24"/>
          <w:szCs w:val="24"/>
        </w:rPr>
        <w:t>.</w:t>
      </w:r>
    </w:p>
    <w:sectPr w:rsidR="00C254B4" w:rsidRPr="00217D22" w:rsidSect="00D62C6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A8D5D" w16cid:durableId="20D594B8"/>
  <w16cid:commentId w16cid:paraId="70415691" w16cid:durableId="20D58E6A"/>
  <w16cid:commentId w16cid:paraId="40819A61" w16cid:durableId="20D58E6B"/>
  <w16cid:commentId w16cid:paraId="40B3D60E" w16cid:durableId="20D58E6C"/>
  <w16cid:commentId w16cid:paraId="4FE824E5" w16cid:durableId="20D58E6D"/>
  <w16cid:commentId w16cid:paraId="7BB9D4AF" w16cid:durableId="20D598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5F5D5" w14:textId="77777777" w:rsidR="00382CF6" w:rsidRDefault="00382CF6" w:rsidP="00925375">
      <w:pPr>
        <w:spacing w:after="0" w:line="240" w:lineRule="auto"/>
      </w:pPr>
      <w:r>
        <w:separator/>
      </w:r>
    </w:p>
  </w:endnote>
  <w:endnote w:type="continuationSeparator" w:id="0">
    <w:p w14:paraId="34189B39" w14:textId="77777777" w:rsidR="00382CF6" w:rsidRDefault="00382CF6" w:rsidP="00925375">
      <w:pPr>
        <w:spacing w:after="0" w:line="240" w:lineRule="auto"/>
      </w:pPr>
      <w:r>
        <w:continuationSeparator/>
      </w:r>
    </w:p>
  </w:endnote>
  <w:endnote w:type="continuationNotice" w:id="1">
    <w:p w14:paraId="53AE287B" w14:textId="77777777" w:rsidR="00382CF6" w:rsidRDefault="00382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A977" w14:textId="77777777" w:rsidR="004F2A07" w:rsidRPr="004F2A07" w:rsidRDefault="004F2A07" w:rsidP="004F2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5F6D3" w14:textId="6B45BAD7" w:rsidR="004F2A07" w:rsidRPr="004F2A07" w:rsidRDefault="004F2A07" w:rsidP="004F2A07">
    <w:pPr>
      <w:pStyle w:val="FooterCoverPage"/>
      <w:rPr>
        <w:rFonts w:ascii="Arial" w:hAnsi="Arial" w:cs="Arial"/>
        <w:b/>
        <w:sz w:val="48"/>
      </w:rPr>
    </w:pPr>
    <w:r w:rsidRPr="004F2A07">
      <w:rPr>
        <w:rFonts w:ascii="Arial" w:hAnsi="Arial" w:cs="Arial"/>
        <w:b/>
        <w:sz w:val="48"/>
      </w:rPr>
      <w:t>EN</w:t>
    </w:r>
    <w:r w:rsidRPr="004F2A07">
      <w:rPr>
        <w:rFonts w:ascii="Arial" w:hAnsi="Arial" w:cs="Arial"/>
        <w:b/>
        <w:sz w:val="48"/>
      </w:rPr>
      <w:tab/>
    </w:r>
    <w:r w:rsidRPr="004F2A07">
      <w:rPr>
        <w:rFonts w:ascii="Arial" w:hAnsi="Arial" w:cs="Arial"/>
        <w:b/>
        <w:sz w:val="48"/>
      </w:rPr>
      <w:tab/>
    </w:r>
    <w:r w:rsidRPr="004F2A07">
      <w:tab/>
    </w:r>
    <w:r w:rsidRPr="004F2A0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8972" w14:textId="77777777" w:rsidR="004F2A07" w:rsidRPr="004F2A07" w:rsidRDefault="004F2A07" w:rsidP="004F2A0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73CA" w14:textId="77777777" w:rsidR="00382CF6" w:rsidRDefault="00382C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359492"/>
      <w:docPartObj>
        <w:docPartGallery w:val="Page Numbers (Bottom of Page)"/>
        <w:docPartUnique/>
      </w:docPartObj>
    </w:sdtPr>
    <w:sdtEndPr>
      <w:rPr>
        <w:noProof/>
      </w:rPr>
    </w:sdtEndPr>
    <w:sdtContent>
      <w:p w14:paraId="3421EB79" w14:textId="71C8088D" w:rsidR="00382CF6" w:rsidRDefault="00382CF6">
        <w:pPr>
          <w:pStyle w:val="Footer"/>
          <w:jc w:val="center"/>
        </w:pPr>
        <w:r w:rsidRPr="00440647">
          <w:rPr>
            <w:rFonts w:ascii="Times New Roman" w:hAnsi="Times New Roman" w:cs="Times New Roman"/>
            <w:sz w:val="24"/>
            <w:szCs w:val="24"/>
          </w:rPr>
          <w:fldChar w:fldCharType="begin"/>
        </w:r>
        <w:r w:rsidRPr="00440647">
          <w:rPr>
            <w:rFonts w:ascii="Times New Roman" w:hAnsi="Times New Roman" w:cs="Times New Roman"/>
            <w:sz w:val="24"/>
            <w:szCs w:val="24"/>
          </w:rPr>
          <w:instrText xml:space="preserve"> PAGE   \* MERGEFORMAT </w:instrText>
        </w:r>
        <w:r w:rsidRPr="00440647">
          <w:rPr>
            <w:rFonts w:ascii="Times New Roman" w:hAnsi="Times New Roman" w:cs="Times New Roman"/>
            <w:sz w:val="24"/>
            <w:szCs w:val="24"/>
          </w:rPr>
          <w:fldChar w:fldCharType="separate"/>
        </w:r>
        <w:r w:rsidR="004F2A07">
          <w:rPr>
            <w:rFonts w:ascii="Times New Roman" w:hAnsi="Times New Roman" w:cs="Times New Roman"/>
            <w:noProof/>
            <w:sz w:val="24"/>
            <w:szCs w:val="24"/>
          </w:rPr>
          <w:t>16</w:t>
        </w:r>
        <w:r w:rsidRPr="00440647">
          <w:rPr>
            <w:rFonts w:ascii="Times New Roman" w:hAnsi="Times New Roman" w:cs="Times New Roman"/>
            <w:noProof/>
            <w:sz w:val="24"/>
            <w:szCs w:val="24"/>
          </w:rPr>
          <w:fldChar w:fldCharType="end"/>
        </w:r>
      </w:p>
    </w:sdtContent>
  </w:sdt>
  <w:p w14:paraId="14534093" w14:textId="77777777" w:rsidR="00382CF6" w:rsidRDefault="00382C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1019" w14:textId="77777777" w:rsidR="00382CF6" w:rsidRDefault="00382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53E87" w14:textId="77777777" w:rsidR="00382CF6" w:rsidRDefault="00382CF6" w:rsidP="00925375">
      <w:pPr>
        <w:spacing w:after="0" w:line="240" w:lineRule="auto"/>
      </w:pPr>
      <w:r>
        <w:separator/>
      </w:r>
    </w:p>
  </w:footnote>
  <w:footnote w:type="continuationSeparator" w:id="0">
    <w:p w14:paraId="736B64BB" w14:textId="77777777" w:rsidR="00382CF6" w:rsidRDefault="00382CF6" w:rsidP="00925375">
      <w:pPr>
        <w:spacing w:after="0" w:line="240" w:lineRule="auto"/>
      </w:pPr>
      <w:r>
        <w:continuationSeparator/>
      </w:r>
    </w:p>
  </w:footnote>
  <w:footnote w:type="continuationNotice" w:id="1">
    <w:p w14:paraId="0FE6B1CC" w14:textId="77777777" w:rsidR="00382CF6" w:rsidRDefault="00382CF6">
      <w:pPr>
        <w:spacing w:after="0" w:line="240" w:lineRule="auto"/>
      </w:pPr>
    </w:p>
  </w:footnote>
  <w:footnote w:id="2">
    <w:p w14:paraId="305D2921"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COM(2015) 185 final (28.4.2015).</w:t>
      </w:r>
    </w:p>
  </w:footnote>
  <w:footnote w:id="3">
    <w:p w14:paraId="00FFB15B"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COM(2016) 230 final (20.4.2016).</w:t>
      </w:r>
    </w:p>
  </w:footnote>
  <w:footnote w:id="4">
    <w:p w14:paraId="6C43A5C8"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 xml:space="preserve">For previous progress reports towards an effective and genuine Security Union see: </w:t>
      </w:r>
      <w:hyperlink r:id="rId1" w:history="1">
        <w:r w:rsidRPr="00216C88">
          <w:rPr>
            <w:rStyle w:val="Hyperlink"/>
            <w:rFonts w:ascii="Times New Roman" w:hAnsi="Times New Roman" w:cs="Times New Roman"/>
          </w:rPr>
          <w:t>https://ec.europa.eu/home-affairs/what-we-do/policies/european-agenda-security/legislative-documents_en</w:t>
        </w:r>
      </w:hyperlink>
      <w:r w:rsidRPr="00216C88">
        <w:rPr>
          <w:rFonts w:ascii="Times New Roman" w:hAnsi="Times New Roman" w:cs="Times New Roman"/>
        </w:rPr>
        <w:t>.</w:t>
      </w:r>
    </w:p>
  </w:footnote>
  <w:footnote w:id="5">
    <w:p w14:paraId="41E829B1" w14:textId="2C8302DF" w:rsidR="00163919" w:rsidRPr="00163919" w:rsidRDefault="00163919" w:rsidP="00217D22">
      <w:pPr>
        <w:pStyle w:val="FootnoteText"/>
        <w:ind w:left="425" w:hanging="425"/>
        <w:jc w:val="both"/>
        <w:rPr>
          <w:rFonts w:ascii="Times New Roman" w:hAnsi="Times New Roman" w:cs="Times New Roman"/>
          <w:lang w:val="de-DE"/>
        </w:rPr>
      </w:pPr>
      <w:r w:rsidRPr="00163919">
        <w:rPr>
          <w:rStyle w:val="FootnoteReference"/>
        </w:rPr>
        <w:footnoteRef/>
      </w:r>
      <w:r w:rsidRPr="00163919">
        <w:rPr>
          <w:rFonts w:ascii="Times New Roman" w:hAnsi="Times New Roman" w:cs="Times New Roman"/>
        </w:rPr>
        <w:t xml:space="preserve"> </w:t>
      </w:r>
      <w:r>
        <w:rPr>
          <w:rFonts w:ascii="Times New Roman" w:hAnsi="Times New Roman" w:cs="Times New Roman"/>
        </w:rPr>
        <w:tab/>
      </w:r>
      <w:r w:rsidRPr="00163919">
        <w:rPr>
          <w:rFonts w:ascii="Times New Roman" w:hAnsi="Times New Roman" w:cs="Times New Roman"/>
          <w:lang w:val="de-DE"/>
        </w:rPr>
        <w:t>COM(2018) 640 final (12.9.2018).</w:t>
      </w:r>
    </w:p>
  </w:footnote>
  <w:footnote w:id="6">
    <w:p w14:paraId="7A3BCC8F"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A tool set up by a consortium of companies to facilitate co-operation so as to prevent the dissemination of terrorist content across platforms.</w:t>
      </w:r>
    </w:p>
  </w:footnote>
  <w:footnote w:id="7">
    <w:p w14:paraId="63238CB3" w14:textId="4FE9A245"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 xml:space="preserve">In response to the attacks in Christchurch, New Zealand on 15 March 2019, French President Emmanuel Macron and New Zealand's Prime Minister Jacinda Ardern invited Leaders and online platforms to Paris on 15 May 2019 to launch the ‘Christchurch Call to </w:t>
      </w:r>
      <w:r w:rsidR="00927647">
        <w:rPr>
          <w:rFonts w:ascii="Times New Roman" w:hAnsi="Times New Roman" w:cs="Times New Roman"/>
        </w:rPr>
        <w:t>A</w:t>
      </w:r>
      <w:r w:rsidR="00927647" w:rsidRPr="00216C88">
        <w:rPr>
          <w:rFonts w:ascii="Times New Roman" w:hAnsi="Times New Roman" w:cs="Times New Roman"/>
        </w:rPr>
        <w:t>ction’</w:t>
      </w:r>
      <w:r w:rsidRPr="00216C88">
        <w:rPr>
          <w:rFonts w:ascii="Times New Roman" w:hAnsi="Times New Roman" w:cs="Times New Roman"/>
        </w:rPr>
        <w:t>. President Juncker supported the call and announced the development of an EU crisis protocol.</w:t>
      </w:r>
    </w:p>
  </w:footnote>
  <w:footnote w:id="8">
    <w:p w14:paraId="65D98784" w14:textId="510323C8"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For the cooperation with cities on security, see also section V.</w:t>
      </w:r>
      <w:r w:rsidR="00927647">
        <w:rPr>
          <w:rFonts w:ascii="Times New Roman" w:hAnsi="Times New Roman" w:cs="Times New Roman"/>
        </w:rPr>
        <w:t>2</w:t>
      </w:r>
      <w:r w:rsidR="00927647" w:rsidRPr="00216C88">
        <w:rPr>
          <w:rFonts w:ascii="Times New Roman" w:hAnsi="Times New Roman" w:cs="Times New Roman"/>
        </w:rPr>
        <w:t xml:space="preserve"> </w:t>
      </w:r>
      <w:r w:rsidRPr="00216C88">
        <w:rPr>
          <w:rFonts w:ascii="Times New Roman" w:hAnsi="Times New Roman" w:cs="Times New Roman"/>
        </w:rPr>
        <w:t>on preparedness and protection and notably on the protection of public spaces.</w:t>
      </w:r>
    </w:p>
  </w:footnote>
  <w:footnote w:id="9">
    <w:p w14:paraId="0EC40A1A" w14:textId="2A989694" w:rsidR="00506F5F" w:rsidRPr="00AB3F85" w:rsidRDefault="00506F5F" w:rsidP="00AB3F85">
      <w:pPr>
        <w:pStyle w:val="FootnoteText"/>
        <w:ind w:left="425" w:hanging="425"/>
        <w:rPr>
          <w:rFonts w:ascii="Times New Roman" w:hAnsi="Times New Roman" w:cs="Times New Roman"/>
          <w:lang w:val="de-DE"/>
        </w:rPr>
      </w:pPr>
      <w:r w:rsidRPr="00506F5F">
        <w:rPr>
          <w:rStyle w:val="FootnoteReference"/>
        </w:rPr>
        <w:footnoteRef/>
      </w:r>
      <w:r w:rsidRPr="00AB3F85">
        <w:rPr>
          <w:rFonts w:ascii="Times New Roman" w:hAnsi="Times New Roman" w:cs="Times New Roman"/>
        </w:rPr>
        <w:t xml:space="preserve"> </w:t>
      </w:r>
      <w:r>
        <w:rPr>
          <w:rFonts w:ascii="Times New Roman" w:hAnsi="Times New Roman" w:cs="Times New Roman"/>
        </w:rPr>
        <w:tab/>
      </w:r>
      <w:hyperlink r:id="rId2" w:history="1">
        <w:r w:rsidRPr="00AB3F85">
          <w:rPr>
            <w:rStyle w:val="Hyperlink"/>
            <w:rFonts w:ascii="Times New Roman" w:hAnsi="Times New Roman" w:cs="Times New Roman"/>
          </w:rPr>
          <w:t>https://ec.europa.eu/home-affairs/sites/homeaffairs/files/what-we-do/networks/radicalisation_awareness_network/ran-papers/docs/issue_paper_child_returnees_from_conflict_zones_112016_en.pdf</w:t>
        </w:r>
      </w:hyperlink>
      <w:r w:rsidRPr="00AB3F85">
        <w:rPr>
          <w:rFonts w:ascii="Times New Roman" w:hAnsi="Times New Roman" w:cs="Times New Roman"/>
        </w:rPr>
        <w:t xml:space="preserve"> </w:t>
      </w:r>
    </w:p>
  </w:footnote>
  <w:footnote w:id="10">
    <w:p w14:paraId="20F6B2CE" w14:textId="278275EE" w:rsidR="008B07C1" w:rsidRPr="000D0DAA" w:rsidRDefault="008B07C1" w:rsidP="00217D22">
      <w:pPr>
        <w:pStyle w:val="FootnoteText"/>
        <w:ind w:left="425" w:hanging="425"/>
        <w:jc w:val="both"/>
        <w:rPr>
          <w:rFonts w:ascii="Times New Roman" w:hAnsi="Times New Roman" w:cs="Times New Roman"/>
          <w:lang w:val="de-DE"/>
        </w:rPr>
      </w:pPr>
      <w:r w:rsidRPr="008B07C1">
        <w:rPr>
          <w:rStyle w:val="FootnoteReference"/>
        </w:rPr>
        <w:footnoteRef/>
      </w:r>
      <w:r w:rsidRPr="000D0DAA">
        <w:rPr>
          <w:rFonts w:ascii="Times New Roman" w:hAnsi="Times New Roman" w:cs="Times New Roman"/>
        </w:rPr>
        <w:t xml:space="preserve"> </w:t>
      </w:r>
      <w:r>
        <w:rPr>
          <w:rFonts w:ascii="Times New Roman" w:hAnsi="Times New Roman" w:cs="Times New Roman"/>
        </w:rPr>
        <w:tab/>
      </w:r>
      <w:r w:rsidRPr="000D0DAA">
        <w:rPr>
          <w:rFonts w:ascii="Times New Roman" w:hAnsi="Times New Roman" w:cs="Times New Roman"/>
        </w:rPr>
        <w:t>The framework contract is split in two lots: EUR 29.000.000 to support the activities of the Radicalisation Awareness Network</w:t>
      </w:r>
      <w:r>
        <w:rPr>
          <w:rFonts w:ascii="Times New Roman" w:hAnsi="Times New Roman" w:cs="Times New Roman"/>
        </w:rPr>
        <w:t xml:space="preserve"> for the next four years</w:t>
      </w:r>
      <w:r w:rsidRPr="000D0DAA">
        <w:rPr>
          <w:rFonts w:ascii="Times New Roman" w:hAnsi="Times New Roman" w:cs="Times New Roman"/>
        </w:rPr>
        <w:t xml:space="preserve"> and EUR 32.000.000 to enhance the capabilities of Member States, national, regional and local authorities and priority third countries in effectively tackling radicalisation in particular by offering networking opportunities, targeted and needs driven services and research and analysis.</w:t>
      </w:r>
    </w:p>
  </w:footnote>
  <w:footnote w:id="11">
    <w:p w14:paraId="6530C0A5"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Regulation (EU) 2019/1157 (20.6.2019) on strengthening the security of identity cards of Union citizens and of residence documents issued to Union citizens and their family members exercising their right of free movement.</w:t>
      </w:r>
    </w:p>
  </w:footnote>
  <w:footnote w:id="12">
    <w:p w14:paraId="1A5B7726" w14:textId="74AB737F"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Introduction of systematic checks carried out at the external borders on all citizens using the Schengen Information System.</w:t>
      </w:r>
      <w:r w:rsidR="000A2932">
        <w:rPr>
          <w:rFonts w:ascii="Times New Roman" w:hAnsi="Times New Roman" w:cs="Times New Roman"/>
        </w:rPr>
        <w:t xml:space="preserve"> </w:t>
      </w:r>
      <w:r w:rsidR="00BD024E" w:rsidRPr="00BD024E">
        <w:rPr>
          <w:rFonts w:ascii="Times New Roman" w:hAnsi="Times New Roman" w:cs="Times New Roman"/>
        </w:rPr>
        <w:t xml:space="preserve">All Schengen States, as well as Romania, Bulgaria, Croatia and Cyprus, apply the rules on systematic checks against relevant databases at external borders, as introduced in April 2017. In line with these rules, temporary derogations are possible at land or sea borders but only with regard to EU citizens, in view of the disproportionate impact on the flow of traffic. Currently, such derogations have been notified by </w:t>
      </w:r>
      <w:r w:rsidR="00BD024E">
        <w:rPr>
          <w:rFonts w:ascii="Times New Roman" w:hAnsi="Times New Roman" w:cs="Times New Roman"/>
        </w:rPr>
        <w:t>six</w:t>
      </w:r>
      <w:r w:rsidR="00BD024E" w:rsidRPr="00BD024E">
        <w:rPr>
          <w:rFonts w:ascii="Times New Roman" w:hAnsi="Times New Roman" w:cs="Times New Roman"/>
        </w:rPr>
        <w:t xml:space="preserve"> Member States/Schengen Associated Countries (Croatia, Finland, Hungary, Latvia, Norway and Slovenia). As regards air borders, the possibility of derogating from the rules on systemat</w:t>
      </w:r>
      <w:r w:rsidR="00BD024E">
        <w:rPr>
          <w:rFonts w:ascii="Times New Roman" w:hAnsi="Times New Roman" w:cs="Times New Roman"/>
        </w:rPr>
        <w:t>ic checks expired in April 2019</w:t>
      </w:r>
      <w:r w:rsidR="000A2932">
        <w:rPr>
          <w:rFonts w:ascii="Times New Roman" w:hAnsi="Times New Roman" w:cs="Times New Roman"/>
        </w:rPr>
        <w:t>.</w:t>
      </w:r>
    </w:p>
  </w:footnote>
  <w:footnote w:id="13">
    <w:p w14:paraId="41F6B449" w14:textId="7183D775"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The reinforced Schengen Information System (Regulation (EU) 2018/1860 (28.11.2018), Regulation (EU) 2018/1861 (28.11.2018), Regulation (EU) 2018/1862 (28.11.2018)) and the European Criminal Records Information System extended to third-country nationals (Regulation (EU) 2019/816 (17.4.2019)).</w:t>
      </w:r>
      <w:r w:rsidR="00B82763">
        <w:rPr>
          <w:rFonts w:ascii="Times New Roman" w:hAnsi="Times New Roman" w:cs="Times New Roman"/>
        </w:rPr>
        <w:t xml:space="preserve"> The strengthening of the Schengen Information System includes a general obligation to </w:t>
      </w:r>
      <w:r w:rsidR="00B82763" w:rsidRPr="00B82763">
        <w:rPr>
          <w:rFonts w:ascii="Times New Roman" w:hAnsi="Times New Roman" w:cs="Times New Roman"/>
        </w:rPr>
        <w:t>enter te</w:t>
      </w:r>
      <w:r w:rsidR="00B82763">
        <w:rPr>
          <w:rFonts w:ascii="Times New Roman" w:hAnsi="Times New Roman" w:cs="Times New Roman"/>
        </w:rPr>
        <w:t>rrorism-related alerts in the system.</w:t>
      </w:r>
    </w:p>
  </w:footnote>
  <w:footnote w:id="14">
    <w:p w14:paraId="306F394D"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The EU Entry/Exit System (Regulation (EU) 2017/2226 (30.11.2017)) and the European Travel Information and Authorisation System (Regulation (EU) 2018/1240 (12.9.2018) and Regulation (EU) 2018/1241 (12.9.2018)).</w:t>
      </w:r>
    </w:p>
  </w:footnote>
  <w:footnote w:id="15">
    <w:p w14:paraId="35F5FE37" w14:textId="26CAE814" w:rsidR="00382CF6" w:rsidRPr="00455406" w:rsidRDefault="00382CF6" w:rsidP="00217D22">
      <w:pPr>
        <w:pStyle w:val="FootnoteText"/>
        <w:ind w:left="425" w:hanging="425"/>
        <w:jc w:val="both"/>
        <w:rPr>
          <w:rFonts w:ascii="Times New Roman" w:hAnsi="Times New Roman" w:cs="Times New Roman"/>
        </w:rPr>
      </w:pPr>
      <w:r w:rsidRPr="00B57980">
        <w:rPr>
          <w:rStyle w:val="FootnoteReference"/>
        </w:rPr>
        <w:footnoteRef/>
      </w:r>
      <w:r w:rsidRPr="003C6859">
        <w:rPr>
          <w:rFonts w:ascii="Times New Roman" w:hAnsi="Times New Roman" w:cs="Times New Roman"/>
        </w:rPr>
        <w:t xml:space="preserve"> </w:t>
      </w:r>
      <w:r>
        <w:rPr>
          <w:rFonts w:ascii="Times New Roman" w:hAnsi="Times New Roman" w:cs="Times New Roman"/>
        </w:rPr>
        <w:tab/>
      </w:r>
      <w:r w:rsidR="00BE04B6" w:rsidRPr="001F79A3">
        <w:rPr>
          <w:rFonts w:ascii="Times New Roman" w:hAnsi="Times New Roman" w:cs="Times New Roman"/>
        </w:rPr>
        <w:t xml:space="preserve">Over the last years Europol’s role </w:t>
      </w:r>
      <w:r w:rsidR="00BE04B6">
        <w:rPr>
          <w:rFonts w:ascii="Times New Roman" w:hAnsi="Times New Roman" w:cs="Times New Roman"/>
        </w:rPr>
        <w:t>has been considerably reinforced</w:t>
      </w:r>
      <w:r w:rsidR="00BE04B6" w:rsidRPr="001F79A3">
        <w:rPr>
          <w:rFonts w:ascii="Times New Roman" w:hAnsi="Times New Roman" w:cs="Times New Roman"/>
        </w:rPr>
        <w:t xml:space="preserve"> both in scope and depth. The Agency has been strengthened </w:t>
      </w:r>
      <w:r w:rsidR="00BE04B6">
        <w:rPr>
          <w:rFonts w:ascii="Times New Roman" w:hAnsi="Times New Roman" w:cs="Times New Roman"/>
        </w:rPr>
        <w:t>with</w:t>
      </w:r>
      <w:r w:rsidR="00BE04B6" w:rsidRPr="001F79A3">
        <w:rPr>
          <w:rFonts w:ascii="Times New Roman" w:hAnsi="Times New Roman" w:cs="Times New Roman"/>
        </w:rPr>
        <w:t xml:space="preserve"> the adoption of the Europol Regulation in 2016</w:t>
      </w:r>
      <w:r w:rsidR="00BE04B6">
        <w:rPr>
          <w:rFonts w:ascii="Times New Roman" w:hAnsi="Times New Roman" w:cs="Times New Roman"/>
        </w:rPr>
        <w:t xml:space="preserve"> (</w:t>
      </w:r>
      <w:r w:rsidR="00BE04B6" w:rsidRPr="00BE04B6">
        <w:rPr>
          <w:rFonts w:ascii="Times New Roman" w:hAnsi="Times New Roman" w:cs="Times New Roman"/>
        </w:rPr>
        <w:t xml:space="preserve">Regulation (EU) 2016/794 </w:t>
      </w:r>
      <w:r w:rsidR="00BE04B6">
        <w:rPr>
          <w:rFonts w:ascii="Times New Roman" w:hAnsi="Times New Roman" w:cs="Times New Roman"/>
        </w:rPr>
        <w:t>(</w:t>
      </w:r>
      <w:r w:rsidR="00BE04B6" w:rsidRPr="00BE04B6">
        <w:rPr>
          <w:rFonts w:ascii="Times New Roman" w:hAnsi="Times New Roman" w:cs="Times New Roman"/>
        </w:rPr>
        <w:t>11</w:t>
      </w:r>
      <w:r w:rsidR="00BE04B6">
        <w:rPr>
          <w:rFonts w:ascii="Times New Roman" w:hAnsi="Times New Roman" w:cs="Times New Roman"/>
        </w:rPr>
        <w:t>.5.</w:t>
      </w:r>
      <w:r w:rsidR="00BE04B6" w:rsidRPr="00BE04B6">
        <w:rPr>
          <w:rFonts w:ascii="Times New Roman" w:hAnsi="Times New Roman" w:cs="Times New Roman"/>
        </w:rPr>
        <w:t>2016</w:t>
      </w:r>
      <w:r w:rsidR="00BE04B6">
        <w:rPr>
          <w:rFonts w:ascii="Times New Roman" w:hAnsi="Times New Roman" w:cs="Times New Roman"/>
        </w:rPr>
        <w:t>)</w:t>
      </w:r>
      <w:r w:rsidR="00BE04B6" w:rsidRPr="001F79A3">
        <w:rPr>
          <w:rFonts w:ascii="Times New Roman" w:hAnsi="Times New Roman" w:cs="Times New Roman"/>
        </w:rPr>
        <w:t xml:space="preserve">. Member States have significantly increased the amount of information shared with and via Europol. The </w:t>
      </w:r>
      <w:r w:rsidR="00BE04B6">
        <w:rPr>
          <w:rFonts w:ascii="Times New Roman" w:hAnsi="Times New Roman" w:cs="Times New Roman"/>
        </w:rPr>
        <w:t>establishment</w:t>
      </w:r>
      <w:r w:rsidR="00BE04B6" w:rsidRPr="001F79A3">
        <w:rPr>
          <w:rFonts w:ascii="Times New Roman" w:hAnsi="Times New Roman" w:cs="Times New Roman"/>
        </w:rPr>
        <w:t xml:space="preserve"> of the Europol Counter Terrorism Centre (ECTC) ha</w:t>
      </w:r>
      <w:r w:rsidR="00BE04B6">
        <w:rPr>
          <w:rFonts w:ascii="Times New Roman" w:hAnsi="Times New Roman" w:cs="Times New Roman"/>
        </w:rPr>
        <w:t>s</w:t>
      </w:r>
      <w:r w:rsidR="00BE04B6" w:rsidRPr="001F79A3">
        <w:rPr>
          <w:rFonts w:ascii="Times New Roman" w:hAnsi="Times New Roman" w:cs="Times New Roman"/>
        </w:rPr>
        <w:t xml:space="preserve"> strengthened Europol’s analytical capabilities in </w:t>
      </w:r>
      <w:r w:rsidR="00BE04B6">
        <w:rPr>
          <w:rFonts w:ascii="Times New Roman" w:hAnsi="Times New Roman" w:cs="Times New Roman"/>
        </w:rPr>
        <w:t>terrorism cases</w:t>
      </w:r>
      <w:r w:rsidR="00BE04B6" w:rsidRPr="001F79A3">
        <w:rPr>
          <w:rFonts w:ascii="Times New Roman" w:hAnsi="Times New Roman" w:cs="Times New Roman"/>
        </w:rPr>
        <w:t>. Europol’s budget consistently increased over the last yea</w:t>
      </w:r>
      <w:r w:rsidR="00BE04B6">
        <w:rPr>
          <w:rFonts w:ascii="Times New Roman" w:hAnsi="Times New Roman" w:cs="Times New Roman"/>
        </w:rPr>
        <w:t>rs, from EUR 82 million in 2014</w:t>
      </w:r>
      <w:r w:rsidR="00BE04B6" w:rsidRPr="001F79A3">
        <w:rPr>
          <w:rFonts w:ascii="Times New Roman" w:hAnsi="Times New Roman" w:cs="Times New Roman"/>
        </w:rPr>
        <w:t xml:space="preserve"> to EUR 138 million in 2019. </w:t>
      </w:r>
      <w:r w:rsidR="00BE04B6">
        <w:rPr>
          <w:rFonts w:ascii="Times New Roman" w:hAnsi="Times New Roman" w:cs="Times New Roman"/>
        </w:rPr>
        <w:t>Negotiations</w:t>
      </w:r>
      <w:r w:rsidR="00BE04B6" w:rsidRPr="001F79A3">
        <w:rPr>
          <w:rFonts w:ascii="Times New Roman" w:hAnsi="Times New Roman" w:cs="Times New Roman"/>
        </w:rPr>
        <w:t xml:space="preserve"> </w:t>
      </w:r>
      <w:r w:rsidR="00BE04B6">
        <w:rPr>
          <w:rFonts w:ascii="Times New Roman" w:hAnsi="Times New Roman" w:cs="Times New Roman"/>
        </w:rPr>
        <w:t>on</w:t>
      </w:r>
      <w:r w:rsidR="00BE04B6" w:rsidRPr="001F79A3">
        <w:rPr>
          <w:rFonts w:ascii="Times New Roman" w:hAnsi="Times New Roman" w:cs="Times New Roman"/>
        </w:rPr>
        <w:t xml:space="preserve"> the budget</w:t>
      </w:r>
      <w:r w:rsidR="00BE04B6">
        <w:rPr>
          <w:rFonts w:ascii="Times New Roman" w:hAnsi="Times New Roman" w:cs="Times New Roman"/>
        </w:rPr>
        <w:t xml:space="preserve"> for</w:t>
      </w:r>
      <w:r w:rsidR="00BE04B6" w:rsidRPr="001F79A3">
        <w:rPr>
          <w:rFonts w:ascii="Times New Roman" w:hAnsi="Times New Roman" w:cs="Times New Roman"/>
        </w:rPr>
        <w:t xml:space="preserve"> 2020 are ongoing.</w:t>
      </w:r>
    </w:p>
  </w:footnote>
  <w:footnote w:id="16">
    <w:p w14:paraId="39264325" w14:textId="77777777" w:rsidR="00382CF6" w:rsidRPr="00B7715D" w:rsidRDefault="00382CF6" w:rsidP="00217D22">
      <w:pPr>
        <w:pStyle w:val="FootnoteText"/>
        <w:ind w:left="425" w:hanging="425"/>
        <w:jc w:val="both"/>
        <w:rPr>
          <w:lang w:val="pt-PT"/>
        </w:rPr>
      </w:pPr>
      <w:r w:rsidRPr="0012384B">
        <w:rPr>
          <w:rStyle w:val="FootnoteReference"/>
        </w:rPr>
        <w:footnoteRef/>
      </w:r>
      <w:r w:rsidRPr="00B7715D">
        <w:rPr>
          <w:rFonts w:ascii="Times New Roman" w:hAnsi="Times New Roman" w:cs="Times New Roman"/>
          <w:lang w:val="pt-PT"/>
        </w:rPr>
        <w:t xml:space="preserve"> </w:t>
      </w:r>
      <w:r w:rsidRPr="00B7715D">
        <w:rPr>
          <w:rFonts w:ascii="Times New Roman" w:hAnsi="Times New Roman" w:cs="Times New Roman"/>
          <w:lang w:val="pt-PT"/>
        </w:rPr>
        <w:tab/>
        <w:t>Regulation (EU) 2019/817 (20.5.2019) and Regulation (EU) 2019/818 (20.5.2019).</w:t>
      </w:r>
    </w:p>
  </w:footnote>
  <w:footnote w:id="17">
    <w:p w14:paraId="49C4F304" w14:textId="63D61099" w:rsidR="00FE2296" w:rsidRPr="00B7715D" w:rsidRDefault="00FE2296" w:rsidP="00217D22">
      <w:pPr>
        <w:pStyle w:val="FootnoteText"/>
        <w:ind w:left="425" w:hanging="425"/>
        <w:jc w:val="both"/>
        <w:rPr>
          <w:rFonts w:ascii="Times New Roman" w:hAnsi="Times New Roman" w:cs="Times New Roman"/>
          <w:lang w:val="de-DE"/>
        </w:rPr>
      </w:pPr>
      <w:r w:rsidRPr="00FE2296">
        <w:rPr>
          <w:rStyle w:val="FootnoteReference"/>
        </w:rPr>
        <w:footnoteRef/>
      </w:r>
      <w:r w:rsidRPr="00B7715D">
        <w:rPr>
          <w:rFonts w:ascii="Times New Roman" w:hAnsi="Times New Roman" w:cs="Times New Roman"/>
        </w:rPr>
        <w:t xml:space="preserve"> </w:t>
      </w:r>
      <w:r>
        <w:rPr>
          <w:rFonts w:ascii="Times New Roman" w:hAnsi="Times New Roman" w:cs="Times New Roman"/>
        </w:rPr>
        <w:tab/>
      </w:r>
      <w:r w:rsidRPr="00B7715D">
        <w:rPr>
          <w:rFonts w:ascii="Times New Roman" w:hAnsi="Times New Roman" w:cs="Times New Roman"/>
        </w:rPr>
        <w:t>Regulation (EU) 2018/1240 (12.9.2018) and Regulation (EU) 2018/1241 (12.9.2018)</w:t>
      </w:r>
    </w:p>
  </w:footnote>
  <w:footnote w:id="18">
    <w:p w14:paraId="0BEAC101" w14:textId="77777777" w:rsidR="00382CF6" w:rsidRPr="00B7715D" w:rsidRDefault="00382CF6" w:rsidP="00217D22">
      <w:pPr>
        <w:pStyle w:val="FootnoteText"/>
        <w:ind w:left="425" w:hanging="425"/>
        <w:jc w:val="both"/>
        <w:rPr>
          <w:rFonts w:ascii="Times New Roman" w:hAnsi="Times New Roman" w:cs="Times New Roman"/>
          <w:lang w:val="pt-PT"/>
        </w:rPr>
      </w:pPr>
      <w:r w:rsidRPr="00216C88">
        <w:rPr>
          <w:rStyle w:val="FootnoteReference"/>
        </w:rPr>
        <w:footnoteRef/>
      </w:r>
      <w:r w:rsidRPr="00B7715D">
        <w:rPr>
          <w:rFonts w:ascii="Times New Roman" w:hAnsi="Times New Roman" w:cs="Times New Roman"/>
          <w:lang w:val="pt-PT"/>
        </w:rPr>
        <w:t xml:space="preserve"> </w:t>
      </w:r>
      <w:r w:rsidRPr="00B7715D">
        <w:rPr>
          <w:rFonts w:ascii="Times New Roman" w:hAnsi="Times New Roman" w:cs="Times New Roman"/>
          <w:lang w:val="pt-PT"/>
        </w:rPr>
        <w:tab/>
        <w:t>COM (2018) 302 final (16.5.2018).</w:t>
      </w:r>
    </w:p>
  </w:footnote>
  <w:footnote w:id="19">
    <w:p w14:paraId="47FAFFAE"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COM (2016) 272 final (4.5.2016).</w:t>
      </w:r>
    </w:p>
  </w:footnote>
  <w:footnote w:id="20">
    <w:p w14:paraId="032F9885" w14:textId="2BA3FA05"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Regulation (EU) 2019/1148 (20.6.2019) on the marketing and use of explosives precursors.</w:t>
      </w:r>
      <w:r w:rsidR="000A2932">
        <w:rPr>
          <w:rFonts w:ascii="Times New Roman" w:hAnsi="Times New Roman" w:cs="Times New Roman"/>
        </w:rPr>
        <w:t xml:space="preserve"> T</w:t>
      </w:r>
      <w:r w:rsidR="002D6D5A">
        <w:rPr>
          <w:rFonts w:ascii="Times New Roman" w:hAnsi="Times New Roman" w:cs="Times New Roman"/>
        </w:rPr>
        <w:t>he R</w:t>
      </w:r>
      <w:r w:rsidR="000A2932" w:rsidRPr="000A2932">
        <w:rPr>
          <w:rFonts w:ascii="Times New Roman" w:hAnsi="Times New Roman" w:cs="Times New Roman"/>
        </w:rPr>
        <w:t>egulation entered into effect on 31 July 2019 and shall apply 18 months after its entry into force.</w:t>
      </w:r>
    </w:p>
  </w:footnote>
  <w:footnote w:id="21">
    <w:p w14:paraId="53FAE5C8"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Directive (EU) 2019/1153</w:t>
      </w:r>
      <w:r>
        <w:rPr>
          <w:rFonts w:ascii="Times New Roman" w:hAnsi="Times New Roman" w:cs="Times New Roman"/>
        </w:rPr>
        <w:t xml:space="preserve"> </w:t>
      </w:r>
      <w:r w:rsidRPr="00216C88">
        <w:rPr>
          <w:rFonts w:ascii="Times New Roman" w:hAnsi="Times New Roman" w:cs="Times New Roman"/>
        </w:rPr>
        <w:t>(11.7.2019) laying down rules facilitating the use of financial and other information for the prevention, detection, investigation or prosecution of certain criminal offences.</w:t>
      </w:r>
    </w:p>
  </w:footnote>
  <w:footnote w:id="22">
    <w:p w14:paraId="5B4DFDBA"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Introduction of systematic checks carried out at the external borders on all citizens using the Schengen Information System.</w:t>
      </w:r>
    </w:p>
  </w:footnote>
  <w:footnote w:id="23">
    <w:p w14:paraId="5A0BB1C5" w14:textId="77777777" w:rsidR="00382CF6" w:rsidRPr="00263E3A" w:rsidRDefault="00382CF6" w:rsidP="00217D22">
      <w:pPr>
        <w:pStyle w:val="FootnoteText"/>
        <w:ind w:left="425" w:hanging="425"/>
        <w:jc w:val="both"/>
        <w:rPr>
          <w:rFonts w:ascii="Times New Roman" w:hAnsi="Times New Roman" w:cs="Times New Roman"/>
          <w:lang w:val="pt-PT"/>
        </w:rPr>
      </w:pPr>
      <w:r w:rsidRPr="00216C88">
        <w:rPr>
          <w:rStyle w:val="FootnoteReference"/>
        </w:rPr>
        <w:footnoteRef/>
      </w:r>
      <w:r w:rsidRPr="00263E3A">
        <w:rPr>
          <w:rFonts w:ascii="Times New Roman" w:hAnsi="Times New Roman" w:cs="Times New Roman"/>
          <w:lang w:val="pt-PT"/>
        </w:rPr>
        <w:t xml:space="preserve"> </w:t>
      </w:r>
      <w:r w:rsidRPr="00263E3A">
        <w:rPr>
          <w:rFonts w:ascii="Times New Roman" w:hAnsi="Times New Roman" w:cs="Times New Roman"/>
          <w:lang w:val="pt-PT"/>
        </w:rPr>
        <w:tab/>
        <w:t>COM(2018) 225 final (17.4.2018) and COM(2018) 226 final (17.4.2018).</w:t>
      </w:r>
    </w:p>
  </w:footnote>
  <w:footnote w:id="24">
    <w:p w14:paraId="0DAFAD4F" w14:textId="642BC5ED" w:rsidR="00382CF6" w:rsidRPr="00263E3A" w:rsidRDefault="00382CF6" w:rsidP="00217D22">
      <w:pPr>
        <w:pStyle w:val="FootnoteText"/>
        <w:ind w:left="425" w:hanging="425"/>
        <w:jc w:val="both"/>
        <w:rPr>
          <w:rFonts w:ascii="Times New Roman" w:hAnsi="Times New Roman" w:cs="Times New Roman"/>
          <w:lang w:val="pt-PT"/>
        </w:rPr>
      </w:pPr>
      <w:r w:rsidRPr="00216C88">
        <w:rPr>
          <w:rStyle w:val="FootnoteReference"/>
        </w:rPr>
        <w:footnoteRef/>
      </w:r>
      <w:r w:rsidRPr="00263E3A">
        <w:rPr>
          <w:rFonts w:ascii="Times New Roman" w:hAnsi="Times New Roman" w:cs="Times New Roman"/>
          <w:lang w:val="pt-PT"/>
        </w:rPr>
        <w:t xml:space="preserve"> </w:t>
      </w:r>
      <w:r w:rsidRPr="00263E3A">
        <w:rPr>
          <w:rFonts w:ascii="Times New Roman" w:hAnsi="Times New Roman" w:cs="Times New Roman"/>
          <w:lang w:val="pt-PT"/>
        </w:rPr>
        <w:tab/>
      </w:r>
      <w:hyperlink r:id="rId3" w:history="1">
        <w:r w:rsidRPr="00263E3A">
          <w:rPr>
            <w:rStyle w:val="Hyperlink"/>
            <w:rFonts w:ascii="Times New Roman" w:hAnsi="Times New Roman" w:cs="Times New Roman"/>
            <w:lang w:val="pt-PT"/>
          </w:rPr>
          <w:t>https://www.europarl.europa.eu/doceo/document/TA-9-2019-0022_EN.html</w:t>
        </w:r>
      </w:hyperlink>
      <w:r w:rsidRPr="00263E3A">
        <w:rPr>
          <w:rFonts w:ascii="Times New Roman" w:hAnsi="Times New Roman" w:cs="Times New Roman"/>
          <w:lang w:val="pt-PT"/>
        </w:rPr>
        <w:tab/>
      </w:r>
    </w:p>
  </w:footnote>
  <w:footnote w:id="25">
    <w:p w14:paraId="279861E7" w14:textId="5FAA7E8F"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 xml:space="preserve">Report on the assessment of the risk of money laundering and terrorist financing affecting the internal market and relating to cross-border activities (COM (2019) 370 </w:t>
      </w:r>
      <w:r w:rsidR="00FE2296">
        <w:rPr>
          <w:rFonts w:ascii="Times New Roman" w:hAnsi="Times New Roman" w:cs="Times New Roman"/>
        </w:rPr>
        <w:t>(</w:t>
      </w:r>
      <w:r w:rsidRPr="00216C88">
        <w:rPr>
          <w:rFonts w:ascii="Times New Roman" w:hAnsi="Times New Roman" w:cs="Times New Roman"/>
        </w:rPr>
        <w:t>24.7.2019</w:t>
      </w:r>
      <w:r w:rsidR="00FE2296">
        <w:rPr>
          <w:rFonts w:ascii="Times New Roman" w:hAnsi="Times New Roman" w:cs="Times New Roman"/>
        </w:rPr>
        <w:t>)</w:t>
      </w:r>
      <w:r w:rsidRPr="00216C88">
        <w:rPr>
          <w:rFonts w:ascii="Times New Roman" w:hAnsi="Times New Roman" w:cs="Times New Roman"/>
        </w:rPr>
        <w:t xml:space="preserve">), Report on the interconnection of national centralised automated mechanisms (central registries or central electronic data retrieval systems) of the Member States on bank accounts (COM(2019) 372 final </w:t>
      </w:r>
      <w:r w:rsidR="00FE2296">
        <w:rPr>
          <w:rFonts w:ascii="Times New Roman" w:hAnsi="Times New Roman" w:cs="Times New Roman"/>
        </w:rPr>
        <w:t>(</w:t>
      </w:r>
      <w:r w:rsidRPr="00216C88">
        <w:rPr>
          <w:rFonts w:ascii="Times New Roman" w:hAnsi="Times New Roman" w:cs="Times New Roman"/>
        </w:rPr>
        <w:t>24.7.2019</w:t>
      </w:r>
      <w:r w:rsidR="00FE2296">
        <w:rPr>
          <w:rFonts w:ascii="Times New Roman" w:hAnsi="Times New Roman" w:cs="Times New Roman"/>
        </w:rPr>
        <w:t>)</w:t>
      </w:r>
      <w:r w:rsidRPr="00216C88">
        <w:rPr>
          <w:rFonts w:ascii="Times New Roman" w:hAnsi="Times New Roman" w:cs="Times New Roman"/>
        </w:rPr>
        <w:t>), Report on the assessment of recent alleged money laundering cases involving EU credit institutions</w:t>
      </w:r>
      <w:r w:rsidR="00217D22">
        <w:rPr>
          <w:rFonts w:ascii="Times New Roman" w:hAnsi="Times New Roman" w:cs="Times New Roman"/>
        </w:rPr>
        <w:t xml:space="preserve"> </w:t>
      </w:r>
      <w:r w:rsidRPr="00216C88">
        <w:rPr>
          <w:rFonts w:ascii="Times New Roman" w:hAnsi="Times New Roman" w:cs="Times New Roman"/>
        </w:rPr>
        <w:t xml:space="preserve">(COM(2019) 373 final </w:t>
      </w:r>
      <w:r w:rsidR="00FE2296">
        <w:rPr>
          <w:rFonts w:ascii="Times New Roman" w:hAnsi="Times New Roman" w:cs="Times New Roman"/>
        </w:rPr>
        <w:t>(</w:t>
      </w:r>
      <w:r w:rsidRPr="00216C88">
        <w:rPr>
          <w:rFonts w:ascii="Times New Roman" w:hAnsi="Times New Roman" w:cs="Times New Roman"/>
        </w:rPr>
        <w:t>24.7.2019</w:t>
      </w:r>
      <w:r w:rsidR="00FE2296">
        <w:rPr>
          <w:rFonts w:ascii="Times New Roman" w:hAnsi="Times New Roman" w:cs="Times New Roman"/>
        </w:rPr>
        <w:t>)</w:t>
      </w:r>
      <w:r w:rsidRPr="00216C88">
        <w:rPr>
          <w:rFonts w:ascii="Times New Roman" w:hAnsi="Times New Roman" w:cs="Times New Roman"/>
        </w:rPr>
        <w:t xml:space="preserve">), Report assessing the framework for cooperation between Financial Intelligence Units (COM(2019) 371 final </w:t>
      </w:r>
      <w:r w:rsidR="00FE2296">
        <w:rPr>
          <w:rFonts w:ascii="Times New Roman" w:hAnsi="Times New Roman" w:cs="Times New Roman"/>
        </w:rPr>
        <w:t>(</w:t>
      </w:r>
      <w:r w:rsidRPr="00216C88">
        <w:rPr>
          <w:rFonts w:ascii="Times New Roman" w:hAnsi="Times New Roman" w:cs="Times New Roman"/>
        </w:rPr>
        <w:t>24.7.2019</w:t>
      </w:r>
      <w:r w:rsidR="00FE2296">
        <w:rPr>
          <w:rFonts w:ascii="Times New Roman" w:hAnsi="Times New Roman" w:cs="Times New Roman"/>
        </w:rPr>
        <w:t>)</w:t>
      </w:r>
      <w:r w:rsidRPr="00216C88">
        <w:rPr>
          <w:rFonts w:ascii="Times New Roman" w:hAnsi="Times New Roman" w:cs="Times New Roman"/>
        </w:rPr>
        <w:t xml:space="preserve">). </w:t>
      </w:r>
      <w:r w:rsidRPr="00216C88">
        <w:rPr>
          <w:rFonts w:ascii="Times New Roman" w:hAnsi="Times New Roman" w:cs="Times New Roman"/>
        </w:rPr>
        <w:tab/>
      </w:r>
    </w:p>
  </w:footnote>
  <w:footnote w:id="26">
    <w:p w14:paraId="1BF0A938"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JOIN(2017) 450 final (13.9.2017).</w:t>
      </w:r>
    </w:p>
  </w:footnote>
  <w:footnote w:id="27">
    <w:p w14:paraId="7F1E027E" w14:textId="34A4157A" w:rsidR="00D45F94" w:rsidRPr="003B6288" w:rsidRDefault="00D45F94" w:rsidP="00217D22">
      <w:pPr>
        <w:pStyle w:val="FootnoteText"/>
        <w:ind w:left="425" w:hanging="425"/>
        <w:jc w:val="both"/>
        <w:rPr>
          <w:rFonts w:ascii="Times New Roman" w:hAnsi="Times New Roman" w:cs="Times New Roman"/>
        </w:rPr>
      </w:pPr>
      <w:r w:rsidRPr="003B6288">
        <w:rPr>
          <w:rStyle w:val="FootnoteReference"/>
        </w:rPr>
        <w:footnoteRef/>
      </w:r>
      <w:r w:rsidRPr="003B6288">
        <w:rPr>
          <w:rFonts w:ascii="Times New Roman" w:hAnsi="Times New Roman" w:cs="Times New Roman"/>
        </w:rPr>
        <w:t xml:space="preserve"> </w:t>
      </w:r>
      <w:r>
        <w:rPr>
          <w:rFonts w:ascii="Times New Roman" w:hAnsi="Times New Roman" w:cs="Times New Roman"/>
        </w:rPr>
        <w:tab/>
      </w:r>
      <w:r w:rsidRPr="003B6288">
        <w:rPr>
          <w:rFonts w:ascii="Times New Roman" w:hAnsi="Times New Roman" w:cs="Times New Roman"/>
        </w:rPr>
        <w:t>EU Cyber Defence</w:t>
      </w:r>
      <w:r>
        <w:rPr>
          <w:rFonts w:ascii="Times New Roman" w:hAnsi="Times New Roman" w:cs="Times New Roman"/>
        </w:rPr>
        <w:t xml:space="preserve"> Policy Framework (2018 update) as</w:t>
      </w:r>
      <w:r w:rsidRPr="003B6288">
        <w:rPr>
          <w:rFonts w:ascii="Times New Roman" w:hAnsi="Times New Roman" w:cs="Times New Roman"/>
        </w:rPr>
        <w:t xml:space="preserve"> adopted by the Council on 19 November 2018 (14413/18)</w:t>
      </w:r>
      <w:r>
        <w:rPr>
          <w:rFonts w:ascii="Times New Roman" w:hAnsi="Times New Roman" w:cs="Times New Roman"/>
        </w:rPr>
        <w:t>.</w:t>
      </w:r>
    </w:p>
  </w:footnote>
  <w:footnote w:id="28">
    <w:p w14:paraId="7A989C10" w14:textId="31FB41AA"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 xml:space="preserve">Regulation (EU) 2019/881 </w:t>
      </w:r>
      <w:r w:rsidR="00FE2296">
        <w:rPr>
          <w:rFonts w:ascii="Times New Roman" w:hAnsi="Times New Roman" w:cs="Times New Roman"/>
        </w:rPr>
        <w:t>(</w:t>
      </w:r>
      <w:r w:rsidRPr="00216C88">
        <w:rPr>
          <w:rFonts w:ascii="Times New Roman" w:hAnsi="Times New Roman" w:cs="Times New Roman"/>
        </w:rPr>
        <w:t>17.4.2019.</w:t>
      </w:r>
    </w:p>
  </w:footnote>
  <w:footnote w:id="29">
    <w:p w14:paraId="4BA80008" w14:textId="77777777" w:rsidR="00382CF6" w:rsidRPr="00B7715D" w:rsidRDefault="00382CF6" w:rsidP="00217D22">
      <w:pPr>
        <w:pStyle w:val="FootnoteText"/>
        <w:widowControl w:val="0"/>
        <w:ind w:left="425" w:hanging="425"/>
        <w:jc w:val="both"/>
        <w:rPr>
          <w:rFonts w:ascii="Times New Roman" w:hAnsi="Times New Roman" w:cs="Times New Roman"/>
          <w:lang w:val="pt-PT"/>
        </w:rPr>
      </w:pPr>
      <w:r w:rsidRPr="00216C88">
        <w:rPr>
          <w:rStyle w:val="FootnoteReference"/>
        </w:rPr>
        <w:footnoteRef/>
      </w:r>
      <w:r w:rsidRPr="00B7715D">
        <w:rPr>
          <w:rFonts w:ascii="Times New Roman" w:hAnsi="Times New Roman" w:cs="Times New Roman"/>
          <w:lang w:val="pt-PT"/>
        </w:rPr>
        <w:t xml:space="preserve"> </w:t>
      </w:r>
      <w:r w:rsidRPr="00B7715D">
        <w:rPr>
          <w:rFonts w:ascii="Times New Roman" w:hAnsi="Times New Roman" w:cs="Times New Roman"/>
          <w:lang w:val="pt-PT"/>
        </w:rPr>
        <w:tab/>
        <w:t>COM(2018) 630 final (12.9.2018).</w:t>
      </w:r>
    </w:p>
  </w:footnote>
  <w:footnote w:id="30">
    <w:p w14:paraId="1FBF327A" w14:textId="77777777" w:rsidR="00D40CA5" w:rsidRPr="00AB3F85" w:rsidRDefault="00D40CA5" w:rsidP="00AB3F85">
      <w:pPr>
        <w:pStyle w:val="FootnoteText"/>
        <w:ind w:left="425" w:hanging="425"/>
        <w:jc w:val="both"/>
        <w:rPr>
          <w:rFonts w:ascii="Times New Roman" w:hAnsi="Times New Roman" w:cs="Times New Roman"/>
          <w:lang w:val="de-DE"/>
        </w:rPr>
      </w:pPr>
      <w:r w:rsidRPr="00C01512">
        <w:rPr>
          <w:rStyle w:val="FootnoteReference"/>
        </w:rPr>
        <w:footnoteRef/>
      </w:r>
      <w:r w:rsidRPr="00AB3F85">
        <w:rPr>
          <w:rFonts w:ascii="Times New Roman" w:hAnsi="Times New Roman" w:cs="Times New Roman"/>
        </w:rPr>
        <w:t xml:space="preserve"> </w:t>
      </w:r>
      <w:r>
        <w:rPr>
          <w:rFonts w:ascii="Times New Roman" w:hAnsi="Times New Roman" w:cs="Times New Roman"/>
        </w:rPr>
        <w:tab/>
      </w:r>
      <w:r w:rsidRPr="00AB3F85">
        <w:rPr>
          <w:rFonts w:ascii="Times New Roman" w:hAnsi="Times New Roman" w:cs="Times New Roman"/>
        </w:rPr>
        <w:t>For example, the Commission supports an interregional innovation partnership on cybersecurity involving Brittany, Castilla y León, Nordrhein-Westfalen, Central Finland and Estonia to develop a European cybersecurity value chain with a focus on commercialisation and scaling-up.</w:t>
      </w:r>
    </w:p>
  </w:footnote>
  <w:footnote w:id="31">
    <w:p w14:paraId="0716143E" w14:textId="77777777" w:rsidR="00382CF6" w:rsidRPr="00B7715D" w:rsidRDefault="00382CF6" w:rsidP="00217D22">
      <w:pPr>
        <w:pStyle w:val="FootnoteText"/>
        <w:ind w:left="425" w:hanging="425"/>
        <w:jc w:val="both"/>
        <w:rPr>
          <w:rFonts w:ascii="Times New Roman" w:hAnsi="Times New Roman" w:cs="Times New Roman"/>
          <w:lang w:val="pt-PT"/>
        </w:rPr>
      </w:pPr>
      <w:r w:rsidRPr="00216C88">
        <w:rPr>
          <w:rStyle w:val="FootnoteReference"/>
        </w:rPr>
        <w:footnoteRef/>
      </w:r>
      <w:r w:rsidRPr="00B7715D">
        <w:rPr>
          <w:rFonts w:ascii="Times New Roman" w:hAnsi="Times New Roman" w:cs="Times New Roman"/>
          <w:lang w:val="pt-PT"/>
        </w:rPr>
        <w:t xml:space="preserve"> </w:t>
      </w:r>
      <w:r w:rsidRPr="00B7715D">
        <w:rPr>
          <w:rFonts w:ascii="Times New Roman" w:hAnsi="Times New Roman" w:cs="Times New Roman"/>
          <w:lang w:val="pt-PT"/>
        </w:rPr>
        <w:tab/>
        <w:t>JOIN(2016) 18 final (6.4.2016).</w:t>
      </w:r>
    </w:p>
  </w:footnote>
  <w:footnote w:id="32">
    <w:p w14:paraId="75134020" w14:textId="77777777" w:rsidR="00382CF6" w:rsidRPr="00B7715D" w:rsidRDefault="00382CF6" w:rsidP="00217D22">
      <w:pPr>
        <w:pStyle w:val="FootnoteText"/>
        <w:ind w:left="425" w:hanging="425"/>
        <w:jc w:val="both"/>
        <w:rPr>
          <w:rFonts w:ascii="Times New Roman" w:hAnsi="Times New Roman" w:cs="Times New Roman"/>
          <w:lang w:val="pt-PT"/>
        </w:rPr>
      </w:pPr>
      <w:r w:rsidRPr="00216C88">
        <w:rPr>
          <w:rStyle w:val="FootnoteReference"/>
        </w:rPr>
        <w:footnoteRef/>
      </w:r>
      <w:r w:rsidRPr="00B7715D">
        <w:rPr>
          <w:rFonts w:ascii="Times New Roman" w:hAnsi="Times New Roman" w:cs="Times New Roman"/>
          <w:lang w:val="pt-PT"/>
        </w:rPr>
        <w:t xml:space="preserve"> </w:t>
      </w:r>
      <w:r w:rsidRPr="00B7715D">
        <w:rPr>
          <w:rFonts w:ascii="Times New Roman" w:hAnsi="Times New Roman" w:cs="Times New Roman"/>
          <w:lang w:val="pt-PT"/>
        </w:rPr>
        <w:tab/>
        <w:t>JOIN(2018) 16 final (13.6.2018).</w:t>
      </w:r>
    </w:p>
  </w:footnote>
  <w:footnote w:id="33">
    <w:p w14:paraId="7E8FEEE7" w14:textId="4E06B6D6" w:rsidR="00382CF6" w:rsidRPr="00B7715D" w:rsidRDefault="00382CF6" w:rsidP="00217D22">
      <w:pPr>
        <w:pStyle w:val="FootnoteText"/>
        <w:ind w:left="425" w:hanging="425"/>
        <w:jc w:val="both"/>
        <w:rPr>
          <w:rFonts w:ascii="Times New Roman" w:hAnsi="Times New Roman" w:cs="Times New Roman"/>
          <w:lang w:val="pt-PT"/>
        </w:rPr>
      </w:pPr>
      <w:r w:rsidRPr="00877D54">
        <w:rPr>
          <w:rStyle w:val="FootnoteReference"/>
        </w:rPr>
        <w:footnoteRef/>
      </w:r>
      <w:r w:rsidRPr="00B7715D">
        <w:rPr>
          <w:rFonts w:ascii="Times New Roman" w:hAnsi="Times New Roman" w:cs="Times New Roman"/>
          <w:lang w:val="pt-PT"/>
        </w:rPr>
        <w:t xml:space="preserve"> </w:t>
      </w:r>
      <w:r w:rsidRPr="00B7715D">
        <w:rPr>
          <w:rFonts w:ascii="Times New Roman" w:hAnsi="Times New Roman" w:cs="Times New Roman"/>
          <w:lang w:val="pt-PT"/>
        </w:rPr>
        <w:tab/>
      </w:r>
      <w:r w:rsidR="00FE2296">
        <w:rPr>
          <w:rFonts w:ascii="Times New Roman" w:hAnsi="Times New Roman" w:cs="Times New Roman"/>
          <w:lang w:val="pt-PT"/>
        </w:rPr>
        <w:t xml:space="preserve">The </w:t>
      </w:r>
      <w:r w:rsidR="00FE2296" w:rsidRPr="00FE2296">
        <w:rPr>
          <w:rFonts w:ascii="Times New Roman" w:hAnsi="Times New Roman" w:cs="Times New Roman"/>
          <w:lang w:val="pt-PT"/>
        </w:rPr>
        <w:t>EU coordinated risk assessment on cybersecurity in 5G networks</w:t>
      </w:r>
      <w:r w:rsidR="00FE2296">
        <w:rPr>
          <w:rFonts w:ascii="Times New Roman" w:hAnsi="Times New Roman" w:cs="Times New Roman"/>
          <w:lang w:val="pt-PT"/>
        </w:rPr>
        <w:t xml:space="preserve"> was completed</w:t>
      </w:r>
      <w:r w:rsidR="00FE2296" w:rsidRPr="00FE2296">
        <w:rPr>
          <w:rFonts w:ascii="Times New Roman" w:hAnsi="Times New Roman" w:cs="Times New Roman"/>
          <w:lang w:val="pt-PT"/>
        </w:rPr>
        <w:t xml:space="preserve"> by the Cooperation Group of competent authorities as set out under the Directive on Security of Network and Information Systems</w:t>
      </w:r>
      <w:r w:rsidR="00FE2296">
        <w:rPr>
          <w:rFonts w:ascii="Times New Roman" w:hAnsi="Times New Roman" w:cs="Times New Roman"/>
          <w:lang w:val="pt-PT"/>
        </w:rPr>
        <w:t xml:space="preserve"> (</w:t>
      </w:r>
      <w:r w:rsidR="00FE2296" w:rsidRPr="00FE2296">
        <w:rPr>
          <w:rFonts w:ascii="Times New Roman" w:hAnsi="Times New Roman" w:cs="Times New Roman"/>
          <w:lang w:val="pt-PT"/>
        </w:rPr>
        <w:t xml:space="preserve">Directive (EU) 2016/1148 </w:t>
      </w:r>
      <w:r w:rsidR="00FE2296">
        <w:rPr>
          <w:rFonts w:ascii="Times New Roman" w:hAnsi="Times New Roman" w:cs="Times New Roman"/>
          <w:lang w:val="pt-PT"/>
        </w:rPr>
        <w:t>(</w:t>
      </w:r>
      <w:r w:rsidR="00FE2296" w:rsidRPr="00FE2296">
        <w:rPr>
          <w:rFonts w:ascii="Times New Roman" w:hAnsi="Times New Roman" w:cs="Times New Roman"/>
          <w:lang w:val="pt-PT"/>
        </w:rPr>
        <w:t>6</w:t>
      </w:r>
      <w:r w:rsidR="00FE2296">
        <w:rPr>
          <w:rFonts w:ascii="Times New Roman" w:hAnsi="Times New Roman" w:cs="Times New Roman"/>
          <w:lang w:val="pt-PT"/>
        </w:rPr>
        <w:t>.7.</w:t>
      </w:r>
      <w:r w:rsidR="00FE2296" w:rsidRPr="00FE2296">
        <w:rPr>
          <w:rFonts w:ascii="Times New Roman" w:hAnsi="Times New Roman" w:cs="Times New Roman"/>
          <w:lang w:val="pt-PT"/>
        </w:rPr>
        <w:t>2016</w:t>
      </w:r>
      <w:r w:rsidR="00FE2296">
        <w:rPr>
          <w:rFonts w:ascii="Times New Roman" w:hAnsi="Times New Roman" w:cs="Times New Roman"/>
          <w:lang w:val="pt-PT"/>
        </w:rPr>
        <w:t>)</w:t>
      </w:r>
      <w:r w:rsidR="00FE2296" w:rsidRPr="00FE2296">
        <w:rPr>
          <w:rFonts w:ascii="Times New Roman" w:hAnsi="Times New Roman" w:cs="Times New Roman"/>
          <w:lang w:val="pt-PT"/>
        </w:rPr>
        <w:t>, with the help of the Commission and the European Agency for Cybersecurity</w:t>
      </w:r>
      <w:r w:rsidR="00FE2296">
        <w:rPr>
          <w:rFonts w:ascii="Times New Roman" w:hAnsi="Times New Roman" w:cs="Times New Roman"/>
          <w:lang w:val="pt-PT"/>
        </w:rPr>
        <w:t xml:space="preserve">: </w:t>
      </w:r>
      <w:hyperlink r:id="rId4" w:history="1">
        <w:r w:rsidRPr="00B7715D">
          <w:rPr>
            <w:rStyle w:val="Hyperlink"/>
            <w:rFonts w:ascii="Times New Roman" w:hAnsi="Times New Roman" w:cs="Times New Roman"/>
            <w:lang w:val="pt-PT"/>
          </w:rPr>
          <w:t>https://ec.europa.eu/digital-single-market/en/news/eu-wide-coordinated-risk-assessment-5g-networks-security</w:t>
        </w:r>
      </w:hyperlink>
      <w:r w:rsidRPr="00B7715D">
        <w:rPr>
          <w:rFonts w:ascii="Times New Roman" w:hAnsi="Times New Roman" w:cs="Times New Roman"/>
          <w:lang w:val="pt-PT"/>
        </w:rPr>
        <w:t>.</w:t>
      </w:r>
    </w:p>
  </w:footnote>
  <w:footnote w:id="34">
    <w:p w14:paraId="0EED526A" w14:textId="74050E6E" w:rsidR="009C13B2" w:rsidRPr="00B7715D" w:rsidRDefault="009C13B2" w:rsidP="00217D22">
      <w:pPr>
        <w:pStyle w:val="FootnoteText"/>
        <w:ind w:left="425" w:hanging="425"/>
        <w:rPr>
          <w:rFonts w:ascii="Times New Roman" w:hAnsi="Times New Roman" w:cs="Times New Roman"/>
        </w:rPr>
      </w:pPr>
      <w:r w:rsidRPr="009C13B2">
        <w:rPr>
          <w:rStyle w:val="FootnoteReference"/>
        </w:rPr>
        <w:footnoteRef/>
      </w:r>
      <w:r w:rsidR="00217D22">
        <w:rPr>
          <w:rFonts w:ascii="Times New Roman" w:hAnsi="Times New Roman" w:cs="Times New Roman"/>
        </w:rPr>
        <w:tab/>
      </w:r>
      <w:r w:rsidRPr="00B7715D">
        <w:rPr>
          <w:rFonts w:ascii="Times New Roman" w:hAnsi="Times New Roman" w:cs="Times New Roman"/>
        </w:rPr>
        <w:t>C(2019)2355 final (26.3.2019)</w:t>
      </w:r>
      <w:r w:rsidR="006A3883">
        <w:rPr>
          <w:rFonts w:ascii="Times New Roman" w:hAnsi="Times New Roman" w:cs="Times New Roman"/>
        </w:rPr>
        <w:t>.</w:t>
      </w:r>
    </w:p>
  </w:footnote>
  <w:footnote w:id="35">
    <w:p w14:paraId="72CD07AE" w14:textId="0F12ED74"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 xml:space="preserve">See the Action Plan against Disinformation (JOIN(2018) 36 final </w:t>
      </w:r>
      <w:r w:rsidR="00040016">
        <w:rPr>
          <w:rFonts w:ascii="Times New Roman" w:hAnsi="Times New Roman" w:cs="Times New Roman"/>
        </w:rPr>
        <w:t>(</w:t>
      </w:r>
      <w:r w:rsidRPr="00216C88">
        <w:rPr>
          <w:rFonts w:ascii="Times New Roman" w:hAnsi="Times New Roman" w:cs="Times New Roman"/>
        </w:rPr>
        <w:t>5.12.2018</w:t>
      </w:r>
      <w:r w:rsidR="00040016">
        <w:rPr>
          <w:rFonts w:ascii="Times New Roman" w:hAnsi="Times New Roman" w:cs="Times New Roman"/>
        </w:rPr>
        <w:t>)</w:t>
      </w:r>
      <w:r w:rsidRPr="00216C88">
        <w:rPr>
          <w:rFonts w:ascii="Times New Roman" w:hAnsi="Times New Roman" w:cs="Times New Roman"/>
        </w:rPr>
        <w:t>).</w:t>
      </w:r>
    </w:p>
  </w:footnote>
  <w:footnote w:id="36">
    <w:p w14:paraId="3EAC907A"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JOIN (2019) 12 final (14.6.2019).</w:t>
      </w:r>
    </w:p>
  </w:footnote>
  <w:footnote w:id="37">
    <w:p w14:paraId="7D2F724E" w14:textId="77777777" w:rsidR="00382CF6" w:rsidRPr="00455406" w:rsidRDefault="00382CF6" w:rsidP="00217D22">
      <w:pPr>
        <w:pStyle w:val="FootnoteText"/>
        <w:ind w:left="425" w:hanging="425"/>
        <w:jc w:val="both"/>
        <w:rPr>
          <w:rFonts w:ascii="Times New Roman" w:hAnsi="Times New Roman" w:cs="Times New Roman"/>
        </w:rPr>
      </w:pPr>
      <w:r w:rsidRPr="00243CB6">
        <w:rPr>
          <w:rStyle w:val="FootnoteReference"/>
        </w:rPr>
        <w:footnoteRef/>
      </w:r>
      <w:r w:rsidRPr="003C6859">
        <w:rPr>
          <w:rFonts w:ascii="Times New Roman" w:hAnsi="Times New Roman" w:cs="Times New Roman"/>
        </w:rPr>
        <w:t xml:space="preserve"> </w:t>
      </w:r>
      <w:r>
        <w:rPr>
          <w:rFonts w:ascii="Times New Roman" w:hAnsi="Times New Roman" w:cs="Times New Roman"/>
        </w:rPr>
        <w:tab/>
      </w:r>
      <w:r w:rsidRPr="003C6859">
        <w:rPr>
          <w:rFonts w:ascii="Times New Roman" w:hAnsi="Times New Roman" w:cs="Times New Roman"/>
        </w:rPr>
        <w:t>Under the Code, the online platforms Google, Facebook, Twitter, and Microsoft have committed to prevent the manipulative use of their services by bad actors, provide for the transparency and public disclosure of political advertising, and take other actions to improve the transparency, accountability and trustworthiness of the online ecosystem. Trade associations from the advertising sector have also committed to cooperating with the platforms to improve the scrutiny of ad placements and develop brand safety tools aimed at limiting the placement of advertising on websites that purvey disinformation.</w:t>
      </w:r>
    </w:p>
  </w:footnote>
  <w:footnote w:id="38">
    <w:p w14:paraId="2041204F" w14:textId="5F22E9D2" w:rsidR="00382CF6" w:rsidRDefault="00382CF6" w:rsidP="00217D22">
      <w:pPr>
        <w:pStyle w:val="FootnoteText"/>
        <w:ind w:left="425" w:hanging="425"/>
        <w:jc w:val="both"/>
      </w:pPr>
      <w:r>
        <w:rPr>
          <w:rStyle w:val="FootnoteReference"/>
        </w:rPr>
        <w:footnoteRef/>
      </w:r>
      <w:r>
        <w:t xml:space="preserve"> </w:t>
      </w:r>
      <w:r>
        <w:tab/>
      </w:r>
      <w:hyperlink r:id="rId5" w:history="1">
        <w:r w:rsidR="002E3D86" w:rsidRPr="00A661A2">
          <w:rPr>
            <w:rStyle w:val="Hyperlink"/>
            <w:rFonts w:ascii="Times New Roman" w:hAnsi="Times New Roman" w:cs="Times New Roman"/>
          </w:rPr>
          <w:t>https://ec.europa.eu/commission/presscorner/detail/en/statement_19_6166</w:t>
        </w:r>
      </w:hyperlink>
      <w:r w:rsidRPr="00243CB6">
        <w:rPr>
          <w:rFonts w:ascii="Times New Roman" w:hAnsi="Times New Roman" w:cs="Times New Roman"/>
        </w:rPr>
        <w:t xml:space="preserve">. </w:t>
      </w:r>
      <w:r w:rsidRPr="00955C35">
        <w:rPr>
          <w:rFonts w:ascii="Times New Roman" w:hAnsi="Times New Roman" w:cs="Times New Roman"/>
        </w:rPr>
        <w:t>In addition to Google, Facebook, Twitter and Microsoft, the other signatories to the Code include Mozilla, seven European-level or national-level associations representing the advertising sector, and EDiMA, a European association representing platforms and other technology companies active in the online sector.</w:t>
      </w:r>
    </w:p>
  </w:footnote>
  <w:footnote w:id="39">
    <w:p w14:paraId="1C76ECFD" w14:textId="360FF2AB" w:rsidR="008E4EA5" w:rsidRPr="00AB3F85" w:rsidRDefault="008E4EA5" w:rsidP="00217D22">
      <w:pPr>
        <w:pStyle w:val="FootnoteText"/>
        <w:ind w:left="425" w:hanging="425"/>
      </w:pPr>
      <w:r>
        <w:rPr>
          <w:rStyle w:val="FootnoteReference"/>
        </w:rPr>
        <w:footnoteRef/>
      </w:r>
      <w:r w:rsidR="00217D22" w:rsidRPr="00AB3F85">
        <w:tab/>
      </w:r>
      <w:hyperlink r:id="rId6" w:history="1">
        <w:r w:rsidR="00217D22" w:rsidRPr="00AB3F85">
          <w:rPr>
            <w:rStyle w:val="Hyperlink"/>
            <w:rFonts w:ascii="Times New Roman" w:hAnsi="Times New Roman" w:cs="Times New Roman"/>
          </w:rPr>
          <w:t>www.euvsdisinfo.eu</w:t>
        </w:r>
      </w:hyperlink>
      <w:r w:rsidR="00217D22" w:rsidRPr="00AB3F85">
        <w:rPr>
          <w:rFonts w:ascii="Times New Roman" w:hAnsi="Times New Roman" w:cs="Times New Roman"/>
        </w:rPr>
        <w:t xml:space="preserve"> </w:t>
      </w:r>
    </w:p>
  </w:footnote>
  <w:footnote w:id="40">
    <w:p w14:paraId="0CAC9F44" w14:textId="03BEFCEA" w:rsidR="00FB166D" w:rsidRPr="00AB3F85" w:rsidRDefault="00FB166D" w:rsidP="00AB3F85">
      <w:pPr>
        <w:pStyle w:val="FootnoteText"/>
        <w:ind w:left="425" w:hanging="425"/>
        <w:jc w:val="both"/>
        <w:rPr>
          <w:rFonts w:ascii="Times New Roman" w:hAnsi="Times New Roman" w:cs="Times New Roman"/>
          <w:lang w:val="de-DE"/>
        </w:rPr>
      </w:pPr>
      <w:r w:rsidRPr="00FB166D">
        <w:rPr>
          <w:rStyle w:val="FootnoteReference"/>
        </w:rPr>
        <w:footnoteRef/>
      </w:r>
      <w:r w:rsidRPr="00AB3F85">
        <w:rPr>
          <w:rFonts w:ascii="Times New Roman" w:hAnsi="Times New Roman" w:cs="Times New Roman"/>
        </w:rPr>
        <w:t xml:space="preserve"> </w:t>
      </w:r>
      <w:r>
        <w:rPr>
          <w:rFonts w:ascii="Times New Roman" w:hAnsi="Times New Roman" w:cs="Times New Roman"/>
        </w:rPr>
        <w:tab/>
      </w:r>
      <w:hyperlink r:id="rId7" w:history="1">
        <w:r w:rsidRPr="00AB3F85">
          <w:rPr>
            <w:rStyle w:val="Hyperlink"/>
            <w:rFonts w:ascii="Times New Roman" w:hAnsi="Times New Roman" w:cs="Times New Roman"/>
          </w:rPr>
          <w:t>https://europa.eu/euprotects/</w:t>
        </w:r>
      </w:hyperlink>
      <w:r w:rsidRPr="00AB3F85">
        <w:rPr>
          <w:rFonts w:ascii="Times New Roman" w:hAnsi="Times New Roman" w:cs="Times New Roman"/>
        </w:rPr>
        <w:t xml:space="preserve"> </w:t>
      </w:r>
    </w:p>
  </w:footnote>
  <w:footnote w:id="41">
    <w:p w14:paraId="7D8147D8" w14:textId="385C6A4F" w:rsidR="00382CF6" w:rsidRPr="00E41CD7" w:rsidRDefault="00382CF6" w:rsidP="00217D22">
      <w:pPr>
        <w:pStyle w:val="FootnoteText"/>
        <w:ind w:left="425" w:hanging="425"/>
        <w:jc w:val="both"/>
        <w:rPr>
          <w:rFonts w:ascii="Times New Roman" w:hAnsi="Times New Roman" w:cs="Times New Roman"/>
          <w:lang w:val="en-US"/>
        </w:rPr>
      </w:pPr>
      <w:r w:rsidRPr="00216C88">
        <w:rPr>
          <w:rStyle w:val="FootnoteReference"/>
        </w:rPr>
        <w:footnoteRef/>
      </w:r>
      <w:r w:rsidRPr="00AB3F85">
        <w:rPr>
          <w:rFonts w:ascii="Times New Roman" w:hAnsi="Times New Roman" w:cs="Times New Roman"/>
        </w:rPr>
        <w:t xml:space="preserve"> </w:t>
      </w:r>
      <w:r w:rsidRPr="00AB3F85">
        <w:rPr>
          <w:rFonts w:ascii="Times New Roman" w:hAnsi="Times New Roman" w:cs="Times New Roman"/>
        </w:rPr>
        <w:tab/>
        <w:t xml:space="preserve">Directive (EU) 2016/681 (27.4.2016). </w:t>
      </w:r>
      <w:r w:rsidRPr="00BE4185">
        <w:rPr>
          <w:rFonts w:ascii="Times New Roman" w:hAnsi="Times New Roman" w:cs="Times New Roman"/>
        </w:rPr>
        <w:t xml:space="preserve">Denmark </w:t>
      </w:r>
      <w:r>
        <w:rPr>
          <w:rFonts w:ascii="Times New Roman" w:hAnsi="Times New Roman" w:cs="Times New Roman"/>
        </w:rPr>
        <w:t>did not take</w:t>
      </w:r>
      <w:r w:rsidRPr="00BE4185">
        <w:rPr>
          <w:rFonts w:ascii="Times New Roman" w:hAnsi="Times New Roman" w:cs="Times New Roman"/>
        </w:rPr>
        <w:t xml:space="preserve"> part in the adoption of this Directive and is not bound by it or subject to its application</w:t>
      </w:r>
      <w:r>
        <w:rPr>
          <w:rFonts w:ascii="Times New Roman" w:hAnsi="Times New Roman" w:cs="Times New Roman"/>
        </w:rPr>
        <w:t>.</w:t>
      </w:r>
    </w:p>
  </w:footnote>
  <w:footnote w:id="42">
    <w:p w14:paraId="63AE1ECE" w14:textId="7A066434"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 xml:space="preserve">The references to full transposition </w:t>
      </w:r>
      <w:r w:rsidRPr="002E2D02">
        <w:rPr>
          <w:rFonts w:ascii="Times New Roman" w:hAnsi="Times New Roman" w:cs="Times New Roman"/>
        </w:rPr>
        <w:t>notification</w:t>
      </w:r>
      <w:r w:rsidRPr="00216C88">
        <w:rPr>
          <w:rFonts w:ascii="Times New Roman" w:hAnsi="Times New Roman" w:cs="Times New Roman"/>
        </w:rPr>
        <w:t xml:space="preserve"> take account of the Member States’ declarations and are without prejudice to the transposition check by the Commission services</w:t>
      </w:r>
      <w:r>
        <w:rPr>
          <w:rFonts w:ascii="Times New Roman" w:hAnsi="Times New Roman" w:cs="Times New Roman"/>
        </w:rPr>
        <w:t xml:space="preserve"> (s</w:t>
      </w:r>
      <w:r w:rsidRPr="00216C88">
        <w:rPr>
          <w:rFonts w:ascii="Times New Roman" w:hAnsi="Times New Roman" w:cs="Times New Roman"/>
        </w:rPr>
        <w:t xml:space="preserve">tate of play as of </w:t>
      </w:r>
      <w:r>
        <w:rPr>
          <w:rFonts w:ascii="Times New Roman" w:hAnsi="Times New Roman" w:cs="Times New Roman"/>
        </w:rPr>
        <w:t>17</w:t>
      </w:r>
      <w:r w:rsidRPr="00B6712F">
        <w:rPr>
          <w:rFonts w:ascii="Times New Roman" w:hAnsi="Times New Roman" w:cs="Times New Roman"/>
        </w:rPr>
        <w:t>.</w:t>
      </w:r>
      <w:r>
        <w:rPr>
          <w:rFonts w:ascii="Times New Roman" w:hAnsi="Times New Roman" w:cs="Times New Roman"/>
        </w:rPr>
        <w:t>10</w:t>
      </w:r>
      <w:r w:rsidRPr="00216C88">
        <w:rPr>
          <w:rFonts w:ascii="Times New Roman" w:hAnsi="Times New Roman" w:cs="Times New Roman"/>
        </w:rPr>
        <w:t>.2019</w:t>
      </w:r>
      <w:r>
        <w:rPr>
          <w:rFonts w:ascii="Times New Roman" w:hAnsi="Times New Roman" w:cs="Times New Roman"/>
        </w:rPr>
        <w:t>)</w:t>
      </w:r>
      <w:r w:rsidRPr="00216C88">
        <w:rPr>
          <w:rFonts w:ascii="Times New Roman" w:hAnsi="Times New Roman" w:cs="Times New Roman"/>
        </w:rPr>
        <w:t>.</w:t>
      </w:r>
      <w:r>
        <w:rPr>
          <w:rFonts w:ascii="Times New Roman" w:hAnsi="Times New Roman" w:cs="Times New Roman"/>
        </w:rPr>
        <w:t xml:space="preserve"> </w:t>
      </w:r>
    </w:p>
  </w:footnote>
  <w:footnote w:id="43">
    <w:p w14:paraId="19A8B9AB" w14:textId="54EA0EFE" w:rsidR="00D51914" w:rsidRPr="007F500A" w:rsidRDefault="00D51914" w:rsidP="00217D22">
      <w:pPr>
        <w:pStyle w:val="FootnoteText"/>
        <w:ind w:left="425" w:hanging="425"/>
        <w:jc w:val="both"/>
      </w:pPr>
      <w:r>
        <w:rPr>
          <w:rStyle w:val="FootnoteReference"/>
        </w:rPr>
        <w:footnoteRef/>
      </w:r>
      <w:r>
        <w:t xml:space="preserve"> </w:t>
      </w:r>
      <w:r>
        <w:tab/>
      </w:r>
      <w:r w:rsidRPr="007F500A">
        <w:rPr>
          <w:rFonts w:ascii="Times New Roman" w:hAnsi="Times New Roman" w:cs="Times New Roman"/>
        </w:rPr>
        <w:t>See the Sixteenth Progress Report towards an effective and genuine Securi</w:t>
      </w:r>
      <w:r w:rsidRPr="00937240">
        <w:rPr>
          <w:rFonts w:ascii="Times New Roman" w:hAnsi="Times New Roman" w:cs="Times New Roman"/>
        </w:rPr>
        <w:t>ty Union (COM(2018) 690 final</w:t>
      </w:r>
      <w:r>
        <w:rPr>
          <w:rFonts w:ascii="Times New Roman" w:hAnsi="Times New Roman" w:cs="Times New Roman"/>
        </w:rPr>
        <w:t xml:space="preserve"> (</w:t>
      </w:r>
      <w:r w:rsidRPr="00D51914">
        <w:rPr>
          <w:rFonts w:ascii="Times New Roman" w:hAnsi="Times New Roman" w:cs="Times New Roman"/>
        </w:rPr>
        <w:t>10.10.2018</w:t>
      </w:r>
      <w:r>
        <w:rPr>
          <w:rFonts w:ascii="Times New Roman" w:hAnsi="Times New Roman" w:cs="Times New Roman"/>
        </w:rPr>
        <w:t>)</w:t>
      </w:r>
      <w:r w:rsidRPr="00937240">
        <w:rPr>
          <w:rFonts w:ascii="Times New Roman" w:hAnsi="Times New Roman" w:cs="Times New Roman"/>
        </w:rPr>
        <w:t>)</w:t>
      </w:r>
      <w:r w:rsidRPr="007F500A">
        <w:rPr>
          <w:rFonts w:ascii="Times New Roman" w:hAnsi="Times New Roman" w:cs="Times New Roman"/>
        </w:rPr>
        <w:t>.</w:t>
      </w:r>
    </w:p>
  </w:footnote>
  <w:footnote w:id="44">
    <w:p w14:paraId="29E0B00F" w14:textId="77777777" w:rsidR="00382CF6" w:rsidRPr="002E2D02"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r>
      <w:r w:rsidRPr="002E2D02">
        <w:rPr>
          <w:rFonts w:ascii="Times New Roman" w:hAnsi="Times New Roman" w:cs="Times New Roman"/>
        </w:rPr>
        <w:t xml:space="preserve">Slovenia notified partial transposition. Spain did not notify transposition </w:t>
      </w:r>
      <w:r w:rsidRPr="002E2D02">
        <w:rPr>
          <w:rFonts w:ascii="Times New Roman" w:hAnsi="Times New Roman" w:cs="Times New Roman"/>
          <w:color w:val="000000" w:themeColor="text1"/>
        </w:rPr>
        <w:t>(state of play as of 17.10.2019)</w:t>
      </w:r>
      <w:r>
        <w:rPr>
          <w:rFonts w:ascii="Times New Roman" w:hAnsi="Times New Roman" w:cs="Times New Roman"/>
        </w:rPr>
        <w:t>.</w:t>
      </w:r>
    </w:p>
  </w:footnote>
  <w:footnote w:id="45">
    <w:p w14:paraId="2BCF0684" w14:textId="5D194E12" w:rsidR="00382CF6" w:rsidRPr="002E2D02" w:rsidRDefault="00382CF6" w:rsidP="00217D22">
      <w:pPr>
        <w:pStyle w:val="FootnoteText"/>
        <w:ind w:left="425" w:hanging="425"/>
        <w:jc w:val="both"/>
        <w:rPr>
          <w:rFonts w:ascii="Times New Roman" w:hAnsi="Times New Roman" w:cs="Times New Roman"/>
          <w:color w:val="000000" w:themeColor="text1"/>
        </w:rPr>
      </w:pPr>
      <w:r w:rsidRPr="002E2D02">
        <w:rPr>
          <w:rStyle w:val="FootnoteReference"/>
          <w:color w:val="000000" w:themeColor="text1"/>
        </w:rPr>
        <w:footnoteRef/>
      </w:r>
      <w:r w:rsidRPr="002E2D02">
        <w:rPr>
          <w:rFonts w:ascii="Times New Roman" w:hAnsi="Times New Roman" w:cs="Times New Roman"/>
          <w:color w:val="000000" w:themeColor="text1"/>
        </w:rPr>
        <w:t xml:space="preserve"> </w:t>
      </w:r>
      <w:r w:rsidRPr="002E2D02">
        <w:rPr>
          <w:rFonts w:ascii="Times New Roman" w:hAnsi="Times New Roman" w:cs="Times New Roman"/>
          <w:color w:val="000000" w:themeColor="text1"/>
        </w:rPr>
        <w:tab/>
        <w:t>Directive (EU) 2017/541 (15.3.2017)</w:t>
      </w:r>
      <w:r w:rsidR="00FE2296">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FE2296">
        <w:rPr>
          <w:rFonts w:ascii="Times New Roman" w:hAnsi="Times New Roman" w:cs="Times New Roman"/>
          <w:color w:val="000000" w:themeColor="text1"/>
        </w:rPr>
        <w:t>T</w:t>
      </w:r>
      <w:r>
        <w:rPr>
          <w:rFonts w:ascii="Times New Roman" w:hAnsi="Times New Roman" w:cs="Times New Roman"/>
          <w:color w:val="000000" w:themeColor="text1"/>
        </w:rPr>
        <w:t>he Directive is not applicable in</w:t>
      </w:r>
      <w:r w:rsidR="00FE2296">
        <w:rPr>
          <w:rFonts w:ascii="Times New Roman" w:hAnsi="Times New Roman" w:cs="Times New Roman"/>
          <w:color w:val="000000" w:themeColor="text1"/>
        </w:rPr>
        <w:t xml:space="preserve"> the United Kingdom, Ireland and Denmark</w:t>
      </w:r>
      <w:r>
        <w:t>.</w:t>
      </w:r>
    </w:p>
  </w:footnote>
  <w:footnote w:id="46">
    <w:p w14:paraId="680F1A1D" w14:textId="54B5BD20" w:rsidR="00D51914" w:rsidRPr="007F500A" w:rsidRDefault="00D51914" w:rsidP="00217D22">
      <w:pPr>
        <w:pStyle w:val="FootnoteText"/>
        <w:ind w:left="425" w:hanging="425"/>
        <w:jc w:val="both"/>
      </w:pPr>
      <w:r>
        <w:rPr>
          <w:rStyle w:val="FootnoteReference"/>
        </w:rPr>
        <w:footnoteRef/>
      </w:r>
      <w:r>
        <w:t xml:space="preserve"> </w:t>
      </w:r>
      <w:r>
        <w:tab/>
      </w:r>
      <w:r w:rsidRPr="007F500A">
        <w:rPr>
          <w:rFonts w:ascii="Times New Roman" w:hAnsi="Times New Roman" w:cs="Times New Roman"/>
        </w:rPr>
        <w:t xml:space="preserve">See the </w:t>
      </w:r>
      <w:r>
        <w:rPr>
          <w:rFonts w:ascii="Times New Roman" w:hAnsi="Times New Roman" w:cs="Times New Roman"/>
        </w:rPr>
        <w:t>Seventeenth</w:t>
      </w:r>
      <w:r w:rsidRPr="007F500A">
        <w:rPr>
          <w:rFonts w:ascii="Times New Roman" w:hAnsi="Times New Roman" w:cs="Times New Roman"/>
        </w:rPr>
        <w:t xml:space="preserve"> Progress Report towards an effective and genuine Securi</w:t>
      </w:r>
      <w:r w:rsidRPr="00937240">
        <w:rPr>
          <w:rFonts w:ascii="Times New Roman" w:hAnsi="Times New Roman" w:cs="Times New Roman"/>
        </w:rPr>
        <w:t xml:space="preserve">ty Union (COM(2018) </w:t>
      </w:r>
      <w:r>
        <w:rPr>
          <w:rFonts w:ascii="Times New Roman" w:hAnsi="Times New Roman" w:cs="Times New Roman"/>
        </w:rPr>
        <w:t>845</w:t>
      </w:r>
      <w:r w:rsidRPr="00937240">
        <w:rPr>
          <w:rFonts w:ascii="Times New Roman" w:hAnsi="Times New Roman" w:cs="Times New Roman"/>
        </w:rPr>
        <w:t xml:space="preserve"> final</w:t>
      </w:r>
      <w:r>
        <w:rPr>
          <w:rFonts w:ascii="Times New Roman" w:hAnsi="Times New Roman" w:cs="Times New Roman"/>
        </w:rPr>
        <w:t xml:space="preserve"> (</w:t>
      </w:r>
      <w:r w:rsidRPr="00D51914">
        <w:rPr>
          <w:rFonts w:ascii="Times New Roman" w:hAnsi="Times New Roman" w:cs="Times New Roman"/>
        </w:rPr>
        <w:t>11.12.2018</w:t>
      </w:r>
      <w:r>
        <w:rPr>
          <w:rFonts w:ascii="Times New Roman" w:hAnsi="Times New Roman" w:cs="Times New Roman"/>
        </w:rPr>
        <w:t>)</w:t>
      </w:r>
      <w:r w:rsidRPr="00937240">
        <w:rPr>
          <w:rFonts w:ascii="Times New Roman" w:hAnsi="Times New Roman" w:cs="Times New Roman"/>
        </w:rPr>
        <w:t>)</w:t>
      </w:r>
      <w:r w:rsidRPr="007F500A">
        <w:rPr>
          <w:rFonts w:ascii="Times New Roman" w:hAnsi="Times New Roman" w:cs="Times New Roman"/>
        </w:rPr>
        <w:t>.</w:t>
      </w:r>
    </w:p>
  </w:footnote>
  <w:footnote w:id="47">
    <w:p w14:paraId="4039D257" w14:textId="75AD05DC" w:rsidR="00382CF6" w:rsidRPr="00216C88" w:rsidRDefault="00382CF6" w:rsidP="00217D22">
      <w:pPr>
        <w:pStyle w:val="FootnoteText"/>
        <w:ind w:left="425" w:hanging="425"/>
        <w:jc w:val="both"/>
        <w:rPr>
          <w:rFonts w:ascii="Times New Roman" w:hAnsi="Times New Roman" w:cs="Times New Roman"/>
        </w:rPr>
      </w:pPr>
      <w:r w:rsidRPr="002E2D02">
        <w:rPr>
          <w:rStyle w:val="FootnoteReference"/>
        </w:rPr>
        <w:footnoteRef/>
      </w:r>
      <w:r w:rsidRPr="002E2D02">
        <w:rPr>
          <w:rFonts w:ascii="Times New Roman" w:hAnsi="Times New Roman" w:cs="Times New Roman"/>
        </w:rPr>
        <w:t xml:space="preserve"> </w:t>
      </w:r>
      <w:r w:rsidRPr="002E2D02">
        <w:rPr>
          <w:rFonts w:ascii="Times New Roman" w:hAnsi="Times New Roman" w:cs="Times New Roman"/>
        </w:rPr>
        <w:tab/>
        <w:t>Greece and Luxembourg have not notified national implementing measures. Poland has notified national</w:t>
      </w:r>
      <w:r w:rsidRPr="00357FB7">
        <w:rPr>
          <w:rFonts w:ascii="Times New Roman" w:hAnsi="Times New Roman" w:cs="Times New Roman"/>
        </w:rPr>
        <w:t xml:space="preserve"> measures amounting to partial transposition (state of play as of 17.10.2019).</w:t>
      </w:r>
    </w:p>
  </w:footnote>
  <w:footnote w:id="48">
    <w:p w14:paraId="05472C06" w14:textId="77777777" w:rsidR="00382CF6" w:rsidRPr="009804CB" w:rsidRDefault="00382CF6" w:rsidP="00217D22">
      <w:pPr>
        <w:pStyle w:val="FootnoteText"/>
        <w:ind w:left="425" w:hanging="425"/>
        <w:jc w:val="both"/>
      </w:pPr>
      <w:r>
        <w:rPr>
          <w:rStyle w:val="FootnoteReference"/>
        </w:rPr>
        <w:footnoteRef/>
      </w:r>
      <w:r>
        <w:t xml:space="preserve"> </w:t>
      </w:r>
      <w:r>
        <w:tab/>
      </w:r>
      <w:r>
        <w:rPr>
          <w:rFonts w:ascii="Times New Roman" w:hAnsi="Times New Roman" w:cs="Times New Roman"/>
          <w:lang w:val="en-US"/>
        </w:rPr>
        <w:t>Greece and Luxembourg</w:t>
      </w:r>
      <w:r>
        <w:rPr>
          <w:rFonts w:ascii="Times New Roman" w:hAnsi="Times New Roman" w:cs="Times New Roman"/>
        </w:rPr>
        <w:t>.</w:t>
      </w:r>
    </w:p>
  </w:footnote>
  <w:footnote w:id="49">
    <w:p w14:paraId="1670A28C" w14:textId="77777777" w:rsidR="00382CF6" w:rsidRPr="009804CB" w:rsidRDefault="00382CF6" w:rsidP="00217D22">
      <w:pPr>
        <w:pStyle w:val="FootnoteText"/>
        <w:ind w:left="425" w:hanging="425"/>
        <w:jc w:val="both"/>
      </w:pPr>
      <w:r>
        <w:rPr>
          <w:rStyle w:val="FootnoteReference"/>
        </w:rPr>
        <w:footnoteRef/>
      </w:r>
      <w:r>
        <w:t xml:space="preserve"> </w:t>
      </w:r>
      <w:r>
        <w:tab/>
      </w:r>
      <w:r w:rsidRPr="00F10CF7">
        <w:rPr>
          <w:rFonts w:ascii="Times New Roman" w:hAnsi="Times New Roman" w:cs="Times New Roman"/>
        </w:rPr>
        <w:t>Directive (EU) 2017/853</w:t>
      </w:r>
      <w:r>
        <w:rPr>
          <w:rFonts w:ascii="Times New Roman" w:hAnsi="Times New Roman" w:cs="Times New Roman"/>
        </w:rPr>
        <w:t xml:space="preserve"> (17.10.2019).</w:t>
      </w:r>
    </w:p>
  </w:footnote>
  <w:footnote w:id="50">
    <w:p w14:paraId="7A188975"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Pr>
          <w:rFonts w:ascii="Times New Roman" w:hAnsi="Times New Roman" w:cs="Times New Roman"/>
        </w:rPr>
        <w:tab/>
      </w:r>
      <w:r w:rsidRPr="00D1186F">
        <w:rPr>
          <w:rFonts w:ascii="Times New Roman" w:hAnsi="Times New Roman" w:cs="Times New Roman"/>
        </w:rPr>
        <w:t xml:space="preserve">Belgium, </w:t>
      </w:r>
      <w:r w:rsidRPr="00203811">
        <w:rPr>
          <w:rFonts w:ascii="Times New Roman" w:hAnsi="Times New Roman" w:cs="Times New Roman"/>
        </w:rPr>
        <w:t>Czech</w:t>
      </w:r>
      <w:r w:rsidRPr="00955C35">
        <w:rPr>
          <w:rFonts w:ascii="Times New Roman" w:hAnsi="Times New Roman" w:cs="Times New Roman"/>
        </w:rPr>
        <w:t>ia</w:t>
      </w:r>
      <w:r w:rsidRPr="00203811">
        <w:rPr>
          <w:rFonts w:ascii="Times New Roman" w:hAnsi="Times New Roman" w:cs="Times New Roman"/>
        </w:rPr>
        <w:t>,</w:t>
      </w:r>
      <w:r w:rsidRPr="00D1186F">
        <w:rPr>
          <w:rFonts w:ascii="Times New Roman" w:hAnsi="Times New Roman" w:cs="Times New Roman"/>
        </w:rPr>
        <w:t xml:space="preserve"> Estonia, Poland, Sweden, Slovakia, United Kingdom have </w:t>
      </w:r>
      <w:r>
        <w:rPr>
          <w:rFonts w:ascii="Times New Roman" w:hAnsi="Times New Roman" w:cs="Times New Roman"/>
        </w:rPr>
        <w:t>notified</w:t>
      </w:r>
      <w:r w:rsidRPr="00D1186F">
        <w:rPr>
          <w:rFonts w:ascii="Times New Roman" w:hAnsi="Times New Roman" w:cs="Times New Roman"/>
        </w:rPr>
        <w:t xml:space="preserve"> transposition measures for part of the new provisions.</w:t>
      </w:r>
      <w:r>
        <w:rPr>
          <w:rFonts w:ascii="Times New Roman" w:hAnsi="Times New Roman" w:cs="Times New Roman"/>
        </w:rPr>
        <w:t xml:space="preserve"> </w:t>
      </w:r>
      <w:r w:rsidRPr="00D1186F">
        <w:rPr>
          <w:rFonts w:ascii="Times New Roman" w:hAnsi="Times New Roman" w:cs="Times New Roman"/>
        </w:rPr>
        <w:t xml:space="preserve">Cyprus, Germany, Greece, Spain, Luxembourg, Hungary, Romania, Slovenia have not </w:t>
      </w:r>
      <w:r>
        <w:rPr>
          <w:rFonts w:ascii="Times New Roman" w:hAnsi="Times New Roman" w:cs="Times New Roman"/>
        </w:rPr>
        <w:t>notified</w:t>
      </w:r>
      <w:r w:rsidRPr="00D1186F">
        <w:rPr>
          <w:rFonts w:ascii="Times New Roman" w:hAnsi="Times New Roman" w:cs="Times New Roman"/>
        </w:rPr>
        <w:t xml:space="preserve"> any transposition measures</w:t>
      </w:r>
      <w:r w:rsidRPr="00216C88">
        <w:rPr>
          <w:rFonts w:ascii="Times New Roman" w:hAnsi="Times New Roman" w:cs="Times New Roman"/>
        </w:rPr>
        <w:t xml:space="preserve"> </w:t>
      </w:r>
      <w:r w:rsidRPr="00216C88">
        <w:rPr>
          <w:rFonts w:ascii="Times New Roman" w:hAnsi="Times New Roman" w:cs="Times New Roman"/>
          <w:color w:val="000000" w:themeColor="text1"/>
        </w:rPr>
        <w:t xml:space="preserve">(state of play as of </w:t>
      </w:r>
      <w:r>
        <w:rPr>
          <w:rFonts w:ascii="Times New Roman" w:hAnsi="Times New Roman" w:cs="Times New Roman"/>
          <w:color w:val="000000" w:themeColor="text1"/>
        </w:rPr>
        <w:t>17.10.2019</w:t>
      </w:r>
      <w:r w:rsidRPr="00216C88">
        <w:rPr>
          <w:rFonts w:ascii="Times New Roman" w:hAnsi="Times New Roman" w:cs="Times New Roman"/>
          <w:color w:val="000000" w:themeColor="text1"/>
        </w:rPr>
        <w:t>)</w:t>
      </w:r>
      <w:r>
        <w:rPr>
          <w:rFonts w:ascii="Times New Roman" w:hAnsi="Times New Roman" w:cs="Times New Roman"/>
        </w:rPr>
        <w:t>.</w:t>
      </w:r>
    </w:p>
  </w:footnote>
  <w:footnote w:id="51">
    <w:p w14:paraId="1A5E3AFA"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Pr>
          <w:rFonts w:ascii="Times New Roman" w:hAnsi="Times New Roman" w:cs="Times New Roman"/>
        </w:rPr>
        <w:tab/>
      </w:r>
      <w:r w:rsidRPr="00955C35">
        <w:rPr>
          <w:rFonts w:ascii="Times New Roman" w:hAnsi="Times New Roman" w:cs="Times New Roman"/>
        </w:rPr>
        <w:t>Finland, Ireland, Lithuania, Netherlands, Portugal</w:t>
      </w:r>
      <w:r w:rsidRPr="008544B0">
        <w:rPr>
          <w:rFonts w:ascii="Times New Roman" w:hAnsi="Times New Roman" w:cs="Times New Roman"/>
        </w:rPr>
        <w:t xml:space="preserve"> </w:t>
      </w:r>
      <w:r w:rsidRPr="00216C88">
        <w:rPr>
          <w:rFonts w:ascii="Times New Roman" w:hAnsi="Times New Roman" w:cs="Times New Roman"/>
          <w:color w:val="000000" w:themeColor="text1"/>
        </w:rPr>
        <w:t xml:space="preserve">(state of play as of </w:t>
      </w:r>
      <w:r>
        <w:rPr>
          <w:rFonts w:ascii="Times New Roman" w:hAnsi="Times New Roman" w:cs="Times New Roman"/>
          <w:color w:val="000000" w:themeColor="text1"/>
        </w:rPr>
        <w:t>17.10.</w:t>
      </w:r>
      <w:r w:rsidRPr="00CA4113">
        <w:rPr>
          <w:rFonts w:ascii="Times New Roman" w:hAnsi="Times New Roman" w:cs="Times New Roman"/>
          <w:color w:val="000000" w:themeColor="text1"/>
        </w:rPr>
        <w:t>2019)</w:t>
      </w:r>
      <w:r w:rsidRPr="00CA4113">
        <w:rPr>
          <w:rFonts w:ascii="Times New Roman" w:hAnsi="Times New Roman" w:cs="Times New Roman"/>
        </w:rPr>
        <w:t>.</w:t>
      </w:r>
    </w:p>
  </w:footnote>
  <w:footnote w:id="52">
    <w:p w14:paraId="2C094AD5"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Directive (EU) 2016/680 (27.4.2016).</w:t>
      </w:r>
    </w:p>
  </w:footnote>
  <w:footnote w:id="53">
    <w:p w14:paraId="2B0822AA" w14:textId="22DDBF0F" w:rsidR="00D51914" w:rsidRPr="007F500A" w:rsidRDefault="00D51914" w:rsidP="00217D22">
      <w:pPr>
        <w:pStyle w:val="FootnoteText"/>
        <w:ind w:left="425" w:hanging="425"/>
        <w:jc w:val="both"/>
      </w:pPr>
      <w:r>
        <w:rPr>
          <w:rStyle w:val="FootnoteReference"/>
        </w:rPr>
        <w:footnoteRef/>
      </w:r>
      <w:r>
        <w:t xml:space="preserve"> </w:t>
      </w:r>
      <w:r>
        <w:tab/>
      </w:r>
      <w:r w:rsidRPr="007F500A">
        <w:rPr>
          <w:rFonts w:ascii="Times New Roman" w:hAnsi="Times New Roman" w:cs="Times New Roman"/>
        </w:rPr>
        <w:t>See the Sixteenth Progress Report towards an effective and genuine Securi</w:t>
      </w:r>
      <w:r w:rsidRPr="00937240">
        <w:rPr>
          <w:rFonts w:ascii="Times New Roman" w:hAnsi="Times New Roman" w:cs="Times New Roman"/>
        </w:rPr>
        <w:t>ty Union (COM(2018) 690 final</w:t>
      </w:r>
      <w:r>
        <w:rPr>
          <w:rFonts w:ascii="Times New Roman" w:hAnsi="Times New Roman" w:cs="Times New Roman"/>
        </w:rPr>
        <w:t xml:space="preserve"> (</w:t>
      </w:r>
      <w:r w:rsidRPr="00D51914">
        <w:rPr>
          <w:rFonts w:ascii="Times New Roman" w:hAnsi="Times New Roman" w:cs="Times New Roman"/>
        </w:rPr>
        <w:t>10.10.2018</w:t>
      </w:r>
      <w:r>
        <w:rPr>
          <w:rFonts w:ascii="Times New Roman" w:hAnsi="Times New Roman" w:cs="Times New Roman"/>
        </w:rPr>
        <w:t>)</w:t>
      </w:r>
      <w:r w:rsidRPr="00937240">
        <w:rPr>
          <w:rFonts w:ascii="Times New Roman" w:hAnsi="Times New Roman" w:cs="Times New Roman"/>
        </w:rPr>
        <w:t>)</w:t>
      </w:r>
      <w:r w:rsidRPr="007F500A">
        <w:rPr>
          <w:rFonts w:ascii="Times New Roman" w:hAnsi="Times New Roman" w:cs="Times New Roman"/>
        </w:rPr>
        <w:t>.</w:t>
      </w:r>
    </w:p>
  </w:footnote>
  <w:footnote w:id="54">
    <w:p w14:paraId="7B88A830"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 xml:space="preserve">Slovenia notified partial transposition. Spain did not </w:t>
      </w:r>
      <w:r>
        <w:rPr>
          <w:rFonts w:ascii="Times New Roman" w:hAnsi="Times New Roman" w:cs="Times New Roman"/>
        </w:rPr>
        <w:t xml:space="preserve">notify </w:t>
      </w:r>
      <w:r w:rsidRPr="00216C88">
        <w:rPr>
          <w:rFonts w:ascii="Times New Roman" w:hAnsi="Times New Roman" w:cs="Times New Roman"/>
        </w:rPr>
        <w:t xml:space="preserve">transposition. Although Germany notified complete transposition, the Commission considers this transposition not to be complete </w:t>
      </w:r>
      <w:r w:rsidRPr="00216C88">
        <w:rPr>
          <w:rFonts w:ascii="Times New Roman" w:hAnsi="Times New Roman" w:cs="Times New Roman"/>
          <w:color w:val="000000" w:themeColor="text1"/>
        </w:rPr>
        <w:t xml:space="preserve">(state of play as of </w:t>
      </w:r>
      <w:r>
        <w:rPr>
          <w:rFonts w:ascii="Times New Roman" w:hAnsi="Times New Roman" w:cs="Times New Roman"/>
          <w:color w:val="000000" w:themeColor="text1"/>
        </w:rPr>
        <w:t>17.10.</w:t>
      </w:r>
      <w:r w:rsidRPr="00CA4113">
        <w:rPr>
          <w:rFonts w:ascii="Times New Roman" w:hAnsi="Times New Roman" w:cs="Times New Roman"/>
          <w:color w:val="000000" w:themeColor="text1"/>
        </w:rPr>
        <w:t>2019)</w:t>
      </w:r>
      <w:r w:rsidRPr="00CA4113">
        <w:rPr>
          <w:rFonts w:ascii="Times New Roman" w:hAnsi="Times New Roman" w:cs="Times New Roman"/>
        </w:rPr>
        <w:t>.</w:t>
      </w:r>
      <w:r w:rsidRPr="00216C88">
        <w:rPr>
          <w:rFonts w:ascii="Times New Roman" w:hAnsi="Times New Roman" w:cs="Times New Roman"/>
        </w:rPr>
        <w:t xml:space="preserve"> </w:t>
      </w:r>
    </w:p>
  </w:footnote>
  <w:footnote w:id="55">
    <w:p w14:paraId="44A93F56" w14:textId="77777777" w:rsidR="00382CF6" w:rsidRPr="00F12ACE"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Pr>
          <w:rFonts w:ascii="Times New Roman" w:hAnsi="Times New Roman" w:cs="Times New Roman"/>
        </w:rPr>
        <w:tab/>
      </w:r>
      <w:r w:rsidRPr="00F12ACE">
        <w:rPr>
          <w:rFonts w:ascii="Times New Roman" w:hAnsi="Times New Roman" w:cs="Times New Roman"/>
        </w:rPr>
        <w:t>Greece and Spain.</w:t>
      </w:r>
    </w:p>
  </w:footnote>
  <w:footnote w:id="56">
    <w:p w14:paraId="2BEF907F" w14:textId="77777777" w:rsidR="00382CF6" w:rsidRPr="00F12ACE" w:rsidRDefault="00382CF6" w:rsidP="00217D22">
      <w:pPr>
        <w:pStyle w:val="FootnoteText"/>
        <w:ind w:left="425" w:hanging="425"/>
        <w:jc w:val="both"/>
        <w:rPr>
          <w:rFonts w:ascii="Times New Roman" w:hAnsi="Times New Roman" w:cs="Times New Roman"/>
        </w:rPr>
      </w:pPr>
      <w:r w:rsidRPr="00F12ACE">
        <w:rPr>
          <w:rStyle w:val="FootnoteReference"/>
        </w:rPr>
        <w:footnoteRef/>
      </w:r>
      <w:r w:rsidRPr="00F12ACE">
        <w:rPr>
          <w:rFonts w:ascii="Times New Roman" w:hAnsi="Times New Roman" w:cs="Times New Roman"/>
        </w:rPr>
        <w:t xml:space="preserve"> </w:t>
      </w:r>
      <w:r w:rsidRPr="00F12ACE">
        <w:rPr>
          <w:rFonts w:ascii="Times New Roman" w:hAnsi="Times New Roman" w:cs="Times New Roman"/>
        </w:rPr>
        <w:tab/>
        <w:t>Germany.</w:t>
      </w:r>
    </w:p>
  </w:footnote>
  <w:footnote w:id="57">
    <w:p w14:paraId="20873234" w14:textId="3ACC1494" w:rsidR="00382CF6" w:rsidRPr="003C6859" w:rsidRDefault="00382CF6" w:rsidP="00217D22">
      <w:pPr>
        <w:pStyle w:val="FootnoteText"/>
        <w:ind w:left="425" w:hanging="425"/>
        <w:jc w:val="both"/>
        <w:rPr>
          <w:rFonts w:ascii="Times New Roman" w:hAnsi="Times New Roman" w:cs="Times New Roman"/>
        </w:rPr>
      </w:pPr>
      <w:r w:rsidRPr="00D46885">
        <w:rPr>
          <w:rStyle w:val="FootnoteReference"/>
        </w:rPr>
        <w:footnoteRef/>
      </w:r>
      <w:r>
        <w:rPr>
          <w:rFonts w:ascii="Times New Roman" w:hAnsi="Times New Roman" w:cs="Times New Roman"/>
        </w:rPr>
        <w:t xml:space="preserve"> </w:t>
      </w:r>
      <w:r>
        <w:rPr>
          <w:rFonts w:ascii="Times New Roman" w:hAnsi="Times New Roman" w:cs="Times New Roman"/>
        </w:rPr>
        <w:tab/>
      </w:r>
      <w:r w:rsidRPr="00D46885">
        <w:rPr>
          <w:rFonts w:ascii="Times New Roman" w:hAnsi="Times New Roman" w:cs="Times New Roman"/>
        </w:rPr>
        <w:t xml:space="preserve">Greece notified full transposition which the Commission </w:t>
      </w:r>
      <w:r w:rsidR="00D51914">
        <w:rPr>
          <w:rFonts w:ascii="Times New Roman" w:hAnsi="Times New Roman" w:cs="Times New Roman"/>
        </w:rPr>
        <w:t>is</w:t>
      </w:r>
      <w:r w:rsidRPr="00D46885">
        <w:rPr>
          <w:rFonts w:ascii="Times New Roman" w:hAnsi="Times New Roman" w:cs="Times New Roman"/>
        </w:rPr>
        <w:t xml:space="preserve"> assessing.</w:t>
      </w:r>
    </w:p>
  </w:footnote>
  <w:footnote w:id="58">
    <w:p w14:paraId="7D9DB51A" w14:textId="77777777" w:rsidR="00382CF6" w:rsidRPr="00D46885" w:rsidRDefault="00382CF6" w:rsidP="00217D22">
      <w:pPr>
        <w:pStyle w:val="FootnoteText"/>
        <w:ind w:left="425" w:hanging="425"/>
        <w:rPr>
          <w:rFonts w:ascii="Times New Roman" w:hAnsi="Times New Roman" w:cs="Times New Roman"/>
        </w:rPr>
      </w:pPr>
      <w:r w:rsidRPr="00D46885">
        <w:rPr>
          <w:rStyle w:val="FootnoteReference"/>
        </w:rPr>
        <w:footnoteRef/>
      </w:r>
      <w:r w:rsidRPr="00D46885">
        <w:rPr>
          <w:rFonts w:ascii="Times New Roman" w:hAnsi="Times New Roman" w:cs="Times New Roman"/>
        </w:rPr>
        <w:t xml:space="preserve"> </w:t>
      </w:r>
      <w:r w:rsidRPr="00D46885">
        <w:rPr>
          <w:rFonts w:ascii="Times New Roman" w:hAnsi="Times New Roman" w:cs="Times New Roman"/>
        </w:rPr>
        <w:tab/>
        <w:t>Directive (EU) 2015/849 (20.5.2015).</w:t>
      </w:r>
    </w:p>
  </w:footnote>
  <w:footnote w:id="59">
    <w:p w14:paraId="263999D6" w14:textId="77777777" w:rsidR="00382CF6" w:rsidRPr="00E41CD7" w:rsidRDefault="00382CF6" w:rsidP="00217D22">
      <w:pPr>
        <w:pStyle w:val="FootnoteText"/>
        <w:ind w:left="425" w:hanging="425"/>
        <w:jc w:val="both"/>
        <w:rPr>
          <w:rFonts w:ascii="Times New Roman" w:hAnsi="Times New Roman" w:cs="Times New Roman"/>
        </w:rPr>
      </w:pPr>
      <w:r w:rsidRPr="00E41CD7">
        <w:rPr>
          <w:rStyle w:val="FootnoteReference"/>
        </w:rPr>
        <w:footnoteRef/>
      </w:r>
      <w:r w:rsidRPr="00E41CD7">
        <w:rPr>
          <w:rFonts w:ascii="Times New Roman" w:hAnsi="Times New Roman" w:cs="Times New Roman"/>
        </w:rPr>
        <w:t xml:space="preserve"> </w:t>
      </w:r>
      <w:r w:rsidRPr="00E41CD7">
        <w:rPr>
          <w:rFonts w:ascii="Times New Roman" w:hAnsi="Times New Roman" w:cs="Times New Roman"/>
        </w:rPr>
        <w:tab/>
        <w:t xml:space="preserve">Belgium, Bulgaria, Czechia, Denmark, Germany, Estonia, Ireland, France, Italy, Cyprus, Latvia, Lithuania, Hungary, Netherlands, Austria, Poland, Romania, Slovakia, Finland, Sweden and the United Kingdom </w:t>
      </w:r>
      <w:r w:rsidRPr="00E41CD7">
        <w:rPr>
          <w:rFonts w:ascii="Times New Roman" w:hAnsi="Times New Roman" w:cs="Times New Roman"/>
          <w:color w:val="000000" w:themeColor="text1"/>
        </w:rPr>
        <w:t>(state of play as of 17.10.2019.)</w:t>
      </w:r>
      <w:r w:rsidRPr="00E41CD7">
        <w:rPr>
          <w:rFonts w:ascii="Times New Roman" w:hAnsi="Times New Roman" w:cs="Times New Roman"/>
        </w:rPr>
        <w:t>. Previously, 7 infringement procedures related to the Directive were closed.</w:t>
      </w:r>
    </w:p>
  </w:footnote>
  <w:footnote w:id="60">
    <w:p w14:paraId="0ACF7618" w14:textId="77777777" w:rsidR="00382CF6" w:rsidRPr="00E41CD7" w:rsidRDefault="00382CF6" w:rsidP="00217D22">
      <w:pPr>
        <w:pStyle w:val="FootnoteText"/>
        <w:ind w:left="425" w:hanging="425"/>
        <w:jc w:val="both"/>
      </w:pPr>
      <w:r w:rsidRPr="00E41CD7">
        <w:rPr>
          <w:rStyle w:val="FootnoteReference"/>
        </w:rPr>
        <w:footnoteRef/>
      </w:r>
      <w:r w:rsidRPr="00E41CD7">
        <w:t xml:space="preserve"> </w:t>
      </w:r>
      <w:r w:rsidRPr="00E41CD7">
        <w:tab/>
      </w:r>
      <w:r w:rsidRPr="00E41CD7">
        <w:rPr>
          <w:rFonts w:ascii="Times New Roman" w:hAnsi="Times New Roman" w:cs="Times New Roman"/>
        </w:rPr>
        <w:t>Belgium, Bulgaria, Czechia, Germany, Estonia, Greece, Spain, France, Croatia, Italy, Latvia, Lithuania, Luxembourg, Hungary, Malta, Austria, Poland, Portugal, Romania, Slovenia, Slovakia, Finland and Sweden</w:t>
      </w:r>
      <w:r>
        <w:rPr>
          <w:rFonts w:ascii="Times New Roman" w:hAnsi="Times New Roman" w:cs="Times New Roman"/>
        </w:rPr>
        <w:t>.</w:t>
      </w:r>
    </w:p>
  </w:footnote>
  <w:footnote w:id="61">
    <w:p w14:paraId="53F237E8" w14:textId="77777777" w:rsidR="00382CF6" w:rsidRPr="00B7715D" w:rsidRDefault="00382CF6" w:rsidP="00217D22">
      <w:pPr>
        <w:pStyle w:val="FootnoteText"/>
        <w:ind w:left="425" w:hanging="425"/>
        <w:rPr>
          <w:rFonts w:ascii="Times New Roman" w:hAnsi="Times New Roman" w:cs="Times New Roman"/>
          <w:lang w:val="pt-PT"/>
        </w:rPr>
      </w:pPr>
      <w:r w:rsidRPr="00E41CD7">
        <w:rPr>
          <w:rStyle w:val="FootnoteReference"/>
        </w:rPr>
        <w:footnoteRef/>
      </w:r>
      <w:r w:rsidRPr="00B7715D">
        <w:rPr>
          <w:rFonts w:ascii="Times New Roman" w:hAnsi="Times New Roman" w:cs="Times New Roman"/>
          <w:lang w:val="pt-PT"/>
        </w:rPr>
        <w:t xml:space="preserve"> </w:t>
      </w:r>
      <w:r w:rsidRPr="00B7715D">
        <w:rPr>
          <w:rFonts w:ascii="Times New Roman" w:hAnsi="Times New Roman" w:cs="Times New Roman"/>
          <w:lang w:val="pt-PT"/>
        </w:rPr>
        <w:tab/>
        <w:t>Directive 2011/93/EU (13.12.2011).</w:t>
      </w:r>
    </w:p>
  </w:footnote>
  <w:footnote w:id="62">
    <w:p w14:paraId="0E579A2C" w14:textId="6918C28C" w:rsidR="00382CF6" w:rsidRPr="00B7715D" w:rsidRDefault="00382CF6" w:rsidP="00217D22">
      <w:pPr>
        <w:pStyle w:val="FootnoteText"/>
        <w:ind w:left="425" w:hanging="425"/>
        <w:rPr>
          <w:rFonts w:ascii="Times New Roman" w:hAnsi="Times New Roman" w:cs="Times New Roman"/>
          <w:lang w:val="pt-PT"/>
        </w:rPr>
      </w:pPr>
      <w:r w:rsidRPr="00D46885">
        <w:rPr>
          <w:rStyle w:val="FootnoteReference"/>
        </w:rPr>
        <w:footnoteRef/>
      </w:r>
      <w:r w:rsidRPr="00B7715D">
        <w:rPr>
          <w:rFonts w:ascii="Times New Roman" w:hAnsi="Times New Roman" w:cs="Times New Roman"/>
          <w:lang w:val="pt-PT"/>
        </w:rPr>
        <w:t xml:space="preserve"> </w:t>
      </w:r>
      <w:r w:rsidR="00217D22">
        <w:rPr>
          <w:rFonts w:ascii="Times New Roman" w:hAnsi="Times New Roman" w:cs="Times New Roman"/>
          <w:lang w:val="pt-PT"/>
        </w:rPr>
        <w:tab/>
      </w:r>
      <w:r w:rsidRPr="00B7715D">
        <w:rPr>
          <w:rFonts w:ascii="Times New Roman" w:hAnsi="Times New Roman" w:cs="Times New Roman"/>
          <w:lang w:val="pt-PT"/>
        </w:rPr>
        <w:t>Bulgaria, Italy, Portugal and Slovenia.</w:t>
      </w:r>
    </w:p>
  </w:footnote>
  <w:footnote w:id="63">
    <w:p w14:paraId="51C24A1F" w14:textId="77777777" w:rsidR="00382CF6" w:rsidRPr="001221C0" w:rsidRDefault="00382CF6" w:rsidP="00217D22">
      <w:pPr>
        <w:pStyle w:val="FootnoteText"/>
        <w:ind w:left="425" w:hanging="425"/>
        <w:rPr>
          <w:lang w:val="fr-BE"/>
        </w:rPr>
      </w:pPr>
      <w:r w:rsidRPr="00E41CD7">
        <w:rPr>
          <w:rStyle w:val="FootnoteReference"/>
        </w:rPr>
        <w:footnoteRef/>
      </w:r>
      <w:r w:rsidRPr="001221C0">
        <w:rPr>
          <w:lang w:val="fr-BE"/>
        </w:rPr>
        <w:t xml:space="preserve"> </w:t>
      </w:r>
      <w:r w:rsidRPr="001221C0">
        <w:rPr>
          <w:lang w:val="fr-BE"/>
        </w:rPr>
        <w:tab/>
      </w:r>
      <w:r w:rsidRPr="001221C0">
        <w:rPr>
          <w:rFonts w:ascii="Times New Roman" w:hAnsi="Times New Roman" w:cs="Times New Roman"/>
          <w:lang w:val="fr-BE"/>
        </w:rPr>
        <w:t>Directive 2013/40/EU (12.08.2013).</w:t>
      </w:r>
    </w:p>
  </w:footnote>
  <w:footnote w:id="64">
    <w:p w14:paraId="25A273AF" w14:textId="77777777" w:rsidR="00382CF6" w:rsidRPr="00CF160F" w:rsidRDefault="00382CF6" w:rsidP="00217D22">
      <w:pPr>
        <w:pStyle w:val="FootnoteText"/>
        <w:ind w:left="425" w:hanging="425"/>
        <w:jc w:val="both"/>
        <w:rPr>
          <w:rFonts w:ascii="Times New Roman" w:hAnsi="Times New Roman" w:cs="Times New Roman"/>
          <w:color w:val="000000" w:themeColor="text1"/>
        </w:rPr>
      </w:pPr>
      <w:r w:rsidRPr="00E41CD7">
        <w:rPr>
          <w:rStyle w:val="FootnoteReference"/>
          <w:color w:val="000000" w:themeColor="text1"/>
        </w:rPr>
        <w:footnoteRef/>
      </w:r>
      <w:r w:rsidRPr="00E41CD7">
        <w:rPr>
          <w:rFonts w:ascii="Times New Roman" w:hAnsi="Times New Roman" w:cs="Times New Roman"/>
          <w:color w:val="000000" w:themeColor="text1"/>
        </w:rPr>
        <w:t xml:space="preserve"> </w:t>
      </w:r>
      <w:r w:rsidRPr="00E41CD7">
        <w:rPr>
          <w:rFonts w:ascii="Times New Roman" w:hAnsi="Times New Roman" w:cs="Times New Roman"/>
          <w:color w:val="000000" w:themeColor="text1"/>
        </w:rPr>
        <w:tab/>
      </w:r>
      <w:r w:rsidRPr="00CF160F">
        <w:rPr>
          <w:rFonts w:ascii="Times New Roman" w:hAnsi="Times New Roman" w:cs="Times New Roman"/>
        </w:rPr>
        <w:t xml:space="preserve">Slovenia notified partial transposition. Spain did not notify transposition </w:t>
      </w:r>
      <w:r w:rsidRPr="00CF160F">
        <w:rPr>
          <w:rFonts w:ascii="Times New Roman" w:hAnsi="Times New Roman" w:cs="Times New Roman"/>
          <w:color w:val="000000" w:themeColor="text1"/>
        </w:rPr>
        <w:t>(state of play as of 17.10.2019).</w:t>
      </w:r>
    </w:p>
  </w:footnote>
  <w:footnote w:id="65">
    <w:p w14:paraId="643CD40B" w14:textId="1D1FEDFA" w:rsidR="00382CF6" w:rsidRPr="00E41CD7" w:rsidRDefault="00382CF6" w:rsidP="00217D22">
      <w:pPr>
        <w:pStyle w:val="FootnoteText"/>
        <w:ind w:left="425" w:hanging="425"/>
        <w:jc w:val="both"/>
        <w:rPr>
          <w:rFonts w:ascii="Times New Roman" w:hAnsi="Times New Roman" w:cs="Times New Roman"/>
          <w:color w:val="000000" w:themeColor="text1"/>
        </w:rPr>
      </w:pPr>
      <w:r w:rsidRPr="00CF160F">
        <w:rPr>
          <w:rStyle w:val="FootnoteReference"/>
          <w:color w:val="000000" w:themeColor="text1"/>
        </w:rPr>
        <w:footnoteRef/>
      </w:r>
      <w:r w:rsidRPr="00CF160F">
        <w:rPr>
          <w:rFonts w:ascii="Times New Roman" w:hAnsi="Times New Roman" w:cs="Times New Roman"/>
          <w:color w:val="000000" w:themeColor="text1"/>
        </w:rPr>
        <w:t xml:space="preserve"> </w:t>
      </w:r>
      <w:r w:rsidRPr="00CF160F">
        <w:rPr>
          <w:rFonts w:ascii="Times New Roman" w:hAnsi="Times New Roman" w:cs="Times New Roman"/>
          <w:color w:val="000000" w:themeColor="text1"/>
        </w:rPr>
        <w:tab/>
      </w:r>
      <w:r w:rsidRPr="00CF160F">
        <w:rPr>
          <w:rFonts w:ascii="Times New Roman" w:hAnsi="Times New Roman" w:cs="Times New Roman"/>
        </w:rPr>
        <w:t>Greece and Luxemb</w:t>
      </w:r>
      <w:r w:rsidR="00CF160F">
        <w:rPr>
          <w:rFonts w:ascii="Times New Roman" w:hAnsi="Times New Roman" w:cs="Times New Roman"/>
        </w:rPr>
        <w:t>o</w:t>
      </w:r>
      <w:r w:rsidRPr="00CF160F">
        <w:rPr>
          <w:rFonts w:ascii="Times New Roman" w:hAnsi="Times New Roman" w:cs="Times New Roman"/>
        </w:rPr>
        <w:t>urg did not notify transposition</w:t>
      </w:r>
      <w:r w:rsidR="00CF160F">
        <w:rPr>
          <w:rFonts w:ascii="Times New Roman" w:hAnsi="Times New Roman" w:cs="Times New Roman"/>
        </w:rPr>
        <w:t>.</w:t>
      </w:r>
      <w:r w:rsidR="00CF160F" w:rsidRPr="00CF160F">
        <w:rPr>
          <w:rFonts w:ascii="Times New Roman" w:hAnsi="Times New Roman" w:cs="Times New Roman"/>
        </w:rPr>
        <w:t xml:space="preserve"> Poland notified partial transposition</w:t>
      </w:r>
      <w:r w:rsidRPr="00CF160F">
        <w:rPr>
          <w:rFonts w:ascii="Times New Roman" w:hAnsi="Times New Roman" w:cs="Times New Roman"/>
        </w:rPr>
        <w:t xml:space="preserve"> </w:t>
      </w:r>
      <w:r w:rsidRPr="00CF160F">
        <w:rPr>
          <w:rFonts w:ascii="Times New Roman" w:hAnsi="Times New Roman" w:cs="Times New Roman"/>
          <w:color w:val="000000" w:themeColor="text1"/>
        </w:rPr>
        <w:t>(state of play as of 17.10.2019).</w:t>
      </w:r>
    </w:p>
  </w:footnote>
  <w:footnote w:id="66">
    <w:p w14:paraId="0C9F912D" w14:textId="77777777" w:rsidR="00382CF6" w:rsidRPr="00E24DDB" w:rsidRDefault="00382CF6" w:rsidP="00217D22">
      <w:pPr>
        <w:pStyle w:val="FootnoteText"/>
        <w:ind w:left="425" w:hanging="425"/>
        <w:jc w:val="both"/>
        <w:rPr>
          <w:rFonts w:ascii="Times New Roman" w:hAnsi="Times New Roman" w:cs="Times New Roman"/>
          <w:color w:val="000000" w:themeColor="text1"/>
        </w:rPr>
      </w:pPr>
      <w:r w:rsidRPr="00E41CD7">
        <w:rPr>
          <w:rStyle w:val="FootnoteReference"/>
          <w:color w:val="000000" w:themeColor="text1"/>
        </w:rPr>
        <w:footnoteRef/>
      </w:r>
      <w:r w:rsidRPr="00E41CD7">
        <w:rPr>
          <w:rFonts w:ascii="Times New Roman" w:hAnsi="Times New Roman" w:cs="Times New Roman"/>
          <w:color w:val="000000" w:themeColor="text1"/>
        </w:rPr>
        <w:t xml:space="preserve"> </w:t>
      </w:r>
      <w:r w:rsidRPr="00E41CD7">
        <w:rPr>
          <w:rFonts w:ascii="Times New Roman" w:hAnsi="Times New Roman" w:cs="Times New Roman"/>
          <w:color w:val="000000" w:themeColor="text1"/>
        </w:rPr>
        <w:tab/>
        <w:t>Belgium, Czechia, Estonia, Poland, Sweden, Slovakia, United Kingdom have notified transposition measures for part of the new provisions. Cyprus, Germany, Greece, Spain, Luxembourg, Hungary, Romania, Slovenia have not notified any transposition measures</w:t>
      </w:r>
      <w:r w:rsidRPr="00E41CD7" w:rsidDel="00203811">
        <w:rPr>
          <w:rFonts w:ascii="Times New Roman" w:hAnsi="Times New Roman" w:cs="Times New Roman"/>
          <w:color w:val="000000" w:themeColor="text1"/>
        </w:rPr>
        <w:t xml:space="preserve"> </w:t>
      </w:r>
      <w:r w:rsidRPr="00E41CD7">
        <w:rPr>
          <w:rFonts w:ascii="Times New Roman" w:hAnsi="Times New Roman" w:cs="Times New Roman"/>
        </w:rPr>
        <w:t>(state of play as of 17.10.2019)</w:t>
      </w:r>
      <w:r w:rsidRPr="00E41CD7">
        <w:rPr>
          <w:rFonts w:ascii="Times New Roman" w:hAnsi="Times New Roman" w:cs="Times New Roman"/>
          <w:color w:val="000000" w:themeColor="text1"/>
        </w:rPr>
        <w:t>.</w:t>
      </w:r>
    </w:p>
  </w:footnote>
  <w:footnote w:id="67">
    <w:p w14:paraId="60912364" w14:textId="77777777" w:rsidR="00382CF6" w:rsidRPr="00216C88" w:rsidRDefault="00382CF6" w:rsidP="00217D22">
      <w:pPr>
        <w:pStyle w:val="FootnoteText"/>
        <w:ind w:left="425" w:hanging="425"/>
        <w:jc w:val="both"/>
        <w:rPr>
          <w:rFonts w:ascii="Times New Roman" w:hAnsi="Times New Roman" w:cs="Times New Roman"/>
        </w:rPr>
      </w:pPr>
      <w:r w:rsidRPr="00CA4113">
        <w:rPr>
          <w:rStyle w:val="FootnoteReference"/>
        </w:rPr>
        <w:footnoteRef/>
      </w:r>
      <w:r w:rsidRPr="00CA4113">
        <w:rPr>
          <w:rFonts w:ascii="Times New Roman" w:hAnsi="Times New Roman" w:cs="Times New Roman"/>
        </w:rPr>
        <w:t xml:space="preserve"> </w:t>
      </w:r>
      <w:r w:rsidRPr="00CA4113">
        <w:rPr>
          <w:rFonts w:ascii="Times New Roman" w:hAnsi="Times New Roman" w:cs="Times New Roman"/>
        </w:rPr>
        <w:tab/>
        <w:t xml:space="preserve">Slovenia notified partial transposition. Spain did not notify transposition. Although Germany notified complete transposition, the Commission considers this transposition not to be complete (state of play as of </w:t>
      </w:r>
      <w:r>
        <w:rPr>
          <w:rFonts w:ascii="Times New Roman" w:hAnsi="Times New Roman" w:cs="Times New Roman"/>
        </w:rPr>
        <w:t>17</w:t>
      </w:r>
      <w:r w:rsidRPr="00CA4113">
        <w:rPr>
          <w:rFonts w:ascii="Times New Roman" w:hAnsi="Times New Roman" w:cs="Times New Roman"/>
        </w:rPr>
        <w:t>.10.2019.).</w:t>
      </w:r>
    </w:p>
  </w:footnote>
  <w:footnote w:id="68">
    <w:p w14:paraId="3B07AE70" w14:textId="77777777"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Pr>
          <w:rFonts w:ascii="Times New Roman" w:hAnsi="Times New Roman" w:cs="Times New Roman"/>
        </w:rPr>
        <w:t xml:space="preserve"> </w:t>
      </w:r>
      <w:r>
        <w:rPr>
          <w:rFonts w:ascii="Times New Roman" w:hAnsi="Times New Roman" w:cs="Times New Roman"/>
        </w:rPr>
        <w:tab/>
      </w:r>
      <w:r w:rsidRPr="00216C88">
        <w:rPr>
          <w:rFonts w:ascii="Times New Roman" w:hAnsi="Times New Roman" w:cs="Times New Roman"/>
        </w:rPr>
        <w:t xml:space="preserve">Belgium, Bulgaria, </w:t>
      </w:r>
      <w:r w:rsidRPr="00203811">
        <w:rPr>
          <w:rFonts w:ascii="Times New Roman" w:hAnsi="Times New Roman" w:cs="Times New Roman"/>
        </w:rPr>
        <w:t>Czechia,</w:t>
      </w:r>
      <w:r w:rsidRPr="00216C88">
        <w:rPr>
          <w:rFonts w:ascii="Times New Roman" w:hAnsi="Times New Roman" w:cs="Times New Roman"/>
        </w:rPr>
        <w:t xml:space="preserve"> Denmark, Germany, Estonia, Ireland, France, Italy, Cyprus, Latvia, Lithuania, Hungary, Netherlands, Austria, Poland, Romania, Slovakia, Finland, Sweden and the United Kingdom (state of play as of </w:t>
      </w:r>
      <w:r>
        <w:rPr>
          <w:rFonts w:ascii="Times New Roman" w:hAnsi="Times New Roman" w:cs="Times New Roman"/>
        </w:rPr>
        <w:t>17.10.</w:t>
      </w:r>
      <w:r w:rsidRPr="00CA4113">
        <w:rPr>
          <w:rFonts w:ascii="Times New Roman" w:hAnsi="Times New Roman" w:cs="Times New Roman"/>
        </w:rPr>
        <w:t>2019)</w:t>
      </w:r>
      <w:r w:rsidRPr="00216C88">
        <w:rPr>
          <w:rFonts w:ascii="Times New Roman" w:hAnsi="Times New Roman" w:cs="Times New Roman"/>
        </w:rPr>
        <w:t>.</w:t>
      </w:r>
    </w:p>
  </w:footnote>
  <w:footnote w:id="69">
    <w:p w14:paraId="30BBC2E0" w14:textId="51377A34" w:rsidR="00382CF6" w:rsidRPr="00455406" w:rsidRDefault="00382CF6" w:rsidP="00217D22">
      <w:pPr>
        <w:pStyle w:val="FootnoteText"/>
        <w:ind w:left="425" w:hanging="425"/>
        <w:jc w:val="both"/>
        <w:rPr>
          <w:rFonts w:ascii="Times New Roman" w:hAnsi="Times New Roman" w:cs="Times New Roman"/>
        </w:rPr>
      </w:pPr>
      <w:r w:rsidRPr="0002055E">
        <w:rPr>
          <w:rStyle w:val="FootnoteReference"/>
        </w:rPr>
        <w:footnoteRef/>
      </w:r>
      <w:r w:rsidRPr="0002055E">
        <w:rPr>
          <w:rFonts w:ascii="Times New Roman" w:hAnsi="Times New Roman" w:cs="Times New Roman"/>
        </w:rPr>
        <w:t xml:space="preserve"> </w:t>
      </w:r>
      <w:r>
        <w:rPr>
          <w:rFonts w:ascii="Times New Roman" w:hAnsi="Times New Roman" w:cs="Times New Roman"/>
        </w:rPr>
        <w:tab/>
      </w:r>
      <w:r w:rsidR="00CE69F1" w:rsidRPr="00B26ED7">
        <w:rPr>
          <w:rFonts w:ascii="Times New Roman" w:hAnsi="Times New Roman" w:cs="Times New Roman"/>
        </w:rPr>
        <w:t>Belgium, Bulgaria, Czechia, Germany, Estonia, Greece, Spain, France, Croatia, Italy, Latvia, Lithuania, Luxembourg, Hungary, Malta, Austria, Poland, Portugal, Romania, Slovenia, Slovakia, Finland and Sweden</w:t>
      </w:r>
      <w:r w:rsidR="00CE69F1">
        <w:rPr>
          <w:rFonts w:ascii="Times New Roman" w:hAnsi="Times New Roman" w:cs="Times New Roman"/>
        </w:rPr>
        <w:t>.</w:t>
      </w:r>
    </w:p>
  </w:footnote>
  <w:footnote w:id="70">
    <w:p w14:paraId="2E2FCA17" w14:textId="75F96610" w:rsidR="00382CF6" w:rsidRPr="00455406" w:rsidRDefault="00382CF6" w:rsidP="00217D22">
      <w:pPr>
        <w:pStyle w:val="FootnoteText"/>
        <w:ind w:left="425" w:hanging="425"/>
        <w:jc w:val="both"/>
      </w:pPr>
      <w:r>
        <w:rPr>
          <w:rStyle w:val="FootnoteReference"/>
        </w:rPr>
        <w:footnoteRef/>
      </w:r>
      <w:r>
        <w:t xml:space="preserve"> </w:t>
      </w:r>
      <w:r>
        <w:tab/>
      </w:r>
      <w:r w:rsidR="00CE69F1" w:rsidRPr="00B26ED7">
        <w:rPr>
          <w:rFonts w:ascii="Times New Roman" w:hAnsi="Times New Roman" w:cs="Times New Roman"/>
        </w:rPr>
        <w:t>Bulgaria, Italy, Portugal and Slovenia.</w:t>
      </w:r>
    </w:p>
  </w:footnote>
  <w:footnote w:id="71">
    <w:p w14:paraId="49529D3D" w14:textId="24112FA5" w:rsidR="00C01512" w:rsidRPr="00AB3F85" w:rsidRDefault="00C01512" w:rsidP="00AB3F85">
      <w:pPr>
        <w:pStyle w:val="FootnoteText"/>
        <w:ind w:left="425" w:hanging="425"/>
        <w:jc w:val="both"/>
        <w:rPr>
          <w:rFonts w:ascii="Times New Roman" w:hAnsi="Times New Roman" w:cs="Times New Roman"/>
        </w:rPr>
      </w:pPr>
      <w:r w:rsidRPr="00CA0BC9">
        <w:rPr>
          <w:rStyle w:val="FootnoteReference"/>
        </w:rPr>
        <w:footnoteRef/>
      </w:r>
      <w:r w:rsidRPr="00AB3F85">
        <w:rPr>
          <w:rFonts w:ascii="Times New Roman" w:hAnsi="Times New Roman" w:cs="Times New Roman"/>
        </w:rPr>
        <w:t xml:space="preserve"> </w:t>
      </w:r>
      <w:r>
        <w:rPr>
          <w:rFonts w:ascii="Times New Roman" w:hAnsi="Times New Roman" w:cs="Times New Roman"/>
        </w:rPr>
        <w:tab/>
      </w:r>
      <w:r w:rsidRPr="00AB3F85">
        <w:rPr>
          <w:rFonts w:ascii="Times New Roman" w:hAnsi="Times New Roman" w:cs="Times New Roman"/>
        </w:rPr>
        <w:t xml:space="preserve">The Urban </w:t>
      </w:r>
      <w:r w:rsidRPr="009A7C0E">
        <w:rPr>
          <w:rFonts w:ascii="Times New Roman" w:hAnsi="Times New Roman" w:cs="Times New Roman"/>
        </w:rPr>
        <w:t>I</w:t>
      </w:r>
      <w:r w:rsidRPr="00AB3F85">
        <w:rPr>
          <w:rFonts w:ascii="Times New Roman" w:hAnsi="Times New Roman" w:cs="Times New Roman"/>
        </w:rPr>
        <w:t xml:space="preserve">nnovative </w:t>
      </w:r>
      <w:r w:rsidRPr="009A7C0E">
        <w:rPr>
          <w:rFonts w:ascii="Times New Roman" w:hAnsi="Times New Roman" w:cs="Times New Roman"/>
        </w:rPr>
        <w:t>A</w:t>
      </w:r>
      <w:r w:rsidRPr="00AB3F85">
        <w:rPr>
          <w:rFonts w:ascii="Times New Roman" w:hAnsi="Times New Roman" w:cs="Times New Roman"/>
        </w:rPr>
        <w:t xml:space="preserve">ctions </w:t>
      </w:r>
      <w:r w:rsidRPr="009A7C0E">
        <w:rPr>
          <w:rFonts w:ascii="Times New Roman" w:hAnsi="Times New Roman" w:cs="Times New Roman"/>
        </w:rPr>
        <w:t xml:space="preserve">are an instrument </w:t>
      </w:r>
      <w:r w:rsidRPr="00AB3F85">
        <w:rPr>
          <w:rFonts w:ascii="Times New Roman" w:hAnsi="Times New Roman" w:cs="Times New Roman"/>
        </w:rPr>
        <w:t xml:space="preserve">co-funded </w:t>
      </w:r>
      <w:r w:rsidRPr="009A7C0E">
        <w:rPr>
          <w:rFonts w:ascii="Times New Roman" w:hAnsi="Times New Roman" w:cs="Times New Roman"/>
        </w:rPr>
        <w:t xml:space="preserve">by </w:t>
      </w:r>
      <w:r w:rsidRPr="00AB3F85">
        <w:rPr>
          <w:rFonts w:ascii="Times New Roman" w:eastAsia="Calibri" w:hAnsi="Times New Roman" w:cs="Times New Roman"/>
        </w:rPr>
        <w:t xml:space="preserve">the European </w:t>
      </w:r>
      <w:r w:rsidRPr="009A7C0E">
        <w:rPr>
          <w:rFonts w:ascii="Times New Roman" w:eastAsia="Calibri" w:hAnsi="Times New Roman" w:cs="Times New Roman"/>
        </w:rPr>
        <w:t xml:space="preserve">Regional Development. For </w:t>
      </w:r>
      <w:r w:rsidRPr="00AB3F85">
        <w:rPr>
          <w:rFonts w:ascii="Times New Roman" w:eastAsia="Calibri" w:hAnsi="Times New Roman" w:cs="Times New Roman"/>
        </w:rPr>
        <w:t>more information</w:t>
      </w:r>
      <w:r w:rsidRPr="009A7C0E">
        <w:rPr>
          <w:rFonts w:ascii="Times New Roman" w:eastAsia="Calibri" w:hAnsi="Times New Roman" w:cs="Times New Roman"/>
        </w:rPr>
        <w:t xml:space="preserve"> see:</w:t>
      </w:r>
      <w:r w:rsidRPr="00AB3F85">
        <w:rPr>
          <w:rFonts w:ascii="Times New Roman" w:eastAsia="Calibri" w:hAnsi="Times New Roman" w:cs="Times New Roman"/>
        </w:rPr>
        <w:t xml:space="preserve"> </w:t>
      </w:r>
      <w:hyperlink r:id="rId8" w:history="1">
        <w:r w:rsidRPr="00AB3F85">
          <w:rPr>
            <w:rStyle w:val="Hyperlink"/>
          </w:rPr>
          <w:t>https://www.uia-initiative.eu/en/call-proposals/4th-call-proposals</w:t>
        </w:r>
      </w:hyperlink>
      <w:r w:rsidRPr="009A7C0E">
        <w:rPr>
          <w:rFonts w:ascii="Times New Roman" w:eastAsia="Calibri" w:hAnsi="Times New Roman" w:cs="Times New Roman"/>
        </w:rPr>
        <w:t>.</w:t>
      </w:r>
    </w:p>
  </w:footnote>
  <w:footnote w:id="72">
    <w:p w14:paraId="1D2063A4" w14:textId="73808B86" w:rsidR="00382CF6" w:rsidRPr="00216C88"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 xml:space="preserve"> </w:t>
      </w:r>
      <w:r w:rsidRPr="00216C88">
        <w:rPr>
          <w:rFonts w:ascii="Times New Roman" w:hAnsi="Times New Roman" w:cs="Times New Roman"/>
        </w:rPr>
        <w:tab/>
        <w:t>Commission Implementing Regulation (EU) 2019/947 of 24 May 2019 on the rules and procedures for the operation of unmanned aircraft</w:t>
      </w:r>
      <w:r>
        <w:rPr>
          <w:rFonts w:ascii="Times New Roman" w:hAnsi="Times New Roman" w:cs="Times New Roman"/>
        </w:rPr>
        <w:t xml:space="preserve"> systems</w:t>
      </w:r>
      <w:r w:rsidRPr="00216C88">
        <w:rPr>
          <w:rFonts w:ascii="Times New Roman" w:hAnsi="Times New Roman" w:cs="Times New Roman"/>
        </w:rPr>
        <w:t>.</w:t>
      </w:r>
    </w:p>
  </w:footnote>
  <w:footnote w:id="73">
    <w:p w14:paraId="6A6D4A27" w14:textId="126F843B" w:rsidR="006257E6" w:rsidRPr="00AB3F85" w:rsidRDefault="006257E6" w:rsidP="00AB3F85">
      <w:pPr>
        <w:pStyle w:val="FootnoteText"/>
        <w:ind w:left="425" w:hanging="425"/>
        <w:jc w:val="both"/>
        <w:rPr>
          <w:rFonts w:ascii="Times New Roman" w:hAnsi="Times New Roman" w:cs="Times New Roman"/>
        </w:rPr>
      </w:pPr>
      <w:r w:rsidRPr="006257E6">
        <w:rPr>
          <w:rStyle w:val="FootnoteReference"/>
        </w:rPr>
        <w:footnoteRef/>
      </w:r>
      <w:r w:rsidRPr="00AB3F85">
        <w:rPr>
          <w:rFonts w:ascii="Times New Roman" w:hAnsi="Times New Roman" w:cs="Times New Roman"/>
        </w:rPr>
        <w:tab/>
        <w:t>See the Eleventh Progress Report towards an effective and genuine Security Union (COM(2017) 608 final (18.10.2017). The priority countries are Algeria, Egypt, Israel, Jordan, Lebanon, Morocco, Tunisia and Turkey.</w:t>
      </w:r>
    </w:p>
  </w:footnote>
  <w:footnote w:id="74">
    <w:p w14:paraId="7E9B4458" w14:textId="77777777" w:rsidR="00382CF6" w:rsidRPr="008027D3" w:rsidRDefault="00382CF6" w:rsidP="00217D22">
      <w:pPr>
        <w:pStyle w:val="FootnoteText"/>
        <w:ind w:left="425" w:hanging="425"/>
        <w:jc w:val="both"/>
        <w:rPr>
          <w:rFonts w:ascii="Times New Roman" w:hAnsi="Times New Roman" w:cs="Times New Roman"/>
          <w:lang w:val="pt-PT"/>
        </w:rPr>
      </w:pPr>
      <w:r w:rsidRPr="00216C88">
        <w:rPr>
          <w:rStyle w:val="FootnoteReference"/>
        </w:rPr>
        <w:footnoteRef/>
      </w:r>
      <w:r w:rsidRPr="008027D3">
        <w:rPr>
          <w:rFonts w:ascii="Times New Roman" w:hAnsi="Times New Roman" w:cs="Times New Roman"/>
          <w:lang w:val="pt-PT"/>
        </w:rPr>
        <w:t xml:space="preserve"> </w:t>
      </w:r>
      <w:r w:rsidRPr="008027D3">
        <w:rPr>
          <w:rFonts w:ascii="Times New Roman" w:hAnsi="Times New Roman" w:cs="Times New Roman"/>
          <w:lang w:val="pt-PT"/>
        </w:rPr>
        <w:tab/>
        <w:t>COM(2019) 420 final (27.9.2019).</w:t>
      </w:r>
    </w:p>
  </w:footnote>
  <w:footnote w:id="75">
    <w:p w14:paraId="2599E5E5" w14:textId="77777777" w:rsidR="00382CF6" w:rsidRPr="008027D3" w:rsidRDefault="00382CF6" w:rsidP="00217D22">
      <w:pPr>
        <w:pStyle w:val="FootnoteText"/>
        <w:ind w:left="425" w:hanging="425"/>
        <w:jc w:val="both"/>
        <w:rPr>
          <w:rFonts w:ascii="Times New Roman" w:hAnsi="Times New Roman" w:cs="Times New Roman"/>
          <w:lang w:val="pt-PT"/>
        </w:rPr>
      </w:pPr>
      <w:r w:rsidRPr="00216C88">
        <w:rPr>
          <w:rStyle w:val="FootnoteReference"/>
        </w:rPr>
        <w:footnoteRef/>
      </w:r>
      <w:r w:rsidRPr="008027D3">
        <w:rPr>
          <w:rFonts w:ascii="Times New Roman" w:hAnsi="Times New Roman" w:cs="Times New Roman"/>
          <w:lang w:val="pt-PT"/>
        </w:rPr>
        <w:t xml:space="preserve"> </w:t>
      </w:r>
      <w:r w:rsidRPr="008027D3">
        <w:rPr>
          <w:rFonts w:ascii="Times New Roman" w:hAnsi="Times New Roman" w:cs="Times New Roman"/>
          <w:lang w:val="pt-PT"/>
        </w:rPr>
        <w:tab/>
        <w:t>COM(2019) 416 final (13.9.2019).</w:t>
      </w:r>
    </w:p>
  </w:footnote>
  <w:footnote w:id="76">
    <w:p w14:paraId="1C155AD6" w14:textId="77777777" w:rsidR="00382CF6" w:rsidRPr="00CA4113" w:rsidRDefault="00382CF6" w:rsidP="00217D22">
      <w:pPr>
        <w:pStyle w:val="FootnoteText"/>
        <w:ind w:left="425" w:hanging="425"/>
        <w:jc w:val="both"/>
        <w:rPr>
          <w:rFonts w:ascii="Times New Roman" w:hAnsi="Times New Roman" w:cs="Times New Roman"/>
          <w:lang w:val="pt-PT"/>
        </w:rPr>
      </w:pPr>
      <w:r w:rsidRPr="00216C88">
        <w:rPr>
          <w:rStyle w:val="FootnoteReference"/>
        </w:rPr>
        <w:footnoteRef/>
      </w:r>
      <w:r w:rsidRPr="00CA4113">
        <w:rPr>
          <w:rFonts w:ascii="Times New Roman" w:hAnsi="Times New Roman" w:cs="Times New Roman"/>
          <w:lang w:val="pt-PT"/>
        </w:rPr>
        <w:t xml:space="preserve"> </w:t>
      </w:r>
      <w:r w:rsidRPr="00CA4113">
        <w:rPr>
          <w:rFonts w:ascii="Times New Roman" w:hAnsi="Times New Roman" w:cs="Times New Roman"/>
          <w:lang w:val="pt-PT"/>
        </w:rPr>
        <w:tab/>
      </w:r>
      <w:hyperlink r:id="rId9" w:history="1">
        <w:r w:rsidRPr="00CA4113">
          <w:rPr>
            <w:rStyle w:val="Hyperlink"/>
            <w:rFonts w:ascii="Times New Roman" w:hAnsi="Times New Roman" w:cs="Times New Roman"/>
            <w:lang w:val="pt-PT"/>
          </w:rPr>
          <w:t>https://ec.europa.eu/home-affairs/news/news/20191009_security-union-implementing-counter-terrorism-arrangements-albania-north-macedonia_en</w:t>
        </w:r>
      </w:hyperlink>
    </w:p>
  </w:footnote>
  <w:footnote w:id="77">
    <w:p w14:paraId="7A4A72A5" w14:textId="77777777" w:rsidR="00382CF6" w:rsidRPr="002B7892" w:rsidRDefault="00382CF6" w:rsidP="00217D22">
      <w:pPr>
        <w:pStyle w:val="FootnoteText"/>
        <w:ind w:left="425" w:hanging="425"/>
        <w:jc w:val="both"/>
        <w:rPr>
          <w:rFonts w:ascii="Times New Roman" w:hAnsi="Times New Roman" w:cs="Times New Roman"/>
        </w:rPr>
      </w:pPr>
      <w:r w:rsidRPr="00216C88">
        <w:rPr>
          <w:rStyle w:val="FootnoteReference"/>
        </w:rPr>
        <w:footnoteRef/>
      </w:r>
      <w:r w:rsidRPr="00216C88">
        <w:rPr>
          <w:rFonts w:ascii="Times New Roman" w:hAnsi="Times New Roman" w:cs="Times New Roman"/>
        </w:rPr>
        <w:tab/>
        <w:t>The Joint Action Plan foresees actions around the following five objectives: a robust framework for countering terrorism; the effective prevention and countering of violent extremism; effective information exchange and operational cooperation; building capacity to fight money laundering and combat terrorism financing; strengthening the protection of citizens and infrastructure.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E25A" w14:textId="77777777" w:rsidR="004F2A07" w:rsidRPr="004F2A07" w:rsidRDefault="004F2A07" w:rsidP="004F2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2EBF" w14:textId="77777777" w:rsidR="004F2A07" w:rsidRPr="004F2A07" w:rsidRDefault="004F2A07" w:rsidP="004F2A0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28E9" w14:textId="77777777" w:rsidR="004F2A07" w:rsidRPr="004F2A07" w:rsidRDefault="004F2A07" w:rsidP="004F2A0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5771" w14:textId="77777777" w:rsidR="00382CF6" w:rsidRDefault="00382C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A4D0" w14:textId="77777777" w:rsidR="00382CF6" w:rsidRDefault="00382C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EAD50" w14:textId="77777777" w:rsidR="00382CF6" w:rsidRDefault="00382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0666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51D0E"/>
    <w:multiLevelType w:val="hybridMultilevel"/>
    <w:tmpl w:val="D6AC12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A760BC"/>
    <w:multiLevelType w:val="hybridMultilevel"/>
    <w:tmpl w:val="23E2F2E8"/>
    <w:lvl w:ilvl="0" w:tplc="6AE2FC26">
      <w:start w:val="1"/>
      <w:numFmt w:val="bullet"/>
      <w:lvlText w:val=""/>
      <w:lvlJc w:val="left"/>
      <w:pPr>
        <w:ind w:left="363" w:hanging="360"/>
      </w:pPr>
      <w:rPr>
        <w:rFonts w:ascii="Symbol" w:hAnsi="Symbol" w:hint="default"/>
        <w:color w:val="auto"/>
      </w:rPr>
    </w:lvl>
    <w:lvl w:ilvl="1" w:tplc="080C0003" w:tentative="1">
      <w:start w:val="1"/>
      <w:numFmt w:val="bullet"/>
      <w:lvlText w:val="o"/>
      <w:lvlJc w:val="left"/>
      <w:pPr>
        <w:ind w:left="1083" w:hanging="360"/>
      </w:pPr>
      <w:rPr>
        <w:rFonts w:ascii="Courier New" w:hAnsi="Courier New" w:cs="Courier New" w:hint="default"/>
      </w:rPr>
    </w:lvl>
    <w:lvl w:ilvl="2" w:tplc="080C0005" w:tentative="1">
      <w:start w:val="1"/>
      <w:numFmt w:val="bullet"/>
      <w:lvlText w:val=""/>
      <w:lvlJc w:val="left"/>
      <w:pPr>
        <w:ind w:left="1803" w:hanging="360"/>
      </w:pPr>
      <w:rPr>
        <w:rFonts w:ascii="Wingdings" w:hAnsi="Wingdings" w:hint="default"/>
      </w:rPr>
    </w:lvl>
    <w:lvl w:ilvl="3" w:tplc="080C0001" w:tentative="1">
      <w:start w:val="1"/>
      <w:numFmt w:val="bullet"/>
      <w:lvlText w:val=""/>
      <w:lvlJc w:val="left"/>
      <w:pPr>
        <w:ind w:left="2523" w:hanging="360"/>
      </w:pPr>
      <w:rPr>
        <w:rFonts w:ascii="Symbol" w:hAnsi="Symbol" w:hint="default"/>
      </w:rPr>
    </w:lvl>
    <w:lvl w:ilvl="4" w:tplc="080C0003" w:tentative="1">
      <w:start w:val="1"/>
      <w:numFmt w:val="bullet"/>
      <w:lvlText w:val="o"/>
      <w:lvlJc w:val="left"/>
      <w:pPr>
        <w:ind w:left="3243" w:hanging="360"/>
      </w:pPr>
      <w:rPr>
        <w:rFonts w:ascii="Courier New" w:hAnsi="Courier New" w:cs="Courier New" w:hint="default"/>
      </w:rPr>
    </w:lvl>
    <w:lvl w:ilvl="5" w:tplc="080C0005" w:tentative="1">
      <w:start w:val="1"/>
      <w:numFmt w:val="bullet"/>
      <w:lvlText w:val=""/>
      <w:lvlJc w:val="left"/>
      <w:pPr>
        <w:ind w:left="3963" w:hanging="360"/>
      </w:pPr>
      <w:rPr>
        <w:rFonts w:ascii="Wingdings" w:hAnsi="Wingdings" w:hint="default"/>
      </w:rPr>
    </w:lvl>
    <w:lvl w:ilvl="6" w:tplc="080C0001" w:tentative="1">
      <w:start w:val="1"/>
      <w:numFmt w:val="bullet"/>
      <w:lvlText w:val=""/>
      <w:lvlJc w:val="left"/>
      <w:pPr>
        <w:ind w:left="4683" w:hanging="360"/>
      </w:pPr>
      <w:rPr>
        <w:rFonts w:ascii="Symbol" w:hAnsi="Symbol" w:hint="default"/>
      </w:rPr>
    </w:lvl>
    <w:lvl w:ilvl="7" w:tplc="080C0003" w:tentative="1">
      <w:start w:val="1"/>
      <w:numFmt w:val="bullet"/>
      <w:lvlText w:val="o"/>
      <w:lvlJc w:val="left"/>
      <w:pPr>
        <w:ind w:left="5403" w:hanging="360"/>
      </w:pPr>
      <w:rPr>
        <w:rFonts w:ascii="Courier New" w:hAnsi="Courier New" w:cs="Courier New" w:hint="default"/>
      </w:rPr>
    </w:lvl>
    <w:lvl w:ilvl="8" w:tplc="080C0005" w:tentative="1">
      <w:start w:val="1"/>
      <w:numFmt w:val="bullet"/>
      <w:lvlText w:val=""/>
      <w:lvlJc w:val="left"/>
      <w:pPr>
        <w:ind w:left="6123" w:hanging="360"/>
      </w:pPr>
      <w:rPr>
        <w:rFonts w:ascii="Wingdings" w:hAnsi="Wingdings" w:hint="default"/>
      </w:rPr>
    </w:lvl>
  </w:abstractNum>
  <w:abstractNum w:abstractNumId="3" w15:restartNumberingAfterBreak="0">
    <w:nsid w:val="05D44CF1"/>
    <w:multiLevelType w:val="hybridMultilevel"/>
    <w:tmpl w:val="E69A4D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6AC2E70"/>
    <w:multiLevelType w:val="hybridMultilevel"/>
    <w:tmpl w:val="2D5460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A04967"/>
    <w:multiLevelType w:val="hybridMultilevel"/>
    <w:tmpl w:val="89225E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8F686F"/>
    <w:multiLevelType w:val="hybridMultilevel"/>
    <w:tmpl w:val="71BCB600"/>
    <w:lvl w:ilvl="0" w:tplc="912485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2063A2"/>
    <w:multiLevelType w:val="hybridMultilevel"/>
    <w:tmpl w:val="0BF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A33A0"/>
    <w:multiLevelType w:val="hybridMultilevel"/>
    <w:tmpl w:val="9990991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0C2819"/>
    <w:multiLevelType w:val="hybridMultilevel"/>
    <w:tmpl w:val="2274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41F82"/>
    <w:multiLevelType w:val="hybridMultilevel"/>
    <w:tmpl w:val="F8A6B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A5515C"/>
    <w:multiLevelType w:val="multilevel"/>
    <w:tmpl w:val="EFFAD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D4DB2"/>
    <w:multiLevelType w:val="hybridMultilevel"/>
    <w:tmpl w:val="2D3E159C"/>
    <w:lvl w:ilvl="0" w:tplc="7554B212">
      <w:start w:val="1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4A1617"/>
    <w:multiLevelType w:val="hybridMultilevel"/>
    <w:tmpl w:val="897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55558"/>
    <w:multiLevelType w:val="hybridMultilevel"/>
    <w:tmpl w:val="9580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938C6"/>
    <w:multiLevelType w:val="hybridMultilevel"/>
    <w:tmpl w:val="ADF40502"/>
    <w:lvl w:ilvl="0" w:tplc="833E69A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86192"/>
    <w:multiLevelType w:val="hybridMultilevel"/>
    <w:tmpl w:val="B51E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93103"/>
    <w:multiLevelType w:val="hybridMultilevel"/>
    <w:tmpl w:val="E5488D0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F52256"/>
    <w:multiLevelType w:val="hybridMultilevel"/>
    <w:tmpl w:val="AB2E7E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025ED2"/>
    <w:multiLevelType w:val="hybridMultilevel"/>
    <w:tmpl w:val="C158D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0C44A9"/>
    <w:multiLevelType w:val="hybridMultilevel"/>
    <w:tmpl w:val="65CA8E72"/>
    <w:lvl w:ilvl="0" w:tplc="70D28B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F0CD6"/>
    <w:multiLevelType w:val="hybridMultilevel"/>
    <w:tmpl w:val="2B40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C5BB5"/>
    <w:multiLevelType w:val="hybridMultilevel"/>
    <w:tmpl w:val="C736F902"/>
    <w:lvl w:ilvl="0" w:tplc="60E6C22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E0375"/>
    <w:multiLevelType w:val="hybridMultilevel"/>
    <w:tmpl w:val="BD061C44"/>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790A24"/>
    <w:multiLevelType w:val="hybridMultilevel"/>
    <w:tmpl w:val="559A5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C577F"/>
    <w:multiLevelType w:val="hybridMultilevel"/>
    <w:tmpl w:val="DDF23C5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E37D2A"/>
    <w:multiLevelType w:val="hybridMultilevel"/>
    <w:tmpl w:val="D792BC4A"/>
    <w:lvl w:ilvl="0" w:tplc="03A055BA">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9BF39C0"/>
    <w:multiLevelType w:val="multilevel"/>
    <w:tmpl w:val="900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A64924"/>
    <w:multiLevelType w:val="hybridMultilevel"/>
    <w:tmpl w:val="446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10C0A"/>
    <w:multiLevelType w:val="hybridMultilevel"/>
    <w:tmpl w:val="6C9C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E4719"/>
    <w:multiLevelType w:val="hybridMultilevel"/>
    <w:tmpl w:val="A5844016"/>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3" w15:restartNumberingAfterBreak="0">
    <w:nsid w:val="61B77CD6"/>
    <w:multiLevelType w:val="hybridMultilevel"/>
    <w:tmpl w:val="D9CE4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FD0C73"/>
    <w:multiLevelType w:val="hybridMultilevel"/>
    <w:tmpl w:val="A09CF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B729CA"/>
    <w:multiLevelType w:val="hybridMultilevel"/>
    <w:tmpl w:val="F12A9892"/>
    <w:lvl w:ilvl="0" w:tplc="0809000F">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6" w15:restartNumberingAfterBreak="0">
    <w:nsid w:val="7462349C"/>
    <w:multiLevelType w:val="multilevel"/>
    <w:tmpl w:val="EAF4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3406A8"/>
    <w:multiLevelType w:val="hybridMultilevel"/>
    <w:tmpl w:val="A4F855B0"/>
    <w:lvl w:ilvl="0" w:tplc="C5D4F71E">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F2E81"/>
    <w:multiLevelType w:val="hybridMultilevel"/>
    <w:tmpl w:val="B46C157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FEB2E76"/>
    <w:multiLevelType w:val="multilevel"/>
    <w:tmpl w:val="592083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decimal"/>
      <w:pStyle w:val="Heading3"/>
      <w:lvlText w:val="%3"/>
      <w:lvlJc w:val="left"/>
      <w:pPr>
        <w:ind w:left="1283" w:hanging="432"/>
      </w:pPr>
      <w:rPr>
        <w:b w:val="0"/>
        <w:strike w:val="0"/>
        <w:dstrike w:val="0"/>
        <w:color w:val="auto"/>
        <w:u w:val="none"/>
        <w:effect w:val="none"/>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27"/>
  </w:num>
  <w:num w:numId="3">
    <w:abstractNumId w:val="9"/>
  </w:num>
  <w:num w:numId="4">
    <w:abstractNumId w:val="17"/>
  </w:num>
  <w:num w:numId="5">
    <w:abstractNumId w:val="7"/>
  </w:num>
  <w:num w:numId="6">
    <w:abstractNumId w:val="14"/>
  </w:num>
  <w:num w:numId="7">
    <w:abstractNumId w:val="30"/>
  </w:num>
  <w:num w:numId="8">
    <w:abstractNumId w:val="12"/>
  </w:num>
  <w:num w:numId="9">
    <w:abstractNumId w:val="33"/>
  </w:num>
  <w:num w:numId="10">
    <w:abstractNumId w:val="22"/>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0"/>
  </w:num>
  <w:num w:numId="14">
    <w:abstractNumId w:val="1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5"/>
  </w:num>
  <w:num w:numId="20">
    <w:abstractNumId w:val="6"/>
  </w:num>
  <w:num w:numId="21">
    <w:abstractNumId w:val="18"/>
  </w:num>
  <w:num w:numId="22">
    <w:abstractNumId w:val="24"/>
  </w:num>
  <w:num w:numId="23">
    <w:abstractNumId w:val="26"/>
  </w:num>
  <w:num w:numId="24">
    <w:abstractNumId w:val="8"/>
  </w:num>
  <w:num w:numId="25">
    <w:abstractNumId w:val="28"/>
  </w:num>
  <w:num w:numId="26">
    <w:abstractNumId w:val="34"/>
  </w:num>
  <w:num w:numId="27">
    <w:abstractNumId w:val="25"/>
  </w:num>
  <w:num w:numId="28">
    <w:abstractNumId w:val="31"/>
  </w:num>
  <w:num w:numId="29">
    <w:abstractNumId w:val="21"/>
  </w:num>
  <w:num w:numId="30">
    <w:abstractNumId w:val="37"/>
  </w:num>
  <w:num w:numId="31">
    <w:abstractNumId w:val="11"/>
  </w:num>
  <w:num w:numId="32">
    <w:abstractNumId w:val="13"/>
  </w:num>
  <w:num w:numId="33">
    <w:abstractNumId w:val="16"/>
  </w:num>
  <w:num w:numId="34">
    <w:abstractNumId w:val="23"/>
  </w:num>
  <w:num w:numId="35">
    <w:abstractNumId w:val="3"/>
  </w:num>
  <w:num w:numId="36">
    <w:abstractNumId w:val="32"/>
  </w:num>
  <w:num w:numId="37">
    <w:abstractNumId w:val="19"/>
  </w:num>
  <w:num w:numId="38">
    <w:abstractNumId w:val="15"/>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
  </w:num>
  <w:num w:numId="43">
    <w:abstractNumId w:val="2"/>
  </w:num>
  <w:num w:numId="44">
    <w:abstractNumId w:val="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fr-BE" w:vendorID="64" w:dllVersion="6" w:nlCheck="1" w:checkStyle="0"/>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pt-PT" w:vendorID="64" w:dllVersion="0"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de-DE" w:vendorID="64" w:dllVersion="131078" w:nlCheck="1" w:checkStyle="0"/>
  <w:trackRevisions/>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E743FED-98E2-41B3-8819-8A22B3E78444"/>
    <w:docVar w:name="LW_COVERPAGE_TYPE" w:val="1"/>
    <w:docVar w:name="LW_CROSSREFERENCE" w:val="&lt;UNUSED&gt;"/>
    <w:docVar w:name="LW_DocType" w:val="NORMAL"/>
    <w:docVar w:name="LW_EMISSION" w:val="30.10.2019"/>
    <w:docVar w:name="LW_EMISSION_ISODATE" w:val="2019-10-30"/>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lt;EMPTY&gt;"/>
    <w:docVar w:name="LW_REF.INST.NEW_TEXT" w:val="(2019) 552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wentieth Progress Report towards an effective and genuine Security Union"/>
    <w:docVar w:name="LW_TYPE.DOC.CP" w:val="COMMUNICATION FROM THE COMMISSION TO THE EUROPEAN PARLIAMENT, THE EUROPEAN COUNCIL AND THE COUNCIL"/>
  </w:docVars>
  <w:rsids>
    <w:rsidRoot w:val="00925375"/>
    <w:rsid w:val="00000AF8"/>
    <w:rsid w:val="0000139A"/>
    <w:rsid w:val="00006949"/>
    <w:rsid w:val="00010896"/>
    <w:rsid w:val="0001142E"/>
    <w:rsid w:val="00011749"/>
    <w:rsid w:val="000127EE"/>
    <w:rsid w:val="000129E1"/>
    <w:rsid w:val="00015D6A"/>
    <w:rsid w:val="0002055E"/>
    <w:rsid w:val="00022B19"/>
    <w:rsid w:val="00025EA7"/>
    <w:rsid w:val="000328AC"/>
    <w:rsid w:val="00034AA8"/>
    <w:rsid w:val="000374D7"/>
    <w:rsid w:val="00040016"/>
    <w:rsid w:val="000418E5"/>
    <w:rsid w:val="00041F79"/>
    <w:rsid w:val="00045392"/>
    <w:rsid w:val="00045814"/>
    <w:rsid w:val="0004763F"/>
    <w:rsid w:val="00050655"/>
    <w:rsid w:val="0005243E"/>
    <w:rsid w:val="00053C28"/>
    <w:rsid w:val="00053D18"/>
    <w:rsid w:val="000545C7"/>
    <w:rsid w:val="00055542"/>
    <w:rsid w:val="00055568"/>
    <w:rsid w:val="000561E3"/>
    <w:rsid w:val="00056880"/>
    <w:rsid w:val="00063104"/>
    <w:rsid w:val="00063680"/>
    <w:rsid w:val="00063FCB"/>
    <w:rsid w:val="0006587E"/>
    <w:rsid w:val="00065ABF"/>
    <w:rsid w:val="000671A7"/>
    <w:rsid w:val="00067443"/>
    <w:rsid w:val="00070173"/>
    <w:rsid w:val="0007094B"/>
    <w:rsid w:val="00072FD7"/>
    <w:rsid w:val="000748FD"/>
    <w:rsid w:val="00074AB6"/>
    <w:rsid w:val="00075CA1"/>
    <w:rsid w:val="00076BB0"/>
    <w:rsid w:val="000771C2"/>
    <w:rsid w:val="00080F28"/>
    <w:rsid w:val="00083B30"/>
    <w:rsid w:val="00083D55"/>
    <w:rsid w:val="0008404E"/>
    <w:rsid w:val="00084A3A"/>
    <w:rsid w:val="0008500F"/>
    <w:rsid w:val="00086CC2"/>
    <w:rsid w:val="000914C2"/>
    <w:rsid w:val="0009266E"/>
    <w:rsid w:val="00092BBD"/>
    <w:rsid w:val="000939D2"/>
    <w:rsid w:val="000955AD"/>
    <w:rsid w:val="00095658"/>
    <w:rsid w:val="00095A2A"/>
    <w:rsid w:val="00096169"/>
    <w:rsid w:val="000979BF"/>
    <w:rsid w:val="000A07D2"/>
    <w:rsid w:val="000A2932"/>
    <w:rsid w:val="000A3D45"/>
    <w:rsid w:val="000A3E7B"/>
    <w:rsid w:val="000A4F1C"/>
    <w:rsid w:val="000A657C"/>
    <w:rsid w:val="000A7779"/>
    <w:rsid w:val="000A77F2"/>
    <w:rsid w:val="000A7C9A"/>
    <w:rsid w:val="000B0EE4"/>
    <w:rsid w:val="000B1D8D"/>
    <w:rsid w:val="000B29DE"/>
    <w:rsid w:val="000B4B0F"/>
    <w:rsid w:val="000B7F47"/>
    <w:rsid w:val="000C14CD"/>
    <w:rsid w:val="000C1605"/>
    <w:rsid w:val="000C2266"/>
    <w:rsid w:val="000C38FB"/>
    <w:rsid w:val="000C3BEE"/>
    <w:rsid w:val="000C3FB7"/>
    <w:rsid w:val="000C4E42"/>
    <w:rsid w:val="000C72CA"/>
    <w:rsid w:val="000C7C4B"/>
    <w:rsid w:val="000D0DAA"/>
    <w:rsid w:val="000D105F"/>
    <w:rsid w:val="000D1D84"/>
    <w:rsid w:val="000D272B"/>
    <w:rsid w:val="000D369D"/>
    <w:rsid w:val="000D53C5"/>
    <w:rsid w:val="000D5A05"/>
    <w:rsid w:val="000D5B2F"/>
    <w:rsid w:val="000D6A67"/>
    <w:rsid w:val="000D7979"/>
    <w:rsid w:val="000D7A7A"/>
    <w:rsid w:val="000E17D6"/>
    <w:rsid w:val="000E3396"/>
    <w:rsid w:val="000E3647"/>
    <w:rsid w:val="000E3907"/>
    <w:rsid w:val="000E5B56"/>
    <w:rsid w:val="000E5E4A"/>
    <w:rsid w:val="000E6C36"/>
    <w:rsid w:val="000E6D83"/>
    <w:rsid w:val="000E7102"/>
    <w:rsid w:val="000E7444"/>
    <w:rsid w:val="000E79B1"/>
    <w:rsid w:val="000E7CFF"/>
    <w:rsid w:val="000F1A7F"/>
    <w:rsid w:val="000F24D0"/>
    <w:rsid w:val="000F3167"/>
    <w:rsid w:val="000F3B7B"/>
    <w:rsid w:val="000F4435"/>
    <w:rsid w:val="00100D9D"/>
    <w:rsid w:val="00102439"/>
    <w:rsid w:val="00105A96"/>
    <w:rsid w:val="00107204"/>
    <w:rsid w:val="001108EB"/>
    <w:rsid w:val="00110B71"/>
    <w:rsid w:val="001154EC"/>
    <w:rsid w:val="00116262"/>
    <w:rsid w:val="00120A4C"/>
    <w:rsid w:val="001221C0"/>
    <w:rsid w:val="0012350D"/>
    <w:rsid w:val="0012384B"/>
    <w:rsid w:val="001244B5"/>
    <w:rsid w:val="0012535C"/>
    <w:rsid w:val="00126519"/>
    <w:rsid w:val="00127A31"/>
    <w:rsid w:val="00127F8E"/>
    <w:rsid w:val="00130D07"/>
    <w:rsid w:val="00131A72"/>
    <w:rsid w:val="00131E42"/>
    <w:rsid w:val="0013204B"/>
    <w:rsid w:val="0013437E"/>
    <w:rsid w:val="00134FC6"/>
    <w:rsid w:val="0013633C"/>
    <w:rsid w:val="00141773"/>
    <w:rsid w:val="001433F3"/>
    <w:rsid w:val="00143778"/>
    <w:rsid w:val="00144E50"/>
    <w:rsid w:val="0014507A"/>
    <w:rsid w:val="0014656F"/>
    <w:rsid w:val="001476C9"/>
    <w:rsid w:val="0015022F"/>
    <w:rsid w:val="0015058C"/>
    <w:rsid w:val="001515B8"/>
    <w:rsid w:val="001534FD"/>
    <w:rsid w:val="00162E8E"/>
    <w:rsid w:val="00163919"/>
    <w:rsid w:val="00165EA9"/>
    <w:rsid w:val="00167F11"/>
    <w:rsid w:val="00170408"/>
    <w:rsid w:val="00172734"/>
    <w:rsid w:val="00172B3E"/>
    <w:rsid w:val="00174244"/>
    <w:rsid w:val="00182A71"/>
    <w:rsid w:val="00186202"/>
    <w:rsid w:val="00186E39"/>
    <w:rsid w:val="0018741C"/>
    <w:rsid w:val="00190992"/>
    <w:rsid w:val="00191152"/>
    <w:rsid w:val="00191595"/>
    <w:rsid w:val="00192BDE"/>
    <w:rsid w:val="00193864"/>
    <w:rsid w:val="00195B23"/>
    <w:rsid w:val="00195EBC"/>
    <w:rsid w:val="00196132"/>
    <w:rsid w:val="001A2CA5"/>
    <w:rsid w:val="001A63B5"/>
    <w:rsid w:val="001B1255"/>
    <w:rsid w:val="001B21F4"/>
    <w:rsid w:val="001B257B"/>
    <w:rsid w:val="001B2977"/>
    <w:rsid w:val="001B5C11"/>
    <w:rsid w:val="001B6447"/>
    <w:rsid w:val="001C03CC"/>
    <w:rsid w:val="001C22E0"/>
    <w:rsid w:val="001C2731"/>
    <w:rsid w:val="001C5E6E"/>
    <w:rsid w:val="001C63E1"/>
    <w:rsid w:val="001C6807"/>
    <w:rsid w:val="001C6D3B"/>
    <w:rsid w:val="001C7806"/>
    <w:rsid w:val="001D1C11"/>
    <w:rsid w:val="001D2014"/>
    <w:rsid w:val="001D24A7"/>
    <w:rsid w:val="001D28FD"/>
    <w:rsid w:val="001D4C1E"/>
    <w:rsid w:val="001D5E77"/>
    <w:rsid w:val="001D64F6"/>
    <w:rsid w:val="001D663A"/>
    <w:rsid w:val="001D6AF1"/>
    <w:rsid w:val="001E0146"/>
    <w:rsid w:val="001E023D"/>
    <w:rsid w:val="001E13B7"/>
    <w:rsid w:val="001E1AFB"/>
    <w:rsid w:val="001E2A8B"/>
    <w:rsid w:val="001E64D0"/>
    <w:rsid w:val="001E6E45"/>
    <w:rsid w:val="001E7D98"/>
    <w:rsid w:val="001F045F"/>
    <w:rsid w:val="001F06A9"/>
    <w:rsid w:val="001F0F68"/>
    <w:rsid w:val="001F31F2"/>
    <w:rsid w:val="001F31FF"/>
    <w:rsid w:val="001F3F0F"/>
    <w:rsid w:val="001F46D0"/>
    <w:rsid w:val="001F4F3D"/>
    <w:rsid w:val="001F5F45"/>
    <w:rsid w:val="002006D9"/>
    <w:rsid w:val="00200702"/>
    <w:rsid w:val="00200C23"/>
    <w:rsid w:val="0020254E"/>
    <w:rsid w:val="0020275C"/>
    <w:rsid w:val="00203811"/>
    <w:rsid w:val="00204AF5"/>
    <w:rsid w:val="002050B6"/>
    <w:rsid w:val="00205515"/>
    <w:rsid w:val="0020582F"/>
    <w:rsid w:val="00206EA4"/>
    <w:rsid w:val="002117CF"/>
    <w:rsid w:val="002117D1"/>
    <w:rsid w:val="00214EF0"/>
    <w:rsid w:val="002167A1"/>
    <w:rsid w:val="00216C88"/>
    <w:rsid w:val="00216F31"/>
    <w:rsid w:val="00217D22"/>
    <w:rsid w:val="002227E8"/>
    <w:rsid w:val="002229C0"/>
    <w:rsid w:val="00224671"/>
    <w:rsid w:val="00225969"/>
    <w:rsid w:val="00230C3A"/>
    <w:rsid w:val="00230FD1"/>
    <w:rsid w:val="00231412"/>
    <w:rsid w:val="0023326C"/>
    <w:rsid w:val="002412F4"/>
    <w:rsid w:val="0024226C"/>
    <w:rsid w:val="0024381D"/>
    <w:rsid w:val="00243CB6"/>
    <w:rsid w:val="00244B04"/>
    <w:rsid w:val="00251132"/>
    <w:rsid w:val="002518DF"/>
    <w:rsid w:val="00253668"/>
    <w:rsid w:val="002549F4"/>
    <w:rsid w:val="00254E9A"/>
    <w:rsid w:val="00255BEA"/>
    <w:rsid w:val="002629C6"/>
    <w:rsid w:val="00263E3A"/>
    <w:rsid w:val="00264764"/>
    <w:rsid w:val="002659B4"/>
    <w:rsid w:val="00270060"/>
    <w:rsid w:val="00271957"/>
    <w:rsid w:val="00271A90"/>
    <w:rsid w:val="002730FA"/>
    <w:rsid w:val="0028304B"/>
    <w:rsid w:val="002832DE"/>
    <w:rsid w:val="00283C14"/>
    <w:rsid w:val="00283D93"/>
    <w:rsid w:val="00284878"/>
    <w:rsid w:val="00284B8A"/>
    <w:rsid w:val="00286031"/>
    <w:rsid w:val="002879B5"/>
    <w:rsid w:val="0029123F"/>
    <w:rsid w:val="00293EBC"/>
    <w:rsid w:val="00294A55"/>
    <w:rsid w:val="002964E1"/>
    <w:rsid w:val="0029656E"/>
    <w:rsid w:val="00297229"/>
    <w:rsid w:val="002A0399"/>
    <w:rsid w:val="002A2A8C"/>
    <w:rsid w:val="002A37F8"/>
    <w:rsid w:val="002A46D9"/>
    <w:rsid w:val="002A4EAC"/>
    <w:rsid w:val="002A5C7E"/>
    <w:rsid w:val="002A60C9"/>
    <w:rsid w:val="002A641E"/>
    <w:rsid w:val="002B155A"/>
    <w:rsid w:val="002B1BB9"/>
    <w:rsid w:val="002B480A"/>
    <w:rsid w:val="002B60DC"/>
    <w:rsid w:val="002B6292"/>
    <w:rsid w:val="002B7892"/>
    <w:rsid w:val="002C0846"/>
    <w:rsid w:val="002C11A9"/>
    <w:rsid w:val="002C12C0"/>
    <w:rsid w:val="002C18CB"/>
    <w:rsid w:val="002C2287"/>
    <w:rsid w:val="002C2C51"/>
    <w:rsid w:val="002C3513"/>
    <w:rsid w:val="002C48C8"/>
    <w:rsid w:val="002C51B3"/>
    <w:rsid w:val="002C53CA"/>
    <w:rsid w:val="002C63A8"/>
    <w:rsid w:val="002C77BC"/>
    <w:rsid w:val="002D0B7F"/>
    <w:rsid w:val="002D1362"/>
    <w:rsid w:val="002D18B7"/>
    <w:rsid w:val="002D1C9E"/>
    <w:rsid w:val="002D23FD"/>
    <w:rsid w:val="002D2D0D"/>
    <w:rsid w:val="002D2F74"/>
    <w:rsid w:val="002D5F20"/>
    <w:rsid w:val="002D6AFE"/>
    <w:rsid w:val="002D6D5A"/>
    <w:rsid w:val="002E04D5"/>
    <w:rsid w:val="002E1863"/>
    <w:rsid w:val="002E2D02"/>
    <w:rsid w:val="002E2E56"/>
    <w:rsid w:val="002E3D86"/>
    <w:rsid w:val="002E6931"/>
    <w:rsid w:val="002F02BA"/>
    <w:rsid w:val="002F0B79"/>
    <w:rsid w:val="002F36D7"/>
    <w:rsid w:val="002F4187"/>
    <w:rsid w:val="002F7E21"/>
    <w:rsid w:val="003006DD"/>
    <w:rsid w:val="003015BD"/>
    <w:rsid w:val="00301E59"/>
    <w:rsid w:val="00307658"/>
    <w:rsid w:val="0030781D"/>
    <w:rsid w:val="00313F60"/>
    <w:rsid w:val="003140A5"/>
    <w:rsid w:val="003153DD"/>
    <w:rsid w:val="00317DAE"/>
    <w:rsid w:val="003201E9"/>
    <w:rsid w:val="0032117B"/>
    <w:rsid w:val="00321FCA"/>
    <w:rsid w:val="00324458"/>
    <w:rsid w:val="00326142"/>
    <w:rsid w:val="003268E6"/>
    <w:rsid w:val="00332935"/>
    <w:rsid w:val="00333822"/>
    <w:rsid w:val="00337CA2"/>
    <w:rsid w:val="0034100C"/>
    <w:rsid w:val="00341A8D"/>
    <w:rsid w:val="003420EE"/>
    <w:rsid w:val="003450FB"/>
    <w:rsid w:val="003459AA"/>
    <w:rsid w:val="0034659F"/>
    <w:rsid w:val="003507C6"/>
    <w:rsid w:val="003525F2"/>
    <w:rsid w:val="00353177"/>
    <w:rsid w:val="00355B74"/>
    <w:rsid w:val="00357516"/>
    <w:rsid w:val="003576A6"/>
    <w:rsid w:val="00357FB7"/>
    <w:rsid w:val="00362B4B"/>
    <w:rsid w:val="00363D18"/>
    <w:rsid w:val="00367F3B"/>
    <w:rsid w:val="00371FCE"/>
    <w:rsid w:val="00372987"/>
    <w:rsid w:val="003730F4"/>
    <w:rsid w:val="00373246"/>
    <w:rsid w:val="00373950"/>
    <w:rsid w:val="00374423"/>
    <w:rsid w:val="00375136"/>
    <w:rsid w:val="003753DD"/>
    <w:rsid w:val="00375562"/>
    <w:rsid w:val="00377453"/>
    <w:rsid w:val="0038014B"/>
    <w:rsid w:val="003804F1"/>
    <w:rsid w:val="00380D48"/>
    <w:rsid w:val="003815CF"/>
    <w:rsid w:val="00382A3A"/>
    <w:rsid w:val="00382CF6"/>
    <w:rsid w:val="003849DA"/>
    <w:rsid w:val="00386609"/>
    <w:rsid w:val="003873DF"/>
    <w:rsid w:val="0039051C"/>
    <w:rsid w:val="00390639"/>
    <w:rsid w:val="00391216"/>
    <w:rsid w:val="00391E1D"/>
    <w:rsid w:val="00395EF1"/>
    <w:rsid w:val="00396DC7"/>
    <w:rsid w:val="003A0AC4"/>
    <w:rsid w:val="003A4849"/>
    <w:rsid w:val="003A5DD7"/>
    <w:rsid w:val="003A5EFD"/>
    <w:rsid w:val="003B0AA2"/>
    <w:rsid w:val="003B1192"/>
    <w:rsid w:val="003B3FB5"/>
    <w:rsid w:val="003B4DA1"/>
    <w:rsid w:val="003B6D62"/>
    <w:rsid w:val="003B6EF8"/>
    <w:rsid w:val="003B767A"/>
    <w:rsid w:val="003B7D0E"/>
    <w:rsid w:val="003B7E28"/>
    <w:rsid w:val="003C115E"/>
    <w:rsid w:val="003C1CA9"/>
    <w:rsid w:val="003C1D03"/>
    <w:rsid w:val="003C25A9"/>
    <w:rsid w:val="003C431E"/>
    <w:rsid w:val="003C58FE"/>
    <w:rsid w:val="003C6859"/>
    <w:rsid w:val="003C6B71"/>
    <w:rsid w:val="003D1F8B"/>
    <w:rsid w:val="003D357C"/>
    <w:rsid w:val="003D4E57"/>
    <w:rsid w:val="003D5C8E"/>
    <w:rsid w:val="003D694E"/>
    <w:rsid w:val="003D7567"/>
    <w:rsid w:val="003E0196"/>
    <w:rsid w:val="003E1774"/>
    <w:rsid w:val="003E1A9B"/>
    <w:rsid w:val="003E2576"/>
    <w:rsid w:val="003E2DE2"/>
    <w:rsid w:val="003E4346"/>
    <w:rsid w:val="003E4886"/>
    <w:rsid w:val="003E54C4"/>
    <w:rsid w:val="003E58F2"/>
    <w:rsid w:val="003E7B7C"/>
    <w:rsid w:val="003F0509"/>
    <w:rsid w:val="003F1ED1"/>
    <w:rsid w:val="003F248E"/>
    <w:rsid w:val="003F7929"/>
    <w:rsid w:val="00400000"/>
    <w:rsid w:val="00403D05"/>
    <w:rsid w:val="004062BA"/>
    <w:rsid w:val="004111EE"/>
    <w:rsid w:val="00414FC9"/>
    <w:rsid w:val="0041594A"/>
    <w:rsid w:val="0041689B"/>
    <w:rsid w:val="00417903"/>
    <w:rsid w:val="00417B82"/>
    <w:rsid w:val="004218D8"/>
    <w:rsid w:val="00424176"/>
    <w:rsid w:val="004301D4"/>
    <w:rsid w:val="004316D8"/>
    <w:rsid w:val="00433ED8"/>
    <w:rsid w:val="00433F6F"/>
    <w:rsid w:val="0043454A"/>
    <w:rsid w:val="004350B0"/>
    <w:rsid w:val="00435103"/>
    <w:rsid w:val="0043629B"/>
    <w:rsid w:val="00440647"/>
    <w:rsid w:val="00440ADD"/>
    <w:rsid w:val="004416E7"/>
    <w:rsid w:val="00442D20"/>
    <w:rsid w:val="0044311C"/>
    <w:rsid w:val="004436C2"/>
    <w:rsid w:val="00447682"/>
    <w:rsid w:val="004509B9"/>
    <w:rsid w:val="00454572"/>
    <w:rsid w:val="0045460C"/>
    <w:rsid w:val="004546C8"/>
    <w:rsid w:val="00455406"/>
    <w:rsid w:val="00455F8C"/>
    <w:rsid w:val="00455FD0"/>
    <w:rsid w:val="00457266"/>
    <w:rsid w:val="004625C8"/>
    <w:rsid w:val="00462BCC"/>
    <w:rsid w:val="00463A11"/>
    <w:rsid w:val="00463CA0"/>
    <w:rsid w:val="00463D30"/>
    <w:rsid w:val="00465B71"/>
    <w:rsid w:val="00470EE3"/>
    <w:rsid w:val="00472292"/>
    <w:rsid w:val="00472841"/>
    <w:rsid w:val="004749F8"/>
    <w:rsid w:val="00475A70"/>
    <w:rsid w:val="00475D95"/>
    <w:rsid w:val="0048233D"/>
    <w:rsid w:val="004845E6"/>
    <w:rsid w:val="00485D2F"/>
    <w:rsid w:val="0048697C"/>
    <w:rsid w:val="00487549"/>
    <w:rsid w:val="00493FE3"/>
    <w:rsid w:val="00494940"/>
    <w:rsid w:val="004952CC"/>
    <w:rsid w:val="004A2894"/>
    <w:rsid w:val="004A3222"/>
    <w:rsid w:val="004A3EA0"/>
    <w:rsid w:val="004A5256"/>
    <w:rsid w:val="004A5632"/>
    <w:rsid w:val="004A582D"/>
    <w:rsid w:val="004A6258"/>
    <w:rsid w:val="004A6523"/>
    <w:rsid w:val="004A7689"/>
    <w:rsid w:val="004A79C7"/>
    <w:rsid w:val="004A7E38"/>
    <w:rsid w:val="004B28FD"/>
    <w:rsid w:val="004B3E71"/>
    <w:rsid w:val="004B4794"/>
    <w:rsid w:val="004B5582"/>
    <w:rsid w:val="004B7299"/>
    <w:rsid w:val="004C044C"/>
    <w:rsid w:val="004C0962"/>
    <w:rsid w:val="004C26CF"/>
    <w:rsid w:val="004C4346"/>
    <w:rsid w:val="004C5EA3"/>
    <w:rsid w:val="004C662E"/>
    <w:rsid w:val="004C670D"/>
    <w:rsid w:val="004C70B6"/>
    <w:rsid w:val="004C76BF"/>
    <w:rsid w:val="004D1C77"/>
    <w:rsid w:val="004E028E"/>
    <w:rsid w:val="004E0A97"/>
    <w:rsid w:val="004E0C6D"/>
    <w:rsid w:val="004E0D03"/>
    <w:rsid w:val="004E2076"/>
    <w:rsid w:val="004E214B"/>
    <w:rsid w:val="004E4A31"/>
    <w:rsid w:val="004E6837"/>
    <w:rsid w:val="004E7749"/>
    <w:rsid w:val="004F186D"/>
    <w:rsid w:val="004F2A07"/>
    <w:rsid w:val="004F3948"/>
    <w:rsid w:val="004F4912"/>
    <w:rsid w:val="004F737A"/>
    <w:rsid w:val="00502515"/>
    <w:rsid w:val="00503852"/>
    <w:rsid w:val="00506E59"/>
    <w:rsid w:val="00506F5F"/>
    <w:rsid w:val="00510262"/>
    <w:rsid w:val="005107AA"/>
    <w:rsid w:val="005113ED"/>
    <w:rsid w:val="00511A52"/>
    <w:rsid w:val="00511BE3"/>
    <w:rsid w:val="00512FA0"/>
    <w:rsid w:val="00513588"/>
    <w:rsid w:val="00516AE2"/>
    <w:rsid w:val="00517850"/>
    <w:rsid w:val="00520307"/>
    <w:rsid w:val="00520575"/>
    <w:rsid w:val="00520950"/>
    <w:rsid w:val="005216AD"/>
    <w:rsid w:val="00522655"/>
    <w:rsid w:val="0052419D"/>
    <w:rsid w:val="0052440A"/>
    <w:rsid w:val="00525A63"/>
    <w:rsid w:val="00527C20"/>
    <w:rsid w:val="00530190"/>
    <w:rsid w:val="005333CE"/>
    <w:rsid w:val="00540E14"/>
    <w:rsid w:val="00541C5D"/>
    <w:rsid w:val="00544F38"/>
    <w:rsid w:val="0054545E"/>
    <w:rsid w:val="00545803"/>
    <w:rsid w:val="00545C37"/>
    <w:rsid w:val="00546164"/>
    <w:rsid w:val="005468E1"/>
    <w:rsid w:val="0054739A"/>
    <w:rsid w:val="005475F5"/>
    <w:rsid w:val="00551C03"/>
    <w:rsid w:val="005523FD"/>
    <w:rsid w:val="00556CD5"/>
    <w:rsid w:val="00560021"/>
    <w:rsid w:val="0056037C"/>
    <w:rsid w:val="005612C4"/>
    <w:rsid w:val="00561BF3"/>
    <w:rsid w:val="00562218"/>
    <w:rsid w:val="005632CF"/>
    <w:rsid w:val="00563817"/>
    <w:rsid w:val="005666EE"/>
    <w:rsid w:val="00571496"/>
    <w:rsid w:val="00572C73"/>
    <w:rsid w:val="00572D5B"/>
    <w:rsid w:val="00573512"/>
    <w:rsid w:val="00573CBE"/>
    <w:rsid w:val="00574759"/>
    <w:rsid w:val="00574AD1"/>
    <w:rsid w:val="00577044"/>
    <w:rsid w:val="00577F5E"/>
    <w:rsid w:val="0058096C"/>
    <w:rsid w:val="00581CB6"/>
    <w:rsid w:val="00585710"/>
    <w:rsid w:val="005871D4"/>
    <w:rsid w:val="005878E8"/>
    <w:rsid w:val="00587A69"/>
    <w:rsid w:val="00587DBC"/>
    <w:rsid w:val="0059252A"/>
    <w:rsid w:val="0059306E"/>
    <w:rsid w:val="00595A65"/>
    <w:rsid w:val="005962A3"/>
    <w:rsid w:val="005A0B34"/>
    <w:rsid w:val="005A21A9"/>
    <w:rsid w:val="005A3422"/>
    <w:rsid w:val="005A4A0D"/>
    <w:rsid w:val="005A6634"/>
    <w:rsid w:val="005A7626"/>
    <w:rsid w:val="005B2D81"/>
    <w:rsid w:val="005B34FF"/>
    <w:rsid w:val="005B40F9"/>
    <w:rsid w:val="005B5E2B"/>
    <w:rsid w:val="005B6AE1"/>
    <w:rsid w:val="005B77FD"/>
    <w:rsid w:val="005B7DA0"/>
    <w:rsid w:val="005C67FD"/>
    <w:rsid w:val="005C75FF"/>
    <w:rsid w:val="005C7B84"/>
    <w:rsid w:val="005D09FC"/>
    <w:rsid w:val="005D0A46"/>
    <w:rsid w:val="005D123A"/>
    <w:rsid w:val="005D1EF9"/>
    <w:rsid w:val="005D28A6"/>
    <w:rsid w:val="005D2E6D"/>
    <w:rsid w:val="005D314B"/>
    <w:rsid w:val="005D33E7"/>
    <w:rsid w:val="005D47A5"/>
    <w:rsid w:val="005D61D7"/>
    <w:rsid w:val="005E107C"/>
    <w:rsid w:val="005E1262"/>
    <w:rsid w:val="005E20D6"/>
    <w:rsid w:val="005E30BF"/>
    <w:rsid w:val="005E5E55"/>
    <w:rsid w:val="005F1191"/>
    <w:rsid w:val="005F1836"/>
    <w:rsid w:val="005F228B"/>
    <w:rsid w:val="005F4E79"/>
    <w:rsid w:val="005F7C2F"/>
    <w:rsid w:val="0060064E"/>
    <w:rsid w:val="00603891"/>
    <w:rsid w:val="006039C7"/>
    <w:rsid w:val="006054F5"/>
    <w:rsid w:val="00605DF5"/>
    <w:rsid w:val="006077E1"/>
    <w:rsid w:val="00611919"/>
    <w:rsid w:val="00611BB7"/>
    <w:rsid w:val="006125B0"/>
    <w:rsid w:val="006128FF"/>
    <w:rsid w:val="00613635"/>
    <w:rsid w:val="00613BB7"/>
    <w:rsid w:val="00615F82"/>
    <w:rsid w:val="00617121"/>
    <w:rsid w:val="006207BA"/>
    <w:rsid w:val="00621367"/>
    <w:rsid w:val="006217E7"/>
    <w:rsid w:val="006231D0"/>
    <w:rsid w:val="00624387"/>
    <w:rsid w:val="00625317"/>
    <w:rsid w:val="00625764"/>
    <w:rsid w:val="006257E6"/>
    <w:rsid w:val="00627D11"/>
    <w:rsid w:val="00630857"/>
    <w:rsid w:val="00631672"/>
    <w:rsid w:val="00631A5A"/>
    <w:rsid w:val="00631AF7"/>
    <w:rsid w:val="00632ADA"/>
    <w:rsid w:val="00632D99"/>
    <w:rsid w:val="006347DA"/>
    <w:rsid w:val="0063510D"/>
    <w:rsid w:val="00635345"/>
    <w:rsid w:val="0063574A"/>
    <w:rsid w:val="006368FC"/>
    <w:rsid w:val="006376E6"/>
    <w:rsid w:val="006407ED"/>
    <w:rsid w:val="00642540"/>
    <w:rsid w:val="00645687"/>
    <w:rsid w:val="00647C9F"/>
    <w:rsid w:val="00652309"/>
    <w:rsid w:val="00653D26"/>
    <w:rsid w:val="006540AA"/>
    <w:rsid w:val="006547F8"/>
    <w:rsid w:val="00660485"/>
    <w:rsid w:val="00660F56"/>
    <w:rsid w:val="00663D96"/>
    <w:rsid w:val="006643F8"/>
    <w:rsid w:val="00664659"/>
    <w:rsid w:val="006653E4"/>
    <w:rsid w:val="00667524"/>
    <w:rsid w:val="00671125"/>
    <w:rsid w:val="00680251"/>
    <w:rsid w:val="006813B5"/>
    <w:rsid w:val="006821F1"/>
    <w:rsid w:val="006841AE"/>
    <w:rsid w:val="00684695"/>
    <w:rsid w:val="00687316"/>
    <w:rsid w:val="00687784"/>
    <w:rsid w:val="0069014D"/>
    <w:rsid w:val="00690212"/>
    <w:rsid w:val="00692F90"/>
    <w:rsid w:val="006956D1"/>
    <w:rsid w:val="006A0CBC"/>
    <w:rsid w:val="006A12A1"/>
    <w:rsid w:val="006A3883"/>
    <w:rsid w:val="006A3FC0"/>
    <w:rsid w:val="006A56C6"/>
    <w:rsid w:val="006A60EF"/>
    <w:rsid w:val="006A62E2"/>
    <w:rsid w:val="006B1982"/>
    <w:rsid w:val="006B1A88"/>
    <w:rsid w:val="006B4BA1"/>
    <w:rsid w:val="006B63C8"/>
    <w:rsid w:val="006C0275"/>
    <w:rsid w:val="006C288D"/>
    <w:rsid w:val="006C3127"/>
    <w:rsid w:val="006C45B4"/>
    <w:rsid w:val="006C4850"/>
    <w:rsid w:val="006C5BBE"/>
    <w:rsid w:val="006C68C2"/>
    <w:rsid w:val="006D00AE"/>
    <w:rsid w:val="006D00F1"/>
    <w:rsid w:val="006D0673"/>
    <w:rsid w:val="006D0867"/>
    <w:rsid w:val="006D12C2"/>
    <w:rsid w:val="006D4492"/>
    <w:rsid w:val="006D5012"/>
    <w:rsid w:val="006D52B4"/>
    <w:rsid w:val="006D58B1"/>
    <w:rsid w:val="006D5DB4"/>
    <w:rsid w:val="006D771C"/>
    <w:rsid w:val="006E0E1E"/>
    <w:rsid w:val="006E0F0B"/>
    <w:rsid w:val="006E114B"/>
    <w:rsid w:val="006E1438"/>
    <w:rsid w:val="006E38C7"/>
    <w:rsid w:val="006E3C60"/>
    <w:rsid w:val="006E6E62"/>
    <w:rsid w:val="006F70C5"/>
    <w:rsid w:val="007000B2"/>
    <w:rsid w:val="00700695"/>
    <w:rsid w:val="00701A55"/>
    <w:rsid w:val="00707B30"/>
    <w:rsid w:val="007132D6"/>
    <w:rsid w:val="0071468F"/>
    <w:rsid w:val="00715F4D"/>
    <w:rsid w:val="007179C1"/>
    <w:rsid w:val="007209A0"/>
    <w:rsid w:val="007212A5"/>
    <w:rsid w:val="00722DD8"/>
    <w:rsid w:val="00724ED7"/>
    <w:rsid w:val="007262B3"/>
    <w:rsid w:val="0072700C"/>
    <w:rsid w:val="0073177A"/>
    <w:rsid w:val="007372AE"/>
    <w:rsid w:val="007373A1"/>
    <w:rsid w:val="00737CC1"/>
    <w:rsid w:val="00743AAD"/>
    <w:rsid w:val="007440CC"/>
    <w:rsid w:val="007459F5"/>
    <w:rsid w:val="00745F93"/>
    <w:rsid w:val="0074600C"/>
    <w:rsid w:val="0074617C"/>
    <w:rsid w:val="00746645"/>
    <w:rsid w:val="007474BD"/>
    <w:rsid w:val="007476B4"/>
    <w:rsid w:val="00747897"/>
    <w:rsid w:val="00751175"/>
    <w:rsid w:val="00752368"/>
    <w:rsid w:val="00752C6C"/>
    <w:rsid w:val="00752DEC"/>
    <w:rsid w:val="0075444D"/>
    <w:rsid w:val="007549FA"/>
    <w:rsid w:val="007567ED"/>
    <w:rsid w:val="00757095"/>
    <w:rsid w:val="0075762F"/>
    <w:rsid w:val="007605BB"/>
    <w:rsid w:val="00761412"/>
    <w:rsid w:val="00761D3C"/>
    <w:rsid w:val="00763263"/>
    <w:rsid w:val="00763286"/>
    <w:rsid w:val="00767B74"/>
    <w:rsid w:val="007708F0"/>
    <w:rsid w:val="007714D3"/>
    <w:rsid w:val="007756B9"/>
    <w:rsid w:val="00775A54"/>
    <w:rsid w:val="00775F54"/>
    <w:rsid w:val="00777563"/>
    <w:rsid w:val="00777C23"/>
    <w:rsid w:val="0078172D"/>
    <w:rsid w:val="00781FBE"/>
    <w:rsid w:val="0078447A"/>
    <w:rsid w:val="00784CE5"/>
    <w:rsid w:val="00786560"/>
    <w:rsid w:val="00787085"/>
    <w:rsid w:val="007922EB"/>
    <w:rsid w:val="00792A86"/>
    <w:rsid w:val="0079416D"/>
    <w:rsid w:val="00794993"/>
    <w:rsid w:val="0079512A"/>
    <w:rsid w:val="007961B1"/>
    <w:rsid w:val="00796BD5"/>
    <w:rsid w:val="007A116A"/>
    <w:rsid w:val="007A1432"/>
    <w:rsid w:val="007A2667"/>
    <w:rsid w:val="007A6EA7"/>
    <w:rsid w:val="007A7450"/>
    <w:rsid w:val="007A76FA"/>
    <w:rsid w:val="007B1B3B"/>
    <w:rsid w:val="007B3264"/>
    <w:rsid w:val="007B35A1"/>
    <w:rsid w:val="007B3BB9"/>
    <w:rsid w:val="007B5872"/>
    <w:rsid w:val="007B5AEE"/>
    <w:rsid w:val="007B715B"/>
    <w:rsid w:val="007B7B8A"/>
    <w:rsid w:val="007C049F"/>
    <w:rsid w:val="007C1D9C"/>
    <w:rsid w:val="007C3741"/>
    <w:rsid w:val="007C4699"/>
    <w:rsid w:val="007C661C"/>
    <w:rsid w:val="007D2B63"/>
    <w:rsid w:val="007D31EE"/>
    <w:rsid w:val="007D33AA"/>
    <w:rsid w:val="007D54B0"/>
    <w:rsid w:val="007D7C98"/>
    <w:rsid w:val="007E1DE7"/>
    <w:rsid w:val="007E2EE9"/>
    <w:rsid w:val="007E3F64"/>
    <w:rsid w:val="007E506D"/>
    <w:rsid w:val="007E6D3A"/>
    <w:rsid w:val="007F12B7"/>
    <w:rsid w:val="007F556F"/>
    <w:rsid w:val="007F71FC"/>
    <w:rsid w:val="007F7571"/>
    <w:rsid w:val="008027D3"/>
    <w:rsid w:val="00802800"/>
    <w:rsid w:val="008029E8"/>
    <w:rsid w:val="0080414F"/>
    <w:rsid w:val="00804209"/>
    <w:rsid w:val="008065E4"/>
    <w:rsid w:val="00811233"/>
    <w:rsid w:val="008141D2"/>
    <w:rsid w:val="008145CA"/>
    <w:rsid w:val="00814AEA"/>
    <w:rsid w:val="00814E6B"/>
    <w:rsid w:val="00815753"/>
    <w:rsid w:val="00815929"/>
    <w:rsid w:val="00816F8C"/>
    <w:rsid w:val="008214D6"/>
    <w:rsid w:val="00821F72"/>
    <w:rsid w:val="00822CC1"/>
    <w:rsid w:val="008251FE"/>
    <w:rsid w:val="00825F83"/>
    <w:rsid w:val="008314B4"/>
    <w:rsid w:val="00835111"/>
    <w:rsid w:val="00835433"/>
    <w:rsid w:val="008371F8"/>
    <w:rsid w:val="00841CAB"/>
    <w:rsid w:val="00842CE6"/>
    <w:rsid w:val="00842F3D"/>
    <w:rsid w:val="008441A4"/>
    <w:rsid w:val="008448F7"/>
    <w:rsid w:val="00844F10"/>
    <w:rsid w:val="00845F28"/>
    <w:rsid w:val="00850924"/>
    <w:rsid w:val="00850E55"/>
    <w:rsid w:val="00850F9A"/>
    <w:rsid w:val="008515B1"/>
    <w:rsid w:val="008542B1"/>
    <w:rsid w:val="00854391"/>
    <w:rsid w:val="008544B0"/>
    <w:rsid w:val="00854EB7"/>
    <w:rsid w:val="008566DD"/>
    <w:rsid w:val="008570BB"/>
    <w:rsid w:val="00857232"/>
    <w:rsid w:val="008615C7"/>
    <w:rsid w:val="00863505"/>
    <w:rsid w:val="008644F4"/>
    <w:rsid w:val="00864E03"/>
    <w:rsid w:val="00865750"/>
    <w:rsid w:val="00865A48"/>
    <w:rsid w:val="00865F2F"/>
    <w:rsid w:val="00866488"/>
    <w:rsid w:val="00870BB6"/>
    <w:rsid w:val="00871ED7"/>
    <w:rsid w:val="00877A57"/>
    <w:rsid w:val="00877D54"/>
    <w:rsid w:val="008805F8"/>
    <w:rsid w:val="00882CA1"/>
    <w:rsid w:val="00890756"/>
    <w:rsid w:val="00890AC8"/>
    <w:rsid w:val="00891021"/>
    <w:rsid w:val="008950DD"/>
    <w:rsid w:val="00896A1D"/>
    <w:rsid w:val="00896BBC"/>
    <w:rsid w:val="008A0621"/>
    <w:rsid w:val="008A0B05"/>
    <w:rsid w:val="008A0B58"/>
    <w:rsid w:val="008A1645"/>
    <w:rsid w:val="008A1719"/>
    <w:rsid w:val="008A408E"/>
    <w:rsid w:val="008A532A"/>
    <w:rsid w:val="008A6130"/>
    <w:rsid w:val="008B07C1"/>
    <w:rsid w:val="008B0A6A"/>
    <w:rsid w:val="008B17DB"/>
    <w:rsid w:val="008B1E79"/>
    <w:rsid w:val="008B3DA8"/>
    <w:rsid w:val="008B4DCB"/>
    <w:rsid w:val="008B6101"/>
    <w:rsid w:val="008B6419"/>
    <w:rsid w:val="008B6FC1"/>
    <w:rsid w:val="008B7228"/>
    <w:rsid w:val="008B756B"/>
    <w:rsid w:val="008B7CA1"/>
    <w:rsid w:val="008C0F7D"/>
    <w:rsid w:val="008C2B0B"/>
    <w:rsid w:val="008C54E8"/>
    <w:rsid w:val="008C56F3"/>
    <w:rsid w:val="008C79D5"/>
    <w:rsid w:val="008D1478"/>
    <w:rsid w:val="008D1951"/>
    <w:rsid w:val="008D29CF"/>
    <w:rsid w:val="008D3367"/>
    <w:rsid w:val="008D4649"/>
    <w:rsid w:val="008D4DEA"/>
    <w:rsid w:val="008D557E"/>
    <w:rsid w:val="008D691C"/>
    <w:rsid w:val="008E1601"/>
    <w:rsid w:val="008E2344"/>
    <w:rsid w:val="008E4EA5"/>
    <w:rsid w:val="008E4EC3"/>
    <w:rsid w:val="008E6659"/>
    <w:rsid w:val="008F2657"/>
    <w:rsid w:val="008F2FF6"/>
    <w:rsid w:val="008F3883"/>
    <w:rsid w:val="008F6368"/>
    <w:rsid w:val="008F6679"/>
    <w:rsid w:val="008F6F4D"/>
    <w:rsid w:val="008F7222"/>
    <w:rsid w:val="00901B09"/>
    <w:rsid w:val="00902D98"/>
    <w:rsid w:val="00902E8E"/>
    <w:rsid w:val="00905281"/>
    <w:rsid w:val="0090637F"/>
    <w:rsid w:val="009065DF"/>
    <w:rsid w:val="00907BB7"/>
    <w:rsid w:val="00910DDF"/>
    <w:rsid w:val="00911AE0"/>
    <w:rsid w:val="00914812"/>
    <w:rsid w:val="009170AB"/>
    <w:rsid w:val="00920FAD"/>
    <w:rsid w:val="0092117A"/>
    <w:rsid w:val="00924114"/>
    <w:rsid w:val="00924F46"/>
    <w:rsid w:val="00925375"/>
    <w:rsid w:val="00927029"/>
    <w:rsid w:val="00927647"/>
    <w:rsid w:val="00930568"/>
    <w:rsid w:val="00930732"/>
    <w:rsid w:val="00930C4A"/>
    <w:rsid w:val="00931998"/>
    <w:rsid w:val="00933F32"/>
    <w:rsid w:val="00935D64"/>
    <w:rsid w:val="00936241"/>
    <w:rsid w:val="00936383"/>
    <w:rsid w:val="009377E8"/>
    <w:rsid w:val="0094298D"/>
    <w:rsid w:val="00942F5C"/>
    <w:rsid w:val="00943615"/>
    <w:rsid w:val="00943E7C"/>
    <w:rsid w:val="00944F3F"/>
    <w:rsid w:val="0094602C"/>
    <w:rsid w:val="00946C4E"/>
    <w:rsid w:val="009472B8"/>
    <w:rsid w:val="00952EE1"/>
    <w:rsid w:val="009546C3"/>
    <w:rsid w:val="00954BD8"/>
    <w:rsid w:val="0095579E"/>
    <w:rsid w:val="00955A4B"/>
    <w:rsid w:val="00955C35"/>
    <w:rsid w:val="0095615F"/>
    <w:rsid w:val="009613B9"/>
    <w:rsid w:val="00962E12"/>
    <w:rsid w:val="0096315C"/>
    <w:rsid w:val="00963184"/>
    <w:rsid w:val="00966104"/>
    <w:rsid w:val="00967464"/>
    <w:rsid w:val="009709E2"/>
    <w:rsid w:val="00970A61"/>
    <w:rsid w:val="00970B52"/>
    <w:rsid w:val="0097150D"/>
    <w:rsid w:val="00971BF8"/>
    <w:rsid w:val="009724F3"/>
    <w:rsid w:val="00972613"/>
    <w:rsid w:val="00972945"/>
    <w:rsid w:val="009751EE"/>
    <w:rsid w:val="009771BF"/>
    <w:rsid w:val="009775DC"/>
    <w:rsid w:val="009801F9"/>
    <w:rsid w:val="009804CB"/>
    <w:rsid w:val="00980EDA"/>
    <w:rsid w:val="00982F4D"/>
    <w:rsid w:val="00985C79"/>
    <w:rsid w:val="00985EE8"/>
    <w:rsid w:val="009861D3"/>
    <w:rsid w:val="00986D01"/>
    <w:rsid w:val="009878FC"/>
    <w:rsid w:val="00987CCA"/>
    <w:rsid w:val="009913BC"/>
    <w:rsid w:val="00991723"/>
    <w:rsid w:val="00992036"/>
    <w:rsid w:val="00997CD0"/>
    <w:rsid w:val="009A183A"/>
    <w:rsid w:val="009A4CDB"/>
    <w:rsid w:val="009A7AE2"/>
    <w:rsid w:val="009A7C0E"/>
    <w:rsid w:val="009B1506"/>
    <w:rsid w:val="009B2741"/>
    <w:rsid w:val="009B2E09"/>
    <w:rsid w:val="009B4FA2"/>
    <w:rsid w:val="009B51C4"/>
    <w:rsid w:val="009B578D"/>
    <w:rsid w:val="009B736C"/>
    <w:rsid w:val="009B7433"/>
    <w:rsid w:val="009C02FA"/>
    <w:rsid w:val="009C0DA9"/>
    <w:rsid w:val="009C1022"/>
    <w:rsid w:val="009C13B2"/>
    <w:rsid w:val="009C37DB"/>
    <w:rsid w:val="009C4036"/>
    <w:rsid w:val="009C4AEC"/>
    <w:rsid w:val="009C55C1"/>
    <w:rsid w:val="009C5BB8"/>
    <w:rsid w:val="009C620C"/>
    <w:rsid w:val="009D03C1"/>
    <w:rsid w:val="009D2374"/>
    <w:rsid w:val="009D23C6"/>
    <w:rsid w:val="009D2E7D"/>
    <w:rsid w:val="009D2F6F"/>
    <w:rsid w:val="009D3548"/>
    <w:rsid w:val="009D5A99"/>
    <w:rsid w:val="009D6644"/>
    <w:rsid w:val="009E2C04"/>
    <w:rsid w:val="009E2F6F"/>
    <w:rsid w:val="009E60A9"/>
    <w:rsid w:val="009E6C2B"/>
    <w:rsid w:val="009F10AF"/>
    <w:rsid w:val="009F24A1"/>
    <w:rsid w:val="009F3E60"/>
    <w:rsid w:val="009F4E15"/>
    <w:rsid w:val="009F6AFB"/>
    <w:rsid w:val="009F6CE6"/>
    <w:rsid w:val="00A00111"/>
    <w:rsid w:val="00A00CD7"/>
    <w:rsid w:val="00A00FA6"/>
    <w:rsid w:val="00A01ACC"/>
    <w:rsid w:val="00A03E7C"/>
    <w:rsid w:val="00A05A4E"/>
    <w:rsid w:val="00A0649E"/>
    <w:rsid w:val="00A071D2"/>
    <w:rsid w:val="00A100D0"/>
    <w:rsid w:val="00A11006"/>
    <w:rsid w:val="00A12716"/>
    <w:rsid w:val="00A12B04"/>
    <w:rsid w:val="00A13EC6"/>
    <w:rsid w:val="00A14DB3"/>
    <w:rsid w:val="00A1558D"/>
    <w:rsid w:val="00A15F66"/>
    <w:rsid w:val="00A1611A"/>
    <w:rsid w:val="00A17893"/>
    <w:rsid w:val="00A22439"/>
    <w:rsid w:val="00A24070"/>
    <w:rsid w:val="00A2414F"/>
    <w:rsid w:val="00A25A4D"/>
    <w:rsid w:val="00A25AD3"/>
    <w:rsid w:val="00A25CAD"/>
    <w:rsid w:val="00A271F1"/>
    <w:rsid w:val="00A2799C"/>
    <w:rsid w:val="00A313BC"/>
    <w:rsid w:val="00A31E55"/>
    <w:rsid w:val="00A32B26"/>
    <w:rsid w:val="00A35EE1"/>
    <w:rsid w:val="00A37433"/>
    <w:rsid w:val="00A40B93"/>
    <w:rsid w:val="00A41BF9"/>
    <w:rsid w:val="00A42D75"/>
    <w:rsid w:val="00A43DA3"/>
    <w:rsid w:val="00A442B6"/>
    <w:rsid w:val="00A443A8"/>
    <w:rsid w:val="00A456AD"/>
    <w:rsid w:val="00A45785"/>
    <w:rsid w:val="00A47661"/>
    <w:rsid w:val="00A5138E"/>
    <w:rsid w:val="00A531D6"/>
    <w:rsid w:val="00A536A9"/>
    <w:rsid w:val="00A54F42"/>
    <w:rsid w:val="00A570D8"/>
    <w:rsid w:val="00A612EA"/>
    <w:rsid w:val="00A61356"/>
    <w:rsid w:val="00A61B97"/>
    <w:rsid w:val="00A679ED"/>
    <w:rsid w:val="00A711A2"/>
    <w:rsid w:val="00A72A09"/>
    <w:rsid w:val="00A750CD"/>
    <w:rsid w:val="00A75100"/>
    <w:rsid w:val="00A75513"/>
    <w:rsid w:val="00A76629"/>
    <w:rsid w:val="00A76F48"/>
    <w:rsid w:val="00A77A0F"/>
    <w:rsid w:val="00A80812"/>
    <w:rsid w:val="00A81327"/>
    <w:rsid w:val="00A8153C"/>
    <w:rsid w:val="00A81921"/>
    <w:rsid w:val="00A82D21"/>
    <w:rsid w:val="00A83F9D"/>
    <w:rsid w:val="00A87FE9"/>
    <w:rsid w:val="00A91BFE"/>
    <w:rsid w:val="00A92000"/>
    <w:rsid w:val="00A9203E"/>
    <w:rsid w:val="00A9468B"/>
    <w:rsid w:val="00A95B0D"/>
    <w:rsid w:val="00A96198"/>
    <w:rsid w:val="00A96245"/>
    <w:rsid w:val="00A9767E"/>
    <w:rsid w:val="00AA136C"/>
    <w:rsid w:val="00AA3DB5"/>
    <w:rsid w:val="00AA437E"/>
    <w:rsid w:val="00AA4C92"/>
    <w:rsid w:val="00AA6864"/>
    <w:rsid w:val="00AA6B80"/>
    <w:rsid w:val="00AA6B98"/>
    <w:rsid w:val="00AA6CBA"/>
    <w:rsid w:val="00AA724E"/>
    <w:rsid w:val="00AA7E27"/>
    <w:rsid w:val="00AB12ED"/>
    <w:rsid w:val="00AB3F85"/>
    <w:rsid w:val="00AB4D38"/>
    <w:rsid w:val="00AB61BE"/>
    <w:rsid w:val="00AB6F3A"/>
    <w:rsid w:val="00AC0630"/>
    <w:rsid w:val="00AC1F20"/>
    <w:rsid w:val="00AC3CB2"/>
    <w:rsid w:val="00AD06C7"/>
    <w:rsid w:val="00AD1398"/>
    <w:rsid w:val="00AD3D1C"/>
    <w:rsid w:val="00AD3FEE"/>
    <w:rsid w:val="00AD4F07"/>
    <w:rsid w:val="00AD6CE2"/>
    <w:rsid w:val="00AD7160"/>
    <w:rsid w:val="00AE16F0"/>
    <w:rsid w:val="00AE514E"/>
    <w:rsid w:val="00AE5533"/>
    <w:rsid w:val="00AE695A"/>
    <w:rsid w:val="00AF03E8"/>
    <w:rsid w:val="00AF3586"/>
    <w:rsid w:val="00AF59C8"/>
    <w:rsid w:val="00AF6428"/>
    <w:rsid w:val="00AF77D5"/>
    <w:rsid w:val="00B0233C"/>
    <w:rsid w:val="00B02CE0"/>
    <w:rsid w:val="00B03650"/>
    <w:rsid w:val="00B03CD8"/>
    <w:rsid w:val="00B0474B"/>
    <w:rsid w:val="00B04FCA"/>
    <w:rsid w:val="00B058CE"/>
    <w:rsid w:val="00B06D69"/>
    <w:rsid w:val="00B10F6C"/>
    <w:rsid w:val="00B11F79"/>
    <w:rsid w:val="00B1502C"/>
    <w:rsid w:val="00B1606E"/>
    <w:rsid w:val="00B16873"/>
    <w:rsid w:val="00B20892"/>
    <w:rsid w:val="00B23286"/>
    <w:rsid w:val="00B241D8"/>
    <w:rsid w:val="00B25AAF"/>
    <w:rsid w:val="00B25E03"/>
    <w:rsid w:val="00B27013"/>
    <w:rsid w:val="00B270F3"/>
    <w:rsid w:val="00B27B2A"/>
    <w:rsid w:val="00B3037B"/>
    <w:rsid w:val="00B30494"/>
    <w:rsid w:val="00B30D4B"/>
    <w:rsid w:val="00B318F4"/>
    <w:rsid w:val="00B326F1"/>
    <w:rsid w:val="00B329BA"/>
    <w:rsid w:val="00B32B24"/>
    <w:rsid w:val="00B33BA8"/>
    <w:rsid w:val="00B34795"/>
    <w:rsid w:val="00B3533E"/>
    <w:rsid w:val="00B358A6"/>
    <w:rsid w:val="00B35B9E"/>
    <w:rsid w:val="00B35CC4"/>
    <w:rsid w:val="00B40E18"/>
    <w:rsid w:val="00B41507"/>
    <w:rsid w:val="00B43130"/>
    <w:rsid w:val="00B43429"/>
    <w:rsid w:val="00B448B5"/>
    <w:rsid w:val="00B44C15"/>
    <w:rsid w:val="00B45846"/>
    <w:rsid w:val="00B47A3E"/>
    <w:rsid w:val="00B51AC5"/>
    <w:rsid w:val="00B52668"/>
    <w:rsid w:val="00B54D88"/>
    <w:rsid w:val="00B57980"/>
    <w:rsid w:val="00B6098A"/>
    <w:rsid w:val="00B61962"/>
    <w:rsid w:val="00B62C53"/>
    <w:rsid w:val="00B6419F"/>
    <w:rsid w:val="00B6435E"/>
    <w:rsid w:val="00B65287"/>
    <w:rsid w:val="00B66FCA"/>
    <w:rsid w:val="00B6712F"/>
    <w:rsid w:val="00B67EEA"/>
    <w:rsid w:val="00B700B1"/>
    <w:rsid w:val="00B72006"/>
    <w:rsid w:val="00B72414"/>
    <w:rsid w:val="00B73365"/>
    <w:rsid w:val="00B7392A"/>
    <w:rsid w:val="00B73E53"/>
    <w:rsid w:val="00B749EF"/>
    <w:rsid w:val="00B75976"/>
    <w:rsid w:val="00B7715D"/>
    <w:rsid w:val="00B81216"/>
    <w:rsid w:val="00B820E3"/>
    <w:rsid w:val="00B82763"/>
    <w:rsid w:val="00B8506C"/>
    <w:rsid w:val="00B93CF7"/>
    <w:rsid w:val="00B94B8F"/>
    <w:rsid w:val="00B960B6"/>
    <w:rsid w:val="00B979C7"/>
    <w:rsid w:val="00BA0917"/>
    <w:rsid w:val="00BA095F"/>
    <w:rsid w:val="00BA17EB"/>
    <w:rsid w:val="00BA62D8"/>
    <w:rsid w:val="00BA6F1C"/>
    <w:rsid w:val="00BB07D3"/>
    <w:rsid w:val="00BB253B"/>
    <w:rsid w:val="00BB3B38"/>
    <w:rsid w:val="00BB6707"/>
    <w:rsid w:val="00BB7D17"/>
    <w:rsid w:val="00BB7EE0"/>
    <w:rsid w:val="00BC050A"/>
    <w:rsid w:val="00BC0566"/>
    <w:rsid w:val="00BC161E"/>
    <w:rsid w:val="00BC24AC"/>
    <w:rsid w:val="00BC2A66"/>
    <w:rsid w:val="00BC3196"/>
    <w:rsid w:val="00BC430D"/>
    <w:rsid w:val="00BC521E"/>
    <w:rsid w:val="00BC58E0"/>
    <w:rsid w:val="00BD024E"/>
    <w:rsid w:val="00BD034C"/>
    <w:rsid w:val="00BD0D36"/>
    <w:rsid w:val="00BD46E9"/>
    <w:rsid w:val="00BD522A"/>
    <w:rsid w:val="00BD5698"/>
    <w:rsid w:val="00BD592F"/>
    <w:rsid w:val="00BD598F"/>
    <w:rsid w:val="00BE04B6"/>
    <w:rsid w:val="00BE0996"/>
    <w:rsid w:val="00BE3A5A"/>
    <w:rsid w:val="00BE4C3D"/>
    <w:rsid w:val="00BE4F19"/>
    <w:rsid w:val="00BF2B6C"/>
    <w:rsid w:val="00BF2FCD"/>
    <w:rsid w:val="00BF332F"/>
    <w:rsid w:val="00C0074C"/>
    <w:rsid w:val="00C00F22"/>
    <w:rsid w:val="00C01512"/>
    <w:rsid w:val="00C02411"/>
    <w:rsid w:val="00C02B03"/>
    <w:rsid w:val="00C04B4C"/>
    <w:rsid w:val="00C05357"/>
    <w:rsid w:val="00C078BD"/>
    <w:rsid w:val="00C07AF5"/>
    <w:rsid w:val="00C1008B"/>
    <w:rsid w:val="00C11043"/>
    <w:rsid w:val="00C12BC5"/>
    <w:rsid w:val="00C1393F"/>
    <w:rsid w:val="00C16998"/>
    <w:rsid w:val="00C21EC6"/>
    <w:rsid w:val="00C23122"/>
    <w:rsid w:val="00C254B4"/>
    <w:rsid w:val="00C25AFB"/>
    <w:rsid w:val="00C26923"/>
    <w:rsid w:val="00C27728"/>
    <w:rsid w:val="00C27BD5"/>
    <w:rsid w:val="00C34B1C"/>
    <w:rsid w:val="00C34C60"/>
    <w:rsid w:val="00C35B55"/>
    <w:rsid w:val="00C36D0C"/>
    <w:rsid w:val="00C37B52"/>
    <w:rsid w:val="00C4285F"/>
    <w:rsid w:val="00C43D93"/>
    <w:rsid w:val="00C44B1D"/>
    <w:rsid w:val="00C45FE8"/>
    <w:rsid w:val="00C46042"/>
    <w:rsid w:val="00C50ED9"/>
    <w:rsid w:val="00C51426"/>
    <w:rsid w:val="00C52234"/>
    <w:rsid w:val="00C52688"/>
    <w:rsid w:val="00C52962"/>
    <w:rsid w:val="00C557C5"/>
    <w:rsid w:val="00C57C0C"/>
    <w:rsid w:val="00C60FF8"/>
    <w:rsid w:val="00C62BC1"/>
    <w:rsid w:val="00C65EC8"/>
    <w:rsid w:val="00C70227"/>
    <w:rsid w:val="00C707AD"/>
    <w:rsid w:val="00C70AC5"/>
    <w:rsid w:val="00C71803"/>
    <w:rsid w:val="00C7299E"/>
    <w:rsid w:val="00C7356A"/>
    <w:rsid w:val="00C74BEC"/>
    <w:rsid w:val="00C75068"/>
    <w:rsid w:val="00C7697E"/>
    <w:rsid w:val="00C778C7"/>
    <w:rsid w:val="00C77B03"/>
    <w:rsid w:val="00C80D8C"/>
    <w:rsid w:val="00C822D5"/>
    <w:rsid w:val="00C82B49"/>
    <w:rsid w:val="00C84E9B"/>
    <w:rsid w:val="00C862DF"/>
    <w:rsid w:val="00C8678B"/>
    <w:rsid w:val="00C87746"/>
    <w:rsid w:val="00C87A0E"/>
    <w:rsid w:val="00C87B9F"/>
    <w:rsid w:val="00C903A5"/>
    <w:rsid w:val="00C90A5D"/>
    <w:rsid w:val="00C91B37"/>
    <w:rsid w:val="00C938B3"/>
    <w:rsid w:val="00C9657A"/>
    <w:rsid w:val="00C96960"/>
    <w:rsid w:val="00CA087F"/>
    <w:rsid w:val="00CA3158"/>
    <w:rsid w:val="00CA4113"/>
    <w:rsid w:val="00CA4AE8"/>
    <w:rsid w:val="00CA4B4D"/>
    <w:rsid w:val="00CA4C44"/>
    <w:rsid w:val="00CA54F2"/>
    <w:rsid w:val="00CA5846"/>
    <w:rsid w:val="00CA5D3F"/>
    <w:rsid w:val="00CB5157"/>
    <w:rsid w:val="00CB52A2"/>
    <w:rsid w:val="00CC1126"/>
    <w:rsid w:val="00CC3208"/>
    <w:rsid w:val="00CC34E2"/>
    <w:rsid w:val="00CC532B"/>
    <w:rsid w:val="00CC70EC"/>
    <w:rsid w:val="00CC7D38"/>
    <w:rsid w:val="00CD0DEA"/>
    <w:rsid w:val="00CD15A8"/>
    <w:rsid w:val="00CD2BB2"/>
    <w:rsid w:val="00CD4236"/>
    <w:rsid w:val="00CD4412"/>
    <w:rsid w:val="00CD47CE"/>
    <w:rsid w:val="00CD677F"/>
    <w:rsid w:val="00CD6B0C"/>
    <w:rsid w:val="00CE0F9E"/>
    <w:rsid w:val="00CE2D61"/>
    <w:rsid w:val="00CE38E6"/>
    <w:rsid w:val="00CE50E8"/>
    <w:rsid w:val="00CE69F1"/>
    <w:rsid w:val="00CF1530"/>
    <w:rsid w:val="00CF160F"/>
    <w:rsid w:val="00CF5516"/>
    <w:rsid w:val="00CF5993"/>
    <w:rsid w:val="00CF6CF6"/>
    <w:rsid w:val="00D010C9"/>
    <w:rsid w:val="00D035BE"/>
    <w:rsid w:val="00D03A5F"/>
    <w:rsid w:val="00D03FF1"/>
    <w:rsid w:val="00D064C0"/>
    <w:rsid w:val="00D0667B"/>
    <w:rsid w:val="00D0743B"/>
    <w:rsid w:val="00D10563"/>
    <w:rsid w:val="00D1186F"/>
    <w:rsid w:val="00D12AAD"/>
    <w:rsid w:val="00D13973"/>
    <w:rsid w:val="00D13980"/>
    <w:rsid w:val="00D14DC9"/>
    <w:rsid w:val="00D14E5B"/>
    <w:rsid w:val="00D1578F"/>
    <w:rsid w:val="00D15F0E"/>
    <w:rsid w:val="00D1785D"/>
    <w:rsid w:val="00D2121E"/>
    <w:rsid w:val="00D24368"/>
    <w:rsid w:val="00D2614B"/>
    <w:rsid w:val="00D32996"/>
    <w:rsid w:val="00D36709"/>
    <w:rsid w:val="00D36C7C"/>
    <w:rsid w:val="00D37DB1"/>
    <w:rsid w:val="00D37E71"/>
    <w:rsid w:val="00D40CA5"/>
    <w:rsid w:val="00D40ED1"/>
    <w:rsid w:val="00D431FD"/>
    <w:rsid w:val="00D43255"/>
    <w:rsid w:val="00D45F94"/>
    <w:rsid w:val="00D46885"/>
    <w:rsid w:val="00D51914"/>
    <w:rsid w:val="00D52325"/>
    <w:rsid w:val="00D53A97"/>
    <w:rsid w:val="00D53AC4"/>
    <w:rsid w:val="00D54B01"/>
    <w:rsid w:val="00D5741C"/>
    <w:rsid w:val="00D6270C"/>
    <w:rsid w:val="00D62C68"/>
    <w:rsid w:val="00D71CA8"/>
    <w:rsid w:val="00D737BA"/>
    <w:rsid w:val="00D7533A"/>
    <w:rsid w:val="00D77902"/>
    <w:rsid w:val="00D77D27"/>
    <w:rsid w:val="00D80D2F"/>
    <w:rsid w:val="00D82D17"/>
    <w:rsid w:val="00D836D5"/>
    <w:rsid w:val="00D8388D"/>
    <w:rsid w:val="00D84C31"/>
    <w:rsid w:val="00D85AA0"/>
    <w:rsid w:val="00D85B52"/>
    <w:rsid w:val="00D86753"/>
    <w:rsid w:val="00D8691E"/>
    <w:rsid w:val="00D8784F"/>
    <w:rsid w:val="00D928C9"/>
    <w:rsid w:val="00D92DBF"/>
    <w:rsid w:val="00D93313"/>
    <w:rsid w:val="00D95DAE"/>
    <w:rsid w:val="00D96C61"/>
    <w:rsid w:val="00D97753"/>
    <w:rsid w:val="00D97AEA"/>
    <w:rsid w:val="00DA141A"/>
    <w:rsid w:val="00DA16F1"/>
    <w:rsid w:val="00DA1E00"/>
    <w:rsid w:val="00DA1F41"/>
    <w:rsid w:val="00DA2854"/>
    <w:rsid w:val="00DA3927"/>
    <w:rsid w:val="00DA3C45"/>
    <w:rsid w:val="00DA79C5"/>
    <w:rsid w:val="00DB1703"/>
    <w:rsid w:val="00DB26C9"/>
    <w:rsid w:val="00DB28EF"/>
    <w:rsid w:val="00DB34BB"/>
    <w:rsid w:val="00DB3CE3"/>
    <w:rsid w:val="00DB5DFE"/>
    <w:rsid w:val="00DC04FB"/>
    <w:rsid w:val="00DC05A8"/>
    <w:rsid w:val="00DC1FC5"/>
    <w:rsid w:val="00DC2F9A"/>
    <w:rsid w:val="00DC317C"/>
    <w:rsid w:val="00DC48F4"/>
    <w:rsid w:val="00DC4A00"/>
    <w:rsid w:val="00DC4BEB"/>
    <w:rsid w:val="00DC4E42"/>
    <w:rsid w:val="00DC759A"/>
    <w:rsid w:val="00DD12D3"/>
    <w:rsid w:val="00DD2F7D"/>
    <w:rsid w:val="00DD3A49"/>
    <w:rsid w:val="00DD3FA6"/>
    <w:rsid w:val="00DD4A88"/>
    <w:rsid w:val="00DE06D7"/>
    <w:rsid w:val="00DE3CDE"/>
    <w:rsid w:val="00DE4640"/>
    <w:rsid w:val="00DE47E1"/>
    <w:rsid w:val="00DE4F64"/>
    <w:rsid w:val="00DE6481"/>
    <w:rsid w:val="00DE7E89"/>
    <w:rsid w:val="00DF02DE"/>
    <w:rsid w:val="00DF1C6D"/>
    <w:rsid w:val="00DF34F4"/>
    <w:rsid w:val="00DF3E96"/>
    <w:rsid w:val="00DF3F71"/>
    <w:rsid w:val="00DF6F25"/>
    <w:rsid w:val="00E00422"/>
    <w:rsid w:val="00E00672"/>
    <w:rsid w:val="00E00B8E"/>
    <w:rsid w:val="00E00F45"/>
    <w:rsid w:val="00E02904"/>
    <w:rsid w:val="00E033D3"/>
    <w:rsid w:val="00E073B0"/>
    <w:rsid w:val="00E11FCB"/>
    <w:rsid w:val="00E1447B"/>
    <w:rsid w:val="00E15A8F"/>
    <w:rsid w:val="00E15DFB"/>
    <w:rsid w:val="00E15E3D"/>
    <w:rsid w:val="00E16FDA"/>
    <w:rsid w:val="00E17CCE"/>
    <w:rsid w:val="00E205DC"/>
    <w:rsid w:val="00E245D2"/>
    <w:rsid w:val="00E2474C"/>
    <w:rsid w:val="00E24DDB"/>
    <w:rsid w:val="00E25EAE"/>
    <w:rsid w:val="00E2671A"/>
    <w:rsid w:val="00E27017"/>
    <w:rsid w:val="00E31A41"/>
    <w:rsid w:val="00E31F5B"/>
    <w:rsid w:val="00E322DB"/>
    <w:rsid w:val="00E357A1"/>
    <w:rsid w:val="00E41630"/>
    <w:rsid w:val="00E41636"/>
    <w:rsid w:val="00E41CD7"/>
    <w:rsid w:val="00E43FF8"/>
    <w:rsid w:val="00E465BC"/>
    <w:rsid w:val="00E50A6A"/>
    <w:rsid w:val="00E51470"/>
    <w:rsid w:val="00E517CD"/>
    <w:rsid w:val="00E5264D"/>
    <w:rsid w:val="00E57766"/>
    <w:rsid w:val="00E57DC1"/>
    <w:rsid w:val="00E606F9"/>
    <w:rsid w:val="00E61894"/>
    <w:rsid w:val="00E61E0A"/>
    <w:rsid w:val="00E61FE4"/>
    <w:rsid w:val="00E63131"/>
    <w:rsid w:val="00E63F6F"/>
    <w:rsid w:val="00E65AD3"/>
    <w:rsid w:val="00E65C7E"/>
    <w:rsid w:val="00E6720E"/>
    <w:rsid w:val="00E71055"/>
    <w:rsid w:val="00E75906"/>
    <w:rsid w:val="00E80B11"/>
    <w:rsid w:val="00E82896"/>
    <w:rsid w:val="00E8453D"/>
    <w:rsid w:val="00E848A4"/>
    <w:rsid w:val="00E85B88"/>
    <w:rsid w:val="00E87880"/>
    <w:rsid w:val="00E90CD4"/>
    <w:rsid w:val="00E91E8B"/>
    <w:rsid w:val="00E96622"/>
    <w:rsid w:val="00EA0C9F"/>
    <w:rsid w:val="00EA11C2"/>
    <w:rsid w:val="00EA1B70"/>
    <w:rsid w:val="00EA297E"/>
    <w:rsid w:val="00EA2E14"/>
    <w:rsid w:val="00EA4409"/>
    <w:rsid w:val="00EA487E"/>
    <w:rsid w:val="00EA4943"/>
    <w:rsid w:val="00EA6493"/>
    <w:rsid w:val="00EB0227"/>
    <w:rsid w:val="00EB0AE1"/>
    <w:rsid w:val="00EB1C44"/>
    <w:rsid w:val="00EB6064"/>
    <w:rsid w:val="00EC1D4F"/>
    <w:rsid w:val="00EC27A4"/>
    <w:rsid w:val="00EC4530"/>
    <w:rsid w:val="00EC4E72"/>
    <w:rsid w:val="00ED0EAD"/>
    <w:rsid w:val="00ED2CBB"/>
    <w:rsid w:val="00ED3EFD"/>
    <w:rsid w:val="00ED430C"/>
    <w:rsid w:val="00ED7567"/>
    <w:rsid w:val="00EE07A3"/>
    <w:rsid w:val="00EE2521"/>
    <w:rsid w:val="00EE25C7"/>
    <w:rsid w:val="00EE2A1D"/>
    <w:rsid w:val="00EE2CBB"/>
    <w:rsid w:val="00EE3A99"/>
    <w:rsid w:val="00EE4DE1"/>
    <w:rsid w:val="00EF144F"/>
    <w:rsid w:val="00EF1A10"/>
    <w:rsid w:val="00EF26E0"/>
    <w:rsid w:val="00EF2F4F"/>
    <w:rsid w:val="00EF50A3"/>
    <w:rsid w:val="00EF563B"/>
    <w:rsid w:val="00EF6F94"/>
    <w:rsid w:val="00F0013C"/>
    <w:rsid w:val="00F0546F"/>
    <w:rsid w:val="00F05927"/>
    <w:rsid w:val="00F05CDA"/>
    <w:rsid w:val="00F07E07"/>
    <w:rsid w:val="00F101B3"/>
    <w:rsid w:val="00F117C0"/>
    <w:rsid w:val="00F12ACE"/>
    <w:rsid w:val="00F151C6"/>
    <w:rsid w:val="00F15317"/>
    <w:rsid w:val="00F1626D"/>
    <w:rsid w:val="00F17A05"/>
    <w:rsid w:val="00F20539"/>
    <w:rsid w:val="00F2270A"/>
    <w:rsid w:val="00F23FD0"/>
    <w:rsid w:val="00F2493E"/>
    <w:rsid w:val="00F26229"/>
    <w:rsid w:val="00F26A00"/>
    <w:rsid w:val="00F26CC2"/>
    <w:rsid w:val="00F2749E"/>
    <w:rsid w:val="00F2761C"/>
    <w:rsid w:val="00F27F28"/>
    <w:rsid w:val="00F30E27"/>
    <w:rsid w:val="00F30F6D"/>
    <w:rsid w:val="00F31007"/>
    <w:rsid w:val="00F32D01"/>
    <w:rsid w:val="00F33C74"/>
    <w:rsid w:val="00F35635"/>
    <w:rsid w:val="00F40F7D"/>
    <w:rsid w:val="00F41025"/>
    <w:rsid w:val="00F44713"/>
    <w:rsid w:val="00F46E69"/>
    <w:rsid w:val="00F507B0"/>
    <w:rsid w:val="00F50863"/>
    <w:rsid w:val="00F5160A"/>
    <w:rsid w:val="00F51730"/>
    <w:rsid w:val="00F51B6F"/>
    <w:rsid w:val="00F52277"/>
    <w:rsid w:val="00F52343"/>
    <w:rsid w:val="00F52E22"/>
    <w:rsid w:val="00F53603"/>
    <w:rsid w:val="00F54224"/>
    <w:rsid w:val="00F558D1"/>
    <w:rsid w:val="00F57422"/>
    <w:rsid w:val="00F62D66"/>
    <w:rsid w:val="00F64744"/>
    <w:rsid w:val="00F64A8A"/>
    <w:rsid w:val="00F7116D"/>
    <w:rsid w:val="00F71F70"/>
    <w:rsid w:val="00F721FB"/>
    <w:rsid w:val="00F73CF8"/>
    <w:rsid w:val="00F741E0"/>
    <w:rsid w:val="00F7547E"/>
    <w:rsid w:val="00F76474"/>
    <w:rsid w:val="00F76FF6"/>
    <w:rsid w:val="00F77EAA"/>
    <w:rsid w:val="00F80803"/>
    <w:rsid w:val="00F82F17"/>
    <w:rsid w:val="00F83449"/>
    <w:rsid w:val="00F841A4"/>
    <w:rsid w:val="00F84239"/>
    <w:rsid w:val="00F85910"/>
    <w:rsid w:val="00F865B9"/>
    <w:rsid w:val="00F8677F"/>
    <w:rsid w:val="00F9089C"/>
    <w:rsid w:val="00F90D9B"/>
    <w:rsid w:val="00F9161B"/>
    <w:rsid w:val="00F92608"/>
    <w:rsid w:val="00F92E2F"/>
    <w:rsid w:val="00F937CF"/>
    <w:rsid w:val="00F953EE"/>
    <w:rsid w:val="00FA04A4"/>
    <w:rsid w:val="00FA108F"/>
    <w:rsid w:val="00FA1638"/>
    <w:rsid w:val="00FA1CE8"/>
    <w:rsid w:val="00FA2BA3"/>
    <w:rsid w:val="00FA3350"/>
    <w:rsid w:val="00FA3706"/>
    <w:rsid w:val="00FA446A"/>
    <w:rsid w:val="00FA56F6"/>
    <w:rsid w:val="00FA67DF"/>
    <w:rsid w:val="00FB01D5"/>
    <w:rsid w:val="00FB0C32"/>
    <w:rsid w:val="00FB166D"/>
    <w:rsid w:val="00FB185A"/>
    <w:rsid w:val="00FB3559"/>
    <w:rsid w:val="00FB66D3"/>
    <w:rsid w:val="00FB6B34"/>
    <w:rsid w:val="00FB73C6"/>
    <w:rsid w:val="00FC087B"/>
    <w:rsid w:val="00FC1512"/>
    <w:rsid w:val="00FC187B"/>
    <w:rsid w:val="00FC3A6E"/>
    <w:rsid w:val="00FC621B"/>
    <w:rsid w:val="00FC6DA8"/>
    <w:rsid w:val="00FD069C"/>
    <w:rsid w:val="00FD0C84"/>
    <w:rsid w:val="00FD0EBC"/>
    <w:rsid w:val="00FD1033"/>
    <w:rsid w:val="00FD1D45"/>
    <w:rsid w:val="00FD29CF"/>
    <w:rsid w:val="00FD3548"/>
    <w:rsid w:val="00FD3A8E"/>
    <w:rsid w:val="00FD44F2"/>
    <w:rsid w:val="00FE0118"/>
    <w:rsid w:val="00FE2296"/>
    <w:rsid w:val="00FE591A"/>
    <w:rsid w:val="00FE5DBB"/>
    <w:rsid w:val="00FE7356"/>
    <w:rsid w:val="00FE7AB0"/>
    <w:rsid w:val="00FF19B1"/>
    <w:rsid w:val="00FF272D"/>
    <w:rsid w:val="00FF2F38"/>
    <w:rsid w:val="00FF7999"/>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0C11333"/>
  <w15:docId w15:val="{FB600A12-B7DF-499F-93B6-EF232360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75"/>
  </w:style>
  <w:style w:type="paragraph" w:styleId="Heading1">
    <w:name w:val="heading 1"/>
    <w:basedOn w:val="Normal"/>
    <w:next w:val="Normal"/>
    <w:link w:val="Heading1Char"/>
    <w:uiPriority w:val="9"/>
    <w:qFormat/>
    <w:rsid w:val="00F926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2227E8"/>
    <w:pPr>
      <w:keepNext/>
      <w:keepLines/>
      <w:widowControl w:val="0"/>
      <w:numPr>
        <w:ilvl w:val="2"/>
        <w:numId w:val="11"/>
      </w:numPr>
      <w:spacing w:after="240" w:line="360" w:lineRule="auto"/>
      <w:jc w:val="both"/>
      <w:outlineLvl w:val="2"/>
    </w:pPr>
    <w:rPr>
      <w:rFonts w:ascii="Arial" w:eastAsia="Times New Roman" w:hAnsi="Arial" w:cs="Arial"/>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3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5375"/>
  </w:style>
  <w:style w:type="paragraph" w:styleId="Footer">
    <w:name w:val="footer"/>
    <w:basedOn w:val="Normal"/>
    <w:link w:val="FooterChar"/>
    <w:uiPriority w:val="99"/>
    <w:unhideWhenUsed/>
    <w:rsid w:val="009253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5375"/>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rsid w:val="00925375"/>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rsid w:val="005216AD"/>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sid w:val="005216AD"/>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Ref"/>
    <w:basedOn w:val="DefaultParagraphFont"/>
    <w:uiPriority w:val="99"/>
    <w:unhideWhenUsed/>
    <w:qFormat/>
    <w:rsid w:val="007C3741"/>
    <w:rPr>
      <w:rFonts w:ascii="Times New Roman" w:hAnsi="Times New Roman" w:cs="Times New Roman"/>
      <w:sz w:val="20"/>
      <w:szCs w:val="20"/>
      <w:vertAlign w:val="superscript"/>
    </w:rPr>
  </w:style>
  <w:style w:type="table" w:styleId="TableGrid">
    <w:name w:val="Table Grid"/>
    <w:basedOn w:val="TableNormal"/>
    <w:uiPriority w:val="59"/>
    <w:rsid w:val="0052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3130"/>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6653E4"/>
  </w:style>
  <w:style w:type="character" w:customStyle="1" w:styleId="Heading3Char">
    <w:name w:val="Heading 3 Char"/>
    <w:basedOn w:val="DefaultParagraphFont"/>
    <w:link w:val="Heading3"/>
    <w:rsid w:val="002227E8"/>
    <w:rPr>
      <w:rFonts w:ascii="Arial" w:eastAsia="Times New Roman" w:hAnsi="Arial" w:cs="Arial"/>
      <w:sz w:val="24"/>
      <w:szCs w:val="20"/>
      <w:lang w:eastAsia="fr-BE"/>
    </w:rPr>
  </w:style>
  <w:style w:type="paragraph" w:customStyle="1" w:styleId="Default">
    <w:name w:val="Default"/>
    <w:rsid w:val="00767B7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534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3BB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613BB7"/>
    <w:rPr>
      <w:rFonts w:ascii="Arial" w:hAnsi="Arial" w:cs="Arial"/>
      <w:sz w:val="16"/>
      <w:szCs w:val="16"/>
    </w:rPr>
  </w:style>
  <w:style w:type="character" w:styleId="CommentReference">
    <w:name w:val="annotation reference"/>
    <w:basedOn w:val="DefaultParagraphFont"/>
    <w:uiPriority w:val="99"/>
    <w:semiHidden/>
    <w:unhideWhenUsed/>
    <w:rsid w:val="00BA17EB"/>
    <w:rPr>
      <w:sz w:val="16"/>
      <w:szCs w:val="16"/>
    </w:rPr>
  </w:style>
  <w:style w:type="paragraph" w:styleId="CommentText">
    <w:name w:val="annotation text"/>
    <w:basedOn w:val="Normal"/>
    <w:link w:val="CommentTextChar"/>
    <w:uiPriority w:val="99"/>
    <w:unhideWhenUsed/>
    <w:rsid w:val="00BA17EB"/>
    <w:pPr>
      <w:spacing w:line="240" w:lineRule="auto"/>
    </w:pPr>
    <w:rPr>
      <w:sz w:val="20"/>
      <w:szCs w:val="20"/>
    </w:rPr>
  </w:style>
  <w:style w:type="character" w:customStyle="1" w:styleId="CommentTextChar">
    <w:name w:val="Comment Text Char"/>
    <w:basedOn w:val="DefaultParagraphFont"/>
    <w:link w:val="CommentText"/>
    <w:uiPriority w:val="99"/>
    <w:rsid w:val="00BA17EB"/>
    <w:rPr>
      <w:sz w:val="20"/>
      <w:szCs w:val="20"/>
    </w:rPr>
  </w:style>
  <w:style w:type="paragraph" w:styleId="CommentSubject">
    <w:name w:val="annotation subject"/>
    <w:basedOn w:val="CommentText"/>
    <w:next w:val="CommentText"/>
    <w:link w:val="CommentSubjectChar"/>
    <w:uiPriority w:val="99"/>
    <w:semiHidden/>
    <w:unhideWhenUsed/>
    <w:rsid w:val="00BA17EB"/>
    <w:rPr>
      <w:b/>
      <w:bCs/>
    </w:rPr>
  </w:style>
  <w:style w:type="character" w:customStyle="1" w:styleId="CommentSubjectChar">
    <w:name w:val="Comment Subject Char"/>
    <w:basedOn w:val="CommentTextChar"/>
    <w:link w:val="CommentSubject"/>
    <w:uiPriority w:val="99"/>
    <w:semiHidden/>
    <w:rsid w:val="00BA17EB"/>
    <w:rPr>
      <w:b/>
      <w:bCs/>
      <w:sz w:val="20"/>
      <w:szCs w:val="20"/>
    </w:rPr>
  </w:style>
  <w:style w:type="paragraph" w:styleId="Revision">
    <w:name w:val="Revision"/>
    <w:hidden/>
    <w:uiPriority w:val="99"/>
    <w:semiHidden/>
    <w:rsid w:val="00BA17EB"/>
    <w:pPr>
      <w:spacing w:after="0" w:line="240" w:lineRule="auto"/>
    </w:pPr>
  </w:style>
  <w:style w:type="character" w:customStyle="1" w:styleId="Marker">
    <w:name w:val="Marker"/>
    <w:basedOn w:val="DefaultParagraphFont"/>
    <w:rsid w:val="003576A6"/>
    <w:rPr>
      <w:color w:val="0000FF"/>
      <w:shd w:val="clear" w:color="auto" w:fill="auto"/>
    </w:rPr>
  </w:style>
  <w:style w:type="paragraph" w:customStyle="1" w:styleId="Pagedecouverture">
    <w:name w:val="Page de couverture"/>
    <w:basedOn w:val="Normal"/>
    <w:next w:val="Normal"/>
    <w:rsid w:val="003576A6"/>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3576A6"/>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3576A6"/>
    <w:rPr>
      <w:rFonts w:ascii="Times New Roman" w:hAnsi="Times New Roman" w:cs="Times New Roman"/>
      <w:sz w:val="24"/>
    </w:rPr>
  </w:style>
  <w:style w:type="paragraph" w:customStyle="1" w:styleId="FooterSensitivity">
    <w:name w:val="Footer Sensitivity"/>
    <w:basedOn w:val="Normal"/>
    <w:link w:val="FooterSensitivityChar"/>
    <w:rsid w:val="003576A6"/>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3576A6"/>
    <w:rPr>
      <w:rFonts w:ascii="Times New Roman" w:hAnsi="Times New Roman" w:cs="Times New Roman"/>
      <w:b/>
      <w:sz w:val="32"/>
    </w:rPr>
  </w:style>
  <w:style w:type="paragraph" w:customStyle="1" w:styleId="HeaderCoverPage">
    <w:name w:val="Header Cover Page"/>
    <w:basedOn w:val="Normal"/>
    <w:link w:val="HeaderCoverPageChar"/>
    <w:rsid w:val="003576A6"/>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3576A6"/>
    <w:rPr>
      <w:rFonts w:ascii="Times New Roman" w:hAnsi="Times New Roman" w:cs="Times New Roman"/>
      <w:sz w:val="24"/>
    </w:rPr>
  </w:style>
  <w:style w:type="paragraph" w:customStyle="1" w:styleId="HeaderSensitivity">
    <w:name w:val="Header Sensitivity"/>
    <w:basedOn w:val="Normal"/>
    <w:link w:val="HeaderSensitivityChar"/>
    <w:rsid w:val="003576A6"/>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3576A6"/>
    <w:rPr>
      <w:rFonts w:ascii="Times New Roman" w:hAnsi="Times New Roman" w:cs="Times New Roman"/>
      <w:b/>
      <w:sz w:val="32"/>
    </w:rPr>
  </w:style>
  <w:style w:type="character" w:styleId="FollowedHyperlink">
    <w:name w:val="FollowedHyperlink"/>
    <w:basedOn w:val="DefaultParagraphFont"/>
    <w:uiPriority w:val="99"/>
    <w:semiHidden/>
    <w:unhideWhenUsed/>
    <w:rsid w:val="00DA2854"/>
    <w:rPr>
      <w:color w:val="800080" w:themeColor="followedHyperlink"/>
      <w:u w:val="single"/>
    </w:rPr>
  </w:style>
  <w:style w:type="character" w:customStyle="1" w:styleId="s39">
    <w:name w:val="s39"/>
    <w:basedOn w:val="DefaultParagraphFont"/>
    <w:rsid w:val="003268E6"/>
  </w:style>
  <w:style w:type="paragraph" w:customStyle="1" w:styleId="Typedudocument">
    <w:name w:val="Type du document"/>
    <w:basedOn w:val="Normal"/>
    <w:next w:val="Normal"/>
    <w:rsid w:val="0059306E"/>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59306E"/>
    <w:pPr>
      <w:spacing w:before="360" w:after="360" w:line="240" w:lineRule="auto"/>
      <w:jc w:val="center"/>
    </w:pPr>
    <w:rPr>
      <w:rFonts w:ascii="Times New Roman" w:hAnsi="Times New Roman" w:cs="Times New Roman"/>
      <w:b/>
      <w:sz w:val="24"/>
    </w:rPr>
  </w:style>
  <w:style w:type="character" w:styleId="Strong">
    <w:name w:val="Strong"/>
    <w:basedOn w:val="DefaultParagraphFont"/>
    <w:uiPriority w:val="22"/>
    <w:qFormat/>
    <w:rsid w:val="00FB3559"/>
    <w:rPr>
      <w:b/>
      <w:bCs/>
    </w:rPr>
  </w:style>
  <w:style w:type="paragraph" w:styleId="EndnoteText">
    <w:name w:val="endnote text"/>
    <w:basedOn w:val="Normal"/>
    <w:link w:val="EndnoteTextChar"/>
    <w:uiPriority w:val="99"/>
    <w:semiHidden/>
    <w:unhideWhenUsed/>
    <w:rsid w:val="00FC6D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6DA8"/>
    <w:rPr>
      <w:sz w:val="20"/>
      <w:szCs w:val="20"/>
    </w:rPr>
  </w:style>
  <w:style w:type="character" w:styleId="EndnoteReference">
    <w:name w:val="endnote reference"/>
    <w:basedOn w:val="DefaultParagraphFont"/>
    <w:uiPriority w:val="99"/>
    <w:semiHidden/>
    <w:unhideWhenUsed/>
    <w:rsid w:val="00FC6DA8"/>
    <w:rPr>
      <w:vertAlign w:val="superscript"/>
    </w:rPr>
  </w:style>
  <w:style w:type="character" w:customStyle="1" w:styleId="UnresolvedMention1">
    <w:name w:val="Unresolved Mention1"/>
    <w:basedOn w:val="DefaultParagraphFont"/>
    <w:uiPriority w:val="99"/>
    <w:semiHidden/>
    <w:unhideWhenUsed/>
    <w:rsid w:val="00A2414F"/>
    <w:rPr>
      <w:color w:val="605E5C"/>
      <w:shd w:val="clear" w:color="auto" w:fill="E1DFDD"/>
    </w:rPr>
  </w:style>
  <w:style w:type="character" w:styleId="Emphasis">
    <w:name w:val="Emphasis"/>
    <w:basedOn w:val="DefaultParagraphFont"/>
    <w:uiPriority w:val="20"/>
    <w:qFormat/>
    <w:rsid w:val="00C254B4"/>
    <w:rPr>
      <w:i/>
      <w:iCs/>
    </w:rPr>
  </w:style>
  <w:style w:type="character" w:customStyle="1" w:styleId="apple-converted-space">
    <w:name w:val="apple-converted-space"/>
    <w:basedOn w:val="DefaultParagraphFont"/>
    <w:rsid w:val="00907BB7"/>
  </w:style>
  <w:style w:type="character" w:customStyle="1" w:styleId="Footnote1">
    <w:name w:val="Footnote|1_"/>
    <w:basedOn w:val="DefaultParagraphFont"/>
    <w:link w:val="Footnote10"/>
    <w:rsid w:val="00CC70EC"/>
    <w:rPr>
      <w:sz w:val="20"/>
      <w:szCs w:val="20"/>
      <w:shd w:val="clear" w:color="auto" w:fill="FFFFFF"/>
    </w:rPr>
  </w:style>
  <w:style w:type="paragraph" w:customStyle="1" w:styleId="Footnote10">
    <w:name w:val="Footnote|1"/>
    <w:basedOn w:val="Normal"/>
    <w:link w:val="Footnote1"/>
    <w:qFormat/>
    <w:rsid w:val="00CC70EC"/>
    <w:pPr>
      <w:widowControl w:val="0"/>
      <w:shd w:val="clear" w:color="auto" w:fill="FFFFFF"/>
      <w:spacing w:after="0" w:line="226" w:lineRule="exact"/>
      <w:ind w:hanging="480"/>
      <w:jc w:val="both"/>
    </w:pPr>
    <w:rPr>
      <w:sz w:val="20"/>
      <w:szCs w:val="20"/>
    </w:rPr>
  </w:style>
  <w:style w:type="character" w:customStyle="1" w:styleId="Bodytext2">
    <w:name w:val="Body text|2_"/>
    <w:basedOn w:val="DefaultParagraphFont"/>
    <w:link w:val="Bodytext20"/>
    <w:rsid w:val="00CC70EC"/>
    <w:rPr>
      <w:shd w:val="clear" w:color="auto" w:fill="FFFFFF"/>
    </w:rPr>
  </w:style>
  <w:style w:type="character" w:customStyle="1" w:styleId="Bodytext2Bold">
    <w:name w:val="Body text|2 + Bold"/>
    <w:basedOn w:val="Bodytext2"/>
    <w:semiHidden/>
    <w:unhideWhenUsed/>
    <w:rsid w:val="00CC70EC"/>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Bodytext20">
    <w:name w:val="Body text|2"/>
    <w:basedOn w:val="Normal"/>
    <w:link w:val="Bodytext2"/>
    <w:qFormat/>
    <w:rsid w:val="00CC70EC"/>
    <w:pPr>
      <w:widowControl w:val="0"/>
      <w:shd w:val="clear" w:color="auto" w:fill="FFFFFF"/>
      <w:spacing w:after="240" w:line="274" w:lineRule="exact"/>
      <w:jc w:val="both"/>
    </w:pPr>
  </w:style>
  <w:style w:type="table" w:customStyle="1" w:styleId="TableGrid1">
    <w:name w:val="Table Grid1"/>
    <w:basedOn w:val="TableNormal"/>
    <w:next w:val="TableGrid"/>
    <w:uiPriority w:val="59"/>
    <w:rsid w:val="00EA1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2608"/>
    <w:rPr>
      <w:rFonts w:asciiTheme="majorHAnsi" w:eastAsiaTheme="majorEastAsia" w:hAnsiTheme="majorHAnsi" w:cstheme="majorBidi"/>
      <w:color w:val="365F91" w:themeColor="accent1" w:themeShade="BF"/>
      <w:sz w:val="32"/>
      <w:szCs w:val="32"/>
    </w:rPr>
  </w:style>
  <w:style w:type="table" w:customStyle="1" w:styleId="TableGrid11">
    <w:name w:val="Table Grid11"/>
    <w:basedOn w:val="TableNormal"/>
    <w:next w:val="TableGrid"/>
    <w:uiPriority w:val="59"/>
    <w:rsid w:val="0097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7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rsid w:val="00217D22"/>
    <w:pPr>
      <w:spacing w:after="0"/>
      <w:ind w:left="5103"/>
    </w:pPr>
    <w:rPr>
      <w:rFonts w:ascii="Times New Roman" w:hAnsi="Times New Roman" w:cs="Times New Roman"/>
      <w:sz w:val="28"/>
    </w:rPr>
  </w:style>
  <w:style w:type="paragraph" w:customStyle="1" w:styleId="DateMarking">
    <w:name w:val="DateMarking"/>
    <w:basedOn w:val="Normal"/>
    <w:rsid w:val="00217D22"/>
    <w:pPr>
      <w:spacing w:after="0"/>
      <w:ind w:left="5103"/>
    </w:pPr>
    <w:rPr>
      <w:rFonts w:ascii="Times New Roman" w:hAnsi="Times New Roman" w:cs="Times New Roman"/>
      <w:i/>
      <w:sz w:val="28"/>
    </w:rPr>
  </w:style>
  <w:style w:type="paragraph" w:customStyle="1" w:styleId="ReleasableTo">
    <w:name w:val="ReleasableTo"/>
    <w:basedOn w:val="Normal"/>
    <w:rsid w:val="00217D22"/>
    <w:pPr>
      <w:spacing w:after="0"/>
      <w:ind w:left="5103"/>
    </w:pPr>
    <w:rPr>
      <w:rFonts w:ascii="Times New Roman" w:hAnsi="Times New Roman" w:cs="Times New Roman"/>
      <w:i/>
      <w:sz w:val="28"/>
    </w:rPr>
  </w:style>
  <w:style w:type="paragraph" w:customStyle="1" w:styleId="HeaderSensitivityRight">
    <w:name w:val="Header Sensitivity Right"/>
    <w:basedOn w:val="Normal"/>
    <w:rsid w:val="00217D22"/>
    <w:pPr>
      <w:spacing w:after="120" w:line="240" w:lineRule="auto"/>
      <w:jc w:val="right"/>
    </w:pPr>
    <w:rPr>
      <w:rFonts w:ascii="Times New Roman" w:hAnsi="Times New Roman" w:cs="Times New Roman"/>
      <w:sz w:val="28"/>
    </w:rPr>
  </w:style>
  <w:style w:type="paragraph" w:customStyle="1" w:styleId="Disclaimer">
    <w:name w:val="Disclaimer"/>
    <w:basedOn w:val="Normal"/>
    <w:rsid w:val="00217D2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89">
      <w:bodyDiv w:val="1"/>
      <w:marLeft w:val="0"/>
      <w:marRight w:val="0"/>
      <w:marTop w:val="0"/>
      <w:marBottom w:val="0"/>
      <w:divBdr>
        <w:top w:val="none" w:sz="0" w:space="0" w:color="auto"/>
        <w:left w:val="none" w:sz="0" w:space="0" w:color="auto"/>
        <w:bottom w:val="none" w:sz="0" w:space="0" w:color="auto"/>
        <w:right w:val="none" w:sz="0" w:space="0" w:color="auto"/>
      </w:divBdr>
    </w:div>
    <w:div w:id="15278821">
      <w:bodyDiv w:val="1"/>
      <w:marLeft w:val="0"/>
      <w:marRight w:val="0"/>
      <w:marTop w:val="0"/>
      <w:marBottom w:val="0"/>
      <w:divBdr>
        <w:top w:val="none" w:sz="0" w:space="0" w:color="auto"/>
        <w:left w:val="none" w:sz="0" w:space="0" w:color="auto"/>
        <w:bottom w:val="none" w:sz="0" w:space="0" w:color="auto"/>
        <w:right w:val="none" w:sz="0" w:space="0" w:color="auto"/>
      </w:divBdr>
    </w:div>
    <w:div w:id="57676825">
      <w:bodyDiv w:val="1"/>
      <w:marLeft w:val="0"/>
      <w:marRight w:val="0"/>
      <w:marTop w:val="0"/>
      <w:marBottom w:val="0"/>
      <w:divBdr>
        <w:top w:val="none" w:sz="0" w:space="0" w:color="auto"/>
        <w:left w:val="none" w:sz="0" w:space="0" w:color="auto"/>
        <w:bottom w:val="none" w:sz="0" w:space="0" w:color="auto"/>
        <w:right w:val="none" w:sz="0" w:space="0" w:color="auto"/>
      </w:divBdr>
    </w:div>
    <w:div w:id="5878971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8">
          <w:marLeft w:val="0"/>
          <w:marRight w:val="0"/>
          <w:marTop w:val="0"/>
          <w:marBottom w:val="0"/>
          <w:divBdr>
            <w:top w:val="none" w:sz="0" w:space="0" w:color="auto"/>
            <w:left w:val="none" w:sz="0" w:space="0" w:color="auto"/>
            <w:bottom w:val="none" w:sz="0" w:space="0" w:color="auto"/>
            <w:right w:val="none" w:sz="0" w:space="0" w:color="auto"/>
          </w:divBdr>
        </w:div>
        <w:div w:id="899025392">
          <w:marLeft w:val="0"/>
          <w:marRight w:val="0"/>
          <w:marTop w:val="0"/>
          <w:marBottom w:val="0"/>
          <w:divBdr>
            <w:top w:val="none" w:sz="0" w:space="0" w:color="auto"/>
            <w:left w:val="none" w:sz="0" w:space="0" w:color="auto"/>
            <w:bottom w:val="none" w:sz="0" w:space="0" w:color="auto"/>
            <w:right w:val="none" w:sz="0" w:space="0" w:color="auto"/>
          </w:divBdr>
        </w:div>
        <w:div w:id="1193032561">
          <w:marLeft w:val="0"/>
          <w:marRight w:val="0"/>
          <w:marTop w:val="0"/>
          <w:marBottom w:val="0"/>
          <w:divBdr>
            <w:top w:val="none" w:sz="0" w:space="0" w:color="auto"/>
            <w:left w:val="none" w:sz="0" w:space="0" w:color="auto"/>
            <w:bottom w:val="none" w:sz="0" w:space="0" w:color="auto"/>
            <w:right w:val="none" w:sz="0" w:space="0" w:color="auto"/>
          </w:divBdr>
        </w:div>
        <w:div w:id="1529180462">
          <w:marLeft w:val="0"/>
          <w:marRight w:val="0"/>
          <w:marTop w:val="0"/>
          <w:marBottom w:val="0"/>
          <w:divBdr>
            <w:top w:val="none" w:sz="0" w:space="0" w:color="auto"/>
            <w:left w:val="none" w:sz="0" w:space="0" w:color="auto"/>
            <w:bottom w:val="none" w:sz="0" w:space="0" w:color="auto"/>
            <w:right w:val="none" w:sz="0" w:space="0" w:color="auto"/>
          </w:divBdr>
        </w:div>
        <w:div w:id="1895239237">
          <w:marLeft w:val="0"/>
          <w:marRight w:val="0"/>
          <w:marTop w:val="0"/>
          <w:marBottom w:val="0"/>
          <w:divBdr>
            <w:top w:val="none" w:sz="0" w:space="0" w:color="auto"/>
            <w:left w:val="none" w:sz="0" w:space="0" w:color="auto"/>
            <w:bottom w:val="none" w:sz="0" w:space="0" w:color="auto"/>
            <w:right w:val="none" w:sz="0" w:space="0" w:color="auto"/>
          </w:divBdr>
        </w:div>
      </w:divsChild>
    </w:div>
    <w:div w:id="97410077">
      <w:bodyDiv w:val="1"/>
      <w:marLeft w:val="0"/>
      <w:marRight w:val="0"/>
      <w:marTop w:val="0"/>
      <w:marBottom w:val="0"/>
      <w:divBdr>
        <w:top w:val="none" w:sz="0" w:space="0" w:color="auto"/>
        <w:left w:val="none" w:sz="0" w:space="0" w:color="auto"/>
        <w:bottom w:val="none" w:sz="0" w:space="0" w:color="auto"/>
        <w:right w:val="none" w:sz="0" w:space="0" w:color="auto"/>
      </w:divBdr>
    </w:div>
    <w:div w:id="167251616">
      <w:bodyDiv w:val="1"/>
      <w:marLeft w:val="0"/>
      <w:marRight w:val="0"/>
      <w:marTop w:val="0"/>
      <w:marBottom w:val="0"/>
      <w:divBdr>
        <w:top w:val="none" w:sz="0" w:space="0" w:color="auto"/>
        <w:left w:val="none" w:sz="0" w:space="0" w:color="auto"/>
        <w:bottom w:val="none" w:sz="0" w:space="0" w:color="auto"/>
        <w:right w:val="none" w:sz="0" w:space="0" w:color="auto"/>
      </w:divBdr>
    </w:div>
    <w:div w:id="197082980">
      <w:bodyDiv w:val="1"/>
      <w:marLeft w:val="0"/>
      <w:marRight w:val="0"/>
      <w:marTop w:val="0"/>
      <w:marBottom w:val="0"/>
      <w:divBdr>
        <w:top w:val="none" w:sz="0" w:space="0" w:color="auto"/>
        <w:left w:val="none" w:sz="0" w:space="0" w:color="auto"/>
        <w:bottom w:val="none" w:sz="0" w:space="0" w:color="auto"/>
        <w:right w:val="none" w:sz="0" w:space="0" w:color="auto"/>
      </w:divBdr>
    </w:div>
    <w:div w:id="224023978">
      <w:bodyDiv w:val="1"/>
      <w:marLeft w:val="0"/>
      <w:marRight w:val="0"/>
      <w:marTop w:val="0"/>
      <w:marBottom w:val="0"/>
      <w:divBdr>
        <w:top w:val="none" w:sz="0" w:space="0" w:color="auto"/>
        <w:left w:val="none" w:sz="0" w:space="0" w:color="auto"/>
        <w:bottom w:val="none" w:sz="0" w:space="0" w:color="auto"/>
        <w:right w:val="none" w:sz="0" w:space="0" w:color="auto"/>
      </w:divBdr>
    </w:div>
    <w:div w:id="292057211">
      <w:bodyDiv w:val="1"/>
      <w:marLeft w:val="0"/>
      <w:marRight w:val="0"/>
      <w:marTop w:val="0"/>
      <w:marBottom w:val="0"/>
      <w:divBdr>
        <w:top w:val="none" w:sz="0" w:space="0" w:color="auto"/>
        <w:left w:val="none" w:sz="0" w:space="0" w:color="auto"/>
        <w:bottom w:val="none" w:sz="0" w:space="0" w:color="auto"/>
        <w:right w:val="none" w:sz="0" w:space="0" w:color="auto"/>
      </w:divBdr>
    </w:div>
    <w:div w:id="343869250">
      <w:bodyDiv w:val="1"/>
      <w:marLeft w:val="0"/>
      <w:marRight w:val="0"/>
      <w:marTop w:val="0"/>
      <w:marBottom w:val="0"/>
      <w:divBdr>
        <w:top w:val="none" w:sz="0" w:space="0" w:color="auto"/>
        <w:left w:val="none" w:sz="0" w:space="0" w:color="auto"/>
        <w:bottom w:val="none" w:sz="0" w:space="0" w:color="auto"/>
        <w:right w:val="none" w:sz="0" w:space="0" w:color="auto"/>
      </w:divBdr>
      <w:divsChild>
        <w:div w:id="71440479">
          <w:marLeft w:val="0"/>
          <w:marRight w:val="0"/>
          <w:marTop w:val="0"/>
          <w:marBottom w:val="0"/>
          <w:divBdr>
            <w:top w:val="none" w:sz="0" w:space="0" w:color="auto"/>
            <w:left w:val="none" w:sz="0" w:space="0" w:color="auto"/>
            <w:bottom w:val="none" w:sz="0" w:space="0" w:color="auto"/>
            <w:right w:val="none" w:sz="0" w:space="0" w:color="auto"/>
          </w:divBdr>
        </w:div>
        <w:div w:id="1153371333">
          <w:marLeft w:val="0"/>
          <w:marRight w:val="0"/>
          <w:marTop w:val="0"/>
          <w:marBottom w:val="0"/>
          <w:divBdr>
            <w:top w:val="none" w:sz="0" w:space="0" w:color="auto"/>
            <w:left w:val="none" w:sz="0" w:space="0" w:color="auto"/>
            <w:bottom w:val="none" w:sz="0" w:space="0" w:color="auto"/>
            <w:right w:val="none" w:sz="0" w:space="0" w:color="auto"/>
          </w:divBdr>
        </w:div>
        <w:div w:id="1924797782">
          <w:marLeft w:val="0"/>
          <w:marRight w:val="0"/>
          <w:marTop w:val="0"/>
          <w:marBottom w:val="0"/>
          <w:divBdr>
            <w:top w:val="none" w:sz="0" w:space="0" w:color="auto"/>
            <w:left w:val="none" w:sz="0" w:space="0" w:color="auto"/>
            <w:bottom w:val="none" w:sz="0" w:space="0" w:color="auto"/>
            <w:right w:val="none" w:sz="0" w:space="0" w:color="auto"/>
          </w:divBdr>
        </w:div>
        <w:div w:id="2060861581">
          <w:marLeft w:val="0"/>
          <w:marRight w:val="0"/>
          <w:marTop w:val="0"/>
          <w:marBottom w:val="0"/>
          <w:divBdr>
            <w:top w:val="none" w:sz="0" w:space="0" w:color="auto"/>
            <w:left w:val="none" w:sz="0" w:space="0" w:color="auto"/>
            <w:bottom w:val="none" w:sz="0" w:space="0" w:color="auto"/>
            <w:right w:val="none" w:sz="0" w:space="0" w:color="auto"/>
          </w:divBdr>
        </w:div>
      </w:divsChild>
    </w:div>
    <w:div w:id="367023592">
      <w:bodyDiv w:val="1"/>
      <w:marLeft w:val="0"/>
      <w:marRight w:val="0"/>
      <w:marTop w:val="0"/>
      <w:marBottom w:val="0"/>
      <w:divBdr>
        <w:top w:val="none" w:sz="0" w:space="0" w:color="auto"/>
        <w:left w:val="none" w:sz="0" w:space="0" w:color="auto"/>
        <w:bottom w:val="none" w:sz="0" w:space="0" w:color="auto"/>
        <w:right w:val="none" w:sz="0" w:space="0" w:color="auto"/>
      </w:divBdr>
    </w:div>
    <w:div w:id="377628298">
      <w:bodyDiv w:val="1"/>
      <w:marLeft w:val="0"/>
      <w:marRight w:val="0"/>
      <w:marTop w:val="0"/>
      <w:marBottom w:val="0"/>
      <w:divBdr>
        <w:top w:val="none" w:sz="0" w:space="0" w:color="auto"/>
        <w:left w:val="none" w:sz="0" w:space="0" w:color="auto"/>
        <w:bottom w:val="none" w:sz="0" w:space="0" w:color="auto"/>
        <w:right w:val="none" w:sz="0" w:space="0" w:color="auto"/>
      </w:divBdr>
    </w:div>
    <w:div w:id="477964823">
      <w:bodyDiv w:val="1"/>
      <w:marLeft w:val="0"/>
      <w:marRight w:val="0"/>
      <w:marTop w:val="0"/>
      <w:marBottom w:val="0"/>
      <w:divBdr>
        <w:top w:val="none" w:sz="0" w:space="0" w:color="auto"/>
        <w:left w:val="none" w:sz="0" w:space="0" w:color="auto"/>
        <w:bottom w:val="none" w:sz="0" w:space="0" w:color="auto"/>
        <w:right w:val="none" w:sz="0" w:space="0" w:color="auto"/>
      </w:divBdr>
    </w:div>
    <w:div w:id="521364069">
      <w:bodyDiv w:val="1"/>
      <w:marLeft w:val="0"/>
      <w:marRight w:val="0"/>
      <w:marTop w:val="0"/>
      <w:marBottom w:val="0"/>
      <w:divBdr>
        <w:top w:val="none" w:sz="0" w:space="0" w:color="auto"/>
        <w:left w:val="none" w:sz="0" w:space="0" w:color="auto"/>
        <w:bottom w:val="none" w:sz="0" w:space="0" w:color="auto"/>
        <w:right w:val="none" w:sz="0" w:space="0" w:color="auto"/>
      </w:divBdr>
    </w:div>
    <w:div w:id="531848075">
      <w:bodyDiv w:val="1"/>
      <w:marLeft w:val="0"/>
      <w:marRight w:val="0"/>
      <w:marTop w:val="0"/>
      <w:marBottom w:val="0"/>
      <w:divBdr>
        <w:top w:val="none" w:sz="0" w:space="0" w:color="auto"/>
        <w:left w:val="none" w:sz="0" w:space="0" w:color="auto"/>
        <w:bottom w:val="none" w:sz="0" w:space="0" w:color="auto"/>
        <w:right w:val="none" w:sz="0" w:space="0" w:color="auto"/>
      </w:divBdr>
    </w:div>
    <w:div w:id="555362486">
      <w:bodyDiv w:val="1"/>
      <w:marLeft w:val="0"/>
      <w:marRight w:val="0"/>
      <w:marTop w:val="0"/>
      <w:marBottom w:val="0"/>
      <w:divBdr>
        <w:top w:val="none" w:sz="0" w:space="0" w:color="auto"/>
        <w:left w:val="none" w:sz="0" w:space="0" w:color="auto"/>
        <w:bottom w:val="none" w:sz="0" w:space="0" w:color="auto"/>
        <w:right w:val="none" w:sz="0" w:space="0" w:color="auto"/>
      </w:divBdr>
      <w:divsChild>
        <w:div w:id="126049705">
          <w:marLeft w:val="0"/>
          <w:marRight w:val="0"/>
          <w:marTop w:val="0"/>
          <w:marBottom w:val="0"/>
          <w:divBdr>
            <w:top w:val="none" w:sz="0" w:space="0" w:color="auto"/>
            <w:left w:val="none" w:sz="0" w:space="0" w:color="auto"/>
            <w:bottom w:val="none" w:sz="0" w:space="0" w:color="auto"/>
            <w:right w:val="none" w:sz="0" w:space="0" w:color="auto"/>
          </w:divBdr>
        </w:div>
        <w:div w:id="1139762194">
          <w:marLeft w:val="0"/>
          <w:marRight w:val="0"/>
          <w:marTop w:val="0"/>
          <w:marBottom w:val="0"/>
          <w:divBdr>
            <w:top w:val="none" w:sz="0" w:space="0" w:color="auto"/>
            <w:left w:val="none" w:sz="0" w:space="0" w:color="auto"/>
            <w:bottom w:val="none" w:sz="0" w:space="0" w:color="auto"/>
            <w:right w:val="none" w:sz="0" w:space="0" w:color="auto"/>
          </w:divBdr>
        </w:div>
      </w:divsChild>
    </w:div>
    <w:div w:id="570774864">
      <w:bodyDiv w:val="1"/>
      <w:marLeft w:val="0"/>
      <w:marRight w:val="0"/>
      <w:marTop w:val="0"/>
      <w:marBottom w:val="0"/>
      <w:divBdr>
        <w:top w:val="none" w:sz="0" w:space="0" w:color="auto"/>
        <w:left w:val="none" w:sz="0" w:space="0" w:color="auto"/>
        <w:bottom w:val="none" w:sz="0" w:space="0" w:color="auto"/>
        <w:right w:val="none" w:sz="0" w:space="0" w:color="auto"/>
      </w:divBdr>
    </w:div>
    <w:div w:id="578253381">
      <w:bodyDiv w:val="1"/>
      <w:marLeft w:val="0"/>
      <w:marRight w:val="0"/>
      <w:marTop w:val="0"/>
      <w:marBottom w:val="0"/>
      <w:divBdr>
        <w:top w:val="none" w:sz="0" w:space="0" w:color="auto"/>
        <w:left w:val="none" w:sz="0" w:space="0" w:color="auto"/>
        <w:bottom w:val="none" w:sz="0" w:space="0" w:color="auto"/>
        <w:right w:val="none" w:sz="0" w:space="0" w:color="auto"/>
      </w:divBdr>
    </w:div>
    <w:div w:id="580061178">
      <w:bodyDiv w:val="1"/>
      <w:marLeft w:val="0"/>
      <w:marRight w:val="0"/>
      <w:marTop w:val="0"/>
      <w:marBottom w:val="0"/>
      <w:divBdr>
        <w:top w:val="none" w:sz="0" w:space="0" w:color="auto"/>
        <w:left w:val="none" w:sz="0" w:space="0" w:color="auto"/>
        <w:bottom w:val="none" w:sz="0" w:space="0" w:color="auto"/>
        <w:right w:val="none" w:sz="0" w:space="0" w:color="auto"/>
      </w:divBdr>
    </w:div>
    <w:div w:id="596447730">
      <w:bodyDiv w:val="1"/>
      <w:marLeft w:val="0"/>
      <w:marRight w:val="0"/>
      <w:marTop w:val="0"/>
      <w:marBottom w:val="0"/>
      <w:divBdr>
        <w:top w:val="none" w:sz="0" w:space="0" w:color="auto"/>
        <w:left w:val="none" w:sz="0" w:space="0" w:color="auto"/>
        <w:bottom w:val="none" w:sz="0" w:space="0" w:color="auto"/>
        <w:right w:val="none" w:sz="0" w:space="0" w:color="auto"/>
      </w:divBdr>
    </w:div>
    <w:div w:id="607011828">
      <w:bodyDiv w:val="1"/>
      <w:marLeft w:val="0"/>
      <w:marRight w:val="0"/>
      <w:marTop w:val="0"/>
      <w:marBottom w:val="0"/>
      <w:divBdr>
        <w:top w:val="none" w:sz="0" w:space="0" w:color="auto"/>
        <w:left w:val="none" w:sz="0" w:space="0" w:color="auto"/>
        <w:bottom w:val="none" w:sz="0" w:space="0" w:color="auto"/>
        <w:right w:val="none" w:sz="0" w:space="0" w:color="auto"/>
      </w:divBdr>
      <w:divsChild>
        <w:div w:id="233049542">
          <w:marLeft w:val="0"/>
          <w:marRight w:val="0"/>
          <w:marTop w:val="0"/>
          <w:marBottom w:val="0"/>
          <w:divBdr>
            <w:top w:val="none" w:sz="0" w:space="0" w:color="auto"/>
            <w:left w:val="none" w:sz="0" w:space="0" w:color="auto"/>
            <w:bottom w:val="none" w:sz="0" w:space="0" w:color="auto"/>
            <w:right w:val="none" w:sz="0" w:space="0" w:color="auto"/>
          </w:divBdr>
        </w:div>
        <w:div w:id="1419208775">
          <w:marLeft w:val="0"/>
          <w:marRight w:val="0"/>
          <w:marTop w:val="0"/>
          <w:marBottom w:val="0"/>
          <w:divBdr>
            <w:top w:val="none" w:sz="0" w:space="0" w:color="auto"/>
            <w:left w:val="none" w:sz="0" w:space="0" w:color="auto"/>
            <w:bottom w:val="none" w:sz="0" w:space="0" w:color="auto"/>
            <w:right w:val="none" w:sz="0" w:space="0" w:color="auto"/>
          </w:divBdr>
        </w:div>
        <w:div w:id="2086143062">
          <w:marLeft w:val="0"/>
          <w:marRight w:val="0"/>
          <w:marTop w:val="0"/>
          <w:marBottom w:val="0"/>
          <w:divBdr>
            <w:top w:val="none" w:sz="0" w:space="0" w:color="auto"/>
            <w:left w:val="none" w:sz="0" w:space="0" w:color="auto"/>
            <w:bottom w:val="none" w:sz="0" w:space="0" w:color="auto"/>
            <w:right w:val="none" w:sz="0" w:space="0" w:color="auto"/>
          </w:divBdr>
        </w:div>
      </w:divsChild>
    </w:div>
    <w:div w:id="640815063">
      <w:bodyDiv w:val="1"/>
      <w:marLeft w:val="0"/>
      <w:marRight w:val="0"/>
      <w:marTop w:val="0"/>
      <w:marBottom w:val="0"/>
      <w:divBdr>
        <w:top w:val="none" w:sz="0" w:space="0" w:color="auto"/>
        <w:left w:val="none" w:sz="0" w:space="0" w:color="auto"/>
        <w:bottom w:val="none" w:sz="0" w:space="0" w:color="auto"/>
        <w:right w:val="none" w:sz="0" w:space="0" w:color="auto"/>
      </w:divBdr>
    </w:div>
    <w:div w:id="715860154">
      <w:bodyDiv w:val="1"/>
      <w:marLeft w:val="0"/>
      <w:marRight w:val="0"/>
      <w:marTop w:val="0"/>
      <w:marBottom w:val="0"/>
      <w:divBdr>
        <w:top w:val="none" w:sz="0" w:space="0" w:color="auto"/>
        <w:left w:val="none" w:sz="0" w:space="0" w:color="auto"/>
        <w:bottom w:val="none" w:sz="0" w:space="0" w:color="auto"/>
        <w:right w:val="none" w:sz="0" w:space="0" w:color="auto"/>
      </w:divBdr>
    </w:div>
    <w:div w:id="738333917">
      <w:bodyDiv w:val="1"/>
      <w:marLeft w:val="0"/>
      <w:marRight w:val="0"/>
      <w:marTop w:val="0"/>
      <w:marBottom w:val="0"/>
      <w:divBdr>
        <w:top w:val="none" w:sz="0" w:space="0" w:color="auto"/>
        <w:left w:val="none" w:sz="0" w:space="0" w:color="auto"/>
        <w:bottom w:val="none" w:sz="0" w:space="0" w:color="auto"/>
        <w:right w:val="none" w:sz="0" w:space="0" w:color="auto"/>
      </w:divBdr>
    </w:div>
    <w:div w:id="756175778">
      <w:bodyDiv w:val="1"/>
      <w:marLeft w:val="0"/>
      <w:marRight w:val="0"/>
      <w:marTop w:val="0"/>
      <w:marBottom w:val="0"/>
      <w:divBdr>
        <w:top w:val="none" w:sz="0" w:space="0" w:color="auto"/>
        <w:left w:val="none" w:sz="0" w:space="0" w:color="auto"/>
        <w:bottom w:val="none" w:sz="0" w:space="0" w:color="auto"/>
        <w:right w:val="none" w:sz="0" w:space="0" w:color="auto"/>
      </w:divBdr>
    </w:div>
    <w:div w:id="789318663">
      <w:bodyDiv w:val="1"/>
      <w:marLeft w:val="0"/>
      <w:marRight w:val="0"/>
      <w:marTop w:val="0"/>
      <w:marBottom w:val="0"/>
      <w:divBdr>
        <w:top w:val="none" w:sz="0" w:space="0" w:color="auto"/>
        <w:left w:val="none" w:sz="0" w:space="0" w:color="auto"/>
        <w:bottom w:val="none" w:sz="0" w:space="0" w:color="auto"/>
        <w:right w:val="none" w:sz="0" w:space="0" w:color="auto"/>
      </w:divBdr>
    </w:div>
    <w:div w:id="793250097">
      <w:bodyDiv w:val="1"/>
      <w:marLeft w:val="0"/>
      <w:marRight w:val="0"/>
      <w:marTop w:val="0"/>
      <w:marBottom w:val="0"/>
      <w:divBdr>
        <w:top w:val="none" w:sz="0" w:space="0" w:color="auto"/>
        <w:left w:val="none" w:sz="0" w:space="0" w:color="auto"/>
        <w:bottom w:val="none" w:sz="0" w:space="0" w:color="auto"/>
        <w:right w:val="none" w:sz="0" w:space="0" w:color="auto"/>
      </w:divBdr>
    </w:div>
    <w:div w:id="842816754">
      <w:bodyDiv w:val="1"/>
      <w:marLeft w:val="0"/>
      <w:marRight w:val="0"/>
      <w:marTop w:val="0"/>
      <w:marBottom w:val="0"/>
      <w:divBdr>
        <w:top w:val="none" w:sz="0" w:space="0" w:color="auto"/>
        <w:left w:val="none" w:sz="0" w:space="0" w:color="auto"/>
        <w:bottom w:val="none" w:sz="0" w:space="0" w:color="auto"/>
        <w:right w:val="none" w:sz="0" w:space="0" w:color="auto"/>
      </w:divBdr>
    </w:div>
    <w:div w:id="862941244">
      <w:bodyDiv w:val="1"/>
      <w:marLeft w:val="0"/>
      <w:marRight w:val="0"/>
      <w:marTop w:val="0"/>
      <w:marBottom w:val="0"/>
      <w:divBdr>
        <w:top w:val="none" w:sz="0" w:space="0" w:color="auto"/>
        <w:left w:val="none" w:sz="0" w:space="0" w:color="auto"/>
        <w:bottom w:val="none" w:sz="0" w:space="0" w:color="auto"/>
        <w:right w:val="none" w:sz="0" w:space="0" w:color="auto"/>
      </w:divBdr>
    </w:div>
    <w:div w:id="888298978">
      <w:bodyDiv w:val="1"/>
      <w:marLeft w:val="0"/>
      <w:marRight w:val="0"/>
      <w:marTop w:val="0"/>
      <w:marBottom w:val="0"/>
      <w:divBdr>
        <w:top w:val="none" w:sz="0" w:space="0" w:color="auto"/>
        <w:left w:val="none" w:sz="0" w:space="0" w:color="auto"/>
        <w:bottom w:val="none" w:sz="0" w:space="0" w:color="auto"/>
        <w:right w:val="none" w:sz="0" w:space="0" w:color="auto"/>
      </w:divBdr>
      <w:divsChild>
        <w:div w:id="572398959">
          <w:marLeft w:val="0"/>
          <w:marRight w:val="0"/>
          <w:marTop w:val="0"/>
          <w:marBottom w:val="0"/>
          <w:divBdr>
            <w:top w:val="none" w:sz="0" w:space="0" w:color="auto"/>
            <w:left w:val="none" w:sz="0" w:space="0" w:color="auto"/>
            <w:bottom w:val="none" w:sz="0" w:space="0" w:color="auto"/>
            <w:right w:val="none" w:sz="0" w:space="0" w:color="auto"/>
          </w:divBdr>
          <w:divsChild>
            <w:div w:id="928586254">
              <w:marLeft w:val="0"/>
              <w:marRight w:val="0"/>
              <w:marTop w:val="0"/>
              <w:marBottom w:val="0"/>
              <w:divBdr>
                <w:top w:val="none" w:sz="0" w:space="0" w:color="auto"/>
                <w:left w:val="none" w:sz="0" w:space="0" w:color="auto"/>
                <w:bottom w:val="none" w:sz="0" w:space="0" w:color="auto"/>
                <w:right w:val="none" w:sz="0" w:space="0" w:color="auto"/>
              </w:divBdr>
              <w:divsChild>
                <w:div w:id="18949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40975">
      <w:bodyDiv w:val="1"/>
      <w:marLeft w:val="0"/>
      <w:marRight w:val="0"/>
      <w:marTop w:val="0"/>
      <w:marBottom w:val="0"/>
      <w:divBdr>
        <w:top w:val="none" w:sz="0" w:space="0" w:color="auto"/>
        <w:left w:val="none" w:sz="0" w:space="0" w:color="auto"/>
        <w:bottom w:val="none" w:sz="0" w:space="0" w:color="auto"/>
        <w:right w:val="none" w:sz="0" w:space="0" w:color="auto"/>
      </w:divBdr>
      <w:divsChild>
        <w:div w:id="2057460193">
          <w:marLeft w:val="0"/>
          <w:marRight w:val="0"/>
          <w:marTop w:val="0"/>
          <w:marBottom w:val="0"/>
          <w:divBdr>
            <w:top w:val="none" w:sz="0" w:space="0" w:color="auto"/>
            <w:left w:val="none" w:sz="0" w:space="0" w:color="auto"/>
            <w:bottom w:val="none" w:sz="0" w:space="0" w:color="auto"/>
            <w:right w:val="none" w:sz="0" w:space="0" w:color="auto"/>
          </w:divBdr>
          <w:divsChild>
            <w:div w:id="386338460">
              <w:marLeft w:val="0"/>
              <w:marRight w:val="0"/>
              <w:marTop w:val="0"/>
              <w:marBottom w:val="0"/>
              <w:divBdr>
                <w:top w:val="none" w:sz="0" w:space="0" w:color="auto"/>
                <w:left w:val="none" w:sz="0" w:space="0" w:color="auto"/>
                <w:bottom w:val="none" w:sz="0" w:space="0" w:color="auto"/>
                <w:right w:val="none" w:sz="0" w:space="0" w:color="auto"/>
              </w:divBdr>
              <w:divsChild>
                <w:div w:id="1515998841">
                  <w:marLeft w:val="0"/>
                  <w:marRight w:val="0"/>
                  <w:marTop w:val="0"/>
                  <w:marBottom w:val="0"/>
                  <w:divBdr>
                    <w:top w:val="none" w:sz="0" w:space="0" w:color="auto"/>
                    <w:left w:val="none" w:sz="0" w:space="0" w:color="auto"/>
                    <w:bottom w:val="none" w:sz="0" w:space="0" w:color="auto"/>
                    <w:right w:val="none" w:sz="0" w:space="0" w:color="auto"/>
                  </w:divBdr>
                  <w:divsChild>
                    <w:div w:id="390468685">
                      <w:marLeft w:val="0"/>
                      <w:marRight w:val="0"/>
                      <w:marTop w:val="0"/>
                      <w:marBottom w:val="0"/>
                      <w:divBdr>
                        <w:top w:val="none" w:sz="0" w:space="0" w:color="auto"/>
                        <w:left w:val="none" w:sz="0" w:space="0" w:color="auto"/>
                        <w:bottom w:val="none" w:sz="0" w:space="0" w:color="auto"/>
                        <w:right w:val="none" w:sz="0" w:space="0" w:color="auto"/>
                      </w:divBdr>
                      <w:divsChild>
                        <w:div w:id="930352143">
                          <w:marLeft w:val="0"/>
                          <w:marRight w:val="0"/>
                          <w:marTop w:val="0"/>
                          <w:marBottom w:val="0"/>
                          <w:divBdr>
                            <w:top w:val="none" w:sz="0" w:space="0" w:color="auto"/>
                            <w:left w:val="none" w:sz="0" w:space="0" w:color="auto"/>
                            <w:bottom w:val="none" w:sz="0" w:space="0" w:color="auto"/>
                            <w:right w:val="none" w:sz="0" w:space="0" w:color="auto"/>
                          </w:divBdr>
                          <w:divsChild>
                            <w:div w:id="587078049">
                              <w:marLeft w:val="-225"/>
                              <w:marRight w:val="-225"/>
                              <w:marTop w:val="0"/>
                              <w:marBottom w:val="0"/>
                              <w:divBdr>
                                <w:top w:val="none" w:sz="0" w:space="0" w:color="auto"/>
                                <w:left w:val="none" w:sz="0" w:space="0" w:color="auto"/>
                                <w:bottom w:val="none" w:sz="0" w:space="0" w:color="auto"/>
                                <w:right w:val="none" w:sz="0" w:space="0" w:color="auto"/>
                              </w:divBdr>
                              <w:divsChild>
                                <w:div w:id="1532188245">
                                  <w:marLeft w:val="0"/>
                                  <w:marRight w:val="0"/>
                                  <w:marTop w:val="0"/>
                                  <w:marBottom w:val="133"/>
                                  <w:divBdr>
                                    <w:top w:val="none" w:sz="0" w:space="0" w:color="auto"/>
                                    <w:left w:val="none" w:sz="0" w:space="0" w:color="auto"/>
                                    <w:bottom w:val="none" w:sz="0" w:space="0" w:color="auto"/>
                                    <w:right w:val="none" w:sz="0" w:space="0" w:color="auto"/>
                                  </w:divBdr>
                                  <w:divsChild>
                                    <w:div w:id="1995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14363">
      <w:bodyDiv w:val="1"/>
      <w:marLeft w:val="0"/>
      <w:marRight w:val="0"/>
      <w:marTop w:val="0"/>
      <w:marBottom w:val="0"/>
      <w:divBdr>
        <w:top w:val="none" w:sz="0" w:space="0" w:color="auto"/>
        <w:left w:val="none" w:sz="0" w:space="0" w:color="auto"/>
        <w:bottom w:val="none" w:sz="0" w:space="0" w:color="auto"/>
        <w:right w:val="none" w:sz="0" w:space="0" w:color="auto"/>
      </w:divBdr>
    </w:div>
    <w:div w:id="961154174">
      <w:bodyDiv w:val="1"/>
      <w:marLeft w:val="0"/>
      <w:marRight w:val="0"/>
      <w:marTop w:val="0"/>
      <w:marBottom w:val="0"/>
      <w:divBdr>
        <w:top w:val="none" w:sz="0" w:space="0" w:color="auto"/>
        <w:left w:val="none" w:sz="0" w:space="0" w:color="auto"/>
        <w:bottom w:val="none" w:sz="0" w:space="0" w:color="auto"/>
        <w:right w:val="none" w:sz="0" w:space="0" w:color="auto"/>
      </w:divBdr>
      <w:divsChild>
        <w:div w:id="7757221">
          <w:marLeft w:val="0"/>
          <w:marRight w:val="0"/>
          <w:marTop w:val="0"/>
          <w:marBottom w:val="0"/>
          <w:divBdr>
            <w:top w:val="none" w:sz="0" w:space="0" w:color="auto"/>
            <w:left w:val="none" w:sz="0" w:space="0" w:color="auto"/>
            <w:bottom w:val="none" w:sz="0" w:space="0" w:color="auto"/>
            <w:right w:val="none" w:sz="0" w:space="0" w:color="auto"/>
          </w:divBdr>
        </w:div>
        <w:div w:id="281232175">
          <w:marLeft w:val="0"/>
          <w:marRight w:val="0"/>
          <w:marTop w:val="0"/>
          <w:marBottom w:val="0"/>
          <w:divBdr>
            <w:top w:val="none" w:sz="0" w:space="0" w:color="auto"/>
            <w:left w:val="none" w:sz="0" w:space="0" w:color="auto"/>
            <w:bottom w:val="none" w:sz="0" w:space="0" w:color="auto"/>
            <w:right w:val="none" w:sz="0" w:space="0" w:color="auto"/>
          </w:divBdr>
        </w:div>
        <w:div w:id="728647808">
          <w:marLeft w:val="0"/>
          <w:marRight w:val="0"/>
          <w:marTop w:val="0"/>
          <w:marBottom w:val="0"/>
          <w:divBdr>
            <w:top w:val="none" w:sz="0" w:space="0" w:color="auto"/>
            <w:left w:val="none" w:sz="0" w:space="0" w:color="auto"/>
            <w:bottom w:val="none" w:sz="0" w:space="0" w:color="auto"/>
            <w:right w:val="none" w:sz="0" w:space="0" w:color="auto"/>
          </w:divBdr>
        </w:div>
        <w:div w:id="1757970084">
          <w:marLeft w:val="0"/>
          <w:marRight w:val="0"/>
          <w:marTop w:val="0"/>
          <w:marBottom w:val="0"/>
          <w:divBdr>
            <w:top w:val="none" w:sz="0" w:space="0" w:color="auto"/>
            <w:left w:val="none" w:sz="0" w:space="0" w:color="auto"/>
            <w:bottom w:val="none" w:sz="0" w:space="0" w:color="auto"/>
            <w:right w:val="none" w:sz="0" w:space="0" w:color="auto"/>
          </w:divBdr>
        </w:div>
        <w:div w:id="1761485511">
          <w:marLeft w:val="0"/>
          <w:marRight w:val="0"/>
          <w:marTop w:val="0"/>
          <w:marBottom w:val="0"/>
          <w:divBdr>
            <w:top w:val="none" w:sz="0" w:space="0" w:color="auto"/>
            <w:left w:val="none" w:sz="0" w:space="0" w:color="auto"/>
            <w:bottom w:val="none" w:sz="0" w:space="0" w:color="auto"/>
            <w:right w:val="none" w:sz="0" w:space="0" w:color="auto"/>
          </w:divBdr>
        </w:div>
      </w:divsChild>
    </w:div>
    <w:div w:id="1051883273">
      <w:bodyDiv w:val="1"/>
      <w:marLeft w:val="0"/>
      <w:marRight w:val="0"/>
      <w:marTop w:val="0"/>
      <w:marBottom w:val="0"/>
      <w:divBdr>
        <w:top w:val="none" w:sz="0" w:space="0" w:color="auto"/>
        <w:left w:val="none" w:sz="0" w:space="0" w:color="auto"/>
        <w:bottom w:val="none" w:sz="0" w:space="0" w:color="auto"/>
        <w:right w:val="none" w:sz="0" w:space="0" w:color="auto"/>
      </w:divBdr>
    </w:div>
    <w:div w:id="1093747835">
      <w:bodyDiv w:val="1"/>
      <w:marLeft w:val="0"/>
      <w:marRight w:val="0"/>
      <w:marTop w:val="0"/>
      <w:marBottom w:val="0"/>
      <w:divBdr>
        <w:top w:val="none" w:sz="0" w:space="0" w:color="auto"/>
        <w:left w:val="none" w:sz="0" w:space="0" w:color="auto"/>
        <w:bottom w:val="none" w:sz="0" w:space="0" w:color="auto"/>
        <w:right w:val="none" w:sz="0" w:space="0" w:color="auto"/>
      </w:divBdr>
    </w:div>
    <w:div w:id="1100831517">
      <w:bodyDiv w:val="1"/>
      <w:marLeft w:val="0"/>
      <w:marRight w:val="0"/>
      <w:marTop w:val="0"/>
      <w:marBottom w:val="0"/>
      <w:divBdr>
        <w:top w:val="none" w:sz="0" w:space="0" w:color="auto"/>
        <w:left w:val="none" w:sz="0" w:space="0" w:color="auto"/>
        <w:bottom w:val="none" w:sz="0" w:space="0" w:color="auto"/>
        <w:right w:val="none" w:sz="0" w:space="0" w:color="auto"/>
      </w:divBdr>
    </w:div>
    <w:div w:id="1120295643">
      <w:bodyDiv w:val="1"/>
      <w:marLeft w:val="0"/>
      <w:marRight w:val="0"/>
      <w:marTop w:val="0"/>
      <w:marBottom w:val="0"/>
      <w:divBdr>
        <w:top w:val="none" w:sz="0" w:space="0" w:color="auto"/>
        <w:left w:val="none" w:sz="0" w:space="0" w:color="auto"/>
        <w:bottom w:val="none" w:sz="0" w:space="0" w:color="auto"/>
        <w:right w:val="none" w:sz="0" w:space="0" w:color="auto"/>
      </w:divBdr>
    </w:div>
    <w:div w:id="1199270592">
      <w:bodyDiv w:val="1"/>
      <w:marLeft w:val="0"/>
      <w:marRight w:val="0"/>
      <w:marTop w:val="0"/>
      <w:marBottom w:val="0"/>
      <w:divBdr>
        <w:top w:val="none" w:sz="0" w:space="0" w:color="auto"/>
        <w:left w:val="none" w:sz="0" w:space="0" w:color="auto"/>
        <w:bottom w:val="none" w:sz="0" w:space="0" w:color="auto"/>
        <w:right w:val="none" w:sz="0" w:space="0" w:color="auto"/>
      </w:divBdr>
    </w:div>
    <w:div w:id="1207722040">
      <w:bodyDiv w:val="1"/>
      <w:marLeft w:val="0"/>
      <w:marRight w:val="0"/>
      <w:marTop w:val="0"/>
      <w:marBottom w:val="0"/>
      <w:divBdr>
        <w:top w:val="none" w:sz="0" w:space="0" w:color="auto"/>
        <w:left w:val="none" w:sz="0" w:space="0" w:color="auto"/>
        <w:bottom w:val="none" w:sz="0" w:space="0" w:color="auto"/>
        <w:right w:val="none" w:sz="0" w:space="0" w:color="auto"/>
      </w:divBdr>
    </w:div>
    <w:div w:id="1209680214">
      <w:bodyDiv w:val="1"/>
      <w:marLeft w:val="0"/>
      <w:marRight w:val="0"/>
      <w:marTop w:val="0"/>
      <w:marBottom w:val="0"/>
      <w:divBdr>
        <w:top w:val="none" w:sz="0" w:space="0" w:color="auto"/>
        <w:left w:val="none" w:sz="0" w:space="0" w:color="auto"/>
        <w:bottom w:val="none" w:sz="0" w:space="0" w:color="auto"/>
        <w:right w:val="none" w:sz="0" w:space="0" w:color="auto"/>
      </w:divBdr>
      <w:divsChild>
        <w:div w:id="88088853">
          <w:marLeft w:val="0"/>
          <w:marRight w:val="0"/>
          <w:marTop w:val="0"/>
          <w:marBottom w:val="0"/>
          <w:divBdr>
            <w:top w:val="none" w:sz="0" w:space="0" w:color="auto"/>
            <w:left w:val="none" w:sz="0" w:space="0" w:color="auto"/>
            <w:bottom w:val="none" w:sz="0" w:space="0" w:color="auto"/>
            <w:right w:val="none" w:sz="0" w:space="0" w:color="auto"/>
          </w:divBdr>
        </w:div>
        <w:div w:id="307174731">
          <w:marLeft w:val="0"/>
          <w:marRight w:val="0"/>
          <w:marTop w:val="0"/>
          <w:marBottom w:val="0"/>
          <w:divBdr>
            <w:top w:val="none" w:sz="0" w:space="0" w:color="auto"/>
            <w:left w:val="none" w:sz="0" w:space="0" w:color="auto"/>
            <w:bottom w:val="none" w:sz="0" w:space="0" w:color="auto"/>
            <w:right w:val="none" w:sz="0" w:space="0" w:color="auto"/>
          </w:divBdr>
        </w:div>
        <w:div w:id="617301475">
          <w:marLeft w:val="0"/>
          <w:marRight w:val="0"/>
          <w:marTop w:val="0"/>
          <w:marBottom w:val="0"/>
          <w:divBdr>
            <w:top w:val="none" w:sz="0" w:space="0" w:color="auto"/>
            <w:left w:val="none" w:sz="0" w:space="0" w:color="auto"/>
            <w:bottom w:val="none" w:sz="0" w:space="0" w:color="auto"/>
            <w:right w:val="none" w:sz="0" w:space="0" w:color="auto"/>
          </w:divBdr>
        </w:div>
        <w:div w:id="857309062">
          <w:marLeft w:val="0"/>
          <w:marRight w:val="0"/>
          <w:marTop w:val="0"/>
          <w:marBottom w:val="0"/>
          <w:divBdr>
            <w:top w:val="none" w:sz="0" w:space="0" w:color="auto"/>
            <w:left w:val="none" w:sz="0" w:space="0" w:color="auto"/>
            <w:bottom w:val="none" w:sz="0" w:space="0" w:color="auto"/>
            <w:right w:val="none" w:sz="0" w:space="0" w:color="auto"/>
          </w:divBdr>
        </w:div>
        <w:div w:id="981929749">
          <w:marLeft w:val="0"/>
          <w:marRight w:val="0"/>
          <w:marTop w:val="0"/>
          <w:marBottom w:val="0"/>
          <w:divBdr>
            <w:top w:val="none" w:sz="0" w:space="0" w:color="auto"/>
            <w:left w:val="none" w:sz="0" w:space="0" w:color="auto"/>
            <w:bottom w:val="none" w:sz="0" w:space="0" w:color="auto"/>
            <w:right w:val="none" w:sz="0" w:space="0" w:color="auto"/>
          </w:divBdr>
        </w:div>
        <w:div w:id="1701128820">
          <w:marLeft w:val="0"/>
          <w:marRight w:val="0"/>
          <w:marTop w:val="0"/>
          <w:marBottom w:val="0"/>
          <w:divBdr>
            <w:top w:val="none" w:sz="0" w:space="0" w:color="auto"/>
            <w:left w:val="none" w:sz="0" w:space="0" w:color="auto"/>
            <w:bottom w:val="none" w:sz="0" w:space="0" w:color="auto"/>
            <w:right w:val="none" w:sz="0" w:space="0" w:color="auto"/>
          </w:divBdr>
        </w:div>
        <w:div w:id="1862626075">
          <w:marLeft w:val="0"/>
          <w:marRight w:val="0"/>
          <w:marTop w:val="0"/>
          <w:marBottom w:val="0"/>
          <w:divBdr>
            <w:top w:val="none" w:sz="0" w:space="0" w:color="auto"/>
            <w:left w:val="none" w:sz="0" w:space="0" w:color="auto"/>
            <w:bottom w:val="none" w:sz="0" w:space="0" w:color="auto"/>
            <w:right w:val="none" w:sz="0" w:space="0" w:color="auto"/>
          </w:divBdr>
        </w:div>
      </w:divsChild>
    </w:div>
    <w:div w:id="1262176963">
      <w:bodyDiv w:val="1"/>
      <w:marLeft w:val="0"/>
      <w:marRight w:val="0"/>
      <w:marTop w:val="0"/>
      <w:marBottom w:val="0"/>
      <w:divBdr>
        <w:top w:val="none" w:sz="0" w:space="0" w:color="auto"/>
        <w:left w:val="none" w:sz="0" w:space="0" w:color="auto"/>
        <w:bottom w:val="none" w:sz="0" w:space="0" w:color="auto"/>
        <w:right w:val="none" w:sz="0" w:space="0" w:color="auto"/>
      </w:divBdr>
    </w:div>
    <w:div w:id="1316490480">
      <w:bodyDiv w:val="1"/>
      <w:marLeft w:val="0"/>
      <w:marRight w:val="0"/>
      <w:marTop w:val="0"/>
      <w:marBottom w:val="0"/>
      <w:divBdr>
        <w:top w:val="none" w:sz="0" w:space="0" w:color="auto"/>
        <w:left w:val="none" w:sz="0" w:space="0" w:color="auto"/>
        <w:bottom w:val="none" w:sz="0" w:space="0" w:color="auto"/>
        <w:right w:val="none" w:sz="0" w:space="0" w:color="auto"/>
      </w:divBdr>
    </w:div>
    <w:div w:id="1372459817">
      <w:bodyDiv w:val="1"/>
      <w:marLeft w:val="0"/>
      <w:marRight w:val="0"/>
      <w:marTop w:val="0"/>
      <w:marBottom w:val="0"/>
      <w:divBdr>
        <w:top w:val="none" w:sz="0" w:space="0" w:color="auto"/>
        <w:left w:val="none" w:sz="0" w:space="0" w:color="auto"/>
        <w:bottom w:val="none" w:sz="0" w:space="0" w:color="auto"/>
        <w:right w:val="none" w:sz="0" w:space="0" w:color="auto"/>
      </w:divBdr>
      <w:divsChild>
        <w:div w:id="1367296955">
          <w:marLeft w:val="0"/>
          <w:marRight w:val="0"/>
          <w:marTop w:val="0"/>
          <w:marBottom w:val="0"/>
          <w:divBdr>
            <w:top w:val="none" w:sz="0" w:space="0" w:color="auto"/>
            <w:left w:val="none" w:sz="0" w:space="0" w:color="auto"/>
            <w:bottom w:val="none" w:sz="0" w:space="0" w:color="auto"/>
            <w:right w:val="none" w:sz="0" w:space="0" w:color="auto"/>
          </w:divBdr>
        </w:div>
        <w:div w:id="1737240585">
          <w:marLeft w:val="0"/>
          <w:marRight w:val="0"/>
          <w:marTop w:val="0"/>
          <w:marBottom w:val="0"/>
          <w:divBdr>
            <w:top w:val="none" w:sz="0" w:space="0" w:color="auto"/>
            <w:left w:val="none" w:sz="0" w:space="0" w:color="auto"/>
            <w:bottom w:val="none" w:sz="0" w:space="0" w:color="auto"/>
            <w:right w:val="none" w:sz="0" w:space="0" w:color="auto"/>
          </w:divBdr>
        </w:div>
      </w:divsChild>
    </w:div>
    <w:div w:id="1498498338">
      <w:bodyDiv w:val="1"/>
      <w:marLeft w:val="0"/>
      <w:marRight w:val="0"/>
      <w:marTop w:val="0"/>
      <w:marBottom w:val="0"/>
      <w:divBdr>
        <w:top w:val="none" w:sz="0" w:space="0" w:color="auto"/>
        <w:left w:val="none" w:sz="0" w:space="0" w:color="auto"/>
        <w:bottom w:val="none" w:sz="0" w:space="0" w:color="auto"/>
        <w:right w:val="none" w:sz="0" w:space="0" w:color="auto"/>
      </w:divBdr>
    </w:div>
    <w:div w:id="1553732402">
      <w:bodyDiv w:val="1"/>
      <w:marLeft w:val="0"/>
      <w:marRight w:val="0"/>
      <w:marTop w:val="0"/>
      <w:marBottom w:val="0"/>
      <w:divBdr>
        <w:top w:val="none" w:sz="0" w:space="0" w:color="auto"/>
        <w:left w:val="none" w:sz="0" w:space="0" w:color="auto"/>
        <w:bottom w:val="none" w:sz="0" w:space="0" w:color="auto"/>
        <w:right w:val="none" w:sz="0" w:space="0" w:color="auto"/>
      </w:divBdr>
    </w:div>
    <w:div w:id="1578320704">
      <w:bodyDiv w:val="1"/>
      <w:marLeft w:val="0"/>
      <w:marRight w:val="0"/>
      <w:marTop w:val="0"/>
      <w:marBottom w:val="0"/>
      <w:divBdr>
        <w:top w:val="none" w:sz="0" w:space="0" w:color="auto"/>
        <w:left w:val="none" w:sz="0" w:space="0" w:color="auto"/>
        <w:bottom w:val="none" w:sz="0" w:space="0" w:color="auto"/>
        <w:right w:val="none" w:sz="0" w:space="0" w:color="auto"/>
      </w:divBdr>
      <w:divsChild>
        <w:div w:id="936718384">
          <w:marLeft w:val="0"/>
          <w:marRight w:val="0"/>
          <w:marTop w:val="0"/>
          <w:marBottom w:val="0"/>
          <w:divBdr>
            <w:top w:val="none" w:sz="0" w:space="0" w:color="auto"/>
            <w:left w:val="none" w:sz="0" w:space="0" w:color="auto"/>
            <w:bottom w:val="none" w:sz="0" w:space="0" w:color="auto"/>
            <w:right w:val="none" w:sz="0" w:space="0" w:color="auto"/>
          </w:divBdr>
        </w:div>
        <w:div w:id="1067611917">
          <w:marLeft w:val="0"/>
          <w:marRight w:val="0"/>
          <w:marTop w:val="0"/>
          <w:marBottom w:val="0"/>
          <w:divBdr>
            <w:top w:val="none" w:sz="0" w:space="0" w:color="auto"/>
            <w:left w:val="none" w:sz="0" w:space="0" w:color="auto"/>
            <w:bottom w:val="none" w:sz="0" w:space="0" w:color="auto"/>
            <w:right w:val="none" w:sz="0" w:space="0" w:color="auto"/>
          </w:divBdr>
        </w:div>
      </w:divsChild>
    </w:div>
    <w:div w:id="1596279070">
      <w:bodyDiv w:val="1"/>
      <w:marLeft w:val="0"/>
      <w:marRight w:val="0"/>
      <w:marTop w:val="0"/>
      <w:marBottom w:val="0"/>
      <w:divBdr>
        <w:top w:val="none" w:sz="0" w:space="0" w:color="auto"/>
        <w:left w:val="none" w:sz="0" w:space="0" w:color="auto"/>
        <w:bottom w:val="none" w:sz="0" w:space="0" w:color="auto"/>
        <w:right w:val="none" w:sz="0" w:space="0" w:color="auto"/>
      </w:divBdr>
    </w:div>
    <w:div w:id="1673795753">
      <w:bodyDiv w:val="1"/>
      <w:marLeft w:val="0"/>
      <w:marRight w:val="0"/>
      <w:marTop w:val="0"/>
      <w:marBottom w:val="0"/>
      <w:divBdr>
        <w:top w:val="none" w:sz="0" w:space="0" w:color="auto"/>
        <w:left w:val="none" w:sz="0" w:space="0" w:color="auto"/>
        <w:bottom w:val="none" w:sz="0" w:space="0" w:color="auto"/>
        <w:right w:val="none" w:sz="0" w:space="0" w:color="auto"/>
      </w:divBdr>
    </w:div>
    <w:div w:id="1689019385">
      <w:bodyDiv w:val="1"/>
      <w:marLeft w:val="0"/>
      <w:marRight w:val="0"/>
      <w:marTop w:val="0"/>
      <w:marBottom w:val="0"/>
      <w:divBdr>
        <w:top w:val="none" w:sz="0" w:space="0" w:color="auto"/>
        <w:left w:val="none" w:sz="0" w:space="0" w:color="auto"/>
        <w:bottom w:val="none" w:sz="0" w:space="0" w:color="auto"/>
        <w:right w:val="none" w:sz="0" w:space="0" w:color="auto"/>
      </w:divBdr>
    </w:div>
    <w:div w:id="1789884564">
      <w:bodyDiv w:val="1"/>
      <w:marLeft w:val="0"/>
      <w:marRight w:val="0"/>
      <w:marTop w:val="0"/>
      <w:marBottom w:val="0"/>
      <w:divBdr>
        <w:top w:val="none" w:sz="0" w:space="0" w:color="auto"/>
        <w:left w:val="none" w:sz="0" w:space="0" w:color="auto"/>
        <w:bottom w:val="none" w:sz="0" w:space="0" w:color="auto"/>
        <w:right w:val="none" w:sz="0" w:space="0" w:color="auto"/>
      </w:divBdr>
      <w:divsChild>
        <w:div w:id="1923643036">
          <w:marLeft w:val="0"/>
          <w:marRight w:val="0"/>
          <w:marTop w:val="0"/>
          <w:marBottom w:val="0"/>
          <w:divBdr>
            <w:top w:val="none" w:sz="0" w:space="0" w:color="auto"/>
            <w:left w:val="none" w:sz="0" w:space="0" w:color="auto"/>
            <w:bottom w:val="none" w:sz="0" w:space="0" w:color="auto"/>
            <w:right w:val="none" w:sz="0" w:space="0" w:color="auto"/>
          </w:divBdr>
        </w:div>
        <w:div w:id="1547790993">
          <w:marLeft w:val="0"/>
          <w:marRight w:val="0"/>
          <w:marTop w:val="0"/>
          <w:marBottom w:val="0"/>
          <w:divBdr>
            <w:top w:val="none" w:sz="0" w:space="0" w:color="auto"/>
            <w:left w:val="none" w:sz="0" w:space="0" w:color="auto"/>
            <w:bottom w:val="none" w:sz="0" w:space="0" w:color="auto"/>
            <w:right w:val="none" w:sz="0" w:space="0" w:color="auto"/>
          </w:divBdr>
        </w:div>
        <w:div w:id="1608807805">
          <w:marLeft w:val="0"/>
          <w:marRight w:val="0"/>
          <w:marTop w:val="0"/>
          <w:marBottom w:val="0"/>
          <w:divBdr>
            <w:top w:val="none" w:sz="0" w:space="0" w:color="auto"/>
            <w:left w:val="none" w:sz="0" w:space="0" w:color="auto"/>
            <w:bottom w:val="none" w:sz="0" w:space="0" w:color="auto"/>
            <w:right w:val="none" w:sz="0" w:space="0" w:color="auto"/>
          </w:divBdr>
        </w:div>
        <w:div w:id="1564220127">
          <w:marLeft w:val="0"/>
          <w:marRight w:val="0"/>
          <w:marTop w:val="0"/>
          <w:marBottom w:val="0"/>
          <w:divBdr>
            <w:top w:val="none" w:sz="0" w:space="0" w:color="auto"/>
            <w:left w:val="none" w:sz="0" w:space="0" w:color="auto"/>
            <w:bottom w:val="none" w:sz="0" w:space="0" w:color="auto"/>
            <w:right w:val="none" w:sz="0" w:space="0" w:color="auto"/>
          </w:divBdr>
        </w:div>
      </w:divsChild>
    </w:div>
    <w:div w:id="1825731861">
      <w:bodyDiv w:val="1"/>
      <w:marLeft w:val="0"/>
      <w:marRight w:val="0"/>
      <w:marTop w:val="0"/>
      <w:marBottom w:val="0"/>
      <w:divBdr>
        <w:top w:val="none" w:sz="0" w:space="0" w:color="auto"/>
        <w:left w:val="none" w:sz="0" w:space="0" w:color="auto"/>
        <w:bottom w:val="none" w:sz="0" w:space="0" w:color="auto"/>
        <w:right w:val="none" w:sz="0" w:space="0" w:color="auto"/>
      </w:divBdr>
    </w:div>
    <w:div w:id="1828355933">
      <w:bodyDiv w:val="1"/>
      <w:marLeft w:val="0"/>
      <w:marRight w:val="0"/>
      <w:marTop w:val="0"/>
      <w:marBottom w:val="0"/>
      <w:divBdr>
        <w:top w:val="none" w:sz="0" w:space="0" w:color="auto"/>
        <w:left w:val="none" w:sz="0" w:space="0" w:color="auto"/>
        <w:bottom w:val="none" w:sz="0" w:space="0" w:color="auto"/>
        <w:right w:val="none" w:sz="0" w:space="0" w:color="auto"/>
      </w:divBdr>
    </w:div>
    <w:div w:id="1853258915">
      <w:bodyDiv w:val="1"/>
      <w:marLeft w:val="0"/>
      <w:marRight w:val="0"/>
      <w:marTop w:val="0"/>
      <w:marBottom w:val="0"/>
      <w:divBdr>
        <w:top w:val="none" w:sz="0" w:space="0" w:color="auto"/>
        <w:left w:val="none" w:sz="0" w:space="0" w:color="auto"/>
        <w:bottom w:val="none" w:sz="0" w:space="0" w:color="auto"/>
        <w:right w:val="none" w:sz="0" w:space="0" w:color="auto"/>
      </w:divBdr>
    </w:div>
    <w:div w:id="1863857146">
      <w:bodyDiv w:val="1"/>
      <w:marLeft w:val="0"/>
      <w:marRight w:val="0"/>
      <w:marTop w:val="0"/>
      <w:marBottom w:val="0"/>
      <w:divBdr>
        <w:top w:val="none" w:sz="0" w:space="0" w:color="auto"/>
        <w:left w:val="none" w:sz="0" w:space="0" w:color="auto"/>
        <w:bottom w:val="none" w:sz="0" w:space="0" w:color="auto"/>
        <w:right w:val="none" w:sz="0" w:space="0" w:color="auto"/>
      </w:divBdr>
    </w:div>
    <w:div w:id="1900438753">
      <w:bodyDiv w:val="1"/>
      <w:marLeft w:val="0"/>
      <w:marRight w:val="0"/>
      <w:marTop w:val="0"/>
      <w:marBottom w:val="0"/>
      <w:divBdr>
        <w:top w:val="none" w:sz="0" w:space="0" w:color="auto"/>
        <w:left w:val="none" w:sz="0" w:space="0" w:color="auto"/>
        <w:bottom w:val="none" w:sz="0" w:space="0" w:color="auto"/>
        <w:right w:val="none" w:sz="0" w:space="0" w:color="auto"/>
      </w:divBdr>
    </w:div>
    <w:div w:id="1922373558">
      <w:bodyDiv w:val="1"/>
      <w:marLeft w:val="0"/>
      <w:marRight w:val="0"/>
      <w:marTop w:val="0"/>
      <w:marBottom w:val="0"/>
      <w:divBdr>
        <w:top w:val="none" w:sz="0" w:space="0" w:color="auto"/>
        <w:left w:val="none" w:sz="0" w:space="0" w:color="auto"/>
        <w:bottom w:val="none" w:sz="0" w:space="0" w:color="auto"/>
        <w:right w:val="none" w:sz="0" w:space="0" w:color="auto"/>
      </w:divBdr>
    </w:div>
    <w:div w:id="2025670403">
      <w:bodyDiv w:val="1"/>
      <w:marLeft w:val="0"/>
      <w:marRight w:val="0"/>
      <w:marTop w:val="0"/>
      <w:marBottom w:val="0"/>
      <w:divBdr>
        <w:top w:val="none" w:sz="0" w:space="0" w:color="auto"/>
        <w:left w:val="none" w:sz="0" w:space="0" w:color="auto"/>
        <w:bottom w:val="none" w:sz="0" w:space="0" w:color="auto"/>
        <w:right w:val="none" w:sz="0" w:space="0" w:color="auto"/>
      </w:divBdr>
    </w:div>
    <w:div w:id="2059547176">
      <w:bodyDiv w:val="1"/>
      <w:marLeft w:val="0"/>
      <w:marRight w:val="0"/>
      <w:marTop w:val="0"/>
      <w:marBottom w:val="0"/>
      <w:divBdr>
        <w:top w:val="none" w:sz="0" w:space="0" w:color="auto"/>
        <w:left w:val="none" w:sz="0" w:space="0" w:color="auto"/>
        <w:bottom w:val="none" w:sz="0" w:space="0" w:color="auto"/>
        <w:right w:val="none" w:sz="0" w:space="0" w:color="auto"/>
      </w:divBdr>
    </w:div>
    <w:div w:id="2068337497">
      <w:bodyDiv w:val="1"/>
      <w:marLeft w:val="0"/>
      <w:marRight w:val="0"/>
      <w:marTop w:val="0"/>
      <w:marBottom w:val="0"/>
      <w:divBdr>
        <w:top w:val="none" w:sz="0" w:space="0" w:color="auto"/>
        <w:left w:val="none" w:sz="0" w:space="0" w:color="auto"/>
        <w:bottom w:val="none" w:sz="0" w:space="0" w:color="auto"/>
        <w:right w:val="none" w:sz="0" w:space="0" w:color="auto"/>
      </w:divBdr>
      <w:divsChild>
        <w:div w:id="231501358">
          <w:marLeft w:val="0"/>
          <w:marRight w:val="0"/>
          <w:marTop w:val="0"/>
          <w:marBottom w:val="0"/>
          <w:divBdr>
            <w:top w:val="none" w:sz="0" w:space="0" w:color="auto"/>
            <w:left w:val="none" w:sz="0" w:space="0" w:color="auto"/>
            <w:bottom w:val="none" w:sz="0" w:space="0" w:color="auto"/>
            <w:right w:val="none" w:sz="0" w:space="0" w:color="auto"/>
          </w:divBdr>
          <w:divsChild>
            <w:div w:id="728845488">
              <w:marLeft w:val="0"/>
              <w:marRight w:val="0"/>
              <w:marTop w:val="0"/>
              <w:marBottom w:val="0"/>
              <w:divBdr>
                <w:top w:val="none" w:sz="0" w:space="0" w:color="auto"/>
                <w:left w:val="none" w:sz="0" w:space="0" w:color="auto"/>
                <w:bottom w:val="none" w:sz="0" w:space="0" w:color="auto"/>
                <w:right w:val="none" w:sz="0" w:space="0" w:color="auto"/>
              </w:divBdr>
              <w:divsChild>
                <w:div w:id="621422429">
                  <w:marLeft w:val="0"/>
                  <w:marRight w:val="0"/>
                  <w:marTop w:val="0"/>
                  <w:marBottom w:val="0"/>
                  <w:divBdr>
                    <w:top w:val="none" w:sz="0" w:space="0" w:color="auto"/>
                    <w:left w:val="none" w:sz="0" w:space="0" w:color="auto"/>
                    <w:bottom w:val="none" w:sz="0" w:space="0" w:color="auto"/>
                    <w:right w:val="none" w:sz="0" w:space="0" w:color="auto"/>
                  </w:divBdr>
                  <w:divsChild>
                    <w:div w:id="82576692">
                      <w:marLeft w:val="0"/>
                      <w:marRight w:val="0"/>
                      <w:marTop w:val="0"/>
                      <w:marBottom w:val="0"/>
                      <w:divBdr>
                        <w:top w:val="none" w:sz="0" w:space="0" w:color="auto"/>
                        <w:left w:val="none" w:sz="0" w:space="0" w:color="auto"/>
                        <w:bottom w:val="none" w:sz="0" w:space="0" w:color="auto"/>
                        <w:right w:val="none" w:sz="0" w:space="0" w:color="auto"/>
                      </w:divBdr>
                      <w:divsChild>
                        <w:div w:id="364717886">
                          <w:marLeft w:val="0"/>
                          <w:marRight w:val="0"/>
                          <w:marTop w:val="0"/>
                          <w:marBottom w:val="0"/>
                          <w:divBdr>
                            <w:top w:val="none" w:sz="0" w:space="0" w:color="auto"/>
                            <w:left w:val="none" w:sz="0" w:space="0" w:color="auto"/>
                            <w:bottom w:val="none" w:sz="0" w:space="0" w:color="auto"/>
                            <w:right w:val="none" w:sz="0" w:space="0" w:color="auto"/>
                          </w:divBdr>
                          <w:divsChild>
                            <w:div w:id="528110135">
                              <w:marLeft w:val="-225"/>
                              <w:marRight w:val="-225"/>
                              <w:marTop w:val="0"/>
                              <w:marBottom w:val="0"/>
                              <w:divBdr>
                                <w:top w:val="none" w:sz="0" w:space="0" w:color="auto"/>
                                <w:left w:val="none" w:sz="0" w:space="0" w:color="auto"/>
                                <w:bottom w:val="none" w:sz="0" w:space="0" w:color="auto"/>
                                <w:right w:val="none" w:sz="0" w:space="0" w:color="auto"/>
                              </w:divBdr>
                              <w:divsChild>
                                <w:div w:id="547108295">
                                  <w:marLeft w:val="0"/>
                                  <w:marRight w:val="0"/>
                                  <w:marTop w:val="0"/>
                                  <w:marBottom w:val="133"/>
                                  <w:divBdr>
                                    <w:top w:val="none" w:sz="0" w:space="0" w:color="auto"/>
                                    <w:left w:val="none" w:sz="0" w:space="0" w:color="auto"/>
                                    <w:bottom w:val="none" w:sz="0" w:space="0" w:color="auto"/>
                                    <w:right w:val="none" w:sz="0" w:space="0" w:color="auto"/>
                                  </w:divBdr>
                                  <w:divsChild>
                                    <w:div w:id="5458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190396">
      <w:bodyDiv w:val="1"/>
      <w:marLeft w:val="0"/>
      <w:marRight w:val="0"/>
      <w:marTop w:val="0"/>
      <w:marBottom w:val="0"/>
      <w:divBdr>
        <w:top w:val="none" w:sz="0" w:space="0" w:color="auto"/>
        <w:left w:val="none" w:sz="0" w:space="0" w:color="auto"/>
        <w:bottom w:val="none" w:sz="0" w:space="0" w:color="auto"/>
        <w:right w:val="none" w:sz="0" w:space="0" w:color="auto"/>
      </w:divBdr>
    </w:div>
    <w:div w:id="2088646357">
      <w:bodyDiv w:val="1"/>
      <w:marLeft w:val="0"/>
      <w:marRight w:val="0"/>
      <w:marTop w:val="0"/>
      <w:marBottom w:val="0"/>
      <w:divBdr>
        <w:top w:val="none" w:sz="0" w:space="0" w:color="auto"/>
        <w:left w:val="none" w:sz="0" w:space="0" w:color="auto"/>
        <w:bottom w:val="none" w:sz="0" w:space="0" w:color="auto"/>
        <w:right w:val="none" w:sz="0" w:space="0" w:color="auto"/>
      </w:divBdr>
    </w:div>
    <w:div w:id="2115903619">
      <w:bodyDiv w:val="1"/>
      <w:marLeft w:val="0"/>
      <w:marRight w:val="0"/>
      <w:marTop w:val="0"/>
      <w:marBottom w:val="0"/>
      <w:divBdr>
        <w:top w:val="none" w:sz="0" w:space="0" w:color="auto"/>
        <w:left w:val="none" w:sz="0" w:space="0" w:color="auto"/>
        <w:bottom w:val="none" w:sz="0" w:space="0" w:color="auto"/>
        <w:right w:val="none" w:sz="0" w:space="0" w:color="auto"/>
      </w:divBdr>
      <w:divsChild>
        <w:div w:id="489564755">
          <w:marLeft w:val="0"/>
          <w:marRight w:val="0"/>
          <w:marTop w:val="0"/>
          <w:marBottom w:val="0"/>
          <w:divBdr>
            <w:top w:val="none" w:sz="0" w:space="0" w:color="auto"/>
            <w:left w:val="none" w:sz="0" w:space="0" w:color="auto"/>
            <w:bottom w:val="none" w:sz="0" w:space="0" w:color="auto"/>
            <w:right w:val="none" w:sz="0" w:space="0" w:color="auto"/>
          </w:divBdr>
        </w:div>
        <w:div w:id="874655477">
          <w:marLeft w:val="0"/>
          <w:marRight w:val="0"/>
          <w:marTop w:val="0"/>
          <w:marBottom w:val="0"/>
          <w:divBdr>
            <w:top w:val="none" w:sz="0" w:space="0" w:color="auto"/>
            <w:left w:val="none" w:sz="0" w:space="0" w:color="auto"/>
            <w:bottom w:val="none" w:sz="0" w:space="0" w:color="auto"/>
            <w:right w:val="none" w:sz="0" w:space="0" w:color="auto"/>
          </w:divBdr>
        </w:div>
      </w:divsChild>
    </w:div>
    <w:div w:id="21346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uia-initiative.eu/en/call-proposals/4th-call-proposals" TargetMode="External"/><Relationship Id="rId3" Type="http://schemas.openxmlformats.org/officeDocument/2006/relationships/hyperlink" Target="https://www.europarl.europa.eu/doceo/document/TA-9-2019-0022_EN.html" TargetMode="External"/><Relationship Id="rId7" Type="http://schemas.openxmlformats.org/officeDocument/2006/relationships/hyperlink" Target="https://europa.eu/euprotects/" TargetMode="External"/><Relationship Id="rId2" Type="http://schemas.openxmlformats.org/officeDocument/2006/relationships/hyperlink" Target="https://ec.europa.eu/home-affairs/sites/homeaffairs/files/what-we-do/networks/radicalisation_awareness_network/ran-papers/docs/issue_paper_child_returnees_from_conflict_zones_112016_en.pdf" TargetMode="External"/><Relationship Id="rId1" Type="http://schemas.openxmlformats.org/officeDocument/2006/relationships/hyperlink" Target="https://ec.europa.eu/home-affairs/what-we-do/policies/european-agenda-security/legislative-documents_en" TargetMode="External"/><Relationship Id="rId6" Type="http://schemas.openxmlformats.org/officeDocument/2006/relationships/hyperlink" Target="http://www.euvsdisinfo.eu" TargetMode="External"/><Relationship Id="rId5" Type="http://schemas.openxmlformats.org/officeDocument/2006/relationships/hyperlink" Target="https://ec.europa.eu/commission/presscorner/detail/en/statement_19_6166" TargetMode="External"/><Relationship Id="rId4" Type="http://schemas.openxmlformats.org/officeDocument/2006/relationships/hyperlink" Target="https://ec.europa.eu/digital-single-market/en/news/eu-wide-coordinated-risk-assessment-5g-networks-security" TargetMode="External"/><Relationship Id="rId9" Type="http://schemas.openxmlformats.org/officeDocument/2006/relationships/hyperlink" Target="https://ec.europa.eu/home-affairs/news/news/20191009_security-union-implementing-counter-terrorism-arrangements-albania-north-macedonia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687-10F8-49E4-96FE-95EDE7E2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6816</Words>
  <Characters>38992</Characters>
  <Application>Microsoft Office Word</Application>
  <DocSecurity>0</DocSecurity>
  <Lines>565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SIEGL Julian (CAB-KING)</dc:creator>
  <cp:lastModifiedBy>PAREDES ECHAURI Cristina (SG)</cp:lastModifiedBy>
  <cp:revision>3</cp:revision>
  <dcterms:created xsi:type="dcterms:W3CDTF">2019-10-29T10:18:00Z</dcterms:created>
  <dcterms:modified xsi:type="dcterms:W3CDTF">2019-10-29T18:41:00Z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CP-035</vt:lpwstr>
  </property>
</Properties>
</file>