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BCF9E" w14:textId="7CFAEC2E" w:rsidR="001950BC" w:rsidRDefault="00AA0B5E" w:rsidP="00AA0B5E">
      <w:pPr>
        <w:pStyle w:val="Pagedecouverture"/>
      </w:pPr>
      <w:r>
        <w:pict w14:anchorId="1A66F5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33632A9-695B-45D9-AEE6-C41166EF13DB" style="width:450.75pt;height:366pt">
            <v:imagedata r:id="rId8" o:title=""/>
          </v:shape>
        </w:pict>
      </w:r>
    </w:p>
    <w:p w14:paraId="43C8D643" w14:textId="77777777" w:rsidR="001950BC" w:rsidRDefault="001950BC" w:rsidP="001950BC">
      <w:pPr>
        <w:sectPr w:rsidR="001950BC" w:rsidSect="00AA0B5E">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0AD0978B" w14:textId="77777777" w:rsidR="001950BC" w:rsidRDefault="001950BC" w:rsidP="00BB6B30">
      <w:pPr>
        <w:pStyle w:val="Exposdesmotifstitre"/>
      </w:pPr>
      <w:bookmarkStart w:id="0" w:name="_GoBack"/>
      <w:bookmarkEnd w:id="0"/>
      <w:r w:rsidRPr="006F770D">
        <w:lastRenderedPageBreak/>
        <w:t>EXPLANATORY MEMORANDUM</w:t>
      </w:r>
    </w:p>
    <w:p w14:paraId="7F5262BE" w14:textId="77777777" w:rsidR="001950BC" w:rsidRPr="006F770D" w:rsidRDefault="001950BC" w:rsidP="00BB6B30">
      <w:pPr>
        <w:pStyle w:val="ManualHeading1"/>
      </w:pPr>
      <w:r w:rsidRPr="00C567EE">
        <w:t>1.</w:t>
      </w:r>
      <w:r w:rsidRPr="00C567EE">
        <w:tab/>
      </w:r>
      <w:r w:rsidRPr="006F770D">
        <w:t>CONTEXT OF THE PROPOSAL</w:t>
      </w:r>
    </w:p>
    <w:p w14:paraId="16A31C85" w14:textId="77777777" w:rsidR="001950BC" w:rsidRPr="00044058" w:rsidRDefault="001950BC" w:rsidP="00C10BF6">
      <w:pPr>
        <w:pStyle w:val="ManualHeading2"/>
        <w:rPr>
          <w:rFonts w:eastAsia="Arial Unicode MS"/>
        </w:rPr>
      </w:pPr>
      <w:r w:rsidRPr="0029266A">
        <w:rPr>
          <w:rFonts w:eastAsia="Arial Unicode MS"/>
          <w:color w:val="000000"/>
          <w:u w:color="000000"/>
          <w:bdr w:val="nil"/>
          <w:lang w:val="en-US" w:eastAsia="en-GB"/>
        </w:rPr>
        <w:t>•</w:t>
      </w:r>
      <w:r w:rsidRPr="0029266A">
        <w:rPr>
          <w:rFonts w:eastAsia="Arial Unicode MS"/>
          <w:color w:val="000000"/>
          <w:u w:color="000000"/>
          <w:bdr w:val="nil"/>
          <w:lang w:val="en-US" w:eastAsia="en-GB"/>
        </w:rPr>
        <w:tab/>
      </w:r>
      <w:r w:rsidRPr="00044058">
        <w:rPr>
          <w:rFonts w:eastAsia="Arial Unicode MS"/>
        </w:rPr>
        <w:t>Reasons for and objectives of the proposal</w:t>
      </w:r>
    </w:p>
    <w:p w14:paraId="0A89D9C9" w14:textId="77777777" w:rsidR="00DD0266" w:rsidRPr="00C10BF6" w:rsidRDefault="00DD0266" w:rsidP="00966003">
      <w:pPr>
        <w:pBdr>
          <w:top w:val="nil"/>
          <w:left w:val="nil"/>
          <w:bottom w:val="nil"/>
          <w:right w:val="nil"/>
          <w:between w:val="nil"/>
          <w:bar w:val="nil"/>
        </w:pBdr>
        <w:spacing w:before="0" w:after="240"/>
        <w:rPr>
          <w:rFonts w:eastAsia="Arial Unicode MS"/>
        </w:rPr>
      </w:pPr>
      <w:r w:rsidRPr="00C10BF6">
        <w:rPr>
          <w:rFonts w:eastAsia="Arial Unicode MS"/>
        </w:rPr>
        <w:t xml:space="preserve">This proposal aims at providing certainty and continuity in the granting of support to European farmers in the year 2020 and ensuring the respect of budgetary ceilings for the EAGF by adapting two legislative acts of the Common Agricultural Policy (CAP). </w:t>
      </w:r>
    </w:p>
    <w:p w14:paraId="6574A1B9" w14:textId="46E12352" w:rsidR="00B82310" w:rsidRPr="00C10BF6" w:rsidRDefault="00DD0266" w:rsidP="00966003">
      <w:pPr>
        <w:pBdr>
          <w:top w:val="nil"/>
          <w:left w:val="nil"/>
          <w:bottom w:val="nil"/>
          <w:right w:val="nil"/>
          <w:between w:val="nil"/>
          <w:bar w:val="nil"/>
        </w:pBdr>
        <w:spacing w:before="0" w:after="240"/>
        <w:rPr>
          <w:rFonts w:eastAsia="Arial Unicode MS"/>
        </w:rPr>
      </w:pPr>
      <w:r w:rsidRPr="00C10BF6">
        <w:rPr>
          <w:rFonts w:eastAsia="Arial Unicode MS"/>
        </w:rPr>
        <w:t xml:space="preserve">In relation to the financing of the CAP, certain amendments of Regulation </w:t>
      </w:r>
      <w:r w:rsidR="00EF1AEA" w:rsidRPr="00C10BF6">
        <w:rPr>
          <w:rFonts w:eastAsia="Arial Unicode MS"/>
        </w:rPr>
        <w:t>(EU) 1306/2013 on the financing, management and monitoring of the common agricultural policy (</w:t>
      </w:r>
      <w:r w:rsidR="00A83DC7" w:rsidRPr="00C10BF6">
        <w:rPr>
          <w:rFonts w:eastAsia="Arial Unicode MS"/>
        </w:rPr>
        <w:t>Horizontal R</w:t>
      </w:r>
      <w:r w:rsidR="00EF1AEA" w:rsidRPr="00C10BF6">
        <w:rPr>
          <w:rFonts w:eastAsia="Arial Unicode MS"/>
        </w:rPr>
        <w:t xml:space="preserve">egulation) </w:t>
      </w:r>
      <w:r w:rsidRPr="00C10BF6">
        <w:rPr>
          <w:rFonts w:eastAsia="Arial Unicode MS"/>
        </w:rPr>
        <w:t xml:space="preserve">are needed to </w:t>
      </w:r>
      <w:r w:rsidRPr="00302233">
        <w:t>ensure</w:t>
      </w:r>
      <w:r w:rsidRPr="00C10BF6">
        <w:rPr>
          <w:rFonts w:eastAsia="Arial Unicode MS"/>
        </w:rPr>
        <w:t xml:space="preserve"> that the financial discipline mechanism that makes it possible to </w:t>
      </w:r>
      <w:r w:rsidR="00B82310" w:rsidRPr="00C10BF6">
        <w:rPr>
          <w:rFonts w:eastAsia="Arial Unicode MS"/>
        </w:rPr>
        <w:t>respect the maximum ceiling set by the Regulation o</w:t>
      </w:r>
      <w:r w:rsidR="001771BB" w:rsidRPr="00C10BF6">
        <w:rPr>
          <w:rFonts w:eastAsia="Arial Unicode MS"/>
        </w:rPr>
        <w:t>n</w:t>
      </w:r>
      <w:r w:rsidR="00B82310" w:rsidRPr="00C10BF6">
        <w:rPr>
          <w:rFonts w:eastAsia="Arial Unicode MS"/>
        </w:rPr>
        <w:t xml:space="preserve"> the multi-annual financial framework </w:t>
      </w:r>
      <w:r w:rsidRPr="00C10BF6">
        <w:rPr>
          <w:rFonts w:eastAsia="Arial Unicode MS"/>
        </w:rPr>
        <w:t>can still operate for financial year</w:t>
      </w:r>
      <w:r w:rsidR="002A494F" w:rsidRPr="00C10BF6">
        <w:rPr>
          <w:rFonts w:eastAsia="Arial Unicode MS"/>
        </w:rPr>
        <w:t>s</w:t>
      </w:r>
      <w:r w:rsidRPr="00C10BF6">
        <w:rPr>
          <w:rFonts w:eastAsia="Arial Unicode MS"/>
        </w:rPr>
        <w:t xml:space="preserve"> </w:t>
      </w:r>
      <w:r w:rsidR="002A494F" w:rsidRPr="00C10BF6">
        <w:rPr>
          <w:rFonts w:eastAsia="Arial Unicode MS"/>
        </w:rPr>
        <w:t xml:space="preserve">post </w:t>
      </w:r>
      <w:r w:rsidRPr="00C10BF6">
        <w:rPr>
          <w:rFonts w:eastAsia="Arial Unicode MS"/>
        </w:rPr>
        <w:t>202</w:t>
      </w:r>
      <w:r w:rsidR="002A494F" w:rsidRPr="00C10BF6">
        <w:rPr>
          <w:rFonts w:eastAsia="Arial Unicode MS"/>
        </w:rPr>
        <w:t>0</w:t>
      </w:r>
      <w:r w:rsidR="002E3968" w:rsidRPr="00C10BF6">
        <w:rPr>
          <w:rFonts w:eastAsia="Arial Unicode MS"/>
        </w:rPr>
        <w:t xml:space="preserve">. </w:t>
      </w:r>
    </w:p>
    <w:p w14:paraId="466D2EC4" w14:textId="3554D691" w:rsidR="003B36DD" w:rsidRPr="00C10BF6" w:rsidRDefault="00DD0266" w:rsidP="003B36DD">
      <w:pPr>
        <w:pBdr>
          <w:top w:val="nil"/>
          <w:left w:val="nil"/>
          <w:bottom w:val="nil"/>
          <w:right w:val="nil"/>
          <w:between w:val="nil"/>
          <w:bar w:val="nil"/>
        </w:pBdr>
        <w:spacing w:before="0" w:after="240"/>
      </w:pPr>
      <w:r w:rsidRPr="00C10BF6">
        <w:rPr>
          <w:rFonts w:eastAsia="Arial Unicode MS"/>
        </w:rPr>
        <w:t xml:space="preserve">In relation to Direct Payments, </w:t>
      </w:r>
      <w:r w:rsidR="006138B9" w:rsidRPr="00C10BF6">
        <w:rPr>
          <w:rFonts w:eastAsia="Arial Unicode MS"/>
        </w:rPr>
        <w:t xml:space="preserve">Regulation (EU) 2019/288 </w:t>
      </w:r>
      <w:r w:rsidRPr="00C10BF6">
        <w:rPr>
          <w:rFonts w:eastAsia="Arial Unicode MS"/>
        </w:rPr>
        <w:t xml:space="preserve">amended </w:t>
      </w:r>
      <w:r w:rsidR="003B36DD" w:rsidRPr="00C10BF6">
        <w:rPr>
          <w:rFonts w:eastAsia="Arial Unicode MS"/>
        </w:rPr>
        <w:t>Regulation (EU) No 1307/2013</w:t>
      </w:r>
      <w:r w:rsidR="00EF1AEA" w:rsidRPr="00C10BF6">
        <w:rPr>
          <w:rFonts w:eastAsia="Arial Unicode MS"/>
        </w:rPr>
        <w:t xml:space="preserve"> establishing rules for direct payments to farmers under support schemes within the framework of t</w:t>
      </w:r>
      <w:r w:rsidR="00A83DC7" w:rsidRPr="00C10BF6">
        <w:rPr>
          <w:rFonts w:eastAsia="Arial Unicode MS"/>
        </w:rPr>
        <w:t>he common agricultural policy (D</w:t>
      </w:r>
      <w:r w:rsidR="00EF1AEA" w:rsidRPr="00C10BF6">
        <w:rPr>
          <w:rFonts w:eastAsia="Arial Unicode MS"/>
        </w:rPr>
        <w:t xml:space="preserve">irect </w:t>
      </w:r>
      <w:r w:rsidR="00A83DC7" w:rsidRPr="00C10BF6">
        <w:rPr>
          <w:rFonts w:eastAsia="Arial Unicode MS"/>
        </w:rPr>
        <w:t>P</w:t>
      </w:r>
      <w:r w:rsidR="00EF1AEA" w:rsidRPr="00C10BF6">
        <w:rPr>
          <w:rFonts w:eastAsia="Arial Unicode MS"/>
        </w:rPr>
        <w:t xml:space="preserve">ayments </w:t>
      </w:r>
      <w:r w:rsidR="00A83DC7" w:rsidRPr="00C10BF6">
        <w:rPr>
          <w:rFonts w:eastAsia="Arial Unicode MS"/>
        </w:rPr>
        <w:t>R</w:t>
      </w:r>
      <w:r w:rsidR="00EF1AEA" w:rsidRPr="00C10BF6">
        <w:rPr>
          <w:rFonts w:eastAsia="Arial Unicode MS"/>
        </w:rPr>
        <w:t>egulation)</w:t>
      </w:r>
      <w:r w:rsidR="003B36DD" w:rsidRPr="00C10BF6">
        <w:t xml:space="preserve"> </w:t>
      </w:r>
      <w:r w:rsidRPr="00C10BF6">
        <w:rPr>
          <w:rFonts w:eastAsia="Arial Unicode MS"/>
        </w:rPr>
        <w:t xml:space="preserve">to </w:t>
      </w:r>
      <w:r w:rsidR="006138B9" w:rsidRPr="00C10BF6">
        <w:rPr>
          <w:rFonts w:eastAsia="Arial Unicode MS"/>
        </w:rPr>
        <w:t>extend the flexibility between pillars foreseen for calendar years 2015-2019 to calendar year 2020/financial year 2021</w:t>
      </w:r>
      <w:r w:rsidRPr="00C10BF6">
        <w:rPr>
          <w:rFonts w:eastAsia="Arial Unicode MS"/>
        </w:rPr>
        <w:t>. This re</w:t>
      </w:r>
      <w:r w:rsidR="00A83DC7" w:rsidRPr="00C10BF6">
        <w:rPr>
          <w:rFonts w:eastAsia="Arial Unicode MS"/>
        </w:rPr>
        <w:t xml:space="preserve">gulation set up the amounts to </w:t>
      </w:r>
      <w:r w:rsidRPr="00C10BF6">
        <w:rPr>
          <w:rFonts w:eastAsia="Arial Unicode MS"/>
        </w:rPr>
        <w:t xml:space="preserve">transfer from </w:t>
      </w:r>
      <w:r w:rsidR="00A83DC7" w:rsidRPr="00C10BF6">
        <w:rPr>
          <w:rFonts w:eastAsia="Arial Unicode MS"/>
        </w:rPr>
        <w:t xml:space="preserve">the </w:t>
      </w:r>
      <w:r w:rsidRPr="00C10BF6">
        <w:rPr>
          <w:rFonts w:eastAsia="Arial Unicode MS"/>
        </w:rPr>
        <w:t xml:space="preserve">rural development to direct payments </w:t>
      </w:r>
      <w:r w:rsidR="00A83DC7" w:rsidRPr="00C10BF6">
        <w:rPr>
          <w:rFonts w:eastAsia="Arial Unicode MS"/>
        </w:rPr>
        <w:t xml:space="preserve">envelope </w:t>
      </w:r>
      <w:r w:rsidRPr="00C10BF6">
        <w:rPr>
          <w:rFonts w:eastAsia="Arial Unicode MS"/>
        </w:rPr>
        <w:t xml:space="preserve">as a percentage of the amount allocated to support financed under the EAFRD in financial year 2021 by Union legislation adopted after the adoption by the </w:t>
      </w:r>
      <w:r w:rsidRPr="00302233">
        <w:t>Council</w:t>
      </w:r>
      <w:r w:rsidRPr="00C10BF6">
        <w:rPr>
          <w:rFonts w:eastAsia="Arial Unicode MS"/>
        </w:rPr>
        <w:t xml:space="preserve"> of the relevant Regulation pursuant to Article 312(2) TFEU. The relevant Union legislation may not be in place by the time the Member States need to notify their decision to transfer. To make it possible to apply the flexibility from rural development to direct payments, it is appropriate to establish the </w:t>
      </w:r>
      <w:r w:rsidR="00861515" w:rsidRPr="00C10BF6">
        <w:rPr>
          <w:rFonts w:eastAsia="Arial Unicode MS"/>
        </w:rPr>
        <w:t xml:space="preserve">maximum </w:t>
      </w:r>
      <w:r w:rsidRPr="00C10BF6">
        <w:rPr>
          <w:rFonts w:eastAsia="Arial Unicode MS"/>
        </w:rPr>
        <w:t xml:space="preserve">amount </w:t>
      </w:r>
      <w:r w:rsidR="00861515" w:rsidRPr="00C10BF6">
        <w:rPr>
          <w:rFonts w:eastAsia="Arial Unicode MS"/>
        </w:rPr>
        <w:t xml:space="preserve">that can be </w:t>
      </w:r>
      <w:r w:rsidRPr="00C10BF6">
        <w:rPr>
          <w:rFonts w:eastAsia="Arial Unicode MS"/>
        </w:rPr>
        <w:t>transfer</w:t>
      </w:r>
      <w:r w:rsidR="00861515" w:rsidRPr="00C10BF6">
        <w:rPr>
          <w:rFonts w:eastAsia="Arial Unicode MS"/>
        </w:rPr>
        <w:t>red</w:t>
      </w:r>
      <w:r w:rsidRPr="00C10BF6">
        <w:rPr>
          <w:rFonts w:eastAsia="Arial Unicode MS"/>
        </w:rPr>
        <w:t xml:space="preserve"> based on a fixe</w:t>
      </w:r>
      <w:r w:rsidR="00286925" w:rsidRPr="00C10BF6">
        <w:rPr>
          <w:rFonts w:eastAsia="Arial Unicode MS"/>
        </w:rPr>
        <w:t xml:space="preserve">d amount and not a percentage. </w:t>
      </w:r>
      <w:r w:rsidRPr="00C10BF6">
        <w:rPr>
          <w:rFonts w:eastAsia="Arial Unicode MS"/>
        </w:rPr>
        <w:t>As a consequence, and because the amount available as direct payments has an</w:t>
      </w:r>
      <w:r w:rsidRPr="00C10BF6">
        <w:t xml:space="preserve"> </w:t>
      </w:r>
      <w:r w:rsidRPr="00C10BF6">
        <w:rPr>
          <w:rFonts w:eastAsia="Arial Unicode MS"/>
        </w:rPr>
        <w:t xml:space="preserve">impact on the choices </w:t>
      </w:r>
      <w:r w:rsidR="00A83DC7" w:rsidRPr="00C10BF6">
        <w:rPr>
          <w:rFonts w:eastAsia="Arial Unicode MS"/>
        </w:rPr>
        <w:t>by Member States</w:t>
      </w:r>
      <w:r w:rsidRPr="00C10BF6">
        <w:rPr>
          <w:rFonts w:eastAsia="Arial Unicode MS"/>
        </w:rPr>
        <w:t xml:space="preserve"> on the Voluntary Couple</w:t>
      </w:r>
      <w:r w:rsidR="00DC09BC" w:rsidRPr="00C10BF6">
        <w:rPr>
          <w:rFonts w:eastAsia="Arial Unicode MS"/>
        </w:rPr>
        <w:t>d</w:t>
      </w:r>
      <w:r w:rsidRPr="00C10BF6">
        <w:rPr>
          <w:rFonts w:eastAsia="Arial Unicode MS"/>
        </w:rPr>
        <w:t xml:space="preserve"> Support </w:t>
      </w:r>
      <w:r w:rsidR="00DC09BC" w:rsidRPr="00C10BF6">
        <w:rPr>
          <w:rFonts w:eastAsia="Arial Unicode MS"/>
        </w:rPr>
        <w:t xml:space="preserve">(VCS) </w:t>
      </w:r>
      <w:r w:rsidRPr="00C10BF6">
        <w:rPr>
          <w:rFonts w:eastAsia="Arial Unicode MS"/>
        </w:rPr>
        <w:t xml:space="preserve">communicated in August 2019, </w:t>
      </w:r>
      <w:r w:rsidR="00A83DC7" w:rsidRPr="00C10BF6">
        <w:rPr>
          <w:rFonts w:eastAsia="Arial Unicode MS"/>
        </w:rPr>
        <w:t xml:space="preserve">Member </w:t>
      </w:r>
      <w:r w:rsidRPr="00C10BF6">
        <w:rPr>
          <w:rFonts w:eastAsia="Arial Unicode MS"/>
        </w:rPr>
        <w:t>S</w:t>
      </w:r>
      <w:r w:rsidR="00A83DC7" w:rsidRPr="00C10BF6">
        <w:rPr>
          <w:rFonts w:eastAsia="Arial Unicode MS"/>
        </w:rPr>
        <w:t>ates</w:t>
      </w:r>
      <w:r w:rsidRPr="00C10BF6">
        <w:rPr>
          <w:rFonts w:eastAsia="Arial Unicode MS"/>
        </w:rPr>
        <w:t xml:space="preserve"> should also be able to review the August decision on VCS</w:t>
      </w:r>
      <w:r w:rsidRPr="00C10BF6">
        <w:t>.</w:t>
      </w:r>
      <w:r w:rsidR="006138B9" w:rsidRPr="00C10BF6">
        <w:t xml:space="preserve"> </w:t>
      </w:r>
    </w:p>
    <w:p w14:paraId="78089977" w14:textId="77777777" w:rsidR="001950BC" w:rsidRPr="002D5EE2" w:rsidRDefault="001950BC" w:rsidP="00044058">
      <w:pPr>
        <w:pStyle w:val="ManualHeading2"/>
        <w:rPr>
          <w:rFonts w:eastAsia="Arial Unicode MS"/>
          <w:color w:val="000000"/>
          <w:u w:color="000000"/>
          <w:bdr w:val="nil"/>
          <w:lang w:val="en-US" w:eastAsia="en-GB"/>
        </w:rPr>
      </w:pPr>
      <w:r w:rsidRPr="0029266A">
        <w:rPr>
          <w:rFonts w:eastAsia="Arial Unicode MS"/>
          <w:color w:val="000000"/>
          <w:u w:color="000000"/>
          <w:bdr w:val="nil"/>
          <w:lang w:val="en-US" w:eastAsia="en-GB"/>
        </w:rPr>
        <w:t>•</w:t>
      </w:r>
      <w:r w:rsidRPr="0029266A">
        <w:rPr>
          <w:rFonts w:eastAsia="Arial Unicode MS"/>
          <w:color w:val="000000"/>
          <w:u w:color="000000"/>
          <w:bdr w:val="nil"/>
          <w:lang w:val="en-US" w:eastAsia="en-GB"/>
        </w:rPr>
        <w:tab/>
      </w:r>
      <w:r w:rsidRPr="00044058">
        <w:rPr>
          <w:rFonts w:eastAsia="Arial Unicode MS"/>
        </w:rPr>
        <w:t>Consistency with existing policy provisions in the</w:t>
      </w:r>
      <w:r>
        <w:rPr>
          <w:rFonts w:eastAsia="Arial Unicode MS"/>
        </w:rPr>
        <w:t xml:space="preserve"> </w:t>
      </w:r>
      <w:r w:rsidRPr="002D5EE2">
        <w:rPr>
          <w:rFonts w:eastAsia="Arial Unicode MS"/>
        </w:rPr>
        <w:t>policy area</w:t>
      </w:r>
    </w:p>
    <w:p w14:paraId="7CF45EF7" w14:textId="279B6FF4" w:rsidR="001950BC" w:rsidRPr="00302233" w:rsidRDefault="00710E2B" w:rsidP="0029266A">
      <w:pPr>
        <w:pBdr>
          <w:top w:val="nil"/>
          <w:left w:val="nil"/>
          <w:bottom w:val="nil"/>
          <w:right w:val="nil"/>
          <w:between w:val="nil"/>
          <w:bar w:val="nil"/>
        </w:pBdr>
        <w:spacing w:before="0" w:after="240"/>
        <w:rPr>
          <w:rFonts w:eastAsia="Arial Unicode MS"/>
        </w:rPr>
      </w:pPr>
      <w:r>
        <w:rPr>
          <w:rFonts w:eastAsia="Arial Unicode MS"/>
        </w:rPr>
        <w:t xml:space="preserve">The </w:t>
      </w:r>
      <w:r w:rsidRPr="00302233">
        <w:rPr>
          <w:rFonts w:eastAsia="Arial Unicode MS"/>
        </w:rPr>
        <w:t>proposed amendments are consistent with the Direct Payment Regulation as well as with the Regulatio</w:t>
      </w:r>
      <w:r>
        <w:rPr>
          <w:rFonts w:eastAsia="Arial Unicode MS"/>
        </w:rPr>
        <w:t xml:space="preserve">n </w:t>
      </w:r>
      <w:r w:rsidR="007C56FC" w:rsidRPr="00302233">
        <w:rPr>
          <w:rFonts w:eastAsia="Arial Unicode MS"/>
        </w:rPr>
        <w:t>on the financing, management and monitoring of the common agricultural policy.</w:t>
      </w:r>
      <w:r w:rsidR="00595D90" w:rsidRPr="00302233">
        <w:rPr>
          <w:rFonts w:eastAsia="Arial Unicode MS"/>
        </w:rPr>
        <w:t xml:space="preserve"> </w:t>
      </w:r>
      <w:r w:rsidR="009D64A9" w:rsidRPr="00302233">
        <w:rPr>
          <w:rFonts w:eastAsia="Arial Unicode MS"/>
        </w:rPr>
        <w:t>Therefore,</w:t>
      </w:r>
      <w:r w:rsidR="00595D90" w:rsidRPr="00302233">
        <w:rPr>
          <w:rFonts w:eastAsia="Arial Unicode MS"/>
        </w:rPr>
        <w:t xml:space="preserve"> the proposal is consistent with the existing policy provisions of the CAP. </w:t>
      </w:r>
    </w:p>
    <w:p w14:paraId="45EC29EF" w14:textId="77777777" w:rsidR="001950BC" w:rsidRPr="002D5EE2" w:rsidRDefault="001950BC" w:rsidP="00A4693B">
      <w:pPr>
        <w:pStyle w:val="ManualHeading2"/>
        <w:rPr>
          <w:rFonts w:eastAsia="Arial Unicode MS"/>
        </w:rPr>
      </w:pPr>
      <w:r w:rsidRPr="002D5EE2">
        <w:rPr>
          <w:rFonts w:eastAsia="Arial Unicode MS"/>
          <w:color w:val="000000"/>
          <w:u w:color="000000"/>
          <w:bdr w:val="nil"/>
          <w:lang w:val="en-US" w:eastAsia="en-GB"/>
        </w:rPr>
        <w:t>•</w:t>
      </w:r>
      <w:r w:rsidRPr="002D5EE2">
        <w:rPr>
          <w:rFonts w:eastAsia="Arial Unicode MS"/>
          <w:color w:val="000000"/>
          <w:u w:color="000000"/>
          <w:bdr w:val="nil"/>
          <w:lang w:val="en-US" w:eastAsia="en-GB"/>
        </w:rPr>
        <w:tab/>
      </w:r>
      <w:r w:rsidRPr="002D5EE2">
        <w:rPr>
          <w:rFonts w:eastAsia="Arial Unicode MS"/>
        </w:rPr>
        <w:t>Consistency with other Union policies</w:t>
      </w:r>
    </w:p>
    <w:p w14:paraId="10118793" w14:textId="77777777" w:rsidR="001950BC" w:rsidRPr="00302233" w:rsidRDefault="00967B9D" w:rsidP="0029266A">
      <w:pPr>
        <w:pBdr>
          <w:top w:val="nil"/>
          <w:left w:val="nil"/>
          <w:bottom w:val="nil"/>
          <w:right w:val="nil"/>
          <w:between w:val="nil"/>
          <w:bar w:val="nil"/>
        </w:pBdr>
        <w:spacing w:before="0" w:after="240"/>
        <w:rPr>
          <w:rFonts w:eastAsia="Arial Unicode MS"/>
        </w:rPr>
      </w:pPr>
      <w:r w:rsidRPr="00302233">
        <w:rPr>
          <w:rFonts w:eastAsia="Arial Unicode MS"/>
        </w:rPr>
        <w:t>Not applicable</w:t>
      </w:r>
    </w:p>
    <w:p w14:paraId="0B8ACC66" w14:textId="77777777" w:rsidR="001950BC" w:rsidRPr="002D5EE2" w:rsidRDefault="001950BC" w:rsidP="00550536">
      <w:pPr>
        <w:pStyle w:val="ManualHeading1"/>
      </w:pPr>
      <w:r w:rsidRPr="002D5EE2">
        <w:t>2.</w:t>
      </w:r>
      <w:r w:rsidRPr="002D5EE2">
        <w:tab/>
        <w:t>LEGAL BASIS, SUBSIDIARITY AND PROPORTIONALITY</w:t>
      </w:r>
    </w:p>
    <w:p w14:paraId="66D02F28" w14:textId="77777777" w:rsidR="001950BC" w:rsidRPr="002D5EE2" w:rsidRDefault="001950BC" w:rsidP="00A4693B">
      <w:pPr>
        <w:pStyle w:val="ManualHeading2"/>
        <w:rPr>
          <w:rFonts w:eastAsia="Arial Unicode MS"/>
          <w:u w:color="000000"/>
          <w:bdr w:val="nil"/>
          <w:lang w:val="en-US" w:eastAsia="en-GB"/>
        </w:rPr>
      </w:pPr>
      <w:r w:rsidRPr="002D5EE2">
        <w:rPr>
          <w:rFonts w:eastAsia="Arial Unicode MS"/>
          <w:u w:color="000000"/>
          <w:bdr w:val="nil"/>
          <w:lang w:val="en-US" w:eastAsia="en-GB"/>
        </w:rPr>
        <w:t>•</w:t>
      </w:r>
      <w:r w:rsidRPr="002D5EE2">
        <w:rPr>
          <w:rFonts w:eastAsia="Arial Unicode MS"/>
          <w:u w:color="000000"/>
          <w:bdr w:val="nil"/>
          <w:lang w:val="en-US" w:eastAsia="en-GB"/>
        </w:rPr>
        <w:tab/>
        <w:t>Legal basis</w:t>
      </w:r>
    </w:p>
    <w:p w14:paraId="5BAE0405" w14:textId="77777777" w:rsidR="001950BC" w:rsidRPr="00106F71" w:rsidRDefault="00967B9D" w:rsidP="00550536">
      <w:pPr>
        <w:pBdr>
          <w:top w:val="nil"/>
          <w:left w:val="nil"/>
          <w:bottom w:val="nil"/>
          <w:right w:val="nil"/>
          <w:between w:val="nil"/>
          <w:bar w:val="nil"/>
        </w:pBdr>
        <w:spacing w:before="0" w:after="240"/>
        <w:rPr>
          <w:rFonts w:eastAsia="Arial Unicode MS"/>
        </w:rPr>
      </w:pPr>
      <w:r w:rsidRPr="00106F71">
        <w:t>Article 43(2) TFEU</w:t>
      </w:r>
    </w:p>
    <w:p w14:paraId="3DDD22A3" w14:textId="77777777" w:rsidR="001950BC" w:rsidRPr="002D5EE2" w:rsidRDefault="001950BC" w:rsidP="00A4693B">
      <w:pPr>
        <w:pStyle w:val="ManualHeading2"/>
        <w:rPr>
          <w:rFonts w:eastAsia="Arial Unicode MS"/>
          <w:u w:color="000000"/>
          <w:bdr w:val="nil"/>
          <w:lang w:val="en-US" w:eastAsia="en-GB"/>
        </w:rPr>
      </w:pPr>
      <w:r w:rsidRPr="002D5EE2">
        <w:rPr>
          <w:rFonts w:eastAsia="Arial Unicode MS"/>
          <w:u w:color="000000"/>
          <w:bdr w:val="nil"/>
          <w:lang w:val="en-US" w:eastAsia="en-GB"/>
        </w:rPr>
        <w:t>•</w:t>
      </w:r>
      <w:r w:rsidRPr="002D5EE2">
        <w:rPr>
          <w:rFonts w:eastAsia="Arial Unicode MS"/>
          <w:u w:color="000000"/>
          <w:bdr w:val="nil"/>
          <w:lang w:val="en-US" w:eastAsia="en-GB"/>
        </w:rPr>
        <w:tab/>
        <w:t xml:space="preserve">Subsidiarity (for non-exclusive competence) </w:t>
      </w:r>
    </w:p>
    <w:p w14:paraId="6786937D" w14:textId="7CCCD384" w:rsidR="001950BC" w:rsidRPr="00302233" w:rsidRDefault="0044340C" w:rsidP="00550536">
      <w:pPr>
        <w:pBdr>
          <w:top w:val="nil"/>
          <w:left w:val="nil"/>
          <w:bottom w:val="nil"/>
          <w:right w:val="nil"/>
          <w:between w:val="nil"/>
          <w:bar w:val="nil"/>
        </w:pBdr>
        <w:spacing w:before="0" w:after="240"/>
      </w:pPr>
      <w:r w:rsidRPr="00302233">
        <w:t xml:space="preserve">The </w:t>
      </w:r>
      <w:r w:rsidR="00A6255D" w:rsidRPr="00302233">
        <w:t xml:space="preserve">Treaty on the Functioning of the European Union </w:t>
      </w:r>
      <w:r w:rsidRPr="00302233">
        <w:t xml:space="preserve">provides that the competence for agriculture is shared between the Union and the Member States. The Union exercises its competence through the adoption of various legislative acts, thereby defining and implementing an EU </w:t>
      </w:r>
      <w:r w:rsidR="00A6255D" w:rsidRPr="00302233">
        <w:t xml:space="preserve">CAP </w:t>
      </w:r>
      <w:r w:rsidRPr="00302233">
        <w:t xml:space="preserve">as provided for in Article 38 to 44 </w:t>
      </w:r>
      <w:r w:rsidR="00A6255D" w:rsidRPr="00302233">
        <w:t>TFEU</w:t>
      </w:r>
      <w:r w:rsidRPr="00302233">
        <w:t>. Regulation (EU) No 1307/2013 set</w:t>
      </w:r>
      <w:r w:rsidR="001F6B62" w:rsidRPr="00302233">
        <w:t>s</w:t>
      </w:r>
      <w:r w:rsidRPr="00302233">
        <w:t xml:space="preserve"> up a system for direct payments to farmers. According to Article 39 TFEU, a</w:t>
      </w:r>
      <w:r w:rsidR="00A6255D" w:rsidRPr="00302233">
        <w:t>n</w:t>
      </w:r>
      <w:r w:rsidRPr="00302233">
        <w:t xml:space="preserve"> </w:t>
      </w:r>
      <w:r w:rsidRPr="00302233">
        <w:rPr>
          <w:rFonts w:eastAsia="Arial Unicode MS"/>
        </w:rPr>
        <w:t>objective of the CAP is to ensure a fair standard of living for farmers</w:t>
      </w:r>
      <w:r w:rsidR="00A6255D" w:rsidRPr="00302233">
        <w:rPr>
          <w:rFonts w:eastAsia="Arial Unicode MS"/>
        </w:rPr>
        <w:t>. T</w:t>
      </w:r>
      <w:r w:rsidRPr="00302233">
        <w:rPr>
          <w:rFonts w:eastAsia="Arial Unicode MS"/>
        </w:rPr>
        <w:t>he proposed initiativ</w:t>
      </w:r>
      <w:r w:rsidRPr="00302233">
        <w:t xml:space="preserve">e </w:t>
      </w:r>
      <w:r w:rsidR="00A6255D" w:rsidRPr="00302233">
        <w:t>addresses</w:t>
      </w:r>
      <w:r w:rsidRPr="00302233">
        <w:t xml:space="preserve"> this objective</w:t>
      </w:r>
      <w:r w:rsidR="00730AC0" w:rsidRPr="00302233">
        <w:t xml:space="preserve">. </w:t>
      </w:r>
      <w:r w:rsidRPr="00302233">
        <w:t xml:space="preserve">The added value of the proposal is to ensure certainty and stability of direct income support for European farmers in the year 2020 </w:t>
      </w:r>
    </w:p>
    <w:p w14:paraId="30D51F2B" w14:textId="77777777" w:rsidR="007C56FC" w:rsidRPr="00C10BF6" w:rsidRDefault="007C56FC" w:rsidP="00550536">
      <w:pPr>
        <w:pBdr>
          <w:top w:val="nil"/>
          <w:left w:val="nil"/>
          <w:bottom w:val="nil"/>
          <w:right w:val="nil"/>
          <w:between w:val="nil"/>
          <w:bar w:val="nil"/>
        </w:pBdr>
        <w:spacing w:before="0" w:after="240"/>
        <w:rPr>
          <w:rFonts w:eastAsia="Arial Unicode MS"/>
        </w:rPr>
      </w:pPr>
      <w:r w:rsidRPr="00302233">
        <w:t>The respect of the EAGF net ceiling shall be ensured</w:t>
      </w:r>
      <w:r w:rsidR="00B67E68" w:rsidRPr="00302233">
        <w:t xml:space="preserve"> at EU level through application of the </w:t>
      </w:r>
      <w:r w:rsidR="001771BB" w:rsidRPr="00302233">
        <w:t>financial discipline mechanism where need be</w:t>
      </w:r>
      <w:r w:rsidR="00B67E68" w:rsidRPr="00302233">
        <w:t>.</w:t>
      </w:r>
      <w:r w:rsidR="00EF1AEA" w:rsidRPr="00302233">
        <w:t xml:space="preserve"> These objectives can only be achieved through an amendment of Regulation (EU) No 1306/2013 and 1307/2013 by the EU co-legislators.</w:t>
      </w:r>
    </w:p>
    <w:p w14:paraId="7B1978A7" w14:textId="77777777" w:rsidR="001950BC" w:rsidRDefault="001950BC" w:rsidP="00A4693B">
      <w:pPr>
        <w:pStyle w:val="ManualHeading2"/>
        <w:rPr>
          <w:rFonts w:eastAsia="Arial Unicode MS"/>
          <w:u w:color="000000"/>
          <w:bdr w:val="nil"/>
          <w:lang w:val="en-US" w:eastAsia="en-GB"/>
        </w:rPr>
      </w:pPr>
      <w:r w:rsidRPr="007718A8">
        <w:rPr>
          <w:rFonts w:eastAsia="Arial Unicode MS"/>
          <w:u w:color="000000"/>
          <w:bdr w:val="nil"/>
          <w:lang w:val="en-US" w:eastAsia="en-GB"/>
        </w:rPr>
        <w:t>•</w:t>
      </w:r>
      <w:r w:rsidRPr="007718A8">
        <w:rPr>
          <w:rFonts w:eastAsia="Arial Unicode MS"/>
          <w:u w:color="000000"/>
          <w:bdr w:val="nil"/>
          <w:lang w:val="en-US" w:eastAsia="en-GB"/>
        </w:rPr>
        <w:tab/>
        <w:t>Proportionality</w:t>
      </w:r>
    </w:p>
    <w:p w14:paraId="1B369C2D" w14:textId="77777777" w:rsidR="001950BC" w:rsidRPr="00C10BF6" w:rsidRDefault="0035444C" w:rsidP="00550536">
      <w:pPr>
        <w:pBdr>
          <w:top w:val="nil"/>
          <w:left w:val="nil"/>
          <w:bottom w:val="nil"/>
          <w:right w:val="nil"/>
          <w:between w:val="nil"/>
          <w:bar w:val="nil"/>
        </w:pBdr>
        <w:spacing w:before="0" w:after="240"/>
        <w:rPr>
          <w:rFonts w:eastAsia="Arial Unicode MS"/>
        </w:rPr>
      </w:pPr>
      <w:r w:rsidRPr="00302233">
        <w:t>The proposal does not entail any new policy developments compared to the legislative acts it intends to amend. The proposal modifies the existing Regulations only to the extent necessary to achieve the objectives outlined above.</w:t>
      </w:r>
    </w:p>
    <w:p w14:paraId="1912276B" w14:textId="77777777" w:rsidR="001950BC" w:rsidRDefault="001950BC" w:rsidP="00A4693B">
      <w:pPr>
        <w:pStyle w:val="ManualHeading2"/>
        <w:rPr>
          <w:rFonts w:eastAsia="Arial Unicode MS"/>
          <w:u w:color="000000"/>
          <w:bdr w:val="nil"/>
          <w:lang w:val="en-US" w:eastAsia="en-GB"/>
        </w:rPr>
      </w:pPr>
      <w:r w:rsidRPr="007718A8">
        <w:rPr>
          <w:rFonts w:eastAsia="Arial Unicode MS"/>
          <w:u w:color="000000"/>
          <w:bdr w:val="nil"/>
          <w:lang w:val="en-US" w:eastAsia="en-GB"/>
        </w:rPr>
        <w:t>•</w:t>
      </w:r>
      <w:r w:rsidRPr="007718A8">
        <w:rPr>
          <w:rFonts w:eastAsia="Arial Unicode MS"/>
          <w:u w:color="000000"/>
          <w:bdr w:val="nil"/>
          <w:lang w:val="en-US" w:eastAsia="en-GB"/>
        </w:rPr>
        <w:tab/>
      </w:r>
      <w:r>
        <w:rPr>
          <w:rFonts w:eastAsia="Arial Unicode MS"/>
          <w:u w:color="000000"/>
          <w:bdr w:val="nil"/>
          <w:lang w:val="en-US" w:eastAsia="en-GB"/>
        </w:rPr>
        <w:t>Choice of the instrument</w:t>
      </w:r>
    </w:p>
    <w:p w14:paraId="687EE8C5" w14:textId="3C171B62" w:rsidR="001950BC" w:rsidRPr="00302233" w:rsidRDefault="00FD3513" w:rsidP="00550536">
      <w:pPr>
        <w:pBdr>
          <w:top w:val="nil"/>
          <w:left w:val="nil"/>
          <w:bottom w:val="nil"/>
          <w:right w:val="nil"/>
          <w:between w:val="nil"/>
          <w:bar w:val="nil"/>
        </w:pBdr>
        <w:spacing w:before="0" w:after="240"/>
      </w:pPr>
      <w:r w:rsidRPr="00302233">
        <w:t>Since the</w:t>
      </w:r>
      <w:r w:rsidR="00A83DC7" w:rsidRPr="00302233">
        <w:t xml:space="preserve"> original legislative acts are R</w:t>
      </w:r>
      <w:r w:rsidRPr="00302233">
        <w:t>egulations of the European Parliament and the Council, the amendments must also be introduced as a European Parliament and Council regulation by means of the ordinary legislative procedure.</w:t>
      </w:r>
    </w:p>
    <w:p w14:paraId="67B4B08B" w14:textId="77777777" w:rsidR="001950BC" w:rsidRPr="00C10BF6" w:rsidRDefault="001950BC" w:rsidP="00550536">
      <w:pPr>
        <w:pStyle w:val="ManualHeading1"/>
      </w:pPr>
      <w:r w:rsidRPr="00550536">
        <w:t>3.</w:t>
      </w:r>
      <w:r w:rsidRPr="00550536">
        <w:tab/>
        <w:t xml:space="preserve">RESULTS OF EX-POST EVALUATIONS, STAKEHOLDER </w:t>
      </w:r>
      <w:r w:rsidRPr="00C10BF6">
        <w:t>CONSULTATIONS AND IMPACT ASSESSMENTS</w:t>
      </w:r>
    </w:p>
    <w:p w14:paraId="19E5C2AE" w14:textId="77777777" w:rsidR="00F21713" w:rsidRPr="00302233" w:rsidRDefault="00F21713" w:rsidP="00F21713">
      <w:pPr>
        <w:pBdr>
          <w:top w:val="nil"/>
          <w:left w:val="nil"/>
          <w:bottom w:val="nil"/>
          <w:right w:val="nil"/>
          <w:between w:val="nil"/>
          <w:bar w:val="nil"/>
        </w:pBdr>
        <w:spacing w:before="0" w:after="240"/>
      </w:pPr>
      <w:r w:rsidRPr="00302233">
        <w:t xml:space="preserve">The proposal deviates from standard practice as set out in the Better Regulation guidelines and in the Toolbox. A derogation to the standard practice is necessary for the following reasons: </w:t>
      </w:r>
    </w:p>
    <w:p w14:paraId="1E6A3C31" w14:textId="77777777" w:rsidR="00F21713" w:rsidRPr="00302233" w:rsidRDefault="00F21713" w:rsidP="00F21713">
      <w:pPr>
        <w:pBdr>
          <w:top w:val="nil"/>
          <w:left w:val="nil"/>
          <w:bottom w:val="nil"/>
          <w:right w:val="nil"/>
          <w:between w:val="nil"/>
          <w:bar w:val="nil"/>
        </w:pBdr>
        <w:spacing w:before="0" w:after="240"/>
      </w:pPr>
      <w:r w:rsidRPr="00302233">
        <w:t xml:space="preserve">- the proposal is highly technical in its scope; </w:t>
      </w:r>
    </w:p>
    <w:p w14:paraId="6C93F95E" w14:textId="77777777" w:rsidR="00F21713" w:rsidRPr="00302233" w:rsidRDefault="00F21713" w:rsidP="00F21713">
      <w:pPr>
        <w:pBdr>
          <w:top w:val="nil"/>
          <w:left w:val="nil"/>
          <w:bottom w:val="nil"/>
          <w:right w:val="nil"/>
          <w:between w:val="nil"/>
          <w:bar w:val="nil"/>
        </w:pBdr>
        <w:spacing w:before="0" w:after="240"/>
      </w:pPr>
      <w:r w:rsidRPr="00302233">
        <w:t xml:space="preserve">- the initiative </w:t>
      </w:r>
      <w:r w:rsidR="00286925" w:rsidRPr="00302233">
        <w:t xml:space="preserve">targets financial concerns related to </w:t>
      </w:r>
      <w:r w:rsidRPr="00302233">
        <w:t xml:space="preserve">the </w:t>
      </w:r>
      <w:r w:rsidR="00EF1AEA" w:rsidRPr="00302233">
        <w:t>end of</w:t>
      </w:r>
      <w:r w:rsidRPr="00302233">
        <w:t xml:space="preserve"> the current programming period;</w:t>
      </w:r>
    </w:p>
    <w:p w14:paraId="03D275A0" w14:textId="77777777" w:rsidR="00F21713" w:rsidRPr="00302233" w:rsidRDefault="00F21713" w:rsidP="00F21713">
      <w:pPr>
        <w:pBdr>
          <w:top w:val="nil"/>
          <w:left w:val="nil"/>
          <w:bottom w:val="nil"/>
          <w:right w:val="nil"/>
          <w:between w:val="nil"/>
          <w:bar w:val="nil"/>
        </w:pBdr>
        <w:spacing w:before="0" w:after="240"/>
      </w:pPr>
      <w:r w:rsidRPr="00302233">
        <w:t xml:space="preserve">- it does not introduce new political commitments. </w:t>
      </w:r>
    </w:p>
    <w:p w14:paraId="3BF732F2" w14:textId="77777777" w:rsidR="00F21713" w:rsidRPr="00302233" w:rsidRDefault="00F21713" w:rsidP="00F21713">
      <w:pPr>
        <w:pBdr>
          <w:top w:val="nil"/>
          <w:left w:val="nil"/>
          <w:bottom w:val="nil"/>
          <w:right w:val="nil"/>
          <w:between w:val="nil"/>
          <w:bar w:val="nil"/>
        </w:pBdr>
        <w:spacing w:before="0" w:after="240"/>
      </w:pPr>
      <w:r w:rsidRPr="00302233">
        <w:t>An impact assessment, public consultation and a roadmap are therefore not suitable for this proposal. Moreover, as the legislation needs to be in place in</w:t>
      </w:r>
      <w:r w:rsidR="00431B96" w:rsidRPr="00302233">
        <w:t xml:space="preserve"> December</w:t>
      </w:r>
      <w:r w:rsidRPr="00302233">
        <w:t xml:space="preserve"> 2019, adoption by the co-legislators is urgent.</w:t>
      </w:r>
    </w:p>
    <w:p w14:paraId="156A541F" w14:textId="77777777" w:rsidR="001950BC" w:rsidRDefault="001950BC" w:rsidP="00A4693B">
      <w:pPr>
        <w:pStyle w:val="ManualHeading2"/>
        <w:rPr>
          <w:rFonts w:eastAsia="Arial Unicode MS"/>
          <w:u w:color="000000"/>
          <w:bdr w:val="nil"/>
          <w:lang w:val="en-US" w:eastAsia="en-GB"/>
        </w:rPr>
      </w:pPr>
      <w:r w:rsidRPr="007718A8">
        <w:rPr>
          <w:rFonts w:eastAsia="Arial Unicode MS"/>
          <w:u w:color="000000"/>
          <w:bdr w:val="nil"/>
          <w:lang w:val="en-US" w:eastAsia="en-GB"/>
        </w:rPr>
        <w:t>•</w:t>
      </w:r>
      <w:r w:rsidRPr="007718A8">
        <w:rPr>
          <w:rFonts w:eastAsia="Arial Unicode MS"/>
          <w:u w:color="000000"/>
          <w:bdr w:val="nil"/>
          <w:lang w:val="en-US" w:eastAsia="en-GB"/>
        </w:rPr>
        <w:tab/>
        <w:t>Ex-post evaluations/fitness checks</w:t>
      </w:r>
      <w:r>
        <w:rPr>
          <w:rFonts w:eastAsia="Arial Unicode MS"/>
          <w:u w:color="000000"/>
          <w:bdr w:val="nil"/>
          <w:lang w:val="en-US" w:eastAsia="en-GB"/>
        </w:rPr>
        <w:t xml:space="preserve"> of existing legislation</w:t>
      </w:r>
    </w:p>
    <w:p w14:paraId="2B29D373" w14:textId="77777777" w:rsidR="00F21713" w:rsidRPr="00302233" w:rsidRDefault="00F21713" w:rsidP="00F21713">
      <w:pPr>
        <w:pBdr>
          <w:top w:val="nil"/>
          <w:left w:val="nil"/>
          <w:bottom w:val="nil"/>
          <w:right w:val="nil"/>
          <w:between w:val="nil"/>
          <w:bar w:val="nil"/>
        </w:pBdr>
        <w:spacing w:before="0" w:after="240"/>
      </w:pPr>
      <w:r w:rsidRPr="00302233">
        <w:t>Not applicable</w:t>
      </w:r>
    </w:p>
    <w:p w14:paraId="7EA1A05D" w14:textId="77777777" w:rsidR="001950BC" w:rsidRDefault="001950BC" w:rsidP="00A4693B">
      <w:pPr>
        <w:pStyle w:val="ManualHeading2"/>
        <w:rPr>
          <w:rFonts w:eastAsia="Arial Unicode MS"/>
          <w:u w:color="000000"/>
          <w:bdr w:val="nil"/>
          <w:lang w:val="en-US" w:eastAsia="en-GB"/>
        </w:rPr>
      </w:pPr>
      <w:r w:rsidRPr="007718A8">
        <w:rPr>
          <w:rFonts w:eastAsia="Arial Unicode MS"/>
          <w:u w:color="000000"/>
          <w:bdr w:val="nil"/>
          <w:lang w:val="en-US" w:eastAsia="en-GB"/>
        </w:rPr>
        <w:t>•</w:t>
      </w:r>
      <w:r w:rsidRPr="007718A8">
        <w:rPr>
          <w:rFonts w:eastAsia="Arial Unicode MS"/>
          <w:u w:color="000000"/>
          <w:bdr w:val="nil"/>
          <w:lang w:val="en-US" w:eastAsia="en-GB"/>
        </w:rPr>
        <w:tab/>
        <w:t>Stakeholder consultations</w:t>
      </w:r>
    </w:p>
    <w:p w14:paraId="19921BD4" w14:textId="77777777" w:rsidR="00F21713" w:rsidRPr="00302233" w:rsidRDefault="00F21713" w:rsidP="00F21713">
      <w:pPr>
        <w:pBdr>
          <w:top w:val="nil"/>
          <w:left w:val="nil"/>
          <w:bottom w:val="nil"/>
          <w:right w:val="nil"/>
          <w:between w:val="nil"/>
          <w:bar w:val="nil"/>
        </w:pBdr>
        <w:spacing w:before="0" w:after="240"/>
      </w:pPr>
      <w:r w:rsidRPr="00302233">
        <w:t>Not applicable</w:t>
      </w:r>
    </w:p>
    <w:p w14:paraId="15425A3A" w14:textId="77777777" w:rsidR="001950BC" w:rsidRDefault="001950BC" w:rsidP="00A4693B">
      <w:pPr>
        <w:pStyle w:val="ManualHeading2"/>
        <w:rPr>
          <w:rFonts w:eastAsia="Arial Unicode MS"/>
          <w:u w:color="000000"/>
          <w:bdr w:val="nil"/>
          <w:lang w:val="en-US" w:eastAsia="en-GB"/>
        </w:rPr>
      </w:pPr>
      <w:r w:rsidRPr="007718A8">
        <w:rPr>
          <w:rFonts w:eastAsia="Arial Unicode MS"/>
          <w:u w:color="000000"/>
          <w:bdr w:val="nil"/>
          <w:lang w:val="en-US" w:eastAsia="en-GB"/>
        </w:rPr>
        <w:t>•</w:t>
      </w:r>
      <w:r w:rsidRPr="007718A8">
        <w:rPr>
          <w:rFonts w:eastAsia="Arial Unicode MS"/>
          <w:u w:color="000000"/>
          <w:bdr w:val="nil"/>
          <w:lang w:val="en-US" w:eastAsia="en-GB"/>
        </w:rPr>
        <w:tab/>
      </w:r>
      <w:r>
        <w:rPr>
          <w:rFonts w:eastAsia="Arial Unicode MS"/>
          <w:u w:color="000000"/>
          <w:bdr w:val="nil"/>
          <w:lang w:val="en-US" w:eastAsia="en-GB"/>
        </w:rPr>
        <w:t>Collection and use of expertise</w:t>
      </w:r>
    </w:p>
    <w:p w14:paraId="2D8C1E1E" w14:textId="77777777" w:rsidR="001950BC" w:rsidRPr="00302233" w:rsidRDefault="00F21713" w:rsidP="00550536">
      <w:pPr>
        <w:pBdr>
          <w:top w:val="nil"/>
          <w:left w:val="nil"/>
          <w:bottom w:val="nil"/>
          <w:right w:val="nil"/>
          <w:between w:val="nil"/>
          <w:bar w:val="nil"/>
        </w:pBdr>
        <w:spacing w:before="0" w:after="240"/>
      </w:pPr>
      <w:r w:rsidRPr="00302233">
        <w:t>Not applicable</w:t>
      </w:r>
    </w:p>
    <w:p w14:paraId="736C1D77" w14:textId="77777777" w:rsidR="001950BC" w:rsidRDefault="001950BC" w:rsidP="00A4693B">
      <w:pPr>
        <w:pStyle w:val="ManualHeading2"/>
        <w:rPr>
          <w:rFonts w:eastAsia="Arial Unicode MS"/>
          <w:u w:color="000000"/>
          <w:bdr w:val="nil"/>
          <w:lang w:val="en-US" w:eastAsia="en-GB"/>
        </w:rPr>
      </w:pPr>
      <w:r w:rsidRPr="007718A8">
        <w:rPr>
          <w:rFonts w:eastAsia="Arial Unicode MS"/>
          <w:u w:color="000000"/>
          <w:bdr w:val="nil"/>
          <w:lang w:val="en-US" w:eastAsia="en-GB"/>
        </w:rPr>
        <w:t>•</w:t>
      </w:r>
      <w:r w:rsidRPr="007718A8">
        <w:rPr>
          <w:rFonts w:eastAsia="Arial Unicode MS"/>
          <w:u w:color="000000"/>
          <w:bdr w:val="nil"/>
          <w:lang w:val="en-US" w:eastAsia="en-GB"/>
        </w:rPr>
        <w:tab/>
        <w:t>Impact assessment</w:t>
      </w:r>
    </w:p>
    <w:p w14:paraId="15B363C1" w14:textId="77777777" w:rsidR="001950BC" w:rsidRPr="00302233" w:rsidRDefault="00F21713" w:rsidP="00550536">
      <w:pPr>
        <w:pBdr>
          <w:top w:val="nil"/>
          <w:left w:val="nil"/>
          <w:bottom w:val="nil"/>
          <w:right w:val="nil"/>
          <w:between w:val="nil"/>
          <w:bar w:val="nil"/>
        </w:pBdr>
        <w:spacing w:before="0" w:after="240"/>
      </w:pPr>
      <w:r w:rsidRPr="00302233">
        <w:t>Not applicable</w:t>
      </w:r>
    </w:p>
    <w:p w14:paraId="1E06B0F7" w14:textId="77777777" w:rsidR="001950BC" w:rsidRDefault="001950BC" w:rsidP="00A4693B">
      <w:pPr>
        <w:pStyle w:val="ManualHeading2"/>
        <w:rPr>
          <w:rFonts w:eastAsia="Arial Unicode MS"/>
          <w:u w:color="000000"/>
          <w:bdr w:val="nil"/>
          <w:lang w:val="en-US" w:eastAsia="en-GB"/>
        </w:rPr>
      </w:pPr>
      <w:r w:rsidRPr="007718A8">
        <w:rPr>
          <w:rFonts w:eastAsia="Arial Unicode MS"/>
          <w:u w:color="000000"/>
          <w:bdr w:val="nil"/>
          <w:lang w:val="en-US" w:eastAsia="en-GB"/>
        </w:rPr>
        <w:t>•</w:t>
      </w:r>
      <w:r w:rsidRPr="007718A8">
        <w:rPr>
          <w:rFonts w:eastAsia="Arial Unicode MS"/>
          <w:u w:color="000000"/>
          <w:bdr w:val="nil"/>
          <w:lang w:val="en-US" w:eastAsia="en-GB"/>
        </w:rPr>
        <w:tab/>
        <w:t>Regulatory fitness and simplification</w:t>
      </w:r>
    </w:p>
    <w:p w14:paraId="01BFC302" w14:textId="77777777" w:rsidR="001950BC" w:rsidRPr="00302233" w:rsidRDefault="00F21713" w:rsidP="00E837CC">
      <w:pPr>
        <w:pBdr>
          <w:top w:val="nil"/>
          <w:left w:val="nil"/>
          <w:bottom w:val="nil"/>
          <w:right w:val="nil"/>
          <w:between w:val="nil"/>
          <w:bar w:val="nil"/>
        </w:pBdr>
        <w:spacing w:before="0" w:after="240"/>
      </w:pPr>
      <w:r w:rsidRPr="00302233">
        <w:t>Not applicable</w:t>
      </w:r>
    </w:p>
    <w:p w14:paraId="34A8DDF2" w14:textId="77777777" w:rsidR="001950BC" w:rsidRDefault="001950BC" w:rsidP="00A4693B">
      <w:pPr>
        <w:pStyle w:val="ManualHeading2"/>
        <w:rPr>
          <w:rFonts w:eastAsia="Arial Unicode MS"/>
          <w:u w:color="000000"/>
          <w:bdr w:val="nil"/>
          <w:lang w:val="en-US" w:eastAsia="en-GB"/>
        </w:rPr>
      </w:pPr>
      <w:r w:rsidRPr="007718A8">
        <w:rPr>
          <w:rFonts w:eastAsia="Arial Unicode MS"/>
          <w:u w:color="000000"/>
          <w:bdr w:val="nil"/>
          <w:lang w:val="en-US" w:eastAsia="en-GB"/>
        </w:rPr>
        <w:t>•</w:t>
      </w:r>
      <w:r w:rsidRPr="007718A8">
        <w:rPr>
          <w:rFonts w:eastAsia="Arial Unicode MS"/>
          <w:u w:color="000000"/>
          <w:bdr w:val="nil"/>
          <w:lang w:val="en-US" w:eastAsia="en-GB"/>
        </w:rPr>
        <w:tab/>
        <w:t>Fundamental rights</w:t>
      </w:r>
    </w:p>
    <w:p w14:paraId="4D576BED" w14:textId="77777777" w:rsidR="00F21713" w:rsidRPr="00106F71" w:rsidRDefault="00F21713" w:rsidP="00F21713">
      <w:pPr>
        <w:pBdr>
          <w:top w:val="nil"/>
          <w:left w:val="nil"/>
          <w:bottom w:val="nil"/>
          <w:right w:val="nil"/>
          <w:between w:val="nil"/>
          <w:bar w:val="nil"/>
        </w:pBdr>
        <w:spacing w:before="0" w:after="240"/>
      </w:pPr>
      <w:r w:rsidRPr="00106F71">
        <w:t>The proposal respects the fundamental rights and observes the principles recognised in particular by the Charter of Fundamental Rights of the European Union.</w:t>
      </w:r>
    </w:p>
    <w:p w14:paraId="41BCBA29" w14:textId="77777777" w:rsidR="001950BC" w:rsidRDefault="001950BC" w:rsidP="00550536">
      <w:pPr>
        <w:pStyle w:val="ManualHeading1"/>
      </w:pPr>
      <w:r w:rsidRPr="00550536">
        <w:t>4.</w:t>
      </w:r>
      <w:r w:rsidRPr="00550536">
        <w:tab/>
        <w:t>BUDGETARY IMPLICATIONS</w:t>
      </w:r>
    </w:p>
    <w:p w14:paraId="003E9FCC" w14:textId="77777777" w:rsidR="0086438C" w:rsidRPr="00106F71" w:rsidRDefault="0086438C" w:rsidP="0086438C">
      <w:pPr>
        <w:pBdr>
          <w:top w:val="nil"/>
          <w:left w:val="nil"/>
          <w:bottom w:val="nil"/>
          <w:right w:val="nil"/>
          <w:between w:val="nil"/>
          <w:bar w:val="nil"/>
        </w:pBdr>
        <w:spacing w:before="0" w:after="240"/>
      </w:pPr>
      <w:r w:rsidRPr="00106F71">
        <w:t xml:space="preserve">The amendments of </w:t>
      </w:r>
      <w:r w:rsidRPr="00106F71">
        <w:rPr>
          <w:rFonts w:eastAsia="Arial Unicode MS"/>
        </w:rPr>
        <w:t xml:space="preserve">Regulation (EU) No 1306/2013 ensure that a financial discipline adjustment rate can be determined in financial years 2021 </w:t>
      </w:r>
      <w:r w:rsidR="001771BB" w:rsidRPr="00106F71">
        <w:rPr>
          <w:rFonts w:eastAsia="Arial Unicode MS"/>
        </w:rPr>
        <w:t xml:space="preserve">and </w:t>
      </w:r>
      <w:r w:rsidRPr="00106F71">
        <w:rPr>
          <w:rFonts w:eastAsia="Arial Unicode MS"/>
        </w:rPr>
        <w:t>onwards where</w:t>
      </w:r>
      <w:r w:rsidRPr="00106F71">
        <w:t xml:space="preserve"> the </w:t>
      </w:r>
      <w:r w:rsidR="001771BB" w:rsidRPr="00106F71">
        <w:t xml:space="preserve">expenditure </w:t>
      </w:r>
      <w:r w:rsidRPr="00106F71">
        <w:t xml:space="preserve">forecasts for the measures financed under the EAGF net ceiling for a given financial year indicate that the applicable annual ceilings would be exceeded. Thereby, the amendment potentially decreases expenditure under EAGF to the maximum level agreed for the fund in the </w:t>
      </w:r>
      <w:r w:rsidR="001771BB" w:rsidRPr="00106F71">
        <w:t>m</w:t>
      </w:r>
      <w:r w:rsidRPr="00106F71">
        <w:t>ultiannual financial framework.</w:t>
      </w:r>
    </w:p>
    <w:p w14:paraId="7D8513F9" w14:textId="77777777" w:rsidR="001950BC" w:rsidRPr="00106F71" w:rsidRDefault="0086438C" w:rsidP="00FE1474">
      <w:pPr>
        <w:pBdr>
          <w:top w:val="nil"/>
          <w:left w:val="nil"/>
          <w:bottom w:val="nil"/>
          <w:right w:val="nil"/>
          <w:between w:val="nil"/>
          <w:bar w:val="nil"/>
        </w:pBdr>
        <w:spacing w:before="0" w:after="240"/>
      </w:pPr>
      <w:r w:rsidRPr="00106F71">
        <w:t xml:space="preserve">The amendment of the flexibility provision for calendar year 2020 (financial year 2021) is a technical adjustment to </w:t>
      </w:r>
      <w:r w:rsidR="00FE1474" w:rsidRPr="00106F71">
        <w:t>ensure applicability of the provision and</w:t>
      </w:r>
      <w:r w:rsidRPr="00106F71">
        <w:t xml:space="preserve"> does not have any financial implications compared to those intended for the existing provision.</w:t>
      </w:r>
      <w:r w:rsidR="00FE1474" w:rsidRPr="00106F71">
        <w:t xml:space="preserve"> The review option for the voluntary coupled support may lead to financial reallocations between measures within the Member States but these will remain within the national ceiling and as such </w:t>
      </w:r>
      <w:r w:rsidR="00DC09BC" w:rsidRPr="00106F71">
        <w:t xml:space="preserve">do </w:t>
      </w:r>
      <w:r w:rsidR="00FE1474" w:rsidRPr="00106F71">
        <w:t xml:space="preserve">not require additional financing. </w:t>
      </w:r>
    </w:p>
    <w:p w14:paraId="755C2081" w14:textId="77777777" w:rsidR="00FE1474" w:rsidRPr="00106F71" w:rsidRDefault="00FE1474" w:rsidP="00FE1474">
      <w:pPr>
        <w:pBdr>
          <w:top w:val="nil"/>
          <w:left w:val="nil"/>
          <w:bottom w:val="nil"/>
          <w:right w:val="nil"/>
          <w:between w:val="nil"/>
          <w:bar w:val="nil"/>
        </w:pBdr>
        <w:spacing w:before="0" w:after="240"/>
        <w:rPr>
          <w:rFonts w:eastAsia="Arial Unicode MS"/>
        </w:rPr>
      </w:pPr>
      <w:r w:rsidRPr="00106F71">
        <w:t xml:space="preserve">The broader financial impact of the transitional provisions are set out in the financial statement </w:t>
      </w:r>
      <w:r w:rsidR="001771BB" w:rsidRPr="00106F71">
        <w:t xml:space="preserve">accompanying </w:t>
      </w:r>
      <w:r w:rsidRPr="00106F71">
        <w:t xml:space="preserve">the present proposal. </w:t>
      </w:r>
    </w:p>
    <w:p w14:paraId="6A57F669" w14:textId="77777777" w:rsidR="001950BC" w:rsidRPr="00550536" w:rsidRDefault="001950BC" w:rsidP="00550536">
      <w:pPr>
        <w:pStyle w:val="ManualHeading1"/>
      </w:pPr>
      <w:r w:rsidRPr="00550536">
        <w:t>5.</w:t>
      </w:r>
      <w:r w:rsidRPr="00550536">
        <w:tab/>
        <w:t>OTHER ELEMENTS</w:t>
      </w:r>
    </w:p>
    <w:p w14:paraId="4B951C98" w14:textId="77777777" w:rsidR="001950BC" w:rsidRDefault="001950BC" w:rsidP="00A4693B">
      <w:pPr>
        <w:pStyle w:val="ManualHeading2"/>
        <w:rPr>
          <w:rFonts w:eastAsia="Arial Unicode MS"/>
          <w:u w:color="000000"/>
          <w:bdr w:val="nil"/>
          <w:lang w:val="en-US" w:eastAsia="en-GB"/>
        </w:rPr>
      </w:pPr>
      <w:r>
        <w:rPr>
          <w:rFonts w:eastAsia="Arial Unicode MS"/>
          <w:u w:color="000000"/>
          <w:bdr w:val="nil"/>
          <w:lang w:val="en-US" w:eastAsia="en-GB"/>
        </w:rPr>
        <w:t>•</w:t>
      </w:r>
      <w:r>
        <w:rPr>
          <w:rFonts w:eastAsia="Arial Unicode MS"/>
          <w:u w:color="000000"/>
          <w:bdr w:val="nil"/>
          <w:lang w:val="en-US" w:eastAsia="en-GB"/>
        </w:rPr>
        <w:tab/>
        <w:t xml:space="preserve">Implementation plans and </w:t>
      </w:r>
      <w:r w:rsidRPr="007718A8">
        <w:rPr>
          <w:rFonts w:eastAsia="Arial Unicode MS"/>
          <w:u w:color="000000"/>
          <w:bdr w:val="nil"/>
          <w:lang w:val="en-US" w:eastAsia="en-GB"/>
        </w:rPr>
        <w:t>monitoring, evaluation and reporting arrangements</w:t>
      </w:r>
    </w:p>
    <w:p w14:paraId="3276D620" w14:textId="77777777" w:rsidR="00702D98" w:rsidRPr="00106F71" w:rsidRDefault="00702D98" w:rsidP="00702D98">
      <w:pPr>
        <w:pBdr>
          <w:top w:val="nil"/>
          <w:left w:val="nil"/>
          <w:bottom w:val="nil"/>
          <w:right w:val="nil"/>
          <w:between w:val="nil"/>
          <w:bar w:val="nil"/>
        </w:pBdr>
        <w:spacing w:before="0" w:after="240"/>
      </w:pPr>
      <w:r w:rsidRPr="00106F71">
        <w:t>Not applicable</w:t>
      </w:r>
    </w:p>
    <w:p w14:paraId="14015A7A" w14:textId="77777777" w:rsidR="001950BC" w:rsidRDefault="001950BC" w:rsidP="00A4693B">
      <w:pPr>
        <w:pStyle w:val="ManualHeading2"/>
        <w:rPr>
          <w:rFonts w:eastAsia="Arial Unicode MS"/>
          <w:u w:color="000000"/>
          <w:bdr w:val="nil"/>
          <w:lang w:val="en-US" w:eastAsia="en-GB"/>
        </w:rPr>
      </w:pPr>
      <w:r w:rsidRPr="007718A8">
        <w:rPr>
          <w:rFonts w:eastAsia="Arial Unicode MS"/>
          <w:u w:color="000000"/>
          <w:bdr w:val="nil"/>
          <w:lang w:val="en-US" w:eastAsia="en-GB"/>
        </w:rPr>
        <w:t>•</w:t>
      </w:r>
      <w:r w:rsidRPr="007718A8">
        <w:rPr>
          <w:rFonts w:eastAsia="Arial Unicode MS"/>
          <w:u w:color="000000"/>
          <w:bdr w:val="nil"/>
          <w:lang w:val="en-US" w:eastAsia="en-GB"/>
        </w:rPr>
        <w:tab/>
        <w:t>Explanatory documents (for directives)</w:t>
      </w:r>
    </w:p>
    <w:p w14:paraId="12F8AD6D" w14:textId="77777777" w:rsidR="00702D98" w:rsidRPr="00106F71" w:rsidRDefault="00702D98" w:rsidP="00702D98">
      <w:pPr>
        <w:pBdr>
          <w:top w:val="nil"/>
          <w:left w:val="nil"/>
          <w:bottom w:val="nil"/>
          <w:right w:val="nil"/>
          <w:between w:val="nil"/>
          <w:bar w:val="nil"/>
        </w:pBdr>
        <w:spacing w:before="0" w:after="240"/>
      </w:pPr>
      <w:r w:rsidRPr="00106F71">
        <w:t>Not applicable</w:t>
      </w:r>
    </w:p>
    <w:p w14:paraId="6921DD6D" w14:textId="77777777" w:rsidR="001950BC" w:rsidRDefault="001950BC" w:rsidP="00A4693B">
      <w:pPr>
        <w:pStyle w:val="ManualHeading2"/>
        <w:rPr>
          <w:rFonts w:eastAsia="Arial Unicode MS"/>
          <w:u w:color="000000"/>
          <w:bdr w:val="nil"/>
          <w:lang w:val="en-US" w:eastAsia="en-GB"/>
        </w:rPr>
      </w:pPr>
      <w:r w:rsidRPr="007718A8">
        <w:rPr>
          <w:rFonts w:eastAsia="Arial Unicode MS"/>
          <w:u w:color="000000"/>
          <w:bdr w:val="nil"/>
          <w:lang w:val="en-US" w:eastAsia="en-GB"/>
        </w:rPr>
        <w:t>•</w:t>
      </w:r>
      <w:r w:rsidRPr="007718A8">
        <w:rPr>
          <w:rFonts w:eastAsia="Arial Unicode MS"/>
          <w:u w:color="000000"/>
          <w:bdr w:val="nil"/>
          <w:lang w:val="en-US" w:eastAsia="en-GB"/>
        </w:rPr>
        <w:tab/>
        <w:t xml:space="preserve">Detailed explanation of </w:t>
      </w:r>
      <w:r>
        <w:rPr>
          <w:rFonts w:eastAsia="Arial Unicode MS"/>
          <w:u w:color="000000"/>
          <w:bdr w:val="nil"/>
          <w:lang w:val="en-US" w:eastAsia="en-GB"/>
        </w:rPr>
        <w:t xml:space="preserve">the </w:t>
      </w:r>
      <w:r w:rsidRPr="007718A8">
        <w:rPr>
          <w:rFonts w:eastAsia="Arial Unicode MS"/>
          <w:u w:color="000000"/>
          <w:bdr w:val="nil"/>
          <w:lang w:val="en-US" w:eastAsia="en-GB"/>
        </w:rPr>
        <w:t>specific provisions of the proposal</w:t>
      </w:r>
    </w:p>
    <w:p w14:paraId="53388C97" w14:textId="37D12F78" w:rsidR="00981014" w:rsidRDefault="0045264E" w:rsidP="0061531F">
      <w:pPr>
        <w:pStyle w:val="Bullet0"/>
        <w:numPr>
          <w:ilvl w:val="0"/>
          <w:numId w:val="12"/>
        </w:numPr>
      </w:pPr>
      <w:r>
        <w:t>Update of the reference for determining a financial discipline rate.</w:t>
      </w:r>
    </w:p>
    <w:p w14:paraId="3B766F92" w14:textId="58DB6603" w:rsidR="001A52F7" w:rsidRPr="00C10BF6" w:rsidRDefault="001A52F7" w:rsidP="00AD5CD8">
      <w:pPr>
        <w:pBdr>
          <w:top w:val="nil"/>
          <w:left w:val="nil"/>
          <w:bottom w:val="nil"/>
          <w:right w:val="nil"/>
          <w:between w:val="nil"/>
          <w:bar w:val="nil"/>
        </w:pBdr>
        <w:spacing w:before="0" w:after="240"/>
        <w:rPr>
          <w:rFonts w:eastAsia="Arial Unicode MS"/>
        </w:rPr>
      </w:pPr>
      <w:r w:rsidRPr="00C10BF6">
        <w:rPr>
          <w:rFonts w:eastAsia="Arial Unicode MS"/>
        </w:rPr>
        <w:t xml:space="preserve">Expenditure under the EAGF within a given financial year shall respect the maximum ceiling set by the Regulation of the multiannual financial framework adopted by the Council pursuant to Article 312(2) </w:t>
      </w:r>
      <w:r w:rsidR="00885CDA" w:rsidRPr="00C10BF6">
        <w:rPr>
          <w:rFonts w:eastAsia="Arial Unicode MS"/>
        </w:rPr>
        <w:t>TFEU</w:t>
      </w:r>
      <w:r w:rsidRPr="00C10BF6">
        <w:rPr>
          <w:rFonts w:eastAsia="Arial Unicode MS"/>
        </w:rPr>
        <w:t xml:space="preserve">. For that purpose, </w:t>
      </w:r>
      <w:r w:rsidR="002E3968" w:rsidRPr="00C10BF6">
        <w:rPr>
          <w:rFonts w:eastAsia="Arial Unicode MS"/>
        </w:rPr>
        <w:t>A</w:t>
      </w:r>
      <w:r w:rsidRPr="00C10BF6">
        <w:rPr>
          <w:rFonts w:eastAsia="Arial Unicode MS"/>
        </w:rPr>
        <w:t xml:space="preserve">rticle 26 of Regulation (EU) No 1306/2013 provides for the determination of a financial discipline adjustment rate. </w:t>
      </w:r>
      <w:r w:rsidR="0045264E" w:rsidRPr="00C10BF6">
        <w:rPr>
          <w:rFonts w:eastAsia="Arial Unicode MS"/>
        </w:rPr>
        <w:t>However, currently the relevant provisions refer to Regulation (EU, Euratom) No 1311/2013 which only sets the relevant ceilings for th</w:t>
      </w:r>
      <w:r w:rsidR="002E3968" w:rsidRPr="00C10BF6">
        <w:rPr>
          <w:rFonts w:eastAsia="Arial Unicode MS"/>
        </w:rPr>
        <w:t>e period 2014 – 2020. T</w:t>
      </w:r>
      <w:r w:rsidR="0045264E" w:rsidRPr="00C10BF6">
        <w:rPr>
          <w:rFonts w:eastAsia="Arial Unicode MS"/>
        </w:rPr>
        <w:t xml:space="preserve">o ensure that the ceiling for the financing of market related expenditure and direct payments </w:t>
      </w:r>
      <w:r w:rsidR="002A494F" w:rsidRPr="00C10BF6">
        <w:rPr>
          <w:rFonts w:eastAsia="Arial Unicode MS"/>
        </w:rPr>
        <w:t xml:space="preserve">post 2020 </w:t>
      </w:r>
      <w:r w:rsidR="002435B9" w:rsidRPr="00C10BF6">
        <w:rPr>
          <w:rFonts w:eastAsia="Arial Unicode MS"/>
        </w:rPr>
        <w:t xml:space="preserve">will </w:t>
      </w:r>
      <w:r w:rsidR="0045264E" w:rsidRPr="00C10BF6">
        <w:rPr>
          <w:rFonts w:eastAsia="Arial Unicode MS"/>
        </w:rPr>
        <w:t xml:space="preserve">also </w:t>
      </w:r>
      <w:r w:rsidR="002435B9" w:rsidRPr="00C10BF6">
        <w:rPr>
          <w:rFonts w:eastAsia="Arial Unicode MS"/>
        </w:rPr>
        <w:t>be</w:t>
      </w:r>
      <w:r w:rsidR="0045264E" w:rsidRPr="00C10BF6">
        <w:rPr>
          <w:rFonts w:eastAsia="Arial Unicode MS"/>
        </w:rPr>
        <w:t xml:space="preserve"> respected, the legal reference</w:t>
      </w:r>
      <w:r w:rsidR="002E3968" w:rsidRPr="00C10BF6">
        <w:rPr>
          <w:rFonts w:eastAsia="Arial Unicode MS"/>
        </w:rPr>
        <w:t xml:space="preserve"> of A</w:t>
      </w:r>
      <w:r w:rsidR="0045264E" w:rsidRPr="00C10BF6">
        <w:rPr>
          <w:rFonts w:eastAsia="Arial Unicode MS"/>
        </w:rPr>
        <w:t xml:space="preserve">rticles 16 and 26 </w:t>
      </w:r>
      <w:r w:rsidR="002435B9" w:rsidRPr="00C10BF6">
        <w:rPr>
          <w:rFonts w:eastAsia="Arial Unicode MS"/>
        </w:rPr>
        <w:t>should</w:t>
      </w:r>
      <w:r w:rsidR="002E3968" w:rsidRPr="00C10BF6">
        <w:rPr>
          <w:rFonts w:eastAsia="Arial Unicode MS"/>
        </w:rPr>
        <w:t xml:space="preserve"> be amended to include </w:t>
      </w:r>
      <w:r w:rsidR="0045264E" w:rsidRPr="00C10BF6">
        <w:rPr>
          <w:rFonts w:eastAsia="Arial Unicode MS"/>
        </w:rPr>
        <w:t>the regulation </w:t>
      </w:r>
      <w:r w:rsidR="002E3968" w:rsidRPr="00C10BF6">
        <w:rPr>
          <w:rFonts w:eastAsia="Arial Unicode MS"/>
        </w:rPr>
        <w:t xml:space="preserve">to be </w:t>
      </w:r>
      <w:r w:rsidR="0045264E" w:rsidRPr="00C10BF6">
        <w:rPr>
          <w:rFonts w:eastAsia="Arial Unicode MS"/>
        </w:rPr>
        <w:t xml:space="preserve">adopted by the Council pursuant to Article 312(2) </w:t>
      </w:r>
      <w:r w:rsidR="00885CDA" w:rsidRPr="00C10BF6">
        <w:rPr>
          <w:rFonts w:eastAsia="Arial Unicode MS"/>
        </w:rPr>
        <w:t>TFEU</w:t>
      </w:r>
      <w:r w:rsidR="001E50D6" w:rsidRPr="00C10BF6">
        <w:rPr>
          <w:rFonts w:eastAsia="Arial Unicode MS"/>
        </w:rPr>
        <w:t xml:space="preserve"> for financial year 2021 onwards</w:t>
      </w:r>
      <w:r w:rsidRPr="00C10BF6">
        <w:rPr>
          <w:rFonts w:eastAsia="Arial Unicode MS"/>
        </w:rPr>
        <w:t xml:space="preserve">. </w:t>
      </w:r>
    </w:p>
    <w:p w14:paraId="49A31166" w14:textId="63061BA7" w:rsidR="001950BC" w:rsidRPr="00DA024D" w:rsidRDefault="00710E2B" w:rsidP="00DA024D">
      <w:pPr>
        <w:pStyle w:val="Bullet0"/>
        <w:numPr>
          <w:ilvl w:val="0"/>
          <w:numId w:val="12"/>
        </w:numPr>
      </w:pPr>
      <w:r w:rsidRPr="00DA024D">
        <w:t xml:space="preserve">Change of the basis for notifying the transfer from rural development to direct payments </w:t>
      </w:r>
    </w:p>
    <w:p w14:paraId="0FDF5C56" w14:textId="20A72AA8" w:rsidR="00343110" w:rsidRPr="00106F71" w:rsidRDefault="00D3461C" w:rsidP="00D3461C">
      <w:pPr>
        <w:pBdr>
          <w:top w:val="nil"/>
          <w:left w:val="nil"/>
          <w:bottom w:val="nil"/>
          <w:right w:val="nil"/>
          <w:between w:val="nil"/>
          <w:bar w:val="nil"/>
        </w:pBdr>
        <w:spacing w:before="0" w:after="240"/>
      </w:pPr>
      <w:r w:rsidRPr="00106F71">
        <w:t>Member States have to notify by 31 December 2019</w:t>
      </w:r>
      <w:r w:rsidR="00B8707D" w:rsidRPr="00106F71">
        <w:t>, the percentage</w:t>
      </w:r>
      <w:r w:rsidRPr="00106F71">
        <w:t xml:space="preserve"> of their direct payments </w:t>
      </w:r>
      <w:r w:rsidR="00B8707D" w:rsidRPr="00106F71">
        <w:t xml:space="preserve">envelope they propose to transfer to the </w:t>
      </w:r>
      <w:r w:rsidRPr="00106F71">
        <w:t xml:space="preserve">rural development </w:t>
      </w:r>
      <w:r w:rsidR="00B8707D" w:rsidRPr="00106F71">
        <w:t>envelope</w:t>
      </w:r>
      <w:r w:rsidR="00D5116E" w:rsidRPr="00106F71">
        <w:t xml:space="preserve"> </w:t>
      </w:r>
      <w:r w:rsidRPr="00106F71">
        <w:t xml:space="preserve">for calendar year 2020 (i.e. financial year 2021). </w:t>
      </w:r>
      <w:r w:rsidR="00D5116E" w:rsidRPr="00106F71">
        <w:t>They will have to notify shortly thereafter the percentage of their rural development envelope they propose to transfer to direct payments envelope for calendar year 2020.</w:t>
      </w:r>
      <w:r w:rsidR="004963E6" w:rsidRPr="00106F71">
        <w:t xml:space="preserve"> </w:t>
      </w:r>
      <w:r w:rsidRPr="00106F71">
        <w:t xml:space="preserve">The direct payments’ envelopes for calendar year 2020 are already set in Regulation (EU) No 1307/2013. However, the corresponding rural development envelopes for financial year 2021 </w:t>
      </w:r>
      <w:r w:rsidR="002E3968" w:rsidRPr="00106F71">
        <w:t>may</w:t>
      </w:r>
      <w:r w:rsidRPr="00106F71">
        <w:t xml:space="preserve"> not </w:t>
      </w:r>
      <w:r w:rsidR="00641187" w:rsidRPr="00106F71">
        <w:t xml:space="preserve">yet </w:t>
      </w:r>
      <w:r w:rsidR="002E3968" w:rsidRPr="00106F71">
        <w:t xml:space="preserve">be </w:t>
      </w:r>
      <w:r w:rsidRPr="00106F71">
        <w:t xml:space="preserve">fixed </w:t>
      </w:r>
      <w:r w:rsidR="00641187" w:rsidRPr="00106F71">
        <w:t>by the end of 2019</w:t>
      </w:r>
      <w:r w:rsidRPr="00106F71">
        <w:t xml:space="preserve">. </w:t>
      </w:r>
    </w:p>
    <w:p w14:paraId="06E60066" w14:textId="6147945C" w:rsidR="00D3461C" w:rsidRPr="00106F71" w:rsidRDefault="00343110" w:rsidP="00550536">
      <w:pPr>
        <w:pBdr>
          <w:top w:val="nil"/>
          <w:left w:val="nil"/>
          <w:bottom w:val="nil"/>
          <w:right w:val="nil"/>
          <w:between w:val="nil"/>
          <w:bar w:val="nil"/>
        </w:pBdr>
        <w:spacing w:before="0" w:after="240"/>
      </w:pPr>
      <w:r w:rsidRPr="00106F71">
        <w:t xml:space="preserve">Member States would therefore have no basis to notify the percentage of transfer from rural development to direct payments and </w:t>
      </w:r>
      <w:r w:rsidR="00A6255D" w:rsidRPr="00106F71">
        <w:t xml:space="preserve">Article 2 (3)(b) of Regulation (EU) 2019/288 amending Regulation (EU) No 1307/2013 </w:t>
      </w:r>
      <w:r w:rsidRPr="00106F71">
        <w:t xml:space="preserve">would become “void”. To ensure continuity in the possibility </w:t>
      </w:r>
      <w:r w:rsidR="002435B9" w:rsidRPr="00106F71">
        <w:t xml:space="preserve">for Member States </w:t>
      </w:r>
      <w:r w:rsidRPr="00106F71">
        <w:t xml:space="preserve">to transfer funds between the two pillars, already decided by the co-legislators in </w:t>
      </w:r>
      <w:r w:rsidR="002435B9" w:rsidRPr="00106F71">
        <w:t>R</w:t>
      </w:r>
      <w:r w:rsidRPr="00106F71">
        <w:t xml:space="preserve">egulation </w:t>
      </w:r>
      <w:r w:rsidR="00A83DC7" w:rsidRPr="00106F71">
        <w:t xml:space="preserve">(EU) </w:t>
      </w:r>
      <w:r w:rsidRPr="00106F71">
        <w:t xml:space="preserve">2019/288, it is proposed to replace the percentage of transfer by maximum </w:t>
      </w:r>
      <w:r w:rsidR="00D84A2B" w:rsidRPr="00106F71">
        <w:t xml:space="preserve">absolute </w:t>
      </w:r>
      <w:r w:rsidRPr="00106F71">
        <w:t>amounts based on the current maximum percentages</w:t>
      </w:r>
      <w:r w:rsidR="004B2BB5" w:rsidRPr="00106F71">
        <w:t xml:space="preserve"> </w:t>
      </w:r>
      <w:r w:rsidR="00D84A2B" w:rsidRPr="00106F71">
        <w:t xml:space="preserve">provided for in Article 14(2) Regulation of (EU) No 1307/2013 </w:t>
      </w:r>
      <w:r w:rsidR="002C6A4A" w:rsidRPr="00106F71">
        <w:t>and the rural development envelope proposed in the Commission proposal COM(2018)392</w:t>
      </w:r>
      <w:r w:rsidRPr="00106F71">
        <w:t xml:space="preserve">. </w:t>
      </w:r>
    </w:p>
    <w:p w14:paraId="40AA0286" w14:textId="7D68E342" w:rsidR="005E08F5" w:rsidRPr="00DA024D" w:rsidRDefault="007353C2" w:rsidP="00DA024D">
      <w:pPr>
        <w:pStyle w:val="Bullet0"/>
        <w:numPr>
          <w:ilvl w:val="0"/>
          <w:numId w:val="12"/>
        </w:numPr>
      </w:pPr>
      <w:r w:rsidRPr="00DA024D">
        <w:t>Possibility to review the decisions concerning the Voluntary Coupled Support</w:t>
      </w:r>
    </w:p>
    <w:p w14:paraId="552FB4BB" w14:textId="77777777" w:rsidR="00B308B5" w:rsidRPr="00106F71" w:rsidRDefault="00B308B5" w:rsidP="00044058">
      <w:pPr>
        <w:pBdr>
          <w:top w:val="nil"/>
          <w:left w:val="nil"/>
          <w:bottom w:val="nil"/>
          <w:right w:val="nil"/>
          <w:between w:val="nil"/>
          <w:bar w:val="nil"/>
        </w:pBdr>
        <w:spacing w:before="0" w:after="240"/>
      </w:pPr>
      <w:r w:rsidRPr="00106F71">
        <w:t xml:space="preserve">Member States </w:t>
      </w:r>
      <w:r w:rsidR="004B2BB5" w:rsidRPr="00106F71">
        <w:t xml:space="preserve">had the possibility to </w:t>
      </w:r>
      <w:r w:rsidRPr="00106F71">
        <w:t xml:space="preserve">review by 1 August 2019 the percentage of their national ceiling for direct payments, which they want to allocate to Voluntary Coupled Support (VCS), as well as their detailed support decisions (i.e. list of support measures and their envelopes, targeting, </w:t>
      </w:r>
      <w:r w:rsidR="001E50D6" w:rsidRPr="00106F71">
        <w:t>etc.</w:t>
      </w:r>
      <w:r w:rsidRPr="00106F71">
        <w:t xml:space="preserve">). This review, if any, </w:t>
      </w:r>
      <w:r w:rsidR="004B2BB5" w:rsidRPr="00106F71">
        <w:t xml:space="preserve">will </w:t>
      </w:r>
      <w:r w:rsidRPr="00106F71">
        <w:t xml:space="preserve">apply from claim year 2020. </w:t>
      </w:r>
    </w:p>
    <w:p w14:paraId="72BA7A7A" w14:textId="30F5245C" w:rsidR="000107AB" w:rsidRPr="00106F71" w:rsidRDefault="002127E6" w:rsidP="00044058">
      <w:pPr>
        <w:pBdr>
          <w:top w:val="nil"/>
          <w:left w:val="nil"/>
          <w:bottom w:val="nil"/>
          <w:right w:val="nil"/>
          <w:between w:val="nil"/>
          <w:bar w:val="nil"/>
        </w:pBdr>
        <w:spacing w:before="0" w:after="240"/>
      </w:pPr>
      <w:r w:rsidRPr="00106F71">
        <w:t xml:space="preserve">On the other hand, they will have to notify only by 31 December 2019 </w:t>
      </w:r>
      <w:r w:rsidR="004963E6" w:rsidRPr="00106F71">
        <w:t xml:space="preserve">or shortly thereafter </w:t>
      </w:r>
      <w:r w:rsidRPr="00106F71">
        <w:t>their transfers between pillars affecting their national ceiling for direct payments</w:t>
      </w:r>
      <w:r w:rsidR="00CE7351" w:rsidRPr="00106F71">
        <w:t xml:space="preserve"> </w:t>
      </w:r>
      <w:r w:rsidR="004A75B5" w:rsidRPr="00106F71">
        <w:t xml:space="preserve">for </w:t>
      </w:r>
      <w:r w:rsidR="00B308B5" w:rsidRPr="00106F71">
        <w:t xml:space="preserve">calendar year </w:t>
      </w:r>
      <w:r w:rsidR="004A75B5" w:rsidRPr="00106F71">
        <w:t>2020</w:t>
      </w:r>
      <w:r w:rsidRPr="00106F71">
        <w:t xml:space="preserve">. </w:t>
      </w:r>
      <w:r w:rsidR="004963E6" w:rsidRPr="00106F71">
        <w:t>Therefore,</w:t>
      </w:r>
      <w:r w:rsidR="00B308B5" w:rsidRPr="00106F71">
        <w:t xml:space="preserve"> Member States applying flexibility between pillars </w:t>
      </w:r>
      <w:r w:rsidR="004B2BB5" w:rsidRPr="00106F71">
        <w:t xml:space="preserve">did </w:t>
      </w:r>
      <w:r w:rsidR="00B308B5" w:rsidRPr="00106F71">
        <w:t>not yet know by 1 August 2019 (i.e. at the time of their VCS review) their final national ceiling for direct payments for the calendar year concerned.</w:t>
      </w:r>
      <w:r w:rsidRPr="00106F71">
        <w:t xml:space="preserve"> </w:t>
      </w:r>
      <w:r w:rsidR="00B308B5" w:rsidRPr="00106F71">
        <w:t xml:space="preserve">This may result in inconsistencies within the VCS decision, and may also give rise to </w:t>
      </w:r>
      <w:r w:rsidR="00C72A0C" w:rsidRPr="00106F71">
        <w:t xml:space="preserve">the </w:t>
      </w:r>
      <w:r w:rsidR="00B308B5" w:rsidRPr="00106F71">
        <w:t xml:space="preserve">disrespect of the budgetary ceiling. </w:t>
      </w:r>
      <w:r w:rsidR="00C72A0C" w:rsidRPr="00106F71">
        <w:t>Member States</w:t>
      </w:r>
      <w:r w:rsidRPr="00106F71">
        <w:t xml:space="preserve"> should </w:t>
      </w:r>
      <w:r w:rsidR="00CE7351" w:rsidRPr="00106F71">
        <w:t xml:space="preserve">thus </w:t>
      </w:r>
      <w:r w:rsidRPr="00106F71">
        <w:t xml:space="preserve">be given the possibility to </w:t>
      </w:r>
      <w:r w:rsidR="00C33CDE" w:rsidRPr="00106F71">
        <w:t>review and notify</w:t>
      </w:r>
      <w:r w:rsidRPr="00106F71">
        <w:t xml:space="preserve"> </w:t>
      </w:r>
      <w:r w:rsidR="00CE7351" w:rsidRPr="00106F71">
        <w:t xml:space="preserve">their VCS </w:t>
      </w:r>
      <w:r w:rsidR="00C33CDE" w:rsidRPr="00106F71">
        <w:t>decision</w:t>
      </w:r>
      <w:r w:rsidRPr="00106F71">
        <w:t xml:space="preserve"> at the time of deciding on flexibility between pillars, i.e. by the end of 2019</w:t>
      </w:r>
      <w:r w:rsidR="004963E6" w:rsidRPr="00106F71">
        <w:t>or shortly thereafter</w:t>
      </w:r>
      <w:r w:rsidRPr="00106F71">
        <w:t>.</w:t>
      </w:r>
      <w:r w:rsidR="00BB2030" w:rsidRPr="00106F71">
        <w:t xml:space="preserve"> </w:t>
      </w:r>
      <w:r w:rsidR="00C72A0C" w:rsidRPr="00106F71">
        <w:t>However,</w:t>
      </w:r>
      <w:r w:rsidR="00BB2030" w:rsidRPr="00106F71">
        <w:t xml:space="preserve"> th</w:t>
      </w:r>
      <w:r w:rsidR="00AD3D57" w:rsidRPr="00106F71">
        <w:t>is second VCS</w:t>
      </w:r>
      <w:r w:rsidR="00BB2030" w:rsidRPr="00106F71">
        <w:t xml:space="preserve"> review </w:t>
      </w:r>
      <w:r w:rsidR="00AD3D57" w:rsidRPr="00106F71">
        <w:t xml:space="preserve">with regard to calendar year 2020 </w:t>
      </w:r>
      <w:r w:rsidR="00BB2030" w:rsidRPr="00106F71">
        <w:t xml:space="preserve">should be limited to the extent necessary to adjust to the decision on the flexibility between pillars. </w:t>
      </w:r>
    </w:p>
    <w:p w14:paraId="76F97F3F" w14:textId="77777777" w:rsidR="001950BC" w:rsidRPr="00F96E01" w:rsidRDefault="001950BC" w:rsidP="00106F71">
      <w:pPr>
        <w:pBdr>
          <w:top w:val="nil"/>
          <w:left w:val="nil"/>
          <w:bottom w:val="nil"/>
          <w:right w:val="nil"/>
          <w:between w:val="nil"/>
          <w:bar w:val="nil"/>
        </w:pBdr>
        <w:spacing w:before="0" w:after="240"/>
        <w:sectPr w:rsidR="001950BC" w:rsidRPr="00F96E01" w:rsidSect="00AA0B5E">
          <w:footerReference w:type="default" r:id="rId15"/>
          <w:footerReference w:type="first" r:id="rId16"/>
          <w:pgSz w:w="11907" w:h="16839"/>
          <w:pgMar w:top="1134" w:right="1417" w:bottom="1134" w:left="1417" w:header="709" w:footer="709" w:gutter="0"/>
          <w:cols w:space="708"/>
          <w:docGrid w:linePitch="360"/>
        </w:sectPr>
      </w:pPr>
    </w:p>
    <w:p w14:paraId="13D630BC" w14:textId="03EB2245" w:rsidR="00AA0B5E" w:rsidRDefault="00AA0B5E" w:rsidP="00AA0B5E">
      <w:pPr>
        <w:pStyle w:val="Rfrenceinterinstitutionnelle"/>
      </w:pPr>
      <w:r w:rsidRPr="00AA0B5E">
        <w:t>2019/0253 (COD)</w:t>
      </w:r>
    </w:p>
    <w:p w14:paraId="5C938780" w14:textId="690A0AC7" w:rsidR="001950BC" w:rsidRPr="00F96E01" w:rsidRDefault="00AA0B5E" w:rsidP="00AA0B5E">
      <w:pPr>
        <w:pStyle w:val="Statut"/>
      </w:pPr>
      <w:r w:rsidRPr="00AA0B5E">
        <w:t>Proposal for a</w:t>
      </w:r>
    </w:p>
    <w:p w14:paraId="22C21DD5" w14:textId="288EF251" w:rsidR="001950BC" w:rsidRPr="00F96E01" w:rsidRDefault="00AA0B5E" w:rsidP="00AA0B5E">
      <w:pPr>
        <w:pStyle w:val="Typedudocument"/>
      </w:pPr>
      <w:r w:rsidRPr="00AA0B5E">
        <w:t>REGULATION OF THE EUROPEAN PARLIAMENT AND OF THE COUNCIL</w:t>
      </w:r>
    </w:p>
    <w:p w14:paraId="0BFF302D" w14:textId="155487C3" w:rsidR="001950BC" w:rsidRPr="00C10BF6" w:rsidRDefault="00AA0B5E" w:rsidP="00AA0B5E">
      <w:pPr>
        <w:pStyle w:val="Titreobjet"/>
      </w:pPr>
      <w:r w:rsidRPr="00AA0B5E">
        <w:t>amending Regulation (EU) No 1306/2013 as regards financial discipline as from financial year 2021 and Regulation (EU) No 1307/2013 as regards flexibility between pillars in respect of calendar year 2020</w:t>
      </w:r>
    </w:p>
    <w:p w14:paraId="57E7DFE0" w14:textId="77777777" w:rsidR="001950BC" w:rsidRPr="00F96E01" w:rsidRDefault="001950BC" w:rsidP="006D42BA">
      <w:pPr>
        <w:pStyle w:val="Institutionquiagit"/>
      </w:pPr>
      <w:r w:rsidRPr="00F96E01">
        <w:t xml:space="preserve">THE EUROPEAN PARLIAMENT AND THE COUNCIL OF THE EUROPEAN </w:t>
      </w:r>
      <w:smartTag w:uri="urn:schemas-microsoft-com:office:smarttags" w:element="place">
        <w:r w:rsidRPr="00F96E01">
          <w:t>UNION</w:t>
        </w:r>
      </w:smartTag>
      <w:r w:rsidRPr="00F96E01">
        <w:t>,</w:t>
      </w:r>
    </w:p>
    <w:p w14:paraId="758470AF" w14:textId="77777777" w:rsidR="001950BC" w:rsidRPr="00F96E01" w:rsidRDefault="001950BC" w:rsidP="006D42BA">
      <w:r w:rsidRPr="00F96E01">
        <w:t xml:space="preserve">Having regard to the Treaty on the Functioning of the European Union, and in particular Article </w:t>
      </w:r>
      <w:r w:rsidR="006C5E9C" w:rsidRPr="00F92922">
        <w:t>43(2)</w:t>
      </w:r>
      <w:r w:rsidRPr="00F96E01">
        <w:t xml:space="preserve"> thereof,</w:t>
      </w:r>
    </w:p>
    <w:p w14:paraId="74E3E162" w14:textId="77777777" w:rsidR="001950BC" w:rsidRPr="00F96E01" w:rsidRDefault="001950BC" w:rsidP="006D42BA">
      <w:r w:rsidRPr="00F96E01">
        <w:t>Having regard to the proposal from the European Commission,</w:t>
      </w:r>
    </w:p>
    <w:p w14:paraId="654A5786" w14:textId="77777777" w:rsidR="001950BC" w:rsidRPr="00F96E01" w:rsidRDefault="001950BC" w:rsidP="006D42BA">
      <w:r w:rsidRPr="00F96E01">
        <w:t xml:space="preserve">After transmission of the draft legislative act to the national </w:t>
      </w:r>
      <w:r>
        <w:t>p</w:t>
      </w:r>
      <w:r w:rsidRPr="00F96E01">
        <w:t>arliaments,</w:t>
      </w:r>
    </w:p>
    <w:p w14:paraId="700C914F" w14:textId="77777777" w:rsidR="001950BC" w:rsidRPr="00F96E01" w:rsidRDefault="001950BC" w:rsidP="006D42BA">
      <w:r w:rsidRPr="00F96E01">
        <w:t>Having regard to the opinion of the European Economic and Social Committee</w:t>
      </w:r>
      <w:r w:rsidRPr="00F96E01">
        <w:rPr>
          <w:rStyle w:val="FootnoteReference"/>
        </w:rPr>
        <w:footnoteReference w:id="1"/>
      </w:r>
      <w:r w:rsidRPr="00F96E01">
        <w:t xml:space="preserve">, </w:t>
      </w:r>
    </w:p>
    <w:p w14:paraId="2D2F778A" w14:textId="5FB82C5F" w:rsidR="001950BC" w:rsidRDefault="001950BC" w:rsidP="006D42BA">
      <w:r w:rsidRPr="00F96E01">
        <w:t>Having regard to the opinion of the Committee of the Regions</w:t>
      </w:r>
      <w:r w:rsidRPr="00F96E01">
        <w:rPr>
          <w:rStyle w:val="FootnoteReference"/>
        </w:rPr>
        <w:footnoteReference w:id="2"/>
      </w:r>
      <w:r w:rsidR="00F92922">
        <w:t>,</w:t>
      </w:r>
    </w:p>
    <w:p w14:paraId="378B2FB9" w14:textId="323B9B7C" w:rsidR="00753BFA" w:rsidRPr="00F96E01" w:rsidRDefault="00753BFA" w:rsidP="006D42BA">
      <w:r>
        <w:t>Having regard to the opinion of the Court of Auditors,</w:t>
      </w:r>
    </w:p>
    <w:p w14:paraId="1109BC15" w14:textId="77777777" w:rsidR="001950BC" w:rsidRPr="00BC29B0" w:rsidRDefault="001950BC" w:rsidP="006D42BA">
      <w:r w:rsidRPr="00BC29B0">
        <w:t>Acting in accordance with the ordinary legislative procedure,</w:t>
      </w:r>
    </w:p>
    <w:p w14:paraId="3D812807" w14:textId="77777777" w:rsidR="001950BC" w:rsidRPr="007D6632" w:rsidRDefault="001950BC" w:rsidP="006D42BA">
      <w:r w:rsidRPr="007D6632">
        <w:t>Whereas:</w:t>
      </w:r>
    </w:p>
    <w:p w14:paraId="1EE96970" w14:textId="0B152FF1" w:rsidR="002144C8" w:rsidRPr="00710E2B" w:rsidRDefault="00417ED5" w:rsidP="0061531F">
      <w:pPr>
        <w:pStyle w:val="Considrant"/>
        <w:numPr>
          <w:ilvl w:val="0"/>
          <w:numId w:val="6"/>
        </w:numPr>
        <w:shd w:val="clear" w:color="auto" w:fill="FFFFFF" w:themeFill="background1"/>
      </w:pPr>
      <w:r w:rsidRPr="00710E2B">
        <w:t xml:space="preserve">Article 16 </w:t>
      </w:r>
      <w:r w:rsidR="002435B9" w:rsidRPr="00710E2B">
        <w:t xml:space="preserve">of </w:t>
      </w:r>
      <w:r w:rsidR="00495C89" w:rsidRPr="00C10BF6">
        <w:t xml:space="preserve">Regulation (EU) No 1306/2013 of the European Parliament and of </w:t>
      </w:r>
      <w:r w:rsidR="00495C89" w:rsidRPr="00710E2B">
        <w:t>the Council</w:t>
      </w:r>
      <w:r w:rsidR="00945A9C" w:rsidRPr="008B26BC">
        <w:rPr>
          <w:rStyle w:val="FootnoteReference"/>
        </w:rPr>
        <w:footnoteReference w:id="3"/>
      </w:r>
      <w:r w:rsidR="00495C89" w:rsidRPr="00710E2B">
        <w:t xml:space="preserve"> </w:t>
      </w:r>
      <w:r w:rsidRPr="00710E2B">
        <w:t xml:space="preserve">provides that the annual ceiling for expenditure under the European Agricultural Guarantee Fund (EAGF) </w:t>
      </w:r>
      <w:r w:rsidR="006D2767" w:rsidRPr="00710E2B">
        <w:t>is to</w:t>
      </w:r>
      <w:r w:rsidR="00DD0266" w:rsidRPr="00710E2B">
        <w:t xml:space="preserve"> </w:t>
      </w:r>
      <w:r w:rsidRPr="00710E2B">
        <w:t xml:space="preserve">be constituted by the maximum amounts set for it under </w:t>
      </w:r>
      <w:r w:rsidR="006D2767" w:rsidRPr="00710E2B">
        <w:t xml:space="preserve">Council </w:t>
      </w:r>
      <w:r w:rsidRPr="00710E2B">
        <w:t>Regulation (EU, Euratom) No 1311/2013</w:t>
      </w:r>
      <w:r w:rsidR="006D2767" w:rsidRPr="008B26BC">
        <w:rPr>
          <w:rStyle w:val="FootnoteReference"/>
        </w:rPr>
        <w:footnoteReference w:id="4"/>
      </w:r>
      <w:r w:rsidRPr="00710E2B">
        <w:t>.</w:t>
      </w:r>
      <w:r w:rsidR="00F92922" w:rsidRPr="00710E2B">
        <w:t xml:space="preserve"> </w:t>
      </w:r>
      <w:r w:rsidR="006D2767" w:rsidRPr="00710E2B">
        <w:t xml:space="preserve">Pursuant </w:t>
      </w:r>
      <w:r w:rsidRPr="00710E2B">
        <w:t xml:space="preserve">to </w:t>
      </w:r>
      <w:r w:rsidR="002144C8" w:rsidRPr="00710E2B">
        <w:t xml:space="preserve">Article </w:t>
      </w:r>
      <w:r w:rsidR="001E7425" w:rsidRPr="00710E2B">
        <w:t>26 of Regula</w:t>
      </w:r>
      <w:r w:rsidRPr="00710E2B">
        <w:t>tion (EU) No 1306/2013</w:t>
      </w:r>
      <w:r w:rsidR="001E7425" w:rsidRPr="00710E2B">
        <w:t xml:space="preserve"> an adjustment rate of financial discipline </w:t>
      </w:r>
      <w:r w:rsidR="006D2767" w:rsidRPr="00710E2B">
        <w:t>is to</w:t>
      </w:r>
      <w:r w:rsidR="001E7425" w:rsidRPr="00710E2B">
        <w:t xml:space="preserve"> be determined</w:t>
      </w:r>
      <w:r w:rsidR="006D2767" w:rsidRPr="00710E2B">
        <w:t>,</w:t>
      </w:r>
      <w:r w:rsidR="001E7425" w:rsidRPr="00710E2B">
        <w:t xml:space="preserve"> </w:t>
      </w:r>
      <w:r w:rsidR="0014409D" w:rsidRPr="00710E2B">
        <w:t>when necessary,</w:t>
      </w:r>
      <w:r w:rsidR="001E7425" w:rsidRPr="00710E2B">
        <w:t xml:space="preserve"> in order to ensure the respect of the annual ceilings set out in Regulation (EU, Euratom) No 1311/2013 for the financing of the market related expenditure and direct payments for the period 2014</w:t>
      </w:r>
      <w:r w:rsidR="006D2767" w:rsidRPr="00710E2B">
        <w:t>-</w:t>
      </w:r>
      <w:r w:rsidR="001E7425" w:rsidRPr="00710E2B">
        <w:t xml:space="preserve">2020. </w:t>
      </w:r>
      <w:r w:rsidR="00DD0266" w:rsidRPr="00710E2B">
        <w:t>Regulation (EU) No 1311/2013 does not provide for ce</w:t>
      </w:r>
      <w:r w:rsidR="00F92922" w:rsidRPr="00710E2B">
        <w:t>ilings for financial year</w:t>
      </w:r>
      <w:r w:rsidR="002A494F" w:rsidRPr="00710E2B">
        <w:t xml:space="preserve">s </w:t>
      </w:r>
      <w:r w:rsidR="0025447D" w:rsidRPr="00710E2B">
        <w:t>after</w:t>
      </w:r>
      <w:r w:rsidR="00F92922" w:rsidRPr="00710E2B">
        <w:t xml:space="preserve"> 202</w:t>
      </w:r>
      <w:r w:rsidR="002A494F" w:rsidRPr="00710E2B">
        <w:t>0</w:t>
      </w:r>
      <w:r w:rsidR="00F92922" w:rsidRPr="00710E2B">
        <w:t xml:space="preserve">. </w:t>
      </w:r>
      <w:r w:rsidR="001E7425" w:rsidRPr="00710E2B">
        <w:t xml:space="preserve">In order to ensure that the ceiling for the financing of </w:t>
      </w:r>
      <w:r w:rsidR="006D2767" w:rsidRPr="00710E2B">
        <w:t xml:space="preserve">the </w:t>
      </w:r>
      <w:r w:rsidR="001E7425" w:rsidRPr="00710E2B">
        <w:t xml:space="preserve">market related expenditure and direct payments is </w:t>
      </w:r>
      <w:r w:rsidR="009D04D1" w:rsidRPr="00710E2B">
        <w:t xml:space="preserve">also </w:t>
      </w:r>
      <w:r w:rsidR="001E7425" w:rsidRPr="00710E2B">
        <w:t>respected in financial year</w:t>
      </w:r>
      <w:r w:rsidR="002A494F" w:rsidRPr="00710E2B">
        <w:t xml:space="preserve">s </w:t>
      </w:r>
      <w:r w:rsidR="0025447D" w:rsidRPr="00710E2B">
        <w:t xml:space="preserve">after </w:t>
      </w:r>
      <w:r w:rsidR="001E7425" w:rsidRPr="00710E2B">
        <w:t>202</w:t>
      </w:r>
      <w:r w:rsidR="002A494F" w:rsidRPr="00710E2B">
        <w:t>0</w:t>
      </w:r>
      <w:r w:rsidR="001E7425" w:rsidRPr="00710E2B">
        <w:t xml:space="preserve">, </w:t>
      </w:r>
      <w:r w:rsidR="00DD0266" w:rsidRPr="00710E2B">
        <w:t>Articles 16 and 26 of Regulation (EU) No 1306/2013 need to refer</w:t>
      </w:r>
      <w:r w:rsidR="00BC29B0" w:rsidRPr="00710E2B">
        <w:t>, for th</w:t>
      </w:r>
      <w:r w:rsidR="0025447D" w:rsidRPr="00710E2B">
        <w:t>ose</w:t>
      </w:r>
      <w:r w:rsidR="00BC29B0" w:rsidRPr="00710E2B">
        <w:t xml:space="preserve"> financial year</w:t>
      </w:r>
      <w:r w:rsidR="0025447D" w:rsidRPr="00710E2B">
        <w:t>s</w:t>
      </w:r>
      <w:r w:rsidR="00BC29B0" w:rsidRPr="00710E2B">
        <w:t>,</w:t>
      </w:r>
      <w:r w:rsidR="00DD0266" w:rsidRPr="00710E2B">
        <w:t xml:space="preserve"> to the amounts set under the EAGF </w:t>
      </w:r>
      <w:r w:rsidR="001E50D6" w:rsidRPr="00710E2B">
        <w:t xml:space="preserve">in </w:t>
      </w:r>
      <w:r w:rsidR="001E7425" w:rsidRPr="00710E2B">
        <w:t xml:space="preserve">the </w:t>
      </w:r>
      <w:r w:rsidR="00392787" w:rsidRPr="00710E2B">
        <w:t>R</w:t>
      </w:r>
      <w:r w:rsidR="001E7425" w:rsidRPr="00710E2B">
        <w:t>egulation</w:t>
      </w:r>
      <w:r w:rsidR="00885CDA" w:rsidRPr="00710E2B">
        <w:t xml:space="preserve"> </w:t>
      </w:r>
      <w:r w:rsidR="002E3968" w:rsidRPr="00710E2B">
        <w:t xml:space="preserve">to be </w:t>
      </w:r>
      <w:r w:rsidR="001E7425" w:rsidRPr="00710E2B">
        <w:t xml:space="preserve">adopted by the Council pursuant to Article 312(2) of the Treaty on the functioning of the European Union </w:t>
      </w:r>
      <w:r w:rsidR="0070163A" w:rsidRPr="00710E2B">
        <w:t xml:space="preserve">(TFEU) </w:t>
      </w:r>
      <w:r w:rsidR="001E7425" w:rsidRPr="00710E2B">
        <w:t xml:space="preserve">for </w:t>
      </w:r>
      <w:r w:rsidR="006D2767" w:rsidRPr="00710E2B">
        <w:t>the years</w:t>
      </w:r>
      <w:r w:rsidR="001E7425" w:rsidRPr="00710E2B">
        <w:t xml:space="preserve"> 2021 </w:t>
      </w:r>
      <w:r w:rsidR="006D2767" w:rsidRPr="00710E2B">
        <w:t>to 2027</w:t>
      </w:r>
      <w:r w:rsidR="001E7425" w:rsidRPr="00710E2B">
        <w:t xml:space="preserve">. </w:t>
      </w:r>
    </w:p>
    <w:p w14:paraId="7CAA44C2" w14:textId="77777777" w:rsidR="0025447D" w:rsidRPr="00710E2B" w:rsidRDefault="00DD0266" w:rsidP="003568B0">
      <w:pPr>
        <w:pStyle w:val="Considrant"/>
        <w:numPr>
          <w:ilvl w:val="0"/>
          <w:numId w:val="6"/>
        </w:numPr>
        <w:shd w:val="clear" w:color="auto" w:fill="FFFFFF" w:themeFill="background1"/>
      </w:pPr>
      <w:r w:rsidRPr="00710E2B">
        <w:t>Flexibility between pillars is an optional transfer of funds between direct payments and rural development. Under Article 14 of Regulation (EU) No 1307/2013</w:t>
      </w:r>
      <w:r w:rsidR="003E66A8" w:rsidRPr="00710E2B">
        <w:t xml:space="preserve"> of the</w:t>
      </w:r>
      <w:r w:rsidR="003E66A8" w:rsidRPr="003568B0">
        <w:t xml:space="preserve"> </w:t>
      </w:r>
      <w:r w:rsidR="003E66A8" w:rsidRPr="00710E2B">
        <w:t>European Parliament and of the Council</w:t>
      </w:r>
      <w:r w:rsidR="003E66A8" w:rsidRPr="008B26BC">
        <w:rPr>
          <w:rStyle w:val="FootnoteReference"/>
        </w:rPr>
        <w:footnoteReference w:id="5"/>
      </w:r>
      <w:r w:rsidRPr="00710E2B">
        <w:t>, Member States may make use of this flexibility as regards the calendar years 2014 to 2019. In order to ensure that Member States are able to keep their own strategy, Regulation (EU) 2019/288 of the European Parliament and of the Council</w:t>
      </w:r>
      <w:r w:rsidRPr="008B26BC">
        <w:rPr>
          <w:rStyle w:val="FootnoteReference"/>
        </w:rPr>
        <w:footnoteReference w:id="6"/>
      </w:r>
      <w:r w:rsidRPr="00710E2B">
        <w:t xml:space="preserve"> extended the flexibility between pillars to calendar year 2020, i.e. financial year 2021. Article 14 of Regulation (EU) No 1307/2013 </w:t>
      </w:r>
      <w:r w:rsidR="00392787" w:rsidRPr="00710E2B">
        <w:t xml:space="preserve">currently </w:t>
      </w:r>
      <w:r w:rsidRPr="00710E2B">
        <w:t>provide</w:t>
      </w:r>
      <w:r w:rsidR="00392787" w:rsidRPr="00710E2B">
        <w:t>s</w:t>
      </w:r>
      <w:r w:rsidRPr="00710E2B">
        <w:t xml:space="preserve"> for the transfer from rural development to direct payments as a percentage of the amount allocated to support financed under the </w:t>
      </w:r>
      <w:r w:rsidR="00E12B89" w:rsidRPr="00710E2B">
        <w:t>European Agricultural Fund for Rural Development (</w:t>
      </w:r>
      <w:r w:rsidRPr="00710E2B">
        <w:t>EAFRD</w:t>
      </w:r>
      <w:r w:rsidR="00E12B89" w:rsidRPr="00710E2B">
        <w:t>)</w:t>
      </w:r>
      <w:r w:rsidRPr="00710E2B">
        <w:t xml:space="preserve"> in financial year 2021 by Union legislation adopted after the adoption by the Council of the relevant Regulation pursuant to Article 312(2) TFEU. Since the relevant Union legislation will not be adopted by the time the Member States need to notify their decision to transfer, </w:t>
      </w:r>
      <w:r w:rsidR="000D0A0D" w:rsidRPr="00710E2B">
        <w:t>it is appropriate to provide for the possibility to continue</w:t>
      </w:r>
      <w:r w:rsidRPr="00710E2B">
        <w:t xml:space="preserve"> to apply th</w:t>
      </w:r>
      <w:r w:rsidR="00B2035E" w:rsidRPr="00710E2B">
        <w:t>at</w:t>
      </w:r>
      <w:r w:rsidRPr="00710E2B">
        <w:t xml:space="preserve"> flexibility</w:t>
      </w:r>
      <w:r w:rsidR="000D0A0D" w:rsidRPr="00710E2B">
        <w:t xml:space="preserve"> and </w:t>
      </w:r>
      <w:r w:rsidRPr="00710E2B">
        <w:t xml:space="preserve">to establish the </w:t>
      </w:r>
      <w:r w:rsidR="001E50D6" w:rsidRPr="00710E2B">
        <w:t xml:space="preserve">maximum amount </w:t>
      </w:r>
      <w:r w:rsidR="000D0A0D" w:rsidRPr="00710E2B">
        <w:t>that</w:t>
      </w:r>
      <w:r w:rsidR="001E50D6" w:rsidRPr="00710E2B">
        <w:t xml:space="preserve"> may be transferred. </w:t>
      </w:r>
      <w:r w:rsidR="00C47DAB" w:rsidRPr="00710E2B">
        <w:t>The maximum absolute</w:t>
      </w:r>
      <w:r w:rsidRPr="00710E2B">
        <w:t xml:space="preserve"> amount per Member States is calculated on the basis of the </w:t>
      </w:r>
      <w:r w:rsidR="004C5159" w:rsidRPr="00710E2B">
        <w:t xml:space="preserve">maximum </w:t>
      </w:r>
      <w:r w:rsidRPr="00710E2B">
        <w:t xml:space="preserve">percentages provided for in Article 14(2) </w:t>
      </w:r>
      <w:r w:rsidR="003C5445" w:rsidRPr="00710E2B">
        <w:t xml:space="preserve">of </w:t>
      </w:r>
      <w:r w:rsidR="00D84A2B" w:rsidRPr="00710E2B">
        <w:t xml:space="preserve">Regulation (EU) No 1307/2013 </w:t>
      </w:r>
      <w:r w:rsidRPr="00710E2B">
        <w:t xml:space="preserve">to be applied to the amounts to be allocated to support for </w:t>
      </w:r>
      <w:r w:rsidR="00730AC0" w:rsidRPr="00710E2B">
        <w:t xml:space="preserve">types of interventions for </w:t>
      </w:r>
      <w:r w:rsidRPr="00710E2B">
        <w:t xml:space="preserve">rural development under </w:t>
      </w:r>
      <w:r w:rsidR="002D2158" w:rsidRPr="00710E2B">
        <w:t>the proposal for a Regulation of the European Parliament and of the Council establishing rules on support for strategic plans to be drawn up by Member States under the Common agricultural policy (CAP Strategic Plans) and financed by the European Agricultural Guarantee Fund (EAGF) and by the European Agricultural Fund for Rural Development (EAFRD) and repealing Regulation (EU) No 1305/2013 of the European Parliament and of the Council and Regulation (EU) No 1307/2013 of the European Parliament and of the Council</w:t>
      </w:r>
      <w:r w:rsidR="002D2158" w:rsidRPr="008B26BC">
        <w:rPr>
          <w:rStyle w:val="FootnoteReference"/>
        </w:rPr>
        <w:footnoteReference w:id="7"/>
      </w:r>
      <w:r w:rsidR="00D84A2B" w:rsidRPr="00710E2B">
        <w:t xml:space="preserve">. </w:t>
      </w:r>
    </w:p>
    <w:p w14:paraId="48914509" w14:textId="6C810291" w:rsidR="001950BC" w:rsidRPr="00710E2B" w:rsidRDefault="00B16956" w:rsidP="0025447D">
      <w:pPr>
        <w:pStyle w:val="Considrant"/>
      </w:pPr>
      <w:r w:rsidRPr="00710E2B">
        <w:t xml:space="preserve">In accordance with Article 53(6) of Regulation (EU) No 1307/2013, Member States </w:t>
      </w:r>
      <w:r w:rsidR="00062BE7" w:rsidRPr="00710E2B">
        <w:t xml:space="preserve">currently </w:t>
      </w:r>
      <w:r w:rsidR="004B2BB5" w:rsidRPr="00710E2B">
        <w:t>ha</w:t>
      </w:r>
      <w:r w:rsidR="00701839" w:rsidRPr="00710E2B">
        <w:t>ve</w:t>
      </w:r>
      <w:r w:rsidR="004B2BB5" w:rsidRPr="00710E2B">
        <w:t xml:space="preserve"> the option to review</w:t>
      </w:r>
      <w:r w:rsidRPr="00710E2B">
        <w:t xml:space="preserve"> by 1 August 2019 the percentage of their national ceiling for direct payments </w:t>
      </w:r>
      <w:r w:rsidR="00701839" w:rsidRPr="00710E2B">
        <w:t>that</w:t>
      </w:r>
      <w:r w:rsidRPr="00710E2B">
        <w:t xml:space="preserve"> they allocate to </w:t>
      </w:r>
      <w:r w:rsidR="00701839" w:rsidRPr="00710E2B">
        <w:t>v</w:t>
      </w:r>
      <w:r w:rsidRPr="00710E2B">
        <w:t xml:space="preserve">oluntary </w:t>
      </w:r>
      <w:r w:rsidR="00701839" w:rsidRPr="00710E2B">
        <w:t>c</w:t>
      </w:r>
      <w:r w:rsidRPr="00710E2B">
        <w:t xml:space="preserve">oupled </w:t>
      </w:r>
      <w:r w:rsidR="00701839" w:rsidRPr="00710E2B">
        <w:t>s</w:t>
      </w:r>
      <w:r w:rsidRPr="00710E2B">
        <w:t xml:space="preserve">upport (VCS), as well as their detailed support decisions from year 2020. </w:t>
      </w:r>
      <w:r w:rsidR="00F92922" w:rsidRPr="00710E2B">
        <w:t xml:space="preserve">Member States will only notify their </w:t>
      </w:r>
      <w:r w:rsidR="00701839" w:rsidRPr="00710E2B">
        <w:t xml:space="preserve">decision on </w:t>
      </w:r>
      <w:r w:rsidR="00F92922" w:rsidRPr="00710E2B">
        <w:t xml:space="preserve">transfer </w:t>
      </w:r>
      <w:r w:rsidR="004963E6" w:rsidRPr="00710E2B">
        <w:t>from their direct payments envelope to the rural development envelope</w:t>
      </w:r>
      <w:r w:rsidR="00F92922" w:rsidRPr="00710E2B">
        <w:t>, if any, by 31 December 2019</w:t>
      </w:r>
      <w:r w:rsidR="004963E6" w:rsidRPr="00710E2B">
        <w:t xml:space="preserve">, and on transfer from their rural development envelope to the direct payments envelope shortly thereafter. </w:t>
      </w:r>
      <w:r w:rsidR="00062BE7" w:rsidRPr="00710E2B">
        <w:t>However, s</w:t>
      </w:r>
      <w:r w:rsidR="00F92922" w:rsidRPr="00710E2B">
        <w:t>uch decision will affect their national ceiling for direct payments for calendar year 2020. I</w:t>
      </w:r>
      <w:r w:rsidRPr="00710E2B">
        <w:t xml:space="preserve">n order to maintain consistency between the </w:t>
      </w:r>
      <w:r w:rsidR="004C5159" w:rsidRPr="00710E2B">
        <w:t>detai</w:t>
      </w:r>
      <w:r w:rsidR="004B2BB5" w:rsidRPr="00710E2B">
        <w:t>led</w:t>
      </w:r>
      <w:r w:rsidR="004C5159" w:rsidRPr="00710E2B">
        <w:t xml:space="preserve"> support</w:t>
      </w:r>
      <w:r w:rsidRPr="00710E2B">
        <w:t xml:space="preserve"> decisions and </w:t>
      </w:r>
      <w:r w:rsidR="004C5159" w:rsidRPr="00710E2B">
        <w:t>the VCS budgetary ceiling</w:t>
      </w:r>
      <w:r w:rsidR="00F92922" w:rsidRPr="00710E2B">
        <w:t>,</w:t>
      </w:r>
      <w:r w:rsidR="004C5159" w:rsidRPr="00710E2B">
        <w:t xml:space="preserve"> </w:t>
      </w:r>
      <w:r w:rsidRPr="00710E2B">
        <w:t>it is appropriate to allow Member States to review</w:t>
      </w:r>
      <w:r w:rsidR="00E82D14" w:rsidRPr="00710E2B">
        <w:t>, to the extent necessary to ad</w:t>
      </w:r>
      <w:r w:rsidR="00BC7255" w:rsidRPr="00710E2B">
        <w:t>just</w:t>
      </w:r>
      <w:r w:rsidR="00E82D14" w:rsidRPr="00710E2B">
        <w:t xml:space="preserve"> to the</w:t>
      </w:r>
      <w:r w:rsidR="002E5638" w:rsidRPr="00710E2B">
        <w:t>ir</w:t>
      </w:r>
      <w:r w:rsidR="00E82D14" w:rsidRPr="00710E2B">
        <w:t xml:space="preserve"> </w:t>
      </w:r>
      <w:r w:rsidR="00062BE7" w:rsidRPr="00710E2B">
        <w:t xml:space="preserve">decision relating to </w:t>
      </w:r>
      <w:r w:rsidR="00E82D14" w:rsidRPr="00710E2B">
        <w:t>flexibility between pillars</w:t>
      </w:r>
      <w:r w:rsidR="005D7F02" w:rsidRPr="00710E2B">
        <w:t>,</w:t>
      </w:r>
      <w:r w:rsidR="00E82D14" w:rsidRPr="00710E2B">
        <w:t xml:space="preserve"> </w:t>
      </w:r>
      <w:r w:rsidRPr="00710E2B">
        <w:t>the</w:t>
      </w:r>
      <w:r w:rsidR="00E82D14" w:rsidRPr="00710E2B">
        <w:t xml:space="preserve"> percentage allocated to</w:t>
      </w:r>
      <w:r w:rsidRPr="00710E2B">
        <w:t xml:space="preserve"> VCS</w:t>
      </w:r>
      <w:r w:rsidR="002E5638" w:rsidRPr="00710E2B">
        <w:t>, as well as</w:t>
      </w:r>
      <w:r w:rsidR="00E82D14" w:rsidRPr="00710E2B">
        <w:t xml:space="preserve"> the </w:t>
      </w:r>
      <w:r w:rsidR="002E5638" w:rsidRPr="00710E2B">
        <w:t xml:space="preserve">detailed </w:t>
      </w:r>
      <w:r w:rsidR="00E82D14" w:rsidRPr="00710E2B">
        <w:t>support decisions</w:t>
      </w:r>
      <w:r w:rsidR="002E5638" w:rsidRPr="00710E2B">
        <w:t xml:space="preserve">. </w:t>
      </w:r>
      <w:r w:rsidR="00062BE7" w:rsidRPr="00710E2B">
        <w:t>Consequently, t</w:t>
      </w:r>
      <w:r w:rsidR="00701839" w:rsidRPr="00710E2B">
        <w:t>he relevant</w:t>
      </w:r>
      <w:r w:rsidR="002E5638" w:rsidRPr="00710E2B">
        <w:t xml:space="preserve"> notification deadline should </w:t>
      </w:r>
      <w:r w:rsidR="00062BE7" w:rsidRPr="00710E2B">
        <w:t>also be</w:t>
      </w:r>
      <w:r w:rsidR="004963E6" w:rsidRPr="00710E2B">
        <w:t xml:space="preserve"> shortly after</w:t>
      </w:r>
      <w:r w:rsidR="00062BE7" w:rsidRPr="00710E2B">
        <w:t xml:space="preserve"> 31 December 2019</w:t>
      </w:r>
      <w:r w:rsidRPr="00710E2B">
        <w:t>.</w:t>
      </w:r>
      <w:r w:rsidR="00F56645" w:rsidRPr="00710E2B">
        <w:t xml:space="preserve"> </w:t>
      </w:r>
      <w:r w:rsidR="00756E11" w:rsidRPr="00710E2B">
        <w:t xml:space="preserve">As </w:t>
      </w:r>
      <w:r w:rsidR="00A54D39" w:rsidRPr="00710E2B">
        <w:t>th</w:t>
      </w:r>
      <w:r w:rsidR="00A54D39">
        <w:t>at</w:t>
      </w:r>
      <w:r w:rsidR="00A54D39" w:rsidRPr="00710E2B">
        <w:t xml:space="preserve"> </w:t>
      </w:r>
      <w:r w:rsidR="00756E11" w:rsidRPr="00710E2B">
        <w:t xml:space="preserve">review is limited to the extent necessary for Member States to adjust to their decision relating to flexibility between pillars, Member States </w:t>
      </w:r>
      <w:r w:rsidR="00A54D39" w:rsidRPr="00710E2B">
        <w:t>sh</w:t>
      </w:r>
      <w:r w:rsidR="00A54D39">
        <w:t>ould</w:t>
      </w:r>
      <w:r w:rsidR="00A54D39" w:rsidRPr="00710E2B">
        <w:t xml:space="preserve"> </w:t>
      </w:r>
      <w:r w:rsidR="00756E11" w:rsidRPr="00710E2B">
        <w:t xml:space="preserve">explain in their notification the link between the review and that decision. </w:t>
      </w:r>
    </w:p>
    <w:p w14:paraId="08124636" w14:textId="77777777" w:rsidR="00B16956" w:rsidRPr="00710E2B" w:rsidRDefault="00B16956" w:rsidP="001950BC">
      <w:pPr>
        <w:pStyle w:val="Considrant"/>
      </w:pPr>
      <w:r w:rsidRPr="00710E2B">
        <w:t>Regulations (EU) No 1306/2013 and (EU) No 1307/2013 should therefore be amended accordingly.</w:t>
      </w:r>
    </w:p>
    <w:p w14:paraId="401C3439" w14:textId="77777777" w:rsidR="00B16956" w:rsidRPr="00C10BF6" w:rsidRDefault="00B16956" w:rsidP="00B16956">
      <w:pPr>
        <w:pStyle w:val="Considrant"/>
      </w:pPr>
      <w:r w:rsidRPr="00710E2B">
        <w:t>In order to enable the amendment</w:t>
      </w:r>
      <w:r w:rsidR="006D2767" w:rsidRPr="00710E2B">
        <w:t>s</w:t>
      </w:r>
      <w:r w:rsidRPr="00710E2B">
        <w:t xml:space="preserve"> provided for in this Regulation to be applied </w:t>
      </w:r>
      <w:r w:rsidR="000D335B" w:rsidRPr="00710E2B">
        <w:t>as soon as possible</w:t>
      </w:r>
      <w:r w:rsidR="006D2767" w:rsidRPr="00710E2B">
        <w:t>,</w:t>
      </w:r>
      <w:r w:rsidRPr="00710E2B">
        <w:t xml:space="preserve"> </w:t>
      </w:r>
      <w:r w:rsidR="000D335B" w:rsidRPr="00710E2B">
        <w:t xml:space="preserve">this Regulation </w:t>
      </w:r>
      <w:r w:rsidRPr="00710E2B">
        <w:t>should enter into force on the day following that of its publication in the Official Journal of the European Union</w:t>
      </w:r>
      <w:r w:rsidRPr="00C10BF6">
        <w:t>,</w:t>
      </w:r>
    </w:p>
    <w:p w14:paraId="150C47CD" w14:textId="77777777" w:rsidR="001950BC" w:rsidRPr="00F96E01" w:rsidRDefault="001950BC" w:rsidP="006D42BA">
      <w:pPr>
        <w:pStyle w:val="Formuledadoption"/>
      </w:pPr>
      <w:r w:rsidRPr="00F96E01">
        <w:t>HAVE ADOPTED THIS REGULATION:</w:t>
      </w:r>
    </w:p>
    <w:p w14:paraId="132B35D4" w14:textId="77777777" w:rsidR="001950BC" w:rsidRPr="00F92922" w:rsidRDefault="001950BC" w:rsidP="006D42BA">
      <w:pPr>
        <w:pStyle w:val="Titrearticle"/>
      </w:pPr>
      <w:r w:rsidRPr="00F92922">
        <w:t>Article 1</w:t>
      </w:r>
    </w:p>
    <w:p w14:paraId="7BBCBBE3" w14:textId="77777777" w:rsidR="000A0666" w:rsidRPr="00AC495A" w:rsidRDefault="000A0666" w:rsidP="000A0666">
      <w:pPr>
        <w:jc w:val="center"/>
      </w:pPr>
      <w:r w:rsidRPr="00AC495A">
        <w:t>Amendments to Regulation (EU) No 1306/2013</w:t>
      </w:r>
    </w:p>
    <w:p w14:paraId="1280E44F" w14:textId="77777777" w:rsidR="000A0666" w:rsidRPr="00AC495A" w:rsidRDefault="000A0666" w:rsidP="000A0666">
      <w:r w:rsidRPr="00AC495A">
        <w:t>Regulation (EU) No 1306/2013 is amended as follows:</w:t>
      </w:r>
    </w:p>
    <w:p w14:paraId="6631114A" w14:textId="399ABCB1" w:rsidR="000A0666" w:rsidRPr="00AC495A" w:rsidRDefault="000A0666" w:rsidP="0061531F">
      <w:pPr>
        <w:pStyle w:val="Point0number"/>
        <w:numPr>
          <w:ilvl w:val="0"/>
          <w:numId w:val="7"/>
        </w:numPr>
      </w:pPr>
      <w:r w:rsidRPr="00AC495A">
        <w:t>in Article 16, paragraph</w:t>
      </w:r>
      <w:r w:rsidR="008A3836" w:rsidRPr="00AC495A">
        <w:t xml:space="preserve"> 1</w:t>
      </w:r>
      <w:r w:rsidRPr="00AC495A">
        <w:t xml:space="preserve"> is replaced by the following:</w:t>
      </w:r>
      <w:r w:rsidR="0025447D" w:rsidRPr="00AC495A">
        <w:t xml:space="preserve"> </w:t>
      </w:r>
    </w:p>
    <w:p w14:paraId="0371304F" w14:textId="1DEF55AC" w:rsidR="000A0666" w:rsidRPr="00AC495A" w:rsidRDefault="000A0666" w:rsidP="000A0666">
      <w:pPr>
        <w:ind w:left="709"/>
      </w:pPr>
      <w:r w:rsidRPr="00AC495A">
        <w:t>‘</w:t>
      </w:r>
      <w:r w:rsidR="008A3836" w:rsidRPr="00AC495A">
        <w:t xml:space="preserve">1. </w:t>
      </w:r>
      <w:r w:rsidRPr="00AC495A">
        <w:t>The annual ceiling for EAGF expenditure shall be constituted by the maximum amounts set for it under Regulation (EU, Euratom) No 1311/2013 and</w:t>
      </w:r>
      <w:r w:rsidR="0025447D" w:rsidRPr="00AC495A">
        <w:t xml:space="preserve"> </w:t>
      </w:r>
      <w:r w:rsidRPr="00AC495A">
        <w:t>under the Regulation adopted by the Council pursuant to Article 312(2</w:t>
      </w:r>
      <w:r w:rsidR="008A3836" w:rsidRPr="00AC495A">
        <w:t xml:space="preserve">) </w:t>
      </w:r>
      <w:r w:rsidR="004822F3" w:rsidRPr="00AC495A">
        <w:t>TFEU</w:t>
      </w:r>
      <w:r w:rsidR="008A3836" w:rsidRPr="00AC495A">
        <w:t xml:space="preserve"> for the years 2021 to 2027</w:t>
      </w:r>
      <w:r w:rsidRPr="00AC495A">
        <w:t>.’;</w:t>
      </w:r>
    </w:p>
    <w:p w14:paraId="2856F3CF" w14:textId="77777777" w:rsidR="000A0666" w:rsidRPr="00AC495A" w:rsidRDefault="000A0666" w:rsidP="000A0666">
      <w:pPr>
        <w:pStyle w:val="Point0number"/>
      </w:pPr>
      <w:r w:rsidRPr="00AC495A">
        <w:t xml:space="preserve">in Article 26, paragraph </w:t>
      </w:r>
      <w:r w:rsidR="003200B1" w:rsidRPr="00AC495A">
        <w:t xml:space="preserve">1 </w:t>
      </w:r>
      <w:r w:rsidRPr="00AC495A">
        <w:t>is replaced by the following:</w:t>
      </w:r>
    </w:p>
    <w:p w14:paraId="2AD40D04" w14:textId="60145DFD" w:rsidR="000A0666" w:rsidRPr="00AC495A" w:rsidRDefault="000A0666" w:rsidP="000A0666">
      <w:pPr>
        <w:ind w:left="709"/>
      </w:pPr>
      <w:r w:rsidRPr="00AC495A">
        <w:t>‘</w:t>
      </w:r>
      <w:r w:rsidR="003200B1" w:rsidRPr="00AC495A">
        <w:t xml:space="preserve">1. </w:t>
      </w:r>
      <w:r w:rsidRPr="00AC495A">
        <w:t xml:space="preserve">In order to ensure that the annual ceilings </w:t>
      </w:r>
      <w:r w:rsidR="00480F15" w:rsidRPr="00AC495A">
        <w:t>referred to in Article 16</w:t>
      </w:r>
      <w:r w:rsidRPr="00AC495A">
        <w:t xml:space="preserve"> for the financing of the market related expenditure and direct payments are respected, an adjustment rate for direct payments ("the adjustment rate") shall be determined when the forecasts for the financing of the measures financed under that sub-ceiling for a given financial year indicate that the applicable annual ceilings will be exceeded.’</w:t>
      </w:r>
      <w:r w:rsidR="00A54D39">
        <w:t>.</w:t>
      </w:r>
    </w:p>
    <w:p w14:paraId="24040A80" w14:textId="77777777" w:rsidR="000A0666" w:rsidRPr="00F92922" w:rsidRDefault="000A0666" w:rsidP="000A0666">
      <w:pPr>
        <w:pStyle w:val="Titrearticle"/>
      </w:pPr>
      <w:r w:rsidRPr="00F92922">
        <w:t xml:space="preserve">Article </w:t>
      </w:r>
      <w:r w:rsidR="00D42D98" w:rsidRPr="00AC495A">
        <w:t>2</w:t>
      </w:r>
    </w:p>
    <w:p w14:paraId="4A13A53E" w14:textId="77777777" w:rsidR="00EF7290" w:rsidRPr="00AC495A" w:rsidRDefault="00EF7290" w:rsidP="00EF7290">
      <w:pPr>
        <w:jc w:val="center"/>
      </w:pPr>
      <w:r w:rsidRPr="00AC495A">
        <w:t>Amendments to Regulation (EU) No 1307/2013</w:t>
      </w:r>
    </w:p>
    <w:p w14:paraId="6EB72612" w14:textId="77777777" w:rsidR="00EF7290" w:rsidRPr="00AC495A" w:rsidRDefault="00EF7290" w:rsidP="00EF7290">
      <w:r w:rsidRPr="00AC495A">
        <w:t>Regulation (EU) No 1307/2013 is amended as follows:</w:t>
      </w:r>
    </w:p>
    <w:p w14:paraId="3F133996" w14:textId="77777777" w:rsidR="00EF7290" w:rsidRPr="00AC495A" w:rsidRDefault="00EF7290" w:rsidP="0061531F">
      <w:pPr>
        <w:pStyle w:val="Point0number"/>
        <w:numPr>
          <w:ilvl w:val="0"/>
          <w:numId w:val="5"/>
        </w:numPr>
      </w:pPr>
      <w:r w:rsidRPr="00AC495A">
        <w:t>in Article 14(2)</w:t>
      </w:r>
      <w:r w:rsidR="00BA7177" w:rsidRPr="00AC495A">
        <w:t>, the sixth</w:t>
      </w:r>
      <w:r w:rsidRPr="00AC495A">
        <w:t xml:space="preserve"> subparagraph is replaced by the following:</w:t>
      </w:r>
    </w:p>
    <w:p w14:paraId="5F950B81" w14:textId="38BDF7FC" w:rsidR="004A013B" w:rsidRPr="00AC495A" w:rsidRDefault="00BA7177" w:rsidP="009D73CE">
      <w:pPr>
        <w:ind w:left="851"/>
      </w:pPr>
      <w:r w:rsidRPr="00AC495A">
        <w:t xml:space="preserve">‘By </w:t>
      </w:r>
      <w:r w:rsidR="00B8707D">
        <w:t>[OPOCE: 7 days after entry into force of this Regulation]</w:t>
      </w:r>
      <w:r w:rsidRPr="00AC495A">
        <w:t xml:space="preserve">, Member States may decide to make available for calendar year 2020 as direct payments an amount not higher than the </w:t>
      </w:r>
      <w:r w:rsidR="00DD0266" w:rsidRPr="00AC495A">
        <w:t>amount set out in Annex VIa.</w:t>
      </w:r>
      <w:r w:rsidRPr="00AC495A">
        <w:t xml:space="preserve"> As a result, the corresponding amount shall no longer be available for support financed under the EAFRD for financial year 2021. Th</w:t>
      </w:r>
      <w:r w:rsidR="00857494" w:rsidRPr="00AC495A">
        <w:t>at</w:t>
      </w:r>
      <w:r w:rsidRPr="00AC495A">
        <w:t xml:space="preserve"> decision shall be notified to the Commission by </w:t>
      </w:r>
      <w:r w:rsidR="00B8707D">
        <w:t xml:space="preserve">[OPOCE: 7 days after entry into force of this Regulation] </w:t>
      </w:r>
      <w:r w:rsidRPr="00AC495A">
        <w:t xml:space="preserve">and shall set out the amount </w:t>
      </w:r>
      <w:r w:rsidR="005D1B75" w:rsidRPr="00AC495A">
        <w:t>to be transferred</w:t>
      </w:r>
      <w:r w:rsidRPr="00AC495A">
        <w:t>.’;</w:t>
      </w:r>
    </w:p>
    <w:p w14:paraId="73E746CD" w14:textId="77777777" w:rsidR="003C4CEF" w:rsidRPr="00AC495A" w:rsidRDefault="003C4CEF" w:rsidP="003C4CEF">
      <w:pPr>
        <w:pStyle w:val="Point0number"/>
      </w:pPr>
      <w:r w:rsidRPr="00AC495A">
        <w:t>in Article 53, paragraph 6 is replaced by the following:</w:t>
      </w:r>
    </w:p>
    <w:p w14:paraId="0A9418BE" w14:textId="77777777" w:rsidR="003C4CEF" w:rsidRPr="00AC495A" w:rsidRDefault="003C4CEF" w:rsidP="003C4CEF">
      <w:pPr>
        <w:ind w:left="851"/>
      </w:pPr>
      <w:r w:rsidRPr="00AC495A">
        <w:t>‘</w:t>
      </w:r>
      <w:r w:rsidR="00B4601F" w:rsidRPr="00AC495A">
        <w:t xml:space="preserve">6. </w:t>
      </w:r>
      <w:r w:rsidRPr="00AC495A">
        <w:t xml:space="preserve">Member States may, by 1 August of any given year, review their decision pursuant to this Chapter. </w:t>
      </w:r>
    </w:p>
    <w:p w14:paraId="6E85E4A6" w14:textId="3ECD751B" w:rsidR="003C4CEF" w:rsidRPr="00AC495A" w:rsidRDefault="00B4601F" w:rsidP="003C4CEF">
      <w:pPr>
        <w:ind w:left="851"/>
      </w:pPr>
      <w:r w:rsidRPr="00AC495A">
        <w:t xml:space="preserve">By </w:t>
      </w:r>
      <w:r w:rsidR="00B8707D">
        <w:t>[OPOCE: 7 days after entry into force of this Regulation]</w:t>
      </w:r>
      <w:r w:rsidRPr="00AC495A">
        <w:t xml:space="preserve">, </w:t>
      </w:r>
      <w:r w:rsidR="003C4CEF" w:rsidRPr="00AC495A">
        <w:t>Member States may also review</w:t>
      </w:r>
      <w:r w:rsidRPr="00AC495A">
        <w:t xml:space="preserve"> their decision pursuant to this Chapter</w:t>
      </w:r>
      <w:r w:rsidR="00712B69" w:rsidRPr="00AC495A">
        <w:t xml:space="preserve"> to the extent necessary to adjust to the decision on flexibility between pillars for calendar year 2020 taken in accordance with Article 14</w:t>
      </w:r>
      <w:r w:rsidR="003C4CEF" w:rsidRPr="00AC495A">
        <w:t>.</w:t>
      </w:r>
      <w:r w:rsidR="00712B69" w:rsidRPr="00AC495A">
        <w:t xml:space="preserve"> </w:t>
      </w:r>
    </w:p>
    <w:p w14:paraId="21A193EA" w14:textId="77777777" w:rsidR="000107AB" w:rsidRPr="00AC495A" w:rsidRDefault="003C4CEF" w:rsidP="003C4CEF">
      <w:pPr>
        <w:ind w:left="851"/>
      </w:pPr>
      <w:r w:rsidRPr="00AC495A">
        <w:t>By way of a review pursuant to the first and second subparagraphs, Member State</w:t>
      </w:r>
      <w:r w:rsidR="001E0087" w:rsidRPr="00AC495A">
        <w:t>s</w:t>
      </w:r>
      <w:r w:rsidRPr="00AC495A">
        <w:t xml:space="preserve"> may decide with effect from the following year:</w:t>
      </w:r>
    </w:p>
    <w:p w14:paraId="4EB44928" w14:textId="77777777" w:rsidR="000107AB" w:rsidRPr="00AC495A" w:rsidRDefault="000107AB" w:rsidP="000914CE">
      <w:pPr>
        <w:pStyle w:val="Point1letter"/>
      </w:pPr>
      <w:r w:rsidRPr="00AC495A">
        <w:t>to leave unchanged, increase or decrease the percentage fixed pursuant to paragraphs 1, 2 and 3, within the limits laid down therein where applicable, or to leave unchanged or decrease the percentage fixed pursuant to paragraph 4;</w:t>
      </w:r>
    </w:p>
    <w:p w14:paraId="75675281" w14:textId="77777777" w:rsidR="000107AB" w:rsidRPr="00AC495A" w:rsidRDefault="000107AB" w:rsidP="000914CE">
      <w:pPr>
        <w:pStyle w:val="Point1letter"/>
      </w:pPr>
      <w:r w:rsidRPr="00AC495A">
        <w:t>to modify the conditions for granting the support;</w:t>
      </w:r>
    </w:p>
    <w:p w14:paraId="17D509F0" w14:textId="77777777" w:rsidR="009D6C94" w:rsidRPr="00AC495A" w:rsidRDefault="000107AB" w:rsidP="000914CE">
      <w:pPr>
        <w:pStyle w:val="Point1letter"/>
      </w:pPr>
      <w:r w:rsidRPr="00AC495A">
        <w:t>to cease granting the support under this Chapter.</w:t>
      </w:r>
    </w:p>
    <w:p w14:paraId="62EB0564" w14:textId="0F31CE34" w:rsidR="000107AB" w:rsidRPr="00AC495A" w:rsidRDefault="003C4CEF" w:rsidP="000914CE">
      <w:pPr>
        <w:ind w:left="851"/>
      </w:pPr>
      <w:r w:rsidRPr="00AC495A">
        <w:t xml:space="preserve">Member States shall notify the Commission of any decision </w:t>
      </w:r>
      <w:r w:rsidR="001E0087" w:rsidRPr="00AC495A">
        <w:t>relating to a review pursuant</w:t>
      </w:r>
      <w:r w:rsidRPr="00AC495A">
        <w:t xml:space="preserve"> to the first and second subparagraphs by the respective </w:t>
      </w:r>
      <w:r w:rsidR="001E0087" w:rsidRPr="00AC495A">
        <w:t>dates referred to in those subparagraphs</w:t>
      </w:r>
      <w:r w:rsidRPr="00AC495A">
        <w:t>.</w:t>
      </w:r>
      <w:r w:rsidR="00617EC5" w:rsidRPr="00AC495A">
        <w:t xml:space="preserve"> </w:t>
      </w:r>
      <w:r w:rsidR="000D335B" w:rsidRPr="00AC495A">
        <w:t xml:space="preserve">The notification </w:t>
      </w:r>
      <w:r w:rsidR="001E0087" w:rsidRPr="00AC495A">
        <w:t>of</w:t>
      </w:r>
      <w:r w:rsidR="000D335B" w:rsidRPr="00AC495A">
        <w:t xml:space="preserve"> the decision </w:t>
      </w:r>
      <w:r w:rsidR="001E0087" w:rsidRPr="00AC495A">
        <w:t>relating to a review pursuant to</w:t>
      </w:r>
      <w:r w:rsidR="000D335B" w:rsidRPr="00AC495A">
        <w:t xml:space="preserve"> the second subparagraph shall </w:t>
      </w:r>
      <w:r w:rsidR="004C5159" w:rsidRPr="00AC495A">
        <w:t>explain the link between the review and</w:t>
      </w:r>
      <w:r w:rsidR="000D335B" w:rsidRPr="00AC495A">
        <w:t xml:space="preserve"> the decision on flexibility between pillars for calendar year 2020 taken in accordance with Article 14.</w:t>
      </w:r>
      <w:r w:rsidR="000107AB" w:rsidRPr="00AC495A">
        <w:t>’</w:t>
      </w:r>
      <w:r w:rsidR="001E0087" w:rsidRPr="00AC495A">
        <w:t>;</w:t>
      </w:r>
      <w:r w:rsidR="002170B0" w:rsidRPr="00AC495A">
        <w:t xml:space="preserve"> </w:t>
      </w:r>
    </w:p>
    <w:p w14:paraId="6D3AB8EC" w14:textId="41502A10" w:rsidR="009D73CE" w:rsidRPr="00F92922" w:rsidRDefault="009D73CE" w:rsidP="00743C23">
      <w:pPr>
        <w:pStyle w:val="Point0number"/>
      </w:pPr>
      <w:r w:rsidRPr="00AC495A">
        <w:t xml:space="preserve">Annex </w:t>
      </w:r>
      <w:r w:rsidR="00DD0266" w:rsidRPr="00AC495A">
        <w:t>VIa</w:t>
      </w:r>
      <w:r w:rsidRPr="00AC495A">
        <w:t xml:space="preserve"> is inserted</w:t>
      </w:r>
      <w:r w:rsidR="001E0087" w:rsidRPr="00AC495A">
        <w:t>, the text of which is set out</w:t>
      </w:r>
      <w:r w:rsidRPr="00AC495A">
        <w:t xml:space="preserve"> in </w:t>
      </w:r>
      <w:r w:rsidR="001E0087" w:rsidRPr="00AC495A">
        <w:t>the</w:t>
      </w:r>
      <w:r w:rsidRPr="00AC495A">
        <w:t xml:space="preserve"> </w:t>
      </w:r>
      <w:r w:rsidR="001E0087" w:rsidRPr="00AC495A">
        <w:t>A</w:t>
      </w:r>
      <w:r w:rsidRPr="00AC495A">
        <w:t xml:space="preserve">nnex to this </w:t>
      </w:r>
      <w:r w:rsidR="001E0087" w:rsidRPr="00AC495A">
        <w:t>R</w:t>
      </w:r>
      <w:r w:rsidRPr="00AC495A">
        <w:t>egulation</w:t>
      </w:r>
      <w:r w:rsidR="001E0087" w:rsidRPr="00AC495A">
        <w:t>.</w:t>
      </w:r>
    </w:p>
    <w:p w14:paraId="00D52FA6" w14:textId="77777777" w:rsidR="001950BC" w:rsidRPr="00F92922" w:rsidRDefault="001950BC" w:rsidP="006D42BA">
      <w:pPr>
        <w:pStyle w:val="Titrearticle"/>
      </w:pPr>
      <w:r w:rsidRPr="00F92922">
        <w:t xml:space="preserve">Article </w:t>
      </w:r>
      <w:r w:rsidR="0036300F" w:rsidRPr="00AC495A">
        <w:t>3</w:t>
      </w:r>
    </w:p>
    <w:p w14:paraId="0D9194CD" w14:textId="77777777" w:rsidR="001950BC" w:rsidRPr="00F92922" w:rsidRDefault="001950BC" w:rsidP="006D42BA">
      <w:r w:rsidRPr="00F92922">
        <w:t xml:space="preserve">This Regulation shall enter into force on the day following that of its publication in the </w:t>
      </w:r>
      <w:r w:rsidRPr="00F92922">
        <w:rPr>
          <w:i/>
        </w:rPr>
        <w:t>Official Journal of the European Union</w:t>
      </w:r>
      <w:r w:rsidRPr="00F92922">
        <w:t>.</w:t>
      </w:r>
    </w:p>
    <w:p w14:paraId="2506375F" w14:textId="77777777" w:rsidR="001950BC" w:rsidRPr="00F92922" w:rsidRDefault="001950BC" w:rsidP="006D42BA">
      <w:pPr>
        <w:pStyle w:val="Applicationdirecte"/>
      </w:pPr>
      <w:r w:rsidRPr="00F92922">
        <w:t>This Regulation shall be binding in its entirety and directly applicable in all Member States.</w:t>
      </w:r>
    </w:p>
    <w:p w14:paraId="7A86EDA5" w14:textId="66044AF5" w:rsidR="001950BC" w:rsidRPr="00F92922" w:rsidRDefault="00AA0B5E" w:rsidP="00AA0B5E">
      <w:pPr>
        <w:pStyle w:val="Fait"/>
      </w:pPr>
      <w:r w:rsidRPr="00AA0B5E">
        <w:t>Done at Brussels,</w:t>
      </w:r>
    </w:p>
    <w:p w14:paraId="2557C8FE" w14:textId="77777777" w:rsidR="001950BC" w:rsidRDefault="001950BC" w:rsidP="001950BC">
      <w:pPr>
        <w:pStyle w:val="Institutionquisigne"/>
      </w:pPr>
      <w:r w:rsidRPr="001950BC">
        <w:t>For the European Parliament</w:t>
      </w:r>
      <w:r w:rsidRPr="001950BC">
        <w:tab/>
        <w:t>For the Council</w:t>
      </w:r>
    </w:p>
    <w:p w14:paraId="33C685AD" w14:textId="41069235" w:rsidR="00320904" w:rsidRDefault="001950BC" w:rsidP="001950BC">
      <w:pPr>
        <w:pStyle w:val="Personnequisigne"/>
      </w:pPr>
      <w:r w:rsidRPr="001950BC">
        <w:t>The President</w:t>
      </w:r>
      <w:r w:rsidRPr="001950BC">
        <w:tab/>
        <w:t>The President</w:t>
      </w:r>
    </w:p>
    <w:p w14:paraId="3423DD99" w14:textId="77777777" w:rsidR="00320904" w:rsidRDefault="00320904">
      <w:pPr>
        <w:spacing w:before="0" w:after="200" w:line="276" w:lineRule="auto"/>
        <w:jc w:val="left"/>
        <w:rPr>
          <w:i/>
        </w:rPr>
      </w:pPr>
      <w:r>
        <w:br w:type="page"/>
      </w:r>
    </w:p>
    <w:p w14:paraId="14160ECE" w14:textId="30C2CACB" w:rsidR="00320904" w:rsidRDefault="00D4699D" w:rsidP="00E11226">
      <w:pPr>
        <w:pStyle w:val="Fichefinanciretitre"/>
        <w:rPr>
          <w:noProof/>
        </w:rPr>
      </w:pPr>
      <w:r>
        <w:rPr>
          <w:noProof/>
        </w:rPr>
        <w:t>LEGISLATIVE FINANCIAL STATEMENT</w:t>
      </w:r>
    </w:p>
    <w:p w14:paraId="7256885A" w14:textId="77777777" w:rsidR="00320904" w:rsidRDefault="00320904" w:rsidP="00320904">
      <w:pPr>
        <w:pStyle w:val="ManualHeading1"/>
        <w:rPr>
          <w:noProof/>
        </w:rPr>
      </w:pPr>
      <w:r>
        <w:rPr>
          <w:noProof/>
        </w:rPr>
        <w:t>1.</w:t>
      </w:r>
      <w:r>
        <w:rPr>
          <w:noProof/>
        </w:rPr>
        <w:tab/>
        <w:t xml:space="preserve">FRAMEWORK OF THE PROPOSAL/INITIATIVE </w:t>
      </w:r>
    </w:p>
    <w:p w14:paraId="7CB9E8CA" w14:textId="77777777" w:rsidR="00320904" w:rsidRDefault="00320904" w:rsidP="00320904">
      <w:pPr>
        <w:pStyle w:val="ManualHeading2"/>
        <w:rPr>
          <w:b w:val="0"/>
          <w:noProof/>
        </w:rPr>
      </w:pPr>
      <w:r>
        <w:rPr>
          <w:noProof/>
        </w:rPr>
        <w:tab/>
      </w:r>
      <w:r>
        <w:rPr>
          <w:b w:val="0"/>
          <w:noProof/>
        </w:rPr>
        <w:t>1.1.</w:t>
      </w:r>
      <w:r>
        <w:rPr>
          <w:b w:val="0"/>
          <w:noProof/>
        </w:rPr>
        <w:tab/>
        <w:t xml:space="preserve">Title of the proposal/initiative </w:t>
      </w:r>
    </w:p>
    <w:p w14:paraId="03249695" w14:textId="77777777" w:rsidR="00320904" w:rsidRDefault="00320904" w:rsidP="00320904">
      <w:pPr>
        <w:pStyle w:val="ManualHeading2"/>
        <w:rPr>
          <w:b w:val="0"/>
          <w:noProof/>
        </w:rPr>
      </w:pPr>
      <w:r>
        <w:rPr>
          <w:b w:val="0"/>
          <w:noProof/>
        </w:rPr>
        <w:tab/>
        <w:t>1.2.</w:t>
      </w:r>
      <w:r>
        <w:rPr>
          <w:b w:val="0"/>
          <w:noProof/>
        </w:rPr>
        <w:tab/>
        <w:t xml:space="preserve">Policy area(s) concerned </w:t>
      </w:r>
      <w:r>
        <w:rPr>
          <w:b w:val="0"/>
          <w:i/>
          <w:noProof/>
        </w:rPr>
        <w:t>(programme cluster)</w:t>
      </w:r>
    </w:p>
    <w:p w14:paraId="2DB175B9" w14:textId="77777777" w:rsidR="00320904" w:rsidRDefault="00320904" w:rsidP="00320904">
      <w:pPr>
        <w:pStyle w:val="ManualHeading2"/>
        <w:rPr>
          <w:b w:val="0"/>
          <w:noProof/>
        </w:rPr>
      </w:pPr>
      <w:r>
        <w:rPr>
          <w:b w:val="0"/>
          <w:noProof/>
        </w:rPr>
        <w:tab/>
        <w:t>1.3.</w:t>
      </w:r>
      <w:r>
        <w:rPr>
          <w:b w:val="0"/>
          <w:noProof/>
        </w:rPr>
        <w:tab/>
        <w:t xml:space="preserve">Nature of the proposal/initiative </w:t>
      </w:r>
    </w:p>
    <w:p w14:paraId="0BFDF867" w14:textId="77777777" w:rsidR="00320904" w:rsidRDefault="00320904" w:rsidP="00320904">
      <w:pPr>
        <w:pStyle w:val="ManualHeading2"/>
        <w:rPr>
          <w:b w:val="0"/>
          <w:noProof/>
        </w:rPr>
      </w:pPr>
      <w:r>
        <w:rPr>
          <w:b w:val="0"/>
          <w:noProof/>
        </w:rPr>
        <w:tab/>
        <w:t>1.4.</w:t>
      </w:r>
      <w:r>
        <w:rPr>
          <w:b w:val="0"/>
          <w:noProof/>
        </w:rPr>
        <w:tab/>
        <w:t xml:space="preserve">Grounds for the proposal/initiative </w:t>
      </w:r>
    </w:p>
    <w:p w14:paraId="292F48C2" w14:textId="77777777" w:rsidR="00320904" w:rsidRDefault="00320904" w:rsidP="00320904">
      <w:pPr>
        <w:pStyle w:val="ManualHeading2"/>
        <w:rPr>
          <w:b w:val="0"/>
          <w:noProof/>
        </w:rPr>
      </w:pPr>
      <w:r>
        <w:rPr>
          <w:b w:val="0"/>
          <w:noProof/>
        </w:rPr>
        <w:tab/>
        <w:t>1.5.</w:t>
      </w:r>
      <w:r>
        <w:rPr>
          <w:b w:val="0"/>
          <w:noProof/>
        </w:rPr>
        <w:tab/>
        <w:t xml:space="preserve">Duration and financial impact </w:t>
      </w:r>
    </w:p>
    <w:p w14:paraId="1606FCF1" w14:textId="77777777" w:rsidR="00320904" w:rsidRDefault="00320904" w:rsidP="00320904">
      <w:pPr>
        <w:pStyle w:val="ManualHeading2"/>
        <w:rPr>
          <w:b w:val="0"/>
          <w:noProof/>
        </w:rPr>
      </w:pPr>
      <w:r>
        <w:rPr>
          <w:b w:val="0"/>
          <w:noProof/>
        </w:rPr>
        <w:tab/>
        <w:t>1.6.</w:t>
      </w:r>
      <w:r>
        <w:rPr>
          <w:b w:val="0"/>
          <w:noProof/>
        </w:rPr>
        <w:tab/>
        <w:t xml:space="preserve">Management mode(s) planned </w:t>
      </w:r>
    </w:p>
    <w:p w14:paraId="25226173" w14:textId="77777777" w:rsidR="00320904" w:rsidRDefault="00320904" w:rsidP="00320904">
      <w:pPr>
        <w:pStyle w:val="ManualHeading1"/>
        <w:rPr>
          <w:noProof/>
        </w:rPr>
      </w:pPr>
      <w:r>
        <w:rPr>
          <w:noProof/>
        </w:rPr>
        <w:t>2.</w:t>
      </w:r>
      <w:r>
        <w:rPr>
          <w:noProof/>
        </w:rPr>
        <w:tab/>
        <w:t xml:space="preserve">MANAGEMENT MEASURES </w:t>
      </w:r>
    </w:p>
    <w:p w14:paraId="33013F96" w14:textId="77777777" w:rsidR="00320904" w:rsidRDefault="00320904" w:rsidP="00320904">
      <w:pPr>
        <w:pStyle w:val="ManualHeading2"/>
        <w:rPr>
          <w:b w:val="0"/>
          <w:noProof/>
        </w:rPr>
      </w:pPr>
      <w:r>
        <w:rPr>
          <w:b w:val="0"/>
          <w:noProof/>
        </w:rPr>
        <w:tab/>
        <w:t>2.1.</w:t>
      </w:r>
      <w:r>
        <w:rPr>
          <w:b w:val="0"/>
          <w:noProof/>
        </w:rPr>
        <w:tab/>
        <w:t xml:space="preserve">Monitoring and reporting rules </w:t>
      </w:r>
    </w:p>
    <w:p w14:paraId="51F129EB" w14:textId="77777777" w:rsidR="00320904" w:rsidRDefault="00320904" w:rsidP="00320904">
      <w:pPr>
        <w:pStyle w:val="ManualHeading2"/>
        <w:rPr>
          <w:b w:val="0"/>
          <w:noProof/>
        </w:rPr>
      </w:pPr>
      <w:r>
        <w:rPr>
          <w:b w:val="0"/>
          <w:noProof/>
        </w:rPr>
        <w:tab/>
        <w:t>2.2.</w:t>
      </w:r>
      <w:r>
        <w:rPr>
          <w:b w:val="0"/>
          <w:noProof/>
        </w:rPr>
        <w:tab/>
        <w:t xml:space="preserve">Management and control system </w:t>
      </w:r>
    </w:p>
    <w:p w14:paraId="2BE200B4" w14:textId="77777777" w:rsidR="00320904" w:rsidRDefault="00320904" w:rsidP="00320904">
      <w:pPr>
        <w:pStyle w:val="ManualHeading2"/>
        <w:rPr>
          <w:b w:val="0"/>
          <w:noProof/>
        </w:rPr>
      </w:pPr>
      <w:r>
        <w:rPr>
          <w:b w:val="0"/>
          <w:noProof/>
        </w:rPr>
        <w:tab/>
        <w:t>2.3.</w:t>
      </w:r>
      <w:r>
        <w:rPr>
          <w:b w:val="0"/>
          <w:noProof/>
        </w:rPr>
        <w:tab/>
        <w:t xml:space="preserve">Measures to prevent fraud and irregularities </w:t>
      </w:r>
    </w:p>
    <w:p w14:paraId="1841B530" w14:textId="77777777" w:rsidR="00320904" w:rsidRDefault="00320904" w:rsidP="00320904">
      <w:pPr>
        <w:pStyle w:val="ManualHeading1"/>
        <w:rPr>
          <w:noProof/>
        </w:rPr>
      </w:pPr>
      <w:r>
        <w:rPr>
          <w:noProof/>
        </w:rPr>
        <w:t>3.</w:t>
      </w:r>
      <w:r>
        <w:rPr>
          <w:noProof/>
        </w:rPr>
        <w:tab/>
        <w:t xml:space="preserve">ESTIMATED FINANCIAL IMPACT OF THE PROPOSAL/INITIATIVE </w:t>
      </w:r>
    </w:p>
    <w:p w14:paraId="2BD0A3F7" w14:textId="77777777" w:rsidR="00320904" w:rsidRDefault="00320904" w:rsidP="00320904">
      <w:pPr>
        <w:pStyle w:val="ManualHeading2"/>
        <w:rPr>
          <w:b w:val="0"/>
          <w:noProof/>
        </w:rPr>
      </w:pPr>
      <w:r>
        <w:rPr>
          <w:b w:val="0"/>
          <w:noProof/>
        </w:rPr>
        <w:tab/>
        <w:t>3.1.</w:t>
      </w:r>
      <w:r>
        <w:rPr>
          <w:b w:val="0"/>
          <w:noProof/>
        </w:rPr>
        <w:tab/>
        <w:t xml:space="preserve">Heading(s) of the multiannual financial framework and expenditure budget line(s) affected </w:t>
      </w:r>
    </w:p>
    <w:p w14:paraId="7E2F170A" w14:textId="77777777" w:rsidR="00320904" w:rsidRDefault="00320904" w:rsidP="00320904">
      <w:pPr>
        <w:pStyle w:val="ManualHeading2"/>
        <w:rPr>
          <w:noProof/>
        </w:rPr>
      </w:pPr>
      <w:r>
        <w:rPr>
          <w:b w:val="0"/>
          <w:noProof/>
        </w:rPr>
        <w:tab/>
        <w:t>3.2.</w:t>
      </w:r>
      <w:r>
        <w:rPr>
          <w:b w:val="0"/>
          <w:noProof/>
        </w:rPr>
        <w:tab/>
        <w:t>Estimated impact on expenditure</w:t>
      </w:r>
      <w:r>
        <w:rPr>
          <w:noProof/>
        </w:rPr>
        <w:t xml:space="preserve"> </w:t>
      </w:r>
    </w:p>
    <w:p w14:paraId="6F93D271" w14:textId="77777777" w:rsidR="00320904" w:rsidRDefault="00320904" w:rsidP="00320904">
      <w:pPr>
        <w:pStyle w:val="ManualHeading3"/>
        <w:rPr>
          <w:noProof/>
        </w:rPr>
      </w:pPr>
      <w:r>
        <w:rPr>
          <w:noProof/>
        </w:rPr>
        <w:tab/>
        <w:t>3.2.1.</w:t>
      </w:r>
      <w:r>
        <w:rPr>
          <w:noProof/>
        </w:rPr>
        <w:tab/>
        <w:t xml:space="preserve">Summary of estimated impact on expenditure </w:t>
      </w:r>
    </w:p>
    <w:p w14:paraId="14FD23FA" w14:textId="77777777" w:rsidR="00320904" w:rsidRDefault="00320904" w:rsidP="00320904">
      <w:pPr>
        <w:pStyle w:val="ManualHeading3"/>
        <w:rPr>
          <w:noProof/>
        </w:rPr>
      </w:pPr>
      <w:r>
        <w:rPr>
          <w:noProof/>
        </w:rPr>
        <w:tab/>
        <w:t>3.2.2.</w:t>
      </w:r>
      <w:r>
        <w:rPr>
          <w:noProof/>
        </w:rPr>
        <w:tab/>
        <w:t>Estimated impact on appropriations of an administrative nature</w:t>
      </w:r>
    </w:p>
    <w:p w14:paraId="4E59E917" w14:textId="77777777" w:rsidR="00320904" w:rsidRDefault="00320904" w:rsidP="00320904">
      <w:pPr>
        <w:pStyle w:val="ManualHeading3"/>
        <w:rPr>
          <w:noProof/>
        </w:rPr>
      </w:pPr>
      <w:r>
        <w:rPr>
          <w:noProof/>
        </w:rPr>
        <w:tab/>
        <w:t>3.2.3.</w:t>
      </w:r>
      <w:r>
        <w:rPr>
          <w:noProof/>
        </w:rPr>
        <w:tab/>
        <w:t xml:space="preserve">Third-party contributions </w:t>
      </w:r>
    </w:p>
    <w:p w14:paraId="6A4FE4D4" w14:textId="77777777" w:rsidR="00320904" w:rsidRDefault="00320904" w:rsidP="00320904">
      <w:pPr>
        <w:pStyle w:val="ManualHeading2"/>
        <w:jc w:val="left"/>
        <w:rPr>
          <w:b w:val="0"/>
          <w:noProof/>
        </w:rPr>
      </w:pPr>
      <w:r>
        <w:rPr>
          <w:b w:val="0"/>
          <w:noProof/>
        </w:rPr>
        <w:tab/>
        <w:t>3.3.</w:t>
      </w:r>
      <w:r>
        <w:rPr>
          <w:b w:val="0"/>
          <w:noProof/>
        </w:rPr>
        <w:tab/>
        <w:t>Estimated impact on revenue</w:t>
      </w:r>
    </w:p>
    <w:p w14:paraId="160A922D" w14:textId="77777777" w:rsidR="00320904" w:rsidRDefault="00320904" w:rsidP="00320904">
      <w:pPr>
        <w:spacing w:before="0" w:after="0"/>
        <w:jc w:val="left"/>
        <w:rPr>
          <w:noProof/>
        </w:rPr>
        <w:sectPr w:rsidR="00320904" w:rsidSect="00AA0B5E">
          <w:headerReference w:type="default" r:id="rId17"/>
          <w:footerReference w:type="default" r:id="rId18"/>
          <w:headerReference w:type="first" r:id="rId19"/>
          <w:footerReference w:type="first" r:id="rId20"/>
          <w:pgSz w:w="11907" w:h="16840"/>
          <w:pgMar w:top="709" w:right="992" w:bottom="851" w:left="993" w:header="709" w:footer="709" w:gutter="0"/>
          <w:pgNumType w:start="1"/>
          <w:cols w:space="720"/>
          <w:docGrid w:linePitch="326"/>
        </w:sectPr>
      </w:pPr>
    </w:p>
    <w:p w14:paraId="6232501E" w14:textId="77777777" w:rsidR="00320904" w:rsidRDefault="00320904" w:rsidP="007D23CF">
      <w:pPr>
        <w:pStyle w:val="Heading1"/>
        <w:numPr>
          <w:ilvl w:val="0"/>
          <w:numId w:val="13"/>
        </w:numPr>
        <w:rPr>
          <w:noProof/>
        </w:rPr>
      </w:pPr>
      <w:r>
        <w:rPr>
          <w:noProof/>
        </w:rPr>
        <w:t xml:space="preserve">FRAMEWORK OF THE PROPOSAL/INITIATIVE </w:t>
      </w:r>
    </w:p>
    <w:p w14:paraId="3F3886A2" w14:textId="77777777" w:rsidR="00320904" w:rsidRDefault="00320904" w:rsidP="00A42355">
      <w:pPr>
        <w:pStyle w:val="Heading2"/>
        <w:numPr>
          <w:ilvl w:val="1"/>
          <w:numId w:val="16"/>
        </w:numPr>
        <w:rPr>
          <w:noProof/>
        </w:rPr>
      </w:pPr>
      <w:r>
        <w:rPr>
          <w:noProof/>
        </w:rPr>
        <w:t xml:space="preserve">Title of the proposal/initiative </w:t>
      </w:r>
    </w:p>
    <w:p w14:paraId="5E367949" w14:textId="77777777" w:rsidR="00E11226" w:rsidRPr="00DA1FAB" w:rsidRDefault="00E11226" w:rsidP="00E11226">
      <w:pPr>
        <w:pStyle w:val="Text1"/>
        <w:pBdr>
          <w:top w:val="single" w:sz="4" w:space="1" w:color="auto"/>
          <w:left w:val="single" w:sz="4" w:space="4" w:color="auto"/>
          <w:bottom w:val="single" w:sz="4" w:space="1" w:color="auto"/>
          <w:right w:val="single" w:sz="4" w:space="4" w:color="auto"/>
        </w:pBdr>
      </w:pPr>
      <w:r w:rsidRPr="00DA1FAB">
        <w:t xml:space="preserve">A) Proposal for a Regulation of the European Parliament and of the Council laying down transitional provisions for the support by the European Agricultural Fund for Rural Development (EAFRD) and by the European Agricultural Guarantee Fund (EAGF) in the year 2021 and amending Regulations (EU) No 228/2013 (EU), (EU) No 229/2013 (EU) and No 1308/2013 as regards resources and their distribution in the year 2021 and amending No 1305/2013, (EU) No 1306/2013 and (EU) No 1307/2013 as regards their resources and applicability in the year 2021 </w:t>
      </w:r>
    </w:p>
    <w:p w14:paraId="77D2F031" w14:textId="6AD7D6BC" w:rsidR="00320904" w:rsidRDefault="00E11226" w:rsidP="00E11226">
      <w:pPr>
        <w:pStyle w:val="Text1"/>
        <w:pBdr>
          <w:top w:val="single" w:sz="4" w:space="1" w:color="auto"/>
          <w:left w:val="single" w:sz="4" w:space="4" w:color="auto"/>
          <w:bottom w:val="single" w:sz="4" w:space="1" w:color="auto"/>
          <w:right w:val="single" w:sz="4" w:space="4" w:color="auto"/>
        </w:pBdr>
        <w:rPr>
          <w:noProof/>
        </w:rPr>
      </w:pPr>
      <w:r w:rsidRPr="00DA1FAB">
        <w:t>B) Proposal for a Regulation of the European Parliament and of the Council amending Regulation (EU) No 1306/2013 as regards financial discipline as from financial year 2021 and Regulation (EU) No 1307/2013 as regards flexibility between pillars in respect of the year 2020</w:t>
      </w:r>
    </w:p>
    <w:p w14:paraId="7255883A" w14:textId="77777777" w:rsidR="00320904" w:rsidRDefault="00320904" w:rsidP="00A42355">
      <w:pPr>
        <w:pStyle w:val="Heading2"/>
        <w:numPr>
          <w:ilvl w:val="1"/>
          <w:numId w:val="16"/>
        </w:numPr>
        <w:rPr>
          <w:noProof/>
          <w:szCs w:val="24"/>
        </w:rPr>
      </w:pPr>
      <w:r>
        <w:rPr>
          <w:noProof/>
        </w:rPr>
        <w:t>Policy area(s) concerned</w:t>
      </w:r>
      <w:r>
        <w:rPr>
          <w:i/>
          <w:noProof/>
        </w:rPr>
        <w:t xml:space="preserve"> (Programme cluster)</w:t>
      </w:r>
    </w:p>
    <w:p w14:paraId="5657FFCC" w14:textId="77777777" w:rsidR="00320904" w:rsidRPr="00320904" w:rsidRDefault="00320904" w:rsidP="00320904">
      <w:pPr>
        <w:pStyle w:val="Text1"/>
        <w:pBdr>
          <w:top w:val="single" w:sz="4" w:space="1" w:color="auto"/>
          <w:left w:val="single" w:sz="4" w:space="4" w:color="auto"/>
          <w:bottom w:val="single" w:sz="4" w:space="1" w:color="auto"/>
          <w:right w:val="single" w:sz="4" w:space="4" w:color="auto"/>
        </w:pBdr>
        <w:rPr>
          <w:noProof/>
        </w:rPr>
      </w:pPr>
      <w:r w:rsidRPr="00DA1FAB">
        <w:t>Programme cluster 8 - Agriculture &amp; Maritime Policy under Heading 3 of the Multiannual Financial Framework (MFF) 2021-2027 – Natural Resources and Environment</w:t>
      </w:r>
    </w:p>
    <w:p w14:paraId="08FD1027" w14:textId="77777777" w:rsidR="00320904" w:rsidRDefault="00320904" w:rsidP="00A42355">
      <w:pPr>
        <w:pStyle w:val="Heading2"/>
        <w:numPr>
          <w:ilvl w:val="1"/>
          <w:numId w:val="16"/>
        </w:numPr>
        <w:rPr>
          <w:bCs w:val="0"/>
          <w:noProof/>
          <w:szCs w:val="24"/>
        </w:rPr>
      </w:pPr>
      <w:r>
        <w:rPr>
          <w:noProof/>
        </w:rPr>
        <w:t xml:space="preserve">The proposal/initiative relates to: </w:t>
      </w:r>
    </w:p>
    <w:p w14:paraId="6F614FE1" w14:textId="77777777" w:rsidR="00320904" w:rsidRDefault="00320904" w:rsidP="00320904">
      <w:pPr>
        <w:pStyle w:val="Text1"/>
        <w:rPr>
          <w:b/>
          <w:noProof/>
          <w:sz w:val="22"/>
        </w:rPr>
      </w:pPr>
      <w:r>
        <w:rPr>
          <w:noProof/>
          <w:sz w:val="22"/>
        </w:rPr>
        <w:sym w:font="Wingdings" w:char="F0A8"/>
      </w:r>
      <w:r>
        <w:rPr>
          <w:b/>
          <w:i/>
          <w:noProof/>
          <w:sz w:val="22"/>
        </w:rPr>
        <w:t xml:space="preserve"> </w:t>
      </w:r>
      <w:r>
        <w:rPr>
          <w:b/>
          <w:noProof/>
        </w:rPr>
        <w:t>a new action</w:t>
      </w:r>
      <w:r>
        <w:rPr>
          <w:b/>
          <w:noProof/>
          <w:sz w:val="22"/>
        </w:rPr>
        <w:t xml:space="preserve"> </w:t>
      </w:r>
    </w:p>
    <w:p w14:paraId="03424EEC" w14:textId="77777777" w:rsidR="00320904" w:rsidRDefault="00320904" w:rsidP="00320904">
      <w:pPr>
        <w:pStyle w:val="Text1"/>
        <w:rPr>
          <w:noProof/>
          <w:sz w:val="22"/>
        </w:rPr>
      </w:pPr>
      <w:r>
        <w:rPr>
          <w:noProof/>
          <w:sz w:val="22"/>
        </w:rPr>
        <w:sym w:font="Wingdings" w:char="F0A8"/>
      </w:r>
      <w:r>
        <w:rPr>
          <w:i/>
          <w:noProof/>
          <w:sz w:val="22"/>
        </w:rPr>
        <w:t xml:space="preserve"> </w:t>
      </w:r>
      <w:r>
        <w:rPr>
          <w:b/>
          <w:noProof/>
        </w:rPr>
        <w:t>a new action following a pilot project/preparatory action</w:t>
      </w:r>
      <w:r>
        <w:rPr>
          <w:rStyle w:val="FootnoteReference"/>
          <w:b/>
          <w:noProof/>
        </w:rPr>
        <w:footnoteReference w:id="8"/>
      </w:r>
      <w:r>
        <w:rPr>
          <w:noProof/>
          <w:sz w:val="22"/>
        </w:rPr>
        <w:t xml:space="preserve"> </w:t>
      </w:r>
    </w:p>
    <w:p w14:paraId="21DA61AB" w14:textId="77777777" w:rsidR="00320904" w:rsidRDefault="00320904" w:rsidP="00320904">
      <w:pPr>
        <w:pStyle w:val="Text1"/>
        <w:rPr>
          <w:noProof/>
          <w:sz w:val="22"/>
        </w:rPr>
      </w:pPr>
      <w:r>
        <w:rPr>
          <w:noProof/>
          <w:sz w:val="22"/>
        </w:rPr>
        <w:sym w:font="Wingdings" w:char="F078"/>
      </w:r>
      <w:r>
        <w:rPr>
          <w:i/>
          <w:noProof/>
          <w:sz w:val="22"/>
        </w:rPr>
        <w:t xml:space="preserve"> </w:t>
      </w:r>
      <w:r>
        <w:rPr>
          <w:b/>
          <w:noProof/>
        </w:rPr>
        <w:t>the extension of an existing action</w:t>
      </w:r>
      <w:r>
        <w:rPr>
          <w:noProof/>
          <w:sz w:val="22"/>
        </w:rPr>
        <w:t xml:space="preserve"> </w:t>
      </w:r>
    </w:p>
    <w:p w14:paraId="51E19DDC" w14:textId="77777777" w:rsidR="00320904" w:rsidRDefault="00320904" w:rsidP="00320904">
      <w:pPr>
        <w:pStyle w:val="Text1"/>
        <w:rPr>
          <w:noProof/>
        </w:rPr>
      </w:pPr>
      <w:r>
        <w:rPr>
          <w:noProof/>
          <w:sz w:val="22"/>
        </w:rPr>
        <w:sym w:font="Wingdings" w:char="F0A8"/>
      </w:r>
      <w:r>
        <w:rPr>
          <w:i/>
          <w:noProof/>
          <w:sz w:val="22"/>
        </w:rPr>
        <w:t xml:space="preserve"> </w:t>
      </w:r>
      <w:r>
        <w:rPr>
          <w:b/>
          <w:noProof/>
        </w:rPr>
        <w:t>a merger or redirection of one or more actions towards another/a new action</w:t>
      </w:r>
      <w:r>
        <w:rPr>
          <w:noProof/>
        </w:rPr>
        <w:t xml:space="preserve"> </w:t>
      </w:r>
    </w:p>
    <w:p w14:paraId="5771EF5D" w14:textId="77777777" w:rsidR="00320904" w:rsidRDefault="00320904" w:rsidP="00A42355">
      <w:pPr>
        <w:pStyle w:val="Heading2"/>
        <w:numPr>
          <w:ilvl w:val="1"/>
          <w:numId w:val="16"/>
        </w:numPr>
        <w:rPr>
          <w:bCs w:val="0"/>
          <w:noProof/>
          <w:szCs w:val="24"/>
        </w:rPr>
      </w:pPr>
      <w:r>
        <w:rPr>
          <w:noProof/>
        </w:rPr>
        <w:t xml:space="preserve">Grounds for the proposal/initiative </w:t>
      </w:r>
    </w:p>
    <w:p w14:paraId="48F8B8F2" w14:textId="77777777" w:rsidR="00320904" w:rsidRDefault="00320904" w:rsidP="00A42355">
      <w:pPr>
        <w:pStyle w:val="Heading3"/>
        <w:numPr>
          <w:ilvl w:val="2"/>
          <w:numId w:val="16"/>
        </w:numPr>
        <w:rPr>
          <w:noProof/>
        </w:rPr>
      </w:pPr>
      <w:r>
        <w:rPr>
          <w:noProof/>
        </w:rPr>
        <w:t>Requirement(s) to be met in the short or long term including a detailed timeline for roll-out of the implementation of the initiative</w:t>
      </w:r>
    </w:p>
    <w:p w14:paraId="08DC06EA" w14:textId="77777777" w:rsidR="00320904" w:rsidRPr="00320904" w:rsidRDefault="00320904" w:rsidP="00320904">
      <w:pPr>
        <w:pStyle w:val="Text1"/>
        <w:pBdr>
          <w:top w:val="single" w:sz="4" w:space="1" w:color="auto"/>
          <w:left w:val="single" w:sz="4" w:space="4" w:color="auto"/>
          <w:bottom w:val="single" w:sz="4" w:space="1" w:color="auto"/>
          <w:right w:val="single" w:sz="4" w:space="4" w:color="auto"/>
        </w:pBdr>
        <w:rPr>
          <w:noProof/>
        </w:rPr>
      </w:pPr>
      <w:r w:rsidRPr="00DA1FAB">
        <w:t>The present proposal aims at ensuring continuity of certain elements of the Common Agricultural Policy (CAP) for a one-year transitional period from the 2014-2020 period until the application of the rules for  the CAP strategic plans further to the Commission proposal (COM(2018) 392 final). Further explanations are part of the explanatory memorandum to the present proposals and in point 1.4.1 of the legislative financial statement that accompanied the Commission proposal for the period post 2020 COM(2018) 392 final).</w:t>
      </w:r>
    </w:p>
    <w:p w14:paraId="7C02012B" w14:textId="77777777" w:rsidR="00320904" w:rsidRDefault="00320904" w:rsidP="00A42355">
      <w:pPr>
        <w:pStyle w:val="Heading3"/>
        <w:numPr>
          <w:ilvl w:val="2"/>
          <w:numId w:val="16"/>
        </w:numPr>
        <w:rPr>
          <w:bCs w:val="0"/>
          <w:noProof/>
          <w:szCs w:val="24"/>
        </w:rPr>
      </w:pPr>
      <w: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p>
    <w:p w14:paraId="73F3B75E" w14:textId="77777777" w:rsidR="00320904" w:rsidRPr="00320904" w:rsidRDefault="00320904" w:rsidP="00320904">
      <w:pPr>
        <w:pStyle w:val="Text1"/>
        <w:pBdr>
          <w:top w:val="single" w:sz="4" w:space="1" w:color="auto"/>
          <w:left w:val="single" w:sz="4" w:space="4" w:color="auto"/>
          <w:bottom w:val="single" w:sz="4" w:space="1" w:color="auto"/>
          <w:right w:val="single" w:sz="4" w:space="4" w:color="auto"/>
        </w:pBdr>
        <w:rPr>
          <w:noProof/>
        </w:rPr>
      </w:pPr>
      <w:r w:rsidRPr="00DA1FAB">
        <w:t>See point 1.4.1 of the legislative financial statement to COM(2018) 392 final.</w:t>
      </w:r>
    </w:p>
    <w:p w14:paraId="67CE8EF3" w14:textId="77777777" w:rsidR="00320904" w:rsidRDefault="00320904" w:rsidP="00A42355">
      <w:pPr>
        <w:pStyle w:val="Heading3"/>
        <w:numPr>
          <w:ilvl w:val="2"/>
          <w:numId w:val="16"/>
        </w:numPr>
        <w:rPr>
          <w:bCs w:val="0"/>
          <w:noProof/>
          <w:szCs w:val="24"/>
        </w:rPr>
      </w:pPr>
      <w:r>
        <w:rPr>
          <w:noProof/>
        </w:rPr>
        <w:t>Lessons learned from similar experiences in the past</w:t>
      </w:r>
    </w:p>
    <w:p w14:paraId="7A4EFF94" w14:textId="77777777" w:rsidR="00320904" w:rsidRPr="00320904" w:rsidRDefault="00320904" w:rsidP="00320904">
      <w:pPr>
        <w:pStyle w:val="Text1"/>
        <w:pBdr>
          <w:top w:val="single" w:sz="4" w:space="1" w:color="auto"/>
          <w:left w:val="single" w:sz="4" w:space="4" w:color="auto"/>
          <w:bottom w:val="single" w:sz="4" w:space="1" w:color="auto"/>
          <w:right w:val="single" w:sz="4" w:space="4" w:color="auto"/>
        </w:pBdr>
      </w:pPr>
      <w:r w:rsidRPr="00DA1FAB">
        <w:t>N/A</w:t>
      </w:r>
    </w:p>
    <w:p w14:paraId="43AFC1E8" w14:textId="77777777" w:rsidR="00320904" w:rsidRDefault="00320904" w:rsidP="00A42355">
      <w:pPr>
        <w:pStyle w:val="Heading3"/>
        <w:numPr>
          <w:ilvl w:val="2"/>
          <w:numId w:val="16"/>
        </w:numPr>
        <w:rPr>
          <w:bCs w:val="0"/>
          <w:noProof/>
          <w:szCs w:val="24"/>
        </w:rPr>
      </w:pPr>
      <w:r>
        <w:rPr>
          <w:noProof/>
        </w:rPr>
        <w:t>Compatibility and possible synergy with other appropriate instruments</w:t>
      </w:r>
    </w:p>
    <w:p w14:paraId="48AEC5E9" w14:textId="77777777" w:rsidR="00320904" w:rsidRPr="00320904" w:rsidRDefault="00320904" w:rsidP="00320904">
      <w:pPr>
        <w:pStyle w:val="Text1"/>
        <w:pBdr>
          <w:top w:val="single" w:sz="4" w:space="1" w:color="auto"/>
          <w:left w:val="single" w:sz="4" w:space="4" w:color="auto"/>
          <w:bottom w:val="single" w:sz="4" w:space="1" w:color="auto"/>
          <w:right w:val="single" w:sz="4" w:space="4" w:color="auto"/>
        </w:pBdr>
      </w:pPr>
      <w:r w:rsidRPr="00DA1FAB">
        <w:t>N/A</w:t>
      </w:r>
    </w:p>
    <w:p w14:paraId="73EB534F" w14:textId="77777777" w:rsidR="00320904" w:rsidRDefault="00320904" w:rsidP="00A42355">
      <w:pPr>
        <w:pStyle w:val="Heading2"/>
        <w:numPr>
          <w:ilvl w:val="1"/>
          <w:numId w:val="16"/>
        </w:numPr>
        <w:rPr>
          <w:bCs w:val="0"/>
          <w:noProof/>
          <w:szCs w:val="24"/>
        </w:rPr>
      </w:pPr>
      <w:r>
        <w:rPr>
          <w:noProof/>
        </w:rPr>
        <w:t xml:space="preserve">Duration and financial impact </w:t>
      </w:r>
    </w:p>
    <w:p w14:paraId="25E7EB79" w14:textId="77777777" w:rsidR="00320904" w:rsidRDefault="00320904" w:rsidP="00320904">
      <w:pPr>
        <w:pStyle w:val="Text1"/>
        <w:rPr>
          <w:noProof/>
        </w:rPr>
      </w:pPr>
      <w:r>
        <w:rPr>
          <w:noProof/>
        </w:rPr>
        <w:sym w:font="Wingdings" w:char="F078"/>
      </w:r>
      <w:r>
        <w:rPr>
          <w:b/>
          <w:i/>
          <w:noProof/>
        </w:rPr>
        <w:t xml:space="preserve"> </w:t>
      </w:r>
      <w:r>
        <w:rPr>
          <w:b/>
          <w:noProof/>
        </w:rPr>
        <w:t xml:space="preserve">limited duration </w:t>
      </w:r>
    </w:p>
    <w:p w14:paraId="4D41387A" w14:textId="77777777" w:rsidR="00320904" w:rsidRDefault="00320904" w:rsidP="00320904">
      <w:pPr>
        <w:pStyle w:val="ListDash2"/>
        <w:rPr>
          <w:noProof/>
        </w:rPr>
      </w:pPr>
      <w:r>
        <w:rPr>
          <w:noProof/>
        </w:rPr>
        <w:sym w:font="Wingdings" w:char="F078"/>
      </w:r>
      <w:r>
        <w:rPr>
          <w:noProof/>
        </w:rPr>
        <w:tab/>
        <w:t xml:space="preserve">in effect from 01/01/2021 to 31/12/2021 </w:t>
      </w:r>
    </w:p>
    <w:p w14:paraId="5A209103" w14:textId="77777777" w:rsidR="00320904" w:rsidRDefault="00320904" w:rsidP="00320904">
      <w:pPr>
        <w:pStyle w:val="ListDash2"/>
        <w:rPr>
          <w:noProof/>
        </w:rPr>
      </w:pPr>
      <w:r>
        <w:rPr>
          <w:noProof/>
        </w:rPr>
        <w:sym w:font="Wingdings" w:char="F078"/>
      </w:r>
      <w:r>
        <w:rPr>
          <w:noProof/>
        </w:rPr>
        <w:tab/>
        <w:t xml:space="preserve">Financial impact in 2021 for commitment appropriations (2022 for direct payments) and for 2021 and beyond for payment appropriations. </w:t>
      </w:r>
    </w:p>
    <w:p w14:paraId="2E680120" w14:textId="77777777" w:rsidR="00320904" w:rsidRDefault="00320904" w:rsidP="00320904">
      <w:pPr>
        <w:pStyle w:val="Text1"/>
        <w:rPr>
          <w:noProof/>
        </w:rPr>
      </w:pPr>
      <w:r>
        <w:rPr>
          <w:noProof/>
        </w:rPr>
        <w:sym w:font="Wingdings" w:char="F0A8"/>
      </w:r>
      <w:r>
        <w:rPr>
          <w:b/>
          <w:i/>
          <w:noProof/>
        </w:rPr>
        <w:t xml:space="preserve"> </w:t>
      </w:r>
      <w:r>
        <w:rPr>
          <w:b/>
          <w:noProof/>
        </w:rPr>
        <w:t>unlimited duration</w:t>
      </w:r>
    </w:p>
    <w:p w14:paraId="01F63440" w14:textId="5BE91302" w:rsidR="00320904" w:rsidRDefault="008742F8" w:rsidP="008742F8">
      <w:pPr>
        <w:pStyle w:val="Point1"/>
        <w:ind w:left="1134"/>
        <w:rPr>
          <w:noProof/>
        </w:rPr>
      </w:pPr>
      <w:r>
        <w:rPr>
          <w:noProof/>
        </w:rPr>
        <w:tab/>
      </w:r>
      <w:r w:rsidR="00320904">
        <w:rPr>
          <w:noProof/>
        </w:rPr>
        <w:t>Implementation with a start-up period from YYYY to YYYY,</w:t>
      </w:r>
      <w:r>
        <w:rPr>
          <w:noProof/>
        </w:rPr>
        <w:t xml:space="preserve"> </w:t>
      </w:r>
      <w:r w:rsidR="00320904">
        <w:rPr>
          <w:noProof/>
        </w:rPr>
        <w:t>followed by full-scale operation.</w:t>
      </w:r>
    </w:p>
    <w:p w14:paraId="5D3F20B6" w14:textId="77777777" w:rsidR="00320904" w:rsidRDefault="00320904" w:rsidP="00A42355">
      <w:pPr>
        <w:pStyle w:val="Heading2"/>
        <w:numPr>
          <w:ilvl w:val="1"/>
          <w:numId w:val="16"/>
        </w:numPr>
        <w:rPr>
          <w:bCs w:val="0"/>
          <w:noProof/>
          <w:szCs w:val="24"/>
        </w:rPr>
      </w:pPr>
      <w:r>
        <w:rPr>
          <w:noProof/>
        </w:rPr>
        <w:t>Management mode(s) planned</w:t>
      </w:r>
      <w:r>
        <w:rPr>
          <w:rStyle w:val="FootnoteReference"/>
          <w:bCs w:val="0"/>
          <w:noProof/>
        </w:rPr>
        <w:footnoteReference w:id="9"/>
      </w:r>
      <w:r>
        <w:rPr>
          <w:rStyle w:val="FootnoteReference"/>
          <w:noProof/>
        </w:rPr>
        <w:t xml:space="preserve"> </w:t>
      </w:r>
    </w:p>
    <w:p w14:paraId="59D6DF6D" w14:textId="77777777" w:rsidR="00320904" w:rsidRDefault="00320904" w:rsidP="00320904">
      <w:pPr>
        <w:pStyle w:val="Text1"/>
        <w:rPr>
          <w:i/>
          <w:noProof/>
        </w:rPr>
      </w:pPr>
      <w:r>
        <w:rPr>
          <w:noProof/>
        </w:rPr>
        <w:sym w:font="Wingdings" w:char="F0A8"/>
      </w:r>
      <w:r>
        <w:rPr>
          <w:i/>
          <w:noProof/>
        </w:rPr>
        <w:t xml:space="preserve"> </w:t>
      </w:r>
      <w:r>
        <w:rPr>
          <w:b/>
          <w:noProof/>
        </w:rPr>
        <w:t>Direct management</w:t>
      </w:r>
      <w:r>
        <w:rPr>
          <w:noProof/>
        </w:rPr>
        <w:t xml:space="preserve"> by the Commission</w:t>
      </w:r>
    </w:p>
    <w:p w14:paraId="23464C5D" w14:textId="77777777" w:rsidR="00320904" w:rsidRDefault="00320904" w:rsidP="00320904">
      <w:pPr>
        <w:pStyle w:val="ListDash2"/>
        <w:rPr>
          <w:rFonts w:cs="EUAlbertina"/>
          <w:noProof/>
        </w:rPr>
      </w:pPr>
      <w:r>
        <w:rPr>
          <w:noProof/>
        </w:rPr>
        <w:sym w:font="Wingdings" w:char="F0A8"/>
      </w:r>
      <w:r>
        <w:rPr>
          <w:noProof/>
        </w:rPr>
        <w:t xml:space="preserve"> by its departments, including by its staff in the Union delegations; </w:t>
      </w:r>
    </w:p>
    <w:p w14:paraId="5AEC579C" w14:textId="77777777" w:rsidR="00320904" w:rsidRDefault="00320904" w:rsidP="00320904">
      <w:pPr>
        <w:pStyle w:val="ListDash2"/>
        <w:rPr>
          <w:noProof/>
        </w:rPr>
      </w:pPr>
      <w:r>
        <w:rPr>
          <w:noProof/>
        </w:rPr>
        <w:sym w:font="Wingdings" w:char="F0A8"/>
      </w:r>
      <w:r>
        <w:rPr>
          <w:noProof/>
        </w:rPr>
        <w:tab/>
        <w:t xml:space="preserve">by the executive agencies </w:t>
      </w:r>
    </w:p>
    <w:p w14:paraId="37E9F4FB" w14:textId="77777777" w:rsidR="00320904" w:rsidRDefault="00320904" w:rsidP="00320904">
      <w:pPr>
        <w:pStyle w:val="Text1"/>
        <w:rPr>
          <w:noProof/>
        </w:rPr>
      </w:pPr>
      <w:r>
        <w:rPr>
          <w:noProof/>
        </w:rPr>
        <w:sym w:font="Wingdings" w:char="F078"/>
      </w:r>
      <w:r>
        <w:rPr>
          <w:b/>
          <w:i/>
          <w:noProof/>
        </w:rPr>
        <w:t xml:space="preserve"> </w:t>
      </w:r>
      <w:r>
        <w:rPr>
          <w:b/>
          <w:noProof/>
        </w:rPr>
        <w:t>Shared management</w:t>
      </w:r>
      <w:r>
        <w:rPr>
          <w:noProof/>
        </w:rPr>
        <w:t xml:space="preserve"> with the Member States </w:t>
      </w:r>
    </w:p>
    <w:p w14:paraId="25681DF2" w14:textId="77777777" w:rsidR="00320904" w:rsidRDefault="00320904" w:rsidP="00320904">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14:paraId="2651A1CF" w14:textId="77777777" w:rsidR="00320904" w:rsidRDefault="00320904" w:rsidP="00320904">
      <w:pPr>
        <w:pStyle w:val="ListDash2"/>
        <w:rPr>
          <w:noProof/>
        </w:rPr>
      </w:pPr>
      <w:r>
        <w:rPr>
          <w:noProof/>
        </w:rPr>
        <w:sym w:font="Wingdings" w:char="F0A8"/>
      </w:r>
      <w:r>
        <w:rPr>
          <w:noProof/>
        </w:rPr>
        <w:t xml:space="preserve"> third countries or the bodies they have designated;</w:t>
      </w:r>
    </w:p>
    <w:p w14:paraId="24B95453" w14:textId="77777777" w:rsidR="00320904" w:rsidRDefault="00320904" w:rsidP="00320904">
      <w:pPr>
        <w:pStyle w:val="ListDash2"/>
        <w:rPr>
          <w:noProof/>
        </w:rPr>
      </w:pPr>
      <w:r>
        <w:rPr>
          <w:noProof/>
        </w:rPr>
        <w:sym w:font="Wingdings" w:char="F0A8"/>
      </w:r>
      <w:r>
        <w:rPr>
          <w:noProof/>
        </w:rPr>
        <w:t xml:space="preserve"> international organisations and their agencies (to be specified);</w:t>
      </w:r>
    </w:p>
    <w:p w14:paraId="74E4AA9F" w14:textId="77777777" w:rsidR="00320904" w:rsidRDefault="00320904" w:rsidP="00320904">
      <w:pPr>
        <w:pStyle w:val="ListDash2"/>
        <w:rPr>
          <w:noProof/>
        </w:rPr>
      </w:pPr>
      <w:r>
        <w:rPr>
          <w:noProof/>
        </w:rPr>
        <w:sym w:font="Wingdings" w:char="F0A8"/>
      </w:r>
      <w:r>
        <w:rPr>
          <w:noProof/>
        </w:rPr>
        <w:t>the EIB and the European Investment Fund;</w:t>
      </w:r>
    </w:p>
    <w:p w14:paraId="037297FE" w14:textId="77777777" w:rsidR="00320904" w:rsidRDefault="00320904" w:rsidP="00320904">
      <w:pPr>
        <w:pStyle w:val="ListDash2"/>
        <w:rPr>
          <w:noProof/>
        </w:rPr>
      </w:pPr>
      <w:r>
        <w:rPr>
          <w:noProof/>
        </w:rPr>
        <w:sym w:font="Wingdings" w:char="F0A8"/>
      </w:r>
      <w:r>
        <w:rPr>
          <w:noProof/>
        </w:rPr>
        <w:t xml:space="preserve"> bodies referred to in Articles 70 and 71 of the Financial Regulation;</w:t>
      </w:r>
    </w:p>
    <w:p w14:paraId="5E3D930F" w14:textId="77777777" w:rsidR="00320904" w:rsidRDefault="00320904" w:rsidP="00320904">
      <w:pPr>
        <w:pStyle w:val="ListDash2"/>
        <w:rPr>
          <w:noProof/>
        </w:rPr>
      </w:pPr>
      <w:r>
        <w:rPr>
          <w:noProof/>
        </w:rPr>
        <w:sym w:font="Wingdings" w:char="F0A8"/>
      </w:r>
      <w:r>
        <w:rPr>
          <w:noProof/>
        </w:rPr>
        <w:t xml:space="preserve"> public law bodies;</w:t>
      </w:r>
    </w:p>
    <w:p w14:paraId="7B3F9198" w14:textId="77777777" w:rsidR="00320904" w:rsidRDefault="00320904" w:rsidP="00320904">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14:paraId="50C16AAE" w14:textId="77777777" w:rsidR="00320904" w:rsidRDefault="00320904" w:rsidP="00320904">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14:paraId="272675CC" w14:textId="77777777" w:rsidR="00320904" w:rsidRDefault="00320904" w:rsidP="00320904">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14:paraId="0981CBC2" w14:textId="77777777" w:rsidR="00320904" w:rsidRDefault="00320904" w:rsidP="00320904">
      <w:pPr>
        <w:pStyle w:val="ListDash2"/>
        <w:rPr>
          <w:i/>
          <w:noProof/>
          <w:sz w:val="18"/>
          <w:u w:val="single"/>
        </w:rPr>
      </w:pPr>
      <w:r>
        <w:rPr>
          <w:i/>
          <w:noProof/>
          <w:sz w:val="18"/>
        </w:rPr>
        <w:t>If more than one management mode is indicated, please provide details in the ‘Comments’ section.</w:t>
      </w:r>
    </w:p>
    <w:p w14:paraId="5372913D" w14:textId="77777777" w:rsidR="00320904" w:rsidRDefault="00320904" w:rsidP="00320904">
      <w:pPr>
        <w:rPr>
          <w:noProof/>
        </w:rPr>
      </w:pPr>
      <w:r>
        <w:rPr>
          <w:noProof/>
        </w:rPr>
        <w:t xml:space="preserve">Comments </w:t>
      </w:r>
    </w:p>
    <w:p w14:paraId="6D3AC11A" w14:textId="77777777" w:rsidR="00320904" w:rsidRDefault="00320904" w:rsidP="00320904">
      <w:pPr>
        <w:pBdr>
          <w:top w:val="single" w:sz="4" w:space="1" w:color="auto"/>
          <w:left w:val="single" w:sz="4" w:space="4" w:color="auto"/>
          <w:bottom w:val="single" w:sz="4" w:space="1" w:color="auto"/>
          <w:right w:val="single" w:sz="4" w:space="4" w:color="auto"/>
        </w:pBdr>
        <w:rPr>
          <w:noProof/>
        </w:rPr>
      </w:pPr>
      <w:r>
        <w:rPr>
          <w:noProof/>
        </w:rPr>
        <w:t>No substantive change compared to the present situation, i.e. the bulk of expenditure on the CAP will be managed by shared management with the Member States. However, a very minor part will continue to fall under direct management by the Commission.</w:t>
      </w:r>
      <w:r>
        <w:rPr>
          <w:rStyle w:val="Marker"/>
          <w:noProof/>
        </w:rPr>
        <w:t xml:space="preserve"> </w:t>
      </w:r>
    </w:p>
    <w:p w14:paraId="1147D5B3" w14:textId="77777777" w:rsidR="00320904" w:rsidRDefault="00320904" w:rsidP="00A42355">
      <w:pPr>
        <w:pStyle w:val="Heading1"/>
        <w:numPr>
          <w:ilvl w:val="0"/>
          <w:numId w:val="16"/>
        </w:numPr>
        <w:rPr>
          <w:bCs w:val="0"/>
          <w:noProof/>
          <w:szCs w:val="24"/>
        </w:rPr>
      </w:pPr>
      <w:r>
        <w:rPr>
          <w:noProof/>
        </w:rPr>
        <w:t xml:space="preserve">MANAGEMENT MEASURES </w:t>
      </w:r>
    </w:p>
    <w:p w14:paraId="0BDDDE4B" w14:textId="77777777" w:rsidR="00320904" w:rsidRDefault="00320904" w:rsidP="00A42355">
      <w:pPr>
        <w:pStyle w:val="Heading2"/>
        <w:numPr>
          <w:ilvl w:val="1"/>
          <w:numId w:val="16"/>
        </w:numPr>
        <w:rPr>
          <w:noProof/>
        </w:rPr>
      </w:pPr>
      <w:r>
        <w:rPr>
          <w:noProof/>
        </w:rPr>
        <w:t xml:space="preserve">Monitoring and reporting rules </w:t>
      </w:r>
    </w:p>
    <w:p w14:paraId="59A59872" w14:textId="77777777" w:rsidR="00320904" w:rsidRDefault="00320904" w:rsidP="00320904">
      <w:pPr>
        <w:pStyle w:val="Text1"/>
        <w:rPr>
          <w:i/>
          <w:noProof/>
          <w:sz w:val="20"/>
          <w:u w:val="single"/>
        </w:rPr>
      </w:pPr>
      <w:r>
        <w:rPr>
          <w:i/>
          <w:noProof/>
          <w:sz w:val="20"/>
        </w:rPr>
        <w:t>Specify frequency and conditions.</w:t>
      </w:r>
    </w:p>
    <w:p w14:paraId="40D625E8" w14:textId="77777777" w:rsidR="00320904" w:rsidRPr="00DA1FAB" w:rsidRDefault="00320904" w:rsidP="00320904">
      <w:pPr>
        <w:pStyle w:val="Text1"/>
        <w:pBdr>
          <w:top w:val="single" w:sz="4" w:space="1" w:color="auto"/>
          <w:left w:val="single" w:sz="4" w:space="4" w:color="auto"/>
          <w:bottom w:val="single" w:sz="4" w:space="1" w:color="auto"/>
          <w:right w:val="single" w:sz="4" w:space="4" w:color="auto"/>
        </w:pBdr>
      </w:pPr>
      <w:r w:rsidRPr="00DA1FAB">
        <w:t>No substantive change compared to the existing legislation</w:t>
      </w:r>
    </w:p>
    <w:p w14:paraId="7278FC9C" w14:textId="77777777" w:rsidR="00320904" w:rsidRDefault="00320904" w:rsidP="00A42355">
      <w:pPr>
        <w:pStyle w:val="Heading2"/>
        <w:numPr>
          <w:ilvl w:val="1"/>
          <w:numId w:val="16"/>
        </w:numPr>
        <w:rPr>
          <w:bCs w:val="0"/>
          <w:noProof/>
          <w:szCs w:val="24"/>
        </w:rPr>
      </w:pPr>
      <w:r>
        <w:rPr>
          <w:noProof/>
        </w:rPr>
        <w:t xml:space="preserve">Management and control system(s) </w:t>
      </w:r>
    </w:p>
    <w:p w14:paraId="267FE9E1" w14:textId="77777777" w:rsidR="00320904" w:rsidRDefault="00320904" w:rsidP="00A42355">
      <w:pPr>
        <w:pStyle w:val="Heading3"/>
        <w:numPr>
          <w:ilvl w:val="2"/>
          <w:numId w:val="16"/>
        </w:numPr>
        <w:rPr>
          <w:noProof/>
        </w:rPr>
      </w:pPr>
      <w:r>
        <w:rPr>
          <w:noProof/>
        </w:rPr>
        <w:t>Justification of the management mode(s), the funding implementation mechanism(s), the payment modalities and the control strategy proposed</w:t>
      </w:r>
    </w:p>
    <w:p w14:paraId="143C244C" w14:textId="77777777" w:rsidR="00320904" w:rsidRPr="00DC6943" w:rsidRDefault="00320904" w:rsidP="00320904">
      <w:pPr>
        <w:pStyle w:val="Text1"/>
        <w:pBdr>
          <w:top w:val="single" w:sz="4" w:space="1" w:color="auto"/>
          <w:left w:val="single" w:sz="4" w:space="4" w:color="auto"/>
          <w:bottom w:val="single" w:sz="4" w:space="1" w:color="auto"/>
          <w:right w:val="single" w:sz="4" w:space="4" w:color="auto"/>
        </w:pBdr>
      </w:pPr>
      <w:r w:rsidRPr="00DA1FAB">
        <w:t>With a view to ensuring smooth continuity in the necessary transition to the CAP strategic plans, this proposal maintains existing management modes through shared management as well as payment and control modalities for the necessary period. As such it builds on the well-functionning systems already set up by the Member States.</w:t>
      </w:r>
      <w:r w:rsidRPr="00DC6943">
        <w:t xml:space="preserve">  </w:t>
      </w:r>
    </w:p>
    <w:p w14:paraId="62493CFE" w14:textId="77777777" w:rsidR="00320904" w:rsidRDefault="00320904" w:rsidP="00A42355">
      <w:pPr>
        <w:pStyle w:val="Heading3"/>
        <w:numPr>
          <w:ilvl w:val="2"/>
          <w:numId w:val="16"/>
        </w:numPr>
        <w:rPr>
          <w:bCs w:val="0"/>
          <w:szCs w:val="24"/>
        </w:rPr>
      </w:pPr>
      <w:r>
        <w:rPr>
          <w:noProof/>
        </w:rPr>
        <w:t>Information concerning the risks identified and the internal control system(s) set up to mitigate them</w:t>
      </w:r>
    </w:p>
    <w:p w14:paraId="2EB5BDC2" w14:textId="77777777" w:rsidR="00320904" w:rsidRPr="00320904" w:rsidRDefault="00320904" w:rsidP="00320904">
      <w:pPr>
        <w:pStyle w:val="Text1"/>
        <w:pBdr>
          <w:top w:val="single" w:sz="4" w:space="1" w:color="auto"/>
          <w:left w:val="single" w:sz="4" w:space="4" w:color="auto"/>
          <w:bottom w:val="single" w:sz="4" w:space="1" w:color="auto"/>
          <w:right w:val="single" w:sz="4" w:space="4" w:color="auto"/>
        </w:pBdr>
      </w:pPr>
      <w:r w:rsidRPr="00DA1FAB">
        <w:t>The steady low error rate levels under the CAP in the most recent years show that the management and control systems set up by the Member States function properly and provide reasonable assurance. The transitional provisions provide for status quo as regards control systems.</w:t>
      </w:r>
    </w:p>
    <w:p w14:paraId="0D3D7B05" w14:textId="77777777" w:rsidR="00320904" w:rsidRDefault="00320904" w:rsidP="00A42355">
      <w:pPr>
        <w:pStyle w:val="Heading3"/>
        <w:numPr>
          <w:ilvl w:val="2"/>
          <w:numId w:val="16"/>
        </w:numPr>
        <w:rPr>
          <w:noProof/>
        </w:rPr>
      </w:pPr>
      <w:r>
        <w:rPr>
          <w:noProof/>
        </w:rPr>
        <w:t xml:space="preserve">Estimation and justification of the cost-effectiveness of the controls (ratio of "control costs ÷ value of the related funds managed"), and assessment of the expected levels of risk of error (at payment &amp; at closure) </w:t>
      </w:r>
    </w:p>
    <w:p w14:paraId="0AA5237F" w14:textId="77777777" w:rsidR="00320904" w:rsidRPr="00DA1FAB" w:rsidRDefault="00320904" w:rsidP="00320904">
      <w:pPr>
        <w:pStyle w:val="Text1"/>
        <w:pBdr>
          <w:top w:val="single" w:sz="4" w:space="1" w:color="auto"/>
          <w:left w:val="single" w:sz="4" w:space="4" w:color="auto"/>
          <w:bottom w:val="single" w:sz="4" w:space="1" w:color="auto"/>
          <w:right w:val="single" w:sz="4" w:space="4" w:color="auto"/>
        </w:pBdr>
      </w:pPr>
      <w:r w:rsidRPr="00DA1FAB">
        <w:t>The proposals maintains status quo as regards controls.</w:t>
      </w:r>
    </w:p>
    <w:p w14:paraId="7C4F66D8" w14:textId="77777777" w:rsidR="00320904" w:rsidRDefault="00320904" w:rsidP="00A42355">
      <w:pPr>
        <w:pStyle w:val="Heading2"/>
        <w:numPr>
          <w:ilvl w:val="1"/>
          <w:numId w:val="16"/>
        </w:numPr>
        <w:rPr>
          <w:bCs w:val="0"/>
          <w:noProof/>
          <w:szCs w:val="24"/>
        </w:rPr>
      </w:pPr>
      <w:r>
        <w:rPr>
          <w:noProof/>
        </w:rPr>
        <w:t xml:space="preserve">Measures to prevent fraud and irregularities </w:t>
      </w:r>
    </w:p>
    <w:p w14:paraId="0D297704" w14:textId="77777777" w:rsidR="00320904" w:rsidRDefault="00320904" w:rsidP="00320904">
      <w:pPr>
        <w:pStyle w:val="Text1"/>
        <w:rPr>
          <w:i/>
          <w:noProof/>
          <w:sz w:val="20"/>
        </w:rPr>
      </w:pPr>
      <w:r>
        <w:rPr>
          <w:i/>
          <w:noProof/>
          <w:sz w:val="20"/>
        </w:rPr>
        <w:t>Specify existing or envisaged prevention and protection measures, e.g. from the Anti-Fraud Strategy.</w:t>
      </w:r>
    </w:p>
    <w:p w14:paraId="0AC78263" w14:textId="77777777" w:rsidR="00320904" w:rsidRPr="00DA1FAB" w:rsidRDefault="00320904" w:rsidP="00320904">
      <w:pPr>
        <w:pStyle w:val="Text1"/>
        <w:pBdr>
          <w:top w:val="single" w:sz="4" w:space="1" w:color="auto"/>
          <w:left w:val="single" w:sz="4" w:space="4" w:color="auto"/>
          <w:bottom w:val="single" w:sz="4" w:space="1" w:color="auto"/>
          <w:right w:val="single" w:sz="4" w:space="4" w:color="auto"/>
        </w:pBdr>
      </w:pPr>
      <w:r w:rsidRPr="00DA1FAB">
        <w:t>No changes proposed to the existing measures.</w:t>
      </w:r>
    </w:p>
    <w:p w14:paraId="22E1D0B4" w14:textId="77777777" w:rsidR="00320904" w:rsidRDefault="00320904" w:rsidP="00320904">
      <w:pPr>
        <w:spacing w:before="0" w:after="0"/>
        <w:jc w:val="left"/>
        <w:rPr>
          <w:noProof/>
        </w:rPr>
        <w:sectPr w:rsidR="00320904" w:rsidSect="00AA0B5E">
          <w:headerReference w:type="default" r:id="rId21"/>
          <w:footerReference w:type="default" r:id="rId22"/>
          <w:headerReference w:type="first" r:id="rId23"/>
          <w:footerReference w:type="first" r:id="rId24"/>
          <w:pgSz w:w="11907" w:h="16840"/>
          <w:pgMar w:top="1134" w:right="1418" w:bottom="1134" w:left="1418" w:header="709" w:footer="709" w:gutter="0"/>
          <w:cols w:space="720"/>
          <w:docGrid w:linePitch="326"/>
        </w:sectPr>
      </w:pPr>
    </w:p>
    <w:p w14:paraId="4C1060D5" w14:textId="77777777" w:rsidR="00320904" w:rsidRDefault="00320904" w:rsidP="00A42355">
      <w:pPr>
        <w:pStyle w:val="Heading1"/>
        <w:numPr>
          <w:ilvl w:val="0"/>
          <w:numId w:val="16"/>
        </w:numPr>
        <w:rPr>
          <w:noProof/>
        </w:rPr>
      </w:pPr>
      <w:r>
        <w:rPr>
          <w:noProof/>
        </w:rPr>
        <w:t xml:space="preserve">ESTIMATED FINANCIAL IMPACT OF THE PROPOSAL/INITIATIVE </w:t>
      </w:r>
    </w:p>
    <w:p w14:paraId="2B5FA43F" w14:textId="77777777" w:rsidR="00320904" w:rsidRDefault="00320904" w:rsidP="00320904">
      <w:pPr>
        <w:pStyle w:val="Text1"/>
      </w:pPr>
      <w:r>
        <w:t xml:space="preserve">The amounts included in the transitional proposal are in line with amounts proposed for the CAP under Heading 3 in the proposal covering the Multiannual financial framework for the period 2021-2027 for the relevant financial years in COM (2018) 322 final/2. </w:t>
      </w:r>
    </w:p>
    <w:p w14:paraId="0F2CC8B3" w14:textId="77777777" w:rsidR="00320904" w:rsidRDefault="00320904" w:rsidP="00320904">
      <w:pPr>
        <w:pStyle w:val="Text1"/>
      </w:pPr>
      <w:r>
        <w:t xml:space="preserve">Therefore, for market-related expenditure financed by the EAGF, allocations under Regulation (EU) No 1308/2013 will be adjusted to the level which were proposed for the same sectors in the proposal on support for the CAP strategic plans (COM (2018) 392 final), for financial year 2021. Also the allocations for the outermost regions and the Aegean islands in Regulations (EU) No 228/2013 and (EU) No 229/2013 are adjusted to the level already proposed for the year 2021 (cf. COM(2018) 394 final). </w:t>
      </w:r>
    </w:p>
    <w:p w14:paraId="441C3D44" w14:textId="77777777" w:rsidR="00320904" w:rsidRDefault="00320904" w:rsidP="00320904">
      <w:pPr>
        <w:pStyle w:val="Text1"/>
      </w:pPr>
      <w:r>
        <w:t xml:space="preserve">The proposed direct payments allocations for calendar year 2021, which are financed in financial year 2022, equals the allocations proposed for direct payments types of interventions for calendar year 2021 in COM (2018) 392 final. </w:t>
      </w:r>
    </w:p>
    <w:p w14:paraId="0A672310" w14:textId="77777777" w:rsidR="00320904" w:rsidRDefault="00320904" w:rsidP="00320904">
      <w:pPr>
        <w:pStyle w:val="Text1"/>
      </w:pPr>
      <w:r>
        <w:t xml:space="preserve">For the sake of ensuring continuity of rural development, the proposal adds allocations for 2021. These equal the amounts which were proposed for rural development types of interventions for the same year in COM (2018) 392 final. In case where the Member States decide not to extend their 2014-2020 rural development programmes, the unused allocations for 2021 are to be reprogrammed to the 2022-2025 allocations for the CAP Strategic plan. </w:t>
      </w:r>
    </w:p>
    <w:p w14:paraId="31B8C99F" w14:textId="77777777" w:rsidR="00320904" w:rsidRDefault="00320904" w:rsidP="00320904">
      <w:pPr>
        <w:pStyle w:val="Text1"/>
      </w:pPr>
      <w:r>
        <w:t>The reserve for agricultural crises referred to in Article 25 of Regulation (EU) No 1306/2013 as existing in the 2014-2020 period is proposed to be maintained for the transitional period.</w:t>
      </w:r>
    </w:p>
    <w:p w14:paraId="191BA411" w14:textId="77777777" w:rsidR="00320904" w:rsidRDefault="00320904" w:rsidP="00320904">
      <w:pPr>
        <w:pStyle w:val="Text1"/>
        <w:rPr>
          <w:i/>
        </w:rPr>
      </w:pPr>
      <w:r>
        <w:t xml:space="preserve">Overall, this proposal means that, as regards commitment appropriations, the proposal has no financial impact for the period 2021-2027 compared to what was proposed and described in the financial statement that accompanied the Commission proposal for the CAP for the period post 2020 (COM (2018) 392 final). As regards payment appropriations, the estimated potential impact is explained below but will depend on Member States’ decision as regards the extension of the 2014-2020 rural development programmes. </w:t>
      </w:r>
    </w:p>
    <w:p w14:paraId="5471E8B5" w14:textId="77777777" w:rsidR="00320904" w:rsidRDefault="00320904" w:rsidP="00320904">
      <w:pPr>
        <w:pStyle w:val="Text1"/>
      </w:pPr>
      <w:r>
        <w:t>The financial implications given below reflect the estimated changes compared to the implications set out in the legislative financial statement that accompanied the Commission proposal for the CAP for the period post 2020 (COM (2018) 392 final).</w:t>
      </w:r>
    </w:p>
    <w:p w14:paraId="7511295C" w14:textId="77777777" w:rsidR="00D4699D" w:rsidRDefault="00D4699D">
      <w:pPr>
        <w:spacing w:before="0" w:after="200" w:line="276" w:lineRule="auto"/>
        <w:jc w:val="left"/>
        <w:rPr>
          <w:rFonts w:eastAsiaTheme="majorEastAsia"/>
          <w:b/>
          <w:bCs/>
          <w:noProof/>
          <w:szCs w:val="26"/>
        </w:rPr>
      </w:pPr>
      <w:r>
        <w:rPr>
          <w:noProof/>
        </w:rPr>
        <w:br w:type="page"/>
      </w:r>
    </w:p>
    <w:p w14:paraId="64594145" w14:textId="0CF6D9E0" w:rsidR="00320904" w:rsidRDefault="00320904" w:rsidP="00A42355">
      <w:pPr>
        <w:pStyle w:val="Heading2"/>
        <w:numPr>
          <w:ilvl w:val="1"/>
          <w:numId w:val="16"/>
        </w:numPr>
        <w:rPr>
          <w:noProof/>
        </w:rPr>
      </w:pPr>
      <w:r>
        <w:rPr>
          <w:noProof/>
        </w:rPr>
        <w:t xml:space="preserve">Heading of the multiannual financial framework and new expenditure budget line(s) proposed </w:t>
      </w:r>
    </w:p>
    <w:tbl>
      <w:tblPr>
        <w:tblW w:w="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320904" w14:paraId="5E4BE27F" w14:textId="77777777" w:rsidTr="00320904">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4F29DED7" w14:textId="77777777" w:rsidR="00320904" w:rsidRDefault="00320904">
            <w:pPr>
              <w:spacing w:before="60" w:after="60"/>
              <w:jc w:val="center"/>
              <w:rPr>
                <w:noProof/>
              </w:rPr>
            </w:pPr>
            <w:r>
              <w:rPr>
                <w:noProof/>
                <w:sz w:val="18"/>
              </w:rPr>
              <w:t>Heading of multiannual financial framework</w:t>
            </w:r>
          </w:p>
        </w:tc>
        <w:tc>
          <w:tcPr>
            <w:tcW w:w="3960" w:type="dxa"/>
            <w:tcBorders>
              <w:top w:val="single" w:sz="4" w:space="0" w:color="auto"/>
              <w:left w:val="single" w:sz="4" w:space="0" w:color="auto"/>
              <w:bottom w:val="single" w:sz="4" w:space="0" w:color="auto"/>
              <w:right w:val="single" w:sz="4" w:space="0" w:color="auto"/>
            </w:tcBorders>
            <w:vAlign w:val="center"/>
            <w:hideMark/>
          </w:tcPr>
          <w:p w14:paraId="1456B1BA" w14:textId="77777777" w:rsidR="00320904" w:rsidRDefault="00320904">
            <w:pPr>
              <w:spacing w:before="60" w:after="60"/>
              <w:jc w:val="center"/>
              <w:rPr>
                <w:noProof/>
              </w:rPr>
            </w:pPr>
            <w:r>
              <w:rPr>
                <w:noProof/>
                <w:sz w:val="20"/>
              </w:rPr>
              <w:t>Budget line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CECFB52" w14:textId="77777777" w:rsidR="00320904" w:rsidRDefault="00320904">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14:paraId="0A724EF6" w14:textId="77777777" w:rsidR="00320904" w:rsidRDefault="00320904">
            <w:pPr>
              <w:spacing w:before="60" w:after="60"/>
              <w:jc w:val="center"/>
              <w:rPr>
                <w:noProof/>
              </w:rPr>
            </w:pPr>
            <w:r>
              <w:rPr>
                <w:noProof/>
                <w:sz w:val="20"/>
              </w:rPr>
              <w:t xml:space="preserve">Contribution </w:t>
            </w:r>
          </w:p>
        </w:tc>
      </w:tr>
      <w:tr w:rsidR="00320904" w14:paraId="0C24CC2C" w14:textId="77777777" w:rsidTr="00320904">
        <w:tc>
          <w:tcPr>
            <w:tcW w:w="1080" w:type="dxa"/>
            <w:vMerge/>
            <w:tcBorders>
              <w:top w:val="single" w:sz="4" w:space="0" w:color="auto"/>
              <w:left w:val="single" w:sz="4" w:space="0" w:color="auto"/>
              <w:bottom w:val="single" w:sz="4" w:space="0" w:color="auto"/>
              <w:right w:val="single" w:sz="4" w:space="0" w:color="auto"/>
            </w:tcBorders>
            <w:vAlign w:val="center"/>
            <w:hideMark/>
          </w:tcPr>
          <w:p w14:paraId="203D05A5" w14:textId="77777777" w:rsidR="00320904" w:rsidRDefault="00320904">
            <w:pPr>
              <w:spacing w:before="0" w:after="0"/>
              <w:jc w:val="left"/>
              <w:rPr>
                <w:noProof/>
              </w:rPr>
            </w:pPr>
          </w:p>
        </w:tc>
        <w:tc>
          <w:tcPr>
            <w:tcW w:w="3960" w:type="dxa"/>
            <w:tcBorders>
              <w:top w:val="single" w:sz="4" w:space="0" w:color="auto"/>
              <w:left w:val="single" w:sz="4" w:space="0" w:color="auto"/>
              <w:bottom w:val="single" w:sz="4" w:space="0" w:color="auto"/>
              <w:right w:val="single" w:sz="4" w:space="0" w:color="auto"/>
            </w:tcBorders>
            <w:vAlign w:val="center"/>
            <w:hideMark/>
          </w:tcPr>
          <w:p w14:paraId="600E46CF" w14:textId="77777777" w:rsidR="00320904" w:rsidRDefault="00320904">
            <w:pPr>
              <w:rPr>
                <w:noProof/>
                <w:sz w:val="20"/>
              </w:rPr>
            </w:pPr>
            <w:r>
              <w:rPr>
                <w:noProof/>
                <w:sz w:val="20"/>
              </w:rPr>
              <w:t xml:space="preserve"> </w:t>
            </w:r>
            <w:r>
              <w:rPr>
                <w:noProof/>
                <w:sz w:val="22"/>
              </w:rPr>
              <w:br/>
            </w:r>
            <w:r>
              <w:rPr>
                <w:noProof/>
                <w:sz w:val="20"/>
              </w:rPr>
              <w:t>Heading 3:</w:t>
            </w:r>
          </w:p>
          <w:p w14:paraId="1EBF5210" w14:textId="77777777" w:rsidR="00320904" w:rsidRDefault="00320904">
            <w:pPr>
              <w:rPr>
                <w:noProof/>
              </w:rPr>
            </w:pPr>
            <w:r>
              <w:rPr>
                <w:noProof/>
                <w:sz w:val="20"/>
              </w:rPr>
              <w:t xml:space="preserve">Natural Ressources and Environment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CBBE1A4" w14:textId="77777777" w:rsidR="00320904" w:rsidRDefault="00320904">
            <w:pPr>
              <w:jc w:val="center"/>
              <w:rPr>
                <w:noProof/>
              </w:rPr>
            </w:pPr>
            <w:r>
              <w:rPr>
                <w:noProof/>
                <w:sz w:val="18"/>
              </w:rPr>
              <w:t>Diff./Non-diff.</w:t>
            </w:r>
            <w:r>
              <w:rPr>
                <w:rStyle w:val="FootnoteReference"/>
                <w:noProof/>
                <w:sz w:val="18"/>
              </w:rPr>
              <w:footnoteReference w:id="10"/>
            </w:r>
          </w:p>
        </w:tc>
        <w:tc>
          <w:tcPr>
            <w:tcW w:w="956" w:type="dxa"/>
            <w:tcBorders>
              <w:top w:val="single" w:sz="4" w:space="0" w:color="auto"/>
              <w:left w:val="single" w:sz="4" w:space="0" w:color="auto"/>
              <w:bottom w:val="single" w:sz="4" w:space="0" w:color="auto"/>
              <w:right w:val="single" w:sz="4" w:space="0" w:color="auto"/>
            </w:tcBorders>
            <w:vAlign w:val="center"/>
          </w:tcPr>
          <w:p w14:paraId="3ECC2266" w14:textId="77777777" w:rsidR="00320904" w:rsidRDefault="00320904">
            <w:pPr>
              <w:jc w:val="center"/>
              <w:rPr>
                <w:noProof/>
              </w:rPr>
            </w:pPr>
            <w:r>
              <w:rPr>
                <w:noProof/>
                <w:sz w:val="18"/>
              </w:rPr>
              <w:t>from EFTA countries</w:t>
            </w:r>
            <w:r>
              <w:rPr>
                <w:rStyle w:val="FootnoteReference"/>
                <w:noProof/>
                <w:sz w:val="18"/>
              </w:rPr>
              <w:footnoteReference w:id="11"/>
            </w:r>
          </w:p>
          <w:p w14:paraId="38508A62" w14:textId="77777777" w:rsidR="00320904" w:rsidRDefault="00320904">
            <w:pPr>
              <w:spacing w:before="0" w:after="0"/>
              <w:jc w:val="center"/>
              <w:rPr>
                <w:b/>
                <w:noProof/>
                <w:sz w:val="18"/>
              </w:rPr>
            </w:pPr>
          </w:p>
        </w:tc>
        <w:tc>
          <w:tcPr>
            <w:tcW w:w="1080" w:type="dxa"/>
            <w:tcBorders>
              <w:top w:val="single" w:sz="4" w:space="0" w:color="auto"/>
              <w:left w:val="single" w:sz="4" w:space="0" w:color="auto"/>
              <w:bottom w:val="single" w:sz="4" w:space="0" w:color="auto"/>
              <w:right w:val="single" w:sz="4" w:space="0" w:color="auto"/>
            </w:tcBorders>
            <w:vAlign w:val="center"/>
          </w:tcPr>
          <w:p w14:paraId="04D99797" w14:textId="77777777" w:rsidR="00320904" w:rsidRDefault="00320904">
            <w:pPr>
              <w:jc w:val="center"/>
              <w:rPr>
                <w:noProof/>
              </w:rPr>
            </w:pPr>
            <w:r>
              <w:rPr>
                <w:noProof/>
                <w:sz w:val="18"/>
              </w:rPr>
              <w:t>from candidate countries</w:t>
            </w:r>
            <w:r>
              <w:rPr>
                <w:rStyle w:val="FootnoteReference"/>
                <w:noProof/>
                <w:sz w:val="18"/>
              </w:rPr>
              <w:footnoteReference w:id="12"/>
            </w:r>
          </w:p>
          <w:p w14:paraId="2A9921FF" w14:textId="77777777" w:rsidR="00320904" w:rsidRDefault="00320904">
            <w:pPr>
              <w:spacing w:before="0" w:after="0"/>
              <w:jc w:val="center"/>
              <w:rPr>
                <w:noProof/>
                <w:sz w:val="18"/>
              </w:rPr>
            </w:pPr>
          </w:p>
        </w:tc>
        <w:tc>
          <w:tcPr>
            <w:tcW w:w="956" w:type="dxa"/>
            <w:tcBorders>
              <w:top w:val="single" w:sz="4" w:space="0" w:color="auto"/>
              <w:left w:val="single" w:sz="4" w:space="0" w:color="auto"/>
              <w:bottom w:val="single" w:sz="4" w:space="0" w:color="auto"/>
              <w:right w:val="single" w:sz="4" w:space="0" w:color="auto"/>
            </w:tcBorders>
            <w:vAlign w:val="center"/>
            <w:hideMark/>
          </w:tcPr>
          <w:p w14:paraId="4FB9F892" w14:textId="77777777" w:rsidR="00320904" w:rsidRDefault="00320904">
            <w:pPr>
              <w:jc w:val="center"/>
              <w:rPr>
                <w:noProof/>
                <w:sz w:val="18"/>
              </w:rPr>
            </w:pPr>
            <w:r>
              <w:rPr>
                <w:noProof/>
                <w:sz w:val="18"/>
              </w:rPr>
              <w:t>from third countries</w:t>
            </w:r>
          </w:p>
        </w:tc>
        <w:tc>
          <w:tcPr>
            <w:tcW w:w="1448" w:type="dxa"/>
            <w:tcBorders>
              <w:top w:val="single" w:sz="4" w:space="0" w:color="auto"/>
              <w:left w:val="single" w:sz="4" w:space="0" w:color="auto"/>
              <w:bottom w:val="single" w:sz="4" w:space="0" w:color="auto"/>
              <w:right w:val="single" w:sz="4" w:space="0" w:color="auto"/>
            </w:tcBorders>
            <w:vAlign w:val="center"/>
            <w:hideMark/>
          </w:tcPr>
          <w:p w14:paraId="2C81D713" w14:textId="77777777" w:rsidR="00320904" w:rsidRDefault="00320904">
            <w:pPr>
              <w:jc w:val="center"/>
              <w:rPr>
                <w:noProof/>
              </w:rPr>
            </w:pPr>
            <w:r>
              <w:rPr>
                <w:noProof/>
                <w:sz w:val="16"/>
              </w:rPr>
              <w:t xml:space="preserve">within the meaning of Article [21(2)(b)] of the Financial Regulation </w:t>
            </w:r>
          </w:p>
        </w:tc>
      </w:tr>
      <w:tr w:rsidR="00320904" w14:paraId="78E4B455" w14:textId="77777777" w:rsidTr="00320904">
        <w:tc>
          <w:tcPr>
            <w:tcW w:w="1080" w:type="dxa"/>
            <w:tcBorders>
              <w:top w:val="single" w:sz="4" w:space="0" w:color="auto"/>
              <w:left w:val="single" w:sz="4" w:space="0" w:color="auto"/>
              <w:bottom w:val="single" w:sz="4" w:space="0" w:color="auto"/>
              <w:right w:val="single" w:sz="4" w:space="0" w:color="auto"/>
            </w:tcBorders>
            <w:vAlign w:val="center"/>
            <w:hideMark/>
          </w:tcPr>
          <w:p w14:paraId="7AB96668" w14:textId="77777777" w:rsidR="00320904" w:rsidRDefault="00320904">
            <w:pPr>
              <w:jc w:val="center"/>
              <w:rPr>
                <w:noProof/>
                <w:color w:val="0000F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14:paraId="09F91C0E" w14:textId="77777777" w:rsidR="00320904" w:rsidRDefault="00320904">
            <w:pPr>
              <w:spacing w:after="60"/>
              <w:rPr>
                <w:noProof/>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34B60E11" w14:textId="77777777" w:rsidR="00320904" w:rsidRDefault="00320904">
            <w:pPr>
              <w:jc w:val="center"/>
              <w:rPr>
                <w:noProof/>
                <w:color w:val="0000FF"/>
              </w:rPr>
            </w:pPr>
            <w:r>
              <w:rPr>
                <w:noProof/>
                <w:sz w:val="22"/>
              </w:rPr>
              <w:t>Non-diff.</w:t>
            </w:r>
          </w:p>
        </w:tc>
        <w:tc>
          <w:tcPr>
            <w:tcW w:w="956" w:type="dxa"/>
            <w:tcBorders>
              <w:top w:val="single" w:sz="4" w:space="0" w:color="auto"/>
              <w:left w:val="single" w:sz="4" w:space="0" w:color="auto"/>
              <w:bottom w:val="single" w:sz="4" w:space="0" w:color="auto"/>
              <w:right w:val="single" w:sz="4" w:space="0" w:color="auto"/>
            </w:tcBorders>
            <w:vAlign w:val="center"/>
            <w:hideMark/>
          </w:tcPr>
          <w:p w14:paraId="474678DE" w14:textId="77777777" w:rsidR="00320904" w:rsidRDefault="00320904">
            <w:pPr>
              <w:jc w:val="center"/>
              <w:rPr>
                <w:noProof/>
              </w:rPr>
            </w:pPr>
            <w:r>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597BC8E" w14:textId="77777777" w:rsidR="00320904" w:rsidRDefault="00320904">
            <w:pPr>
              <w:jc w:val="center"/>
              <w:rPr>
                <w:noProof/>
              </w:rPr>
            </w:pPr>
            <w:r>
              <w:rPr>
                <w:noProof/>
                <w:sz w:val="22"/>
              </w:rPr>
              <w:t>NO</w:t>
            </w:r>
          </w:p>
        </w:tc>
        <w:tc>
          <w:tcPr>
            <w:tcW w:w="956" w:type="dxa"/>
            <w:tcBorders>
              <w:top w:val="single" w:sz="4" w:space="0" w:color="auto"/>
              <w:left w:val="single" w:sz="4" w:space="0" w:color="auto"/>
              <w:bottom w:val="single" w:sz="4" w:space="0" w:color="auto"/>
              <w:right w:val="single" w:sz="4" w:space="0" w:color="auto"/>
            </w:tcBorders>
            <w:vAlign w:val="center"/>
            <w:hideMark/>
          </w:tcPr>
          <w:p w14:paraId="5929809B" w14:textId="77777777" w:rsidR="00320904" w:rsidRDefault="00320904">
            <w:pPr>
              <w:jc w:val="center"/>
              <w:rPr>
                <w:noProof/>
              </w:rPr>
            </w:pPr>
            <w:r>
              <w:rPr>
                <w:noProof/>
                <w:sz w:val="22"/>
              </w:rPr>
              <w:t>NO</w:t>
            </w:r>
          </w:p>
        </w:tc>
        <w:tc>
          <w:tcPr>
            <w:tcW w:w="1448" w:type="dxa"/>
            <w:tcBorders>
              <w:top w:val="single" w:sz="4" w:space="0" w:color="auto"/>
              <w:left w:val="single" w:sz="4" w:space="0" w:color="auto"/>
              <w:bottom w:val="single" w:sz="4" w:space="0" w:color="auto"/>
              <w:right w:val="single" w:sz="4" w:space="0" w:color="auto"/>
            </w:tcBorders>
            <w:vAlign w:val="center"/>
            <w:hideMark/>
          </w:tcPr>
          <w:p w14:paraId="28379F3D" w14:textId="77777777" w:rsidR="00320904" w:rsidRDefault="00320904">
            <w:pPr>
              <w:jc w:val="center"/>
              <w:rPr>
                <w:noProof/>
              </w:rPr>
            </w:pPr>
            <w:r>
              <w:rPr>
                <w:noProof/>
                <w:sz w:val="22"/>
              </w:rPr>
              <w:t>NO</w:t>
            </w:r>
          </w:p>
        </w:tc>
      </w:tr>
    </w:tbl>
    <w:p w14:paraId="78E72486" w14:textId="77777777" w:rsidR="00320904" w:rsidRDefault="00320904" w:rsidP="00320904">
      <w:pPr>
        <w:spacing w:before="0" w:after="0"/>
        <w:jc w:val="left"/>
        <w:rPr>
          <w:noProof/>
        </w:rPr>
        <w:sectPr w:rsidR="00320904" w:rsidSect="00AA0B5E">
          <w:pgSz w:w="11907" w:h="16840"/>
          <w:pgMar w:top="1134" w:right="1418" w:bottom="1134" w:left="1418" w:header="709" w:footer="709" w:gutter="0"/>
          <w:cols w:space="720"/>
          <w:docGrid w:linePitch="326"/>
        </w:sectPr>
      </w:pPr>
    </w:p>
    <w:p w14:paraId="56712E6D" w14:textId="77777777" w:rsidR="00320904" w:rsidRDefault="00320904" w:rsidP="00A42355">
      <w:pPr>
        <w:pStyle w:val="Heading2"/>
        <w:numPr>
          <w:ilvl w:val="1"/>
          <w:numId w:val="16"/>
        </w:numPr>
        <w:rPr>
          <w:bCs w:val="0"/>
          <w:noProof/>
          <w:szCs w:val="24"/>
        </w:rPr>
      </w:pPr>
      <w:r>
        <w:rPr>
          <w:noProof/>
        </w:rPr>
        <w:t xml:space="preserve">Estimated impact on expenditure </w:t>
      </w:r>
    </w:p>
    <w:p w14:paraId="4F0EEE47" w14:textId="77777777" w:rsidR="00320904" w:rsidRDefault="00320904" w:rsidP="00A42355">
      <w:pPr>
        <w:pStyle w:val="Heading3"/>
        <w:numPr>
          <w:ilvl w:val="2"/>
          <w:numId w:val="16"/>
        </w:numPr>
        <w:rPr>
          <w:noProof/>
          <w:u w:val="single"/>
        </w:rPr>
      </w:pPr>
      <w:r>
        <w:rPr>
          <w:noProof/>
        </w:rPr>
        <w:t xml:space="preserve">Summary of estimated impact on expenditure </w:t>
      </w:r>
    </w:p>
    <w:p w14:paraId="0AD7FC1A" w14:textId="77777777" w:rsidR="00320904" w:rsidRDefault="00320904" w:rsidP="00320904">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320904" w14:paraId="3FE774A7" w14:textId="77777777" w:rsidTr="00320904">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14:paraId="1AEF30EA" w14:textId="77777777" w:rsidR="00320904" w:rsidRDefault="00320904">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5342EB6" w14:textId="77777777" w:rsidR="00320904" w:rsidRDefault="00320904">
            <w:pPr>
              <w:spacing w:before="60" w:after="60"/>
              <w:jc w:val="center"/>
              <w:rPr>
                <w:noProof/>
              </w:rPr>
            </w:pPr>
            <w:r>
              <w:rPr>
                <w:b/>
                <w:noProof/>
                <w:sz w:val="22"/>
              </w:rPr>
              <w:t>3</w:t>
            </w:r>
          </w:p>
        </w:tc>
        <w:tc>
          <w:tcPr>
            <w:tcW w:w="7817" w:type="dxa"/>
            <w:tcBorders>
              <w:top w:val="single" w:sz="4" w:space="0" w:color="auto"/>
              <w:left w:val="single" w:sz="4" w:space="0" w:color="auto"/>
              <w:bottom w:val="single" w:sz="4" w:space="0" w:color="auto"/>
              <w:right w:val="single" w:sz="4" w:space="0" w:color="auto"/>
            </w:tcBorders>
            <w:vAlign w:val="center"/>
            <w:hideMark/>
          </w:tcPr>
          <w:p w14:paraId="1DF0F4AE" w14:textId="77777777" w:rsidR="00320904" w:rsidRDefault="00320904">
            <w:pPr>
              <w:spacing w:before="60" w:after="60"/>
              <w:rPr>
                <w:noProof/>
              </w:rPr>
            </w:pPr>
            <w:r>
              <w:rPr>
                <w:noProof/>
                <w:sz w:val="22"/>
              </w:rPr>
              <w:t>Natural ressources and environment</w:t>
            </w:r>
          </w:p>
        </w:tc>
      </w:tr>
    </w:tbl>
    <w:p w14:paraId="2D730269" w14:textId="77777777" w:rsidR="00320904" w:rsidRDefault="00320904" w:rsidP="00320904"/>
    <w:p w14:paraId="30304485" w14:textId="77777777" w:rsidR="00320904" w:rsidRDefault="00320904" w:rsidP="00320904">
      <w:r>
        <w:t xml:space="preserve">For </w:t>
      </w:r>
      <w:r>
        <w:rPr>
          <w:b/>
        </w:rPr>
        <w:t>EAGF,</w:t>
      </w:r>
      <w:r>
        <w:t xml:space="preserve"> the proposal has no impact on overall expenditure compared to the estimates described in the financial statement that accompanied the Commission proposal for the CAP for the period post 2020 (COM (2018) 392 final). The transitional proposal, ensuring continuity of a number of sectoral aid programmes under Regulation (EU) No 1308/2013 (i.e. fruit and vegetables, olive oil, apiculture, wine and hops) until the integration of these programmes under the CAP Plan, implies that the commitments estimated for the sectoral types of interventions under the CAP Plan will remain as market related expenditure outside the CAP Plan for the transitional period. The same applies for direct payments where commitments foreseen under the CAP Plan will remain as direct payments outside the CAP Plan for the transitional period. These changes, as well as the financing of the crisis reserve proposed to be maintained in the transitional period, are neutral as regards overall commitments within each year and for the period and therefore coherent with the Commission proposal as regards the EAGF subceiling for the 2021 – 2027 period. </w:t>
      </w:r>
    </w:p>
    <w:p w14:paraId="46C17C01" w14:textId="77777777" w:rsidR="00320904" w:rsidRDefault="00320904" w:rsidP="00320904">
      <w:r>
        <w:t xml:space="preserve">As regards the </w:t>
      </w:r>
      <w:r>
        <w:rPr>
          <w:b/>
        </w:rPr>
        <w:t>EAFRD</w:t>
      </w:r>
      <w:r>
        <w:t xml:space="preserve">, the proposal remains neutral in terms of commitment appropriations for the period. The decision of Member States as regards the extension of the 2014-2020 rural development programmes will affect the timing of commitments given that the 2021 EAFRD allocations are to transferred to the 2022-2025 EAFRD allocations where no extention is requested by the Member States. </w:t>
      </w:r>
    </w:p>
    <w:p w14:paraId="07BF1C77" w14:textId="77777777" w:rsidR="00320904" w:rsidRDefault="00320904" w:rsidP="00320904">
      <w:pPr>
        <w:rPr>
          <w:noProof/>
          <w:sz w:val="16"/>
        </w:rPr>
      </w:pPr>
      <w:r>
        <w:t>The net impact on the timing of payment appropriations cannot be quantified at present as it will depend on Member States’ decisions which can either delay or accelerate the implementation of payments compared to the timing estimated in the legislative financial statement that accompanied the Commission proposal for the CAP for the period post 2020 (COM (2018) 392 final): extensions of the 2014-2020 rural development programmes are expected to accelerate the payment profile for the given Member States/programmes whereas transfers of the unused 2021 allocations to the 2022-2025 allocations will delay the payments. Overall, payment appropriations remain unchanged for the period.</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rsidR="00320904" w14:paraId="7DE10D82" w14:textId="77777777" w:rsidTr="00320904">
        <w:trPr>
          <w:jc w:val="center"/>
        </w:trPr>
        <w:tc>
          <w:tcPr>
            <w:tcW w:w="6197" w:type="dxa"/>
            <w:gridSpan w:val="3"/>
            <w:tcBorders>
              <w:top w:val="nil"/>
              <w:left w:val="nil"/>
              <w:bottom w:val="nil"/>
              <w:right w:val="single" w:sz="4" w:space="0" w:color="auto"/>
            </w:tcBorders>
            <w:vAlign w:val="center"/>
          </w:tcPr>
          <w:p w14:paraId="49B3BC80" w14:textId="77777777" w:rsidR="00320904" w:rsidRDefault="00320904">
            <w:pPr>
              <w:jc w:val="center"/>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F5347FB" w14:textId="77777777" w:rsidR="00320904" w:rsidRDefault="00320904">
            <w:pPr>
              <w:jc w:val="center"/>
              <w:rPr>
                <w:b/>
                <w:noProof/>
                <w:sz w:val="20"/>
              </w:rPr>
            </w:pPr>
            <w:r>
              <w:rPr>
                <w:b/>
                <w:noProof/>
                <w:sz w:val="20"/>
              </w:rPr>
              <w:t>2021</w:t>
            </w:r>
          </w:p>
        </w:tc>
        <w:tc>
          <w:tcPr>
            <w:tcW w:w="868" w:type="dxa"/>
            <w:tcBorders>
              <w:top w:val="single" w:sz="4" w:space="0" w:color="auto"/>
              <w:left w:val="single" w:sz="4" w:space="0" w:color="auto"/>
              <w:bottom w:val="single" w:sz="4" w:space="0" w:color="auto"/>
              <w:right w:val="single" w:sz="4" w:space="0" w:color="auto"/>
            </w:tcBorders>
            <w:vAlign w:val="center"/>
            <w:hideMark/>
          </w:tcPr>
          <w:p w14:paraId="08FD149F" w14:textId="77777777" w:rsidR="00320904" w:rsidRDefault="00320904">
            <w:pPr>
              <w:jc w:val="center"/>
              <w:rPr>
                <w:b/>
                <w:noProof/>
                <w:sz w:val="20"/>
              </w:rPr>
            </w:pPr>
            <w:r>
              <w:rPr>
                <w:b/>
                <w:noProof/>
                <w:sz w:val="20"/>
              </w:rPr>
              <w:t>2022</w:t>
            </w:r>
          </w:p>
        </w:tc>
        <w:tc>
          <w:tcPr>
            <w:tcW w:w="868" w:type="dxa"/>
            <w:tcBorders>
              <w:top w:val="single" w:sz="4" w:space="0" w:color="auto"/>
              <w:left w:val="single" w:sz="4" w:space="0" w:color="auto"/>
              <w:bottom w:val="single" w:sz="4" w:space="0" w:color="auto"/>
              <w:right w:val="single" w:sz="4" w:space="0" w:color="auto"/>
            </w:tcBorders>
            <w:vAlign w:val="center"/>
            <w:hideMark/>
          </w:tcPr>
          <w:p w14:paraId="700CC038" w14:textId="77777777" w:rsidR="00320904" w:rsidRDefault="00320904">
            <w:pPr>
              <w:jc w:val="center"/>
              <w:rPr>
                <w:b/>
                <w:noProof/>
                <w:sz w:val="20"/>
              </w:rPr>
            </w:pPr>
            <w:r>
              <w:rPr>
                <w:b/>
                <w:noProof/>
                <w:sz w:val="20"/>
              </w:rPr>
              <w:t>2023</w:t>
            </w:r>
          </w:p>
        </w:tc>
        <w:tc>
          <w:tcPr>
            <w:tcW w:w="868" w:type="dxa"/>
            <w:tcBorders>
              <w:top w:val="single" w:sz="4" w:space="0" w:color="auto"/>
              <w:left w:val="single" w:sz="4" w:space="0" w:color="auto"/>
              <w:bottom w:val="single" w:sz="4" w:space="0" w:color="auto"/>
              <w:right w:val="single" w:sz="4" w:space="0" w:color="auto"/>
            </w:tcBorders>
            <w:vAlign w:val="center"/>
            <w:hideMark/>
          </w:tcPr>
          <w:p w14:paraId="343727D8" w14:textId="77777777" w:rsidR="00320904" w:rsidRDefault="00320904">
            <w:pPr>
              <w:jc w:val="center"/>
              <w:rPr>
                <w:b/>
                <w:noProof/>
                <w:sz w:val="20"/>
              </w:rPr>
            </w:pPr>
            <w:r>
              <w:rPr>
                <w:b/>
                <w:noProof/>
                <w:sz w:val="20"/>
              </w:rPr>
              <w:t>2024</w:t>
            </w:r>
          </w:p>
        </w:tc>
        <w:tc>
          <w:tcPr>
            <w:tcW w:w="868" w:type="dxa"/>
            <w:tcBorders>
              <w:top w:val="single" w:sz="4" w:space="0" w:color="auto"/>
              <w:left w:val="single" w:sz="4" w:space="0" w:color="auto"/>
              <w:bottom w:val="single" w:sz="4" w:space="0" w:color="auto"/>
              <w:right w:val="single" w:sz="4" w:space="0" w:color="auto"/>
            </w:tcBorders>
            <w:vAlign w:val="center"/>
            <w:hideMark/>
          </w:tcPr>
          <w:p w14:paraId="43005AEA" w14:textId="77777777" w:rsidR="00320904" w:rsidRDefault="00320904">
            <w:pPr>
              <w:jc w:val="center"/>
              <w:rPr>
                <w:b/>
                <w:noProof/>
                <w:sz w:val="18"/>
              </w:rPr>
            </w:pPr>
            <w:r>
              <w:rPr>
                <w:b/>
                <w:noProof/>
                <w:sz w:val="18"/>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14:paraId="7FACADDA" w14:textId="77777777" w:rsidR="00320904" w:rsidRDefault="00320904">
            <w:pPr>
              <w:jc w:val="center"/>
              <w:rPr>
                <w:b/>
                <w:noProof/>
                <w:sz w:val="18"/>
              </w:rPr>
            </w:pPr>
            <w:r>
              <w:rPr>
                <w:b/>
                <w:noProof/>
                <w:sz w:val="18"/>
              </w:rPr>
              <w:t>2026</w:t>
            </w:r>
          </w:p>
        </w:tc>
        <w:tc>
          <w:tcPr>
            <w:tcW w:w="868" w:type="dxa"/>
            <w:tcBorders>
              <w:top w:val="single" w:sz="4" w:space="0" w:color="auto"/>
              <w:left w:val="single" w:sz="4" w:space="0" w:color="auto"/>
              <w:bottom w:val="single" w:sz="4" w:space="0" w:color="auto"/>
              <w:right w:val="single" w:sz="4" w:space="0" w:color="auto"/>
            </w:tcBorders>
            <w:vAlign w:val="center"/>
            <w:hideMark/>
          </w:tcPr>
          <w:p w14:paraId="1E968526" w14:textId="77777777" w:rsidR="00320904" w:rsidRDefault="00320904">
            <w:pPr>
              <w:jc w:val="center"/>
              <w:rPr>
                <w:b/>
                <w:noProof/>
                <w:sz w:val="18"/>
              </w:rPr>
            </w:pPr>
            <w:r>
              <w:rPr>
                <w:b/>
                <w:noProof/>
                <w:sz w:val="18"/>
              </w:rPr>
              <w:t>2027</w:t>
            </w:r>
          </w:p>
        </w:tc>
        <w:tc>
          <w:tcPr>
            <w:tcW w:w="909" w:type="dxa"/>
            <w:tcBorders>
              <w:top w:val="single" w:sz="4" w:space="0" w:color="auto"/>
              <w:left w:val="single" w:sz="4" w:space="0" w:color="auto"/>
              <w:bottom w:val="single" w:sz="4" w:space="0" w:color="auto"/>
              <w:right w:val="single" w:sz="4" w:space="0" w:color="auto"/>
            </w:tcBorders>
            <w:hideMark/>
          </w:tcPr>
          <w:p w14:paraId="0F7ECD83" w14:textId="77777777" w:rsidR="00320904" w:rsidRDefault="00320904">
            <w:pPr>
              <w:jc w:val="center"/>
              <w:rPr>
                <w:b/>
                <w:i/>
                <w:noProof/>
                <w:sz w:val="20"/>
              </w:rPr>
            </w:pPr>
            <w:r>
              <w:rPr>
                <w:b/>
                <w:i/>
                <w:noProof/>
                <w:sz w:val="20"/>
              </w:rPr>
              <w:t>Post 2027</w:t>
            </w:r>
          </w:p>
        </w:tc>
        <w:tc>
          <w:tcPr>
            <w:tcW w:w="1289" w:type="dxa"/>
            <w:tcBorders>
              <w:top w:val="single" w:sz="4" w:space="0" w:color="auto"/>
              <w:left w:val="single" w:sz="4" w:space="0" w:color="auto"/>
              <w:bottom w:val="single" w:sz="4" w:space="0" w:color="auto"/>
              <w:right w:val="single" w:sz="4" w:space="0" w:color="auto"/>
            </w:tcBorders>
            <w:vAlign w:val="center"/>
            <w:hideMark/>
          </w:tcPr>
          <w:p w14:paraId="0E9ED1BE" w14:textId="77777777" w:rsidR="00320904" w:rsidRDefault="00320904">
            <w:pPr>
              <w:jc w:val="center"/>
              <w:rPr>
                <w:b/>
                <w:noProof/>
                <w:sz w:val="20"/>
              </w:rPr>
            </w:pPr>
            <w:r>
              <w:rPr>
                <w:b/>
                <w:noProof/>
                <w:sz w:val="20"/>
              </w:rPr>
              <w:t>TOTAL</w:t>
            </w:r>
          </w:p>
        </w:tc>
      </w:tr>
      <w:tr w:rsidR="00320904" w14:paraId="5973FB1D" w14:textId="77777777" w:rsidTr="00320904">
        <w:trPr>
          <w:trHeight w:val="433"/>
          <w:jc w:val="center"/>
        </w:trPr>
        <w:tc>
          <w:tcPr>
            <w:tcW w:w="4103" w:type="dxa"/>
            <w:vMerge w:val="restart"/>
            <w:tcBorders>
              <w:top w:val="single" w:sz="4" w:space="0" w:color="auto"/>
              <w:left w:val="single" w:sz="4" w:space="0" w:color="auto"/>
              <w:bottom w:val="single" w:sz="4" w:space="0" w:color="auto"/>
              <w:right w:val="single" w:sz="4" w:space="0" w:color="auto"/>
            </w:tcBorders>
            <w:vAlign w:val="center"/>
            <w:hideMark/>
          </w:tcPr>
          <w:p w14:paraId="3DD029DD" w14:textId="77777777" w:rsidR="00320904" w:rsidRDefault="00320904">
            <w:pPr>
              <w:rPr>
                <w:b/>
                <w:noProof/>
              </w:rPr>
            </w:pPr>
            <w:r>
              <w:rPr>
                <w:b/>
                <w:noProof/>
                <w:sz w:val="20"/>
              </w:rPr>
              <w:t>SUBTOTAL EAGF</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5E2E404" w14:textId="77777777" w:rsidR="00320904" w:rsidRDefault="00320904">
            <w:pPr>
              <w:spacing w:before="20" w:after="20"/>
              <w:jc w:val="left"/>
              <w:rPr>
                <w:noProof/>
                <w:sz w:val="18"/>
              </w:rPr>
            </w:pPr>
            <w:r>
              <w:rPr>
                <w:noProof/>
                <w:sz w:val="18"/>
              </w:rPr>
              <w:t>Commitments</w:t>
            </w:r>
          </w:p>
        </w:tc>
        <w:tc>
          <w:tcPr>
            <w:tcW w:w="654" w:type="dxa"/>
            <w:tcBorders>
              <w:top w:val="single" w:sz="4" w:space="0" w:color="auto"/>
              <w:left w:val="single" w:sz="4" w:space="0" w:color="auto"/>
              <w:bottom w:val="single" w:sz="4" w:space="0" w:color="auto"/>
              <w:right w:val="single" w:sz="4" w:space="0" w:color="auto"/>
            </w:tcBorders>
            <w:vAlign w:val="center"/>
            <w:hideMark/>
          </w:tcPr>
          <w:p w14:paraId="1C525A67" w14:textId="77777777" w:rsidR="00320904" w:rsidRDefault="00320904">
            <w:pPr>
              <w:spacing w:before="20" w:after="20"/>
              <w:jc w:val="center"/>
              <w:rPr>
                <w:noProof/>
                <w:sz w:val="14"/>
              </w:rPr>
            </w:pPr>
            <w:r>
              <w:rPr>
                <w:noProof/>
                <w:sz w:val="14"/>
              </w:rPr>
              <w:t>(1)</w:t>
            </w:r>
          </w:p>
        </w:tc>
        <w:tc>
          <w:tcPr>
            <w:tcW w:w="868" w:type="dxa"/>
            <w:tcBorders>
              <w:top w:val="single" w:sz="4" w:space="0" w:color="auto"/>
              <w:left w:val="single" w:sz="4" w:space="0" w:color="auto"/>
              <w:bottom w:val="single" w:sz="4" w:space="0" w:color="auto"/>
              <w:right w:val="single" w:sz="4" w:space="0" w:color="auto"/>
            </w:tcBorders>
            <w:vAlign w:val="center"/>
          </w:tcPr>
          <w:p w14:paraId="1E62D918" w14:textId="77777777" w:rsidR="00320904" w:rsidRDefault="00320904">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512F1F9F" w14:textId="77777777" w:rsidR="00320904" w:rsidRDefault="00320904">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17DCEF8E" w14:textId="77777777" w:rsidR="00320904" w:rsidRDefault="00320904">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11DED76E" w14:textId="77777777" w:rsidR="00320904" w:rsidRDefault="00320904">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2CFB5D52" w14:textId="77777777" w:rsidR="00320904" w:rsidRDefault="00320904">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4237DBC5" w14:textId="77777777" w:rsidR="00320904" w:rsidRDefault="00320904">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73F6EB41" w14:textId="77777777" w:rsidR="00320904" w:rsidRDefault="00320904">
            <w:pPr>
              <w:spacing w:before="20" w:after="20"/>
              <w:jc w:val="right"/>
              <w:rPr>
                <w:b/>
                <w:noProof/>
                <w:sz w:val="20"/>
              </w:rPr>
            </w:pPr>
          </w:p>
        </w:tc>
        <w:tc>
          <w:tcPr>
            <w:tcW w:w="9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2AC22E2" w14:textId="77777777" w:rsidR="00320904" w:rsidRDefault="00320904">
            <w:pPr>
              <w:spacing w:before="20" w:after="20"/>
              <w:jc w:val="right"/>
              <w:rPr>
                <w:b/>
                <w:noProof/>
                <w:sz w:val="20"/>
              </w:rPr>
            </w:pPr>
          </w:p>
        </w:tc>
        <w:tc>
          <w:tcPr>
            <w:tcW w:w="1289" w:type="dxa"/>
            <w:tcBorders>
              <w:top w:val="single" w:sz="4" w:space="0" w:color="auto"/>
              <w:left w:val="single" w:sz="4" w:space="0" w:color="auto"/>
              <w:bottom w:val="single" w:sz="4" w:space="0" w:color="auto"/>
              <w:right w:val="single" w:sz="4" w:space="0" w:color="auto"/>
            </w:tcBorders>
            <w:vAlign w:val="center"/>
          </w:tcPr>
          <w:p w14:paraId="00C32520" w14:textId="77777777" w:rsidR="00320904" w:rsidRDefault="00320904">
            <w:pPr>
              <w:spacing w:before="20" w:after="20"/>
              <w:jc w:val="right"/>
              <w:rPr>
                <w:b/>
                <w:noProof/>
                <w:sz w:val="20"/>
              </w:rPr>
            </w:pPr>
          </w:p>
        </w:tc>
      </w:tr>
      <w:tr w:rsidR="00320904" w14:paraId="411F58EE" w14:textId="77777777" w:rsidTr="00320904">
        <w:trPr>
          <w:trHeight w:val="411"/>
          <w:jc w:val="center"/>
        </w:trPr>
        <w:tc>
          <w:tcPr>
            <w:tcW w:w="6197" w:type="dxa"/>
            <w:vMerge/>
            <w:tcBorders>
              <w:top w:val="single" w:sz="4" w:space="0" w:color="auto"/>
              <w:left w:val="single" w:sz="4" w:space="0" w:color="auto"/>
              <w:bottom w:val="single" w:sz="4" w:space="0" w:color="auto"/>
              <w:right w:val="single" w:sz="4" w:space="0" w:color="auto"/>
            </w:tcBorders>
            <w:vAlign w:val="center"/>
            <w:hideMark/>
          </w:tcPr>
          <w:p w14:paraId="5175741B" w14:textId="77777777" w:rsidR="00320904" w:rsidRDefault="00320904">
            <w:pPr>
              <w:spacing w:before="0" w:after="0"/>
              <w:jc w:val="left"/>
              <w:rPr>
                <w:b/>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21F41CAE" w14:textId="77777777" w:rsidR="00320904" w:rsidRDefault="00320904">
            <w:pPr>
              <w:spacing w:before="20" w:after="20"/>
              <w:jc w:val="left"/>
              <w:rPr>
                <w:noProof/>
                <w:sz w:val="18"/>
              </w:rPr>
            </w:pPr>
            <w:r>
              <w:rPr>
                <w:noProof/>
                <w:sz w:val="18"/>
              </w:rPr>
              <w:t>Payments</w:t>
            </w:r>
          </w:p>
        </w:tc>
        <w:tc>
          <w:tcPr>
            <w:tcW w:w="654" w:type="dxa"/>
            <w:tcBorders>
              <w:top w:val="single" w:sz="4" w:space="0" w:color="auto"/>
              <w:left w:val="single" w:sz="4" w:space="0" w:color="auto"/>
              <w:bottom w:val="single" w:sz="4" w:space="0" w:color="auto"/>
              <w:right w:val="single" w:sz="4" w:space="0" w:color="auto"/>
            </w:tcBorders>
            <w:vAlign w:val="center"/>
            <w:hideMark/>
          </w:tcPr>
          <w:p w14:paraId="2CFD1621" w14:textId="77777777" w:rsidR="00320904" w:rsidRDefault="00320904">
            <w:pPr>
              <w:spacing w:before="20" w:after="20"/>
              <w:jc w:val="center"/>
              <w:rPr>
                <w:noProof/>
                <w:sz w:val="14"/>
              </w:rPr>
            </w:pPr>
            <w:r>
              <w:rPr>
                <w:noProof/>
                <w:sz w:val="14"/>
              </w:rPr>
              <w:t>(2)</w:t>
            </w:r>
          </w:p>
        </w:tc>
        <w:tc>
          <w:tcPr>
            <w:tcW w:w="868" w:type="dxa"/>
            <w:tcBorders>
              <w:top w:val="single" w:sz="4" w:space="0" w:color="auto"/>
              <w:left w:val="single" w:sz="4" w:space="0" w:color="auto"/>
              <w:bottom w:val="single" w:sz="4" w:space="0" w:color="auto"/>
              <w:right w:val="single" w:sz="4" w:space="0" w:color="auto"/>
            </w:tcBorders>
            <w:vAlign w:val="center"/>
          </w:tcPr>
          <w:p w14:paraId="0446BE71" w14:textId="77777777" w:rsidR="00320904" w:rsidRDefault="00320904">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2904AF59" w14:textId="77777777" w:rsidR="00320904" w:rsidRDefault="00320904">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33C7A8F2" w14:textId="77777777" w:rsidR="00320904" w:rsidRDefault="00320904">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0DA92DEC" w14:textId="77777777" w:rsidR="00320904" w:rsidRDefault="00320904">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2E5380B1" w14:textId="77777777" w:rsidR="00320904" w:rsidRDefault="00320904">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547CC47E" w14:textId="77777777" w:rsidR="00320904" w:rsidRDefault="00320904">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518AE678" w14:textId="77777777" w:rsidR="00320904" w:rsidRDefault="00320904">
            <w:pPr>
              <w:spacing w:before="20" w:after="20"/>
              <w:jc w:val="right"/>
              <w:rPr>
                <w:b/>
                <w:noProof/>
                <w:sz w:val="20"/>
              </w:rPr>
            </w:pPr>
          </w:p>
        </w:tc>
        <w:tc>
          <w:tcPr>
            <w:tcW w:w="909" w:type="dxa"/>
            <w:tcBorders>
              <w:top w:val="single" w:sz="4" w:space="0" w:color="auto"/>
              <w:left w:val="single" w:sz="4" w:space="0" w:color="auto"/>
              <w:bottom w:val="single" w:sz="4" w:space="0" w:color="auto"/>
              <w:right w:val="single" w:sz="4" w:space="0" w:color="auto"/>
            </w:tcBorders>
          </w:tcPr>
          <w:p w14:paraId="58B87B7C" w14:textId="77777777" w:rsidR="00320904" w:rsidRDefault="00320904">
            <w:pPr>
              <w:spacing w:before="20" w:after="20"/>
              <w:jc w:val="right"/>
              <w:rPr>
                <w:b/>
                <w:noProof/>
                <w:sz w:val="20"/>
              </w:rPr>
            </w:pPr>
          </w:p>
        </w:tc>
        <w:tc>
          <w:tcPr>
            <w:tcW w:w="1289" w:type="dxa"/>
            <w:tcBorders>
              <w:top w:val="single" w:sz="4" w:space="0" w:color="auto"/>
              <w:left w:val="single" w:sz="4" w:space="0" w:color="auto"/>
              <w:bottom w:val="single" w:sz="4" w:space="0" w:color="auto"/>
              <w:right w:val="single" w:sz="4" w:space="0" w:color="auto"/>
            </w:tcBorders>
            <w:vAlign w:val="center"/>
          </w:tcPr>
          <w:p w14:paraId="3866217C" w14:textId="77777777" w:rsidR="00320904" w:rsidRDefault="00320904">
            <w:pPr>
              <w:spacing w:before="20" w:after="20"/>
              <w:jc w:val="right"/>
              <w:rPr>
                <w:b/>
                <w:noProof/>
                <w:sz w:val="20"/>
              </w:rPr>
            </w:pPr>
          </w:p>
        </w:tc>
      </w:tr>
      <w:tr w:rsidR="00320904" w14:paraId="597E7BA8" w14:textId="77777777" w:rsidTr="00320904">
        <w:trPr>
          <w:trHeight w:val="411"/>
          <w:jc w:val="center"/>
        </w:trPr>
        <w:tc>
          <w:tcPr>
            <w:tcW w:w="4103" w:type="dxa"/>
            <w:vMerge w:val="restart"/>
            <w:tcBorders>
              <w:top w:val="single" w:sz="4" w:space="0" w:color="auto"/>
              <w:left w:val="single" w:sz="4" w:space="0" w:color="auto"/>
              <w:bottom w:val="single" w:sz="4" w:space="0" w:color="auto"/>
              <w:right w:val="single" w:sz="4" w:space="0" w:color="auto"/>
            </w:tcBorders>
            <w:hideMark/>
          </w:tcPr>
          <w:p w14:paraId="6AA375DB" w14:textId="77777777" w:rsidR="00320904" w:rsidRDefault="00320904">
            <w:pPr>
              <w:rPr>
                <w:b/>
                <w:noProof/>
                <w:sz w:val="20"/>
              </w:rPr>
            </w:pPr>
            <w:r>
              <w:rPr>
                <w:b/>
                <w:noProof/>
                <w:sz w:val="20"/>
              </w:rPr>
              <w:t>SUBTOTAL EAFRD</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BED32C5" w14:textId="77777777" w:rsidR="00320904" w:rsidRDefault="00320904">
            <w:pPr>
              <w:spacing w:before="20" w:after="20"/>
              <w:jc w:val="left"/>
              <w:rPr>
                <w:noProof/>
                <w:sz w:val="18"/>
              </w:rPr>
            </w:pPr>
            <w:r>
              <w:rPr>
                <w:noProof/>
                <w:sz w:val="18"/>
              </w:rPr>
              <w:t>Commitments</w:t>
            </w:r>
          </w:p>
        </w:tc>
        <w:tc>
          <w:tcPr>
            <w:tcW w:w="654" w:type="dxa"/>
            <w:tcBorders>
              <w:top w:val="single" w:sz="4" w:space="0" w:color="auto"/>
              <w:left w:val="single" w:sz="4" w:space="0" w:color="auto"/>
              <w:bottom w:val="single" w:sz="4" w:space="0" w:color="auto"/>
              <w:right w:val="single" w:sz="4" w:space="0" w:color="auto"/>
            </w:tcBorders>
            <w:vAlign w:val="center"/>
            <w:hideMark/>
          </w:tcPr>
          <w:p w14:paraId="75C16BBB" w14:textId="77777777" w:rsidR="00320904" w:rsidRDefault="00320904">
            <w:pPr>
              <w:spacing w:before="20" w:after="20"/>
              <w:jc w:val="center"/>
              <w:rPr>
                <w:noProof/>
                <w:sz w:val="14"/>
              </w:rPr>
            </w:pPr>
            <w:r>
              <w:rPr>
                <w:noProof/>
                <w:sz w:val="14"/>
              </w:rPr>
              <w:t>(3)</w:t>
            </w:r>
          </w:p>
        </w:tc>
        <w:tc>
          <w:tcPr>
            <w:tcW w:w="868" w:type="dxa"/>
            <w:tcBorders>
              <w:top w:val="single" w:sz="4" w:space="0" w:color="auto"/>
              <w:left w:val="single" w:sz="4" w:space="0" w:color="auto"/>
              <w:bottom w:val="single" w:sz="4" w:space="0" w:color="auto"/>
              <w:right w:val="single" w:sz="4" w:space="0" w:color="auto"/>
            </w:tcBorders>
            <w:vAlign w:val="center"/>
          </w:tcPr>
          <w:p w14:paraId="184EDFAB" w14:textId="77777777" w:rsidR="00320904" w:rsidRDefault="00320904">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24E76AFB" w14:textId="77777777" w:rsidR="00320904" w:rsidRDefault="00320904">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5CFFDA13" w14:textId="77777777" w:rsidR="00320904" w:rsidRDefault="00320904">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5E5E0243" w14:textId="77777777" w:rsidR="00320904" w:rsidRDefault="00320904">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5789ABBD" w14:textId="77777777" w:rsidR="00320904" w:rsidRDefault="00320904">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578E64F9" w14:textId="77777777" w:rsidR="00320904" w:rsidRDefault="00320904">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0CC49334" w14:textId="77777777" w:rsidR="00320904" w:rsidRDefault="00320904">
            <w:pPr>
              <w:spacing w:before="20" w:after="20"/>
              <w:jc w:val="right"/>
              <w:rPr>
                <w:b/>
                <w:noProof/>
                <w:sz w:val="20"/>
              </w:rPr>
            </w:pPr>
          </w:p>
        </w:tc>
        <w:tc>
          <w:tcPr>
            <w:tcW w:w="909" w:type="dxa"/>
            <w:tcBorders>
              <w:top w:val="single" w:sz="4" w:space="0" w:color="auto"/>
              <w:left w:val="single" w:sz="4" w:space="0" w:color="auto"/>
              <w:bottom w:val="single" w:sz="4" w:space="0" w:color="auto"/>
              <w:right w:val="single" w:sz="4" w:space="0" w:color="auto"/>
            </w:tcBorders>
          </w:tcPr>
          <w:p w14:paraId="6C4FF732" w14:textId="77777777" w:rsidR="00320904" w:rsidRDefault="00320904">
            <w:pPr>
              <w:spacing w:before="20" w:after="20"/>
              <w:jc w:val="right"/>
              <w:rPr>
                <w:b/>
                <w:noProof/>
                <w:sz w:val="20"/>
              </w:rPr>
            </w:pPr>
          </w:p>
        </w:tc>
        <w:tc>
          <w:tcPr>
            <w:tcW w:w="1289" w:type="dxa"/>
            <w:tcBorders>
              <w:top w:val="single" w:sz="4" w:space="0" w:color="auto"/>
              <w:left w:val="single" w:sz="4" w:space="0" w:color="auto"/>
              <w:bottom w:val="single" w:sz="4" w:space="0" w:color="auto"/>
              <w:right w:val="single" w:sz="4" w:space="0" w:color="auto"/>
            </w:tcBorders>
            <w:vAlign w:val="center"/>
          </w:tcPr>
          <w:p w14:paraId="52CB3A0A" w14:textId="77777777" w:rsidR="00320904" w:rsidRDefault="00320904">
            <w:pPr>
              <w:spacing w:before="20" w:after="20"/>
              <w:jc w:val="right"/>
              <w:rPr>
                <w:b/>
                <w:noProof/>
                <w:sz w:val="20"/>
              </w:rPr>
            </w:pPr>
          </w:p>
        </w:tc>
      </w:tr>
      <w:tr w:rsidR="00320904" w14:paraId="4D170C3E" w14:textId="77777777" w:rsidTr="00320904">
        <w:trPr>
          <w:trHeight w:val="411"/>
          <w:jc w:val="center"/>
        </w:trPr>
        <w:tc>
          <w:tcPr>
            <w:tcW w:w="6197" w:type="dxa"/>
            <w:vMerge/>
            <w:tcBorders>
              <w:top w:val="single" w:sz="4" w:space="0" w:color="auto"/>
              <w:left w:val="single" w:sz="4" w:space="0" w:color="auto"/>
              <w:bottom w:val="single" w:sz="4" w:space="0" w:color="auto"/>
              <w:right w:val="single" w:sz="4" w:space="0" w:color="auto"/>
            </w:tcBorders>
            <w:vAlign w:val="center"/>
            <w:hideMark/>
          </w:tcPr>
          <w:p w14:paraId="645AB6B1" w14:textId="77777777" w:rsidR="00320904" w:rsidRDefault="00320904">
            <w:pPr>
              <w:spacing w:before="0" w:after="0"/>
              <w:jc w:val="left"/>
              <w:rPr>
                <w:b/>
                <w:noProof/>
                <w:sz w:val="20"/>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071F9C44" w14:textId="77777777" w:rsidR="00320904" w:rsidRDefault="00320904">
            <w:pPr>
              <w:spacing w:before="20" w:after="20"/>
              <w:jc w:val="left"/>
              <w:rPr>
                <w:noProof/>
                <w:sz w:val="18"/>
              </w:rPr>
            </w:pPr>
            <w:r>
              <w:rPr>
                <w:noProof/>
                <w:sz w:val="18"/>
              </w:rPr>
              <w:t>Payments</w:t>
            </w:r>
          </w:p>
        </w:tc>
        <w:tc>
          <w:tcPr>
            <w:tcW w:w="654" w:type="dxa"/>
            <w:tcBorders>
              <w:top w:val="single" w:sz="4" w:space="0" w:color="auto"/>
              <w:left w:val="single" w:sz="4" w:space="0" w:color="auto"/>
              <w:bottom w:val="single" w:sz="4" w:space="0" w:color="auto"/>
              <w:right w:val="single" w:sz="4" w:space="0" w:color="auto"/>
            </w:tcBorders>
            <w:vAlign w:val="center"/>
            <w:hideMark/>
          </w:tcPr>
          <w:p w14:paraId="62BA88C2" w14:textId="77777777" w:rsidR="00320904" w:rsidRDefault="00320904">
            <w:pPr>
              <w:spacing w:before="20" w:after="20"/>
              <w:jc w:val="center"/>
              <w:rPr>
                <w:noProof/>
                <w:sz w:val="14"/>
              </w:rPr>
            </w:pPr>
            <w:r>
              <w:rPr>
                <w:noProof/>
                <w:sz w:val="14"/>
              </w:rPr>
              <w:t>(4)</w:t>
            </w:r>
          </w:p>
        </w:tc>
        <w:tc>
          <w:tcPr>
            <w:tcW w:w="868" w:type="dxa"/>
            <w:tcBorders>
              <w:top w:val="single" w:sz="4" w:space="0" w:color="auto"/>
              <w:left w:val="single" w:sz="4" w:space="0" w:color="auto"/>
              <w:bottom w:val="single" w:sz="4" w:space="0" w:color="auto"/>
              <w:right w:val="single" w:sz="4" w:space="0" w:color="auto"/>
            </w:tcBorders>
            <w:vAlign w:val="center"/>
          </w:tcPr>
          <w:p w14:paraId="291D7330" w14:textId="77777777" w:rsidR="00320904" w:rsidRDefault="00320904">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69D8C3D0" w14:textId="77777777" w:rsidR="00320904" w:rsidRDefault="00320904">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3BDCF86D" w14:textId="77777777" w:rsidR="00320904" w:rsidRDefault="00320904">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27333CB9" w14:textId="77777777" w:rsidR="00320904" w:rsidRDefault="00320904">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73AD57DA" w14:textId="77777777" w:rsidR="00320904" w:rsidRDefault="00320904">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5C102D72" w14:textId="77777777" w:rsidR="00320904" w:rsidRDefault="00320904">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73AC53F0" w14:textId="77777777" w:rsidR="00320904" w:rsidRDefault="00320904">
            <w:pPr>
              <w:spacing w:before="20" w:after="20"/>
              <w:jc w:val="right"/>
              <w:rPr>
                <w:b/>
                <w:noProof/>
                <w:sz w:val="20"/>
              </w:rPr>
            </w:pPr>
          </w:p>
        </w:tc>
        <w:tc>
          <w:tcPr>
            <w:tcW w:w="909" w:type="dxa"/>
            <w:tcBorders>
              <w:top w:val="single" w:sz="4" w:space="0" w:color="auto"/>
              <w:left w:val="single" w:sz="4" w:space="0" w:color="auto"/>
              <w:bottom w:val="single" w:sz="4" w:space="0" w:color="auto"/>
              <w:right w:val="single" w:sz="4" w:space="0" w:color="auto"/>
            </w:tcBorders>
          </w:tcPr>
          <w:p w14:paraId="351D231C" w14:textId="77777777" w:rsidR="00320904" w:rsidRDefault="00320904">
            <w:pPr>
              <w:spacing w:before="20" w:after="20"/>
              <w:jc w:val="right"/>
              <w:rPr>
                <w:b/>
                <w:noProof/>
                <w:sz w:val="20"/>
              </w:rPr>
            </w:pPr>
          </w:p>
        </w:tc>
        <w:tc>
          <w:tcPr>
            <w:tcW w:w="1289" w:type="dxa"/>
            <w:tcBorders>
              <w:top w:val="single" w:sz="4" w:space="0" w:color="auto"/>
              <w:left w:val="single" w:sz="4" w:space="0" w:color="auto"/>
              <w:bottom w:val="single" w:sz="4" w:space="0" w:color="auto"/>
              <w:right w:val="single" w:sz="4" w:space="0" w:color="auto"/>
            </w:tcBorders>
            <w:vAlign w:val="center"/>
          </w:tcPr>
          <w:p w14:paraId="39D8CC01" w14:textId="77777777" w:rsidR="00320904" w:rsidRDefault="00320904">
            <w:pPr>
              <w:spacing w:before="20" w:after="20"/>
              <w:jc w:val="right"/>
              <w:rPr>
                <w:b/>
                <w:noProof/>
                <w:sz w:val="20"/>
              </w:rPr>
            </w:pPr>
          </w:p>
        </w:tc>
      </w:tr>
      <w:tr w:rsidR="00320904" w14:paraId="72DDD4AD" w14:textId="77777777" w:rsidTr="00320904">
        <w:trPr>
          <w:jc w:val="center"/>
        </w:trPr>
        <w:tc>
          <w:tcPr>
            <w:tcW w:w="4103" w:type="dxa"/>
            <w:vMerge w:val="restart"/>
            <w:tcBorders>
              <w:top w:val="single" w:sz="4" w:space="0" w:color="auto"/>
              <w:left w:val="single" w:sz="4" w:space="0" w:color="auto"/>
              <w:bottom w:val="single" w:sz="4" w:space="0" w:color="auto"/>
              <w:right w:val="single" w:sz="4" w:space="0" w:color="auto"/>
            </w:tcBorders>
            <w:vAlign w:val="center"/>
            <w:hideMark/>
          </w:tcPr>
          <w:p w14:paraId="083D841D" w14:textId="77777777" w:rsidR="00320904" w:rsidRDefault="00320904">
            <w:pPr>
              <w:jc w:val="left"/>
              <w:rPr>
                <w:b/>
                <w:i/>
                <w:noProof/>
              </w:rPr>
            </w:pPr>
            <w:r>
              <w:rPr>
                <w:b/>
                <w:noProof/>
                <w:sz w:val="22"/>
              </w:rPr>
              <w:t>TOTAL appropriations for the CAP</w:t>
            </w:r>
            <w:r>
              <w:rPr>
                <w:b/>
                <w:i/>
                <w:noProof/>
                <w:sz w:val="22"/>
              </w:rPr>
              <w:t xml:space="preserve">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B01FAFE" w14:textId="77777777" w:rsidR="00320904" w:rsidRDefault="00320904">
            <w:pPr>
              <w:jc w:val="left"/>
              <w:rPr>
                <w:noProof/>
                <w:sz w:val="18"/>
              </w:rPr>
            </w:pPr>
            <w:r>
              <w:rPr>
                <w:noProof/>
                <w:sz w:val="18"/>
              </w:rPr>
              <w:t>Commitments</w:t>
            </w:r>
          </w:p>
        </w:tc>
        <w:tc>
          <w:tcPr>
            <w:tcW w:w="654" w:type="dxa"/>
            <w:tcBorders>
              <w:top w:val="single" w:sz="4" w:space="0" w:color="auto"/>
              <w:left w:val="single" w:sz="4" w:space="0" w:color="auto"/>
              <w:bottom w:val="single" w:sz="4" w:space="0" w:color="auto"/>
              <w:right w:val="single" w:sz="4" w:space="0" w:color="auto"/>
            </w:tcBorders>
            <w:vAlign w:val="center"/>
            <w:hideMark/>
          </w:tcPr>
          <w:p w14:paraId="5606AD6D" w14:textId="77777777" w:rsidR="00320904" w:rsidRDefault="00320904">
            <w:pPr>
              <w:jc w:val="center"/>
              <w:rPr>
                <w:noProof/>
                <w:sz w:val="14"/>
              </w:rPr>
            </w:pPr>
            <w:r>
              <w:rPr>
                <w:noProof/>
                <w:sz w:val="14"/>
              </w:rPr>
              <w:t>(5)=(1+3)</w:t>
            </w:r>
          </w:p>
        </w:tc>
        <w:tc>
          <w:tcPr>
            <w:tcW w:w="868" w:type="dxa"/>
            <w:tcBorders>
              <w:top w:val="single" w:sz="4" w:space="0" w:color="auto"/>
              <w:left w:val="single" w:sz="4" w:space="0" w:color="auto"/>
              <w:bottom w:val="single" w:sz="4" w:space="0" w:color="auto"/>
              <w:right w:val="single" w:sz="4" w:space="0" w:color="auto"/>
            </w:tcBorders>
            <w:vAlign w:val="center"/>
          </w:tcPr>
          <w:p w14:paraId="59380F8E" w14:textId="77777777" w:rsidR="00320904" w:rsidRDefault="00320904">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56B99613" w14:textId="77777777" w:rsidR="00320904" w:rsidRDefault="00320904">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28BF286D" w14:textId="77777777" w:rsidR="00320904" w:rsidRDefault="00320904">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487EA90D" w14:textId="77777777" w:rsidR="00320904" w:rsidRDefault="00320904">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3E282E31" w14:textId="77777777" w:rsidR="00320904" w:rsidRDefault="00320904">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2680D8CE" w14:textId="77777777" w:rsidR="00320904" w:rsidRDefault="00320904">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380A29DB" w14:textId="77777777" w:rsidR="00320904" w:rsidRDefault="00320904">
            <w:pPr>
              <w:spacing w:before="20" w:after="20"/>
              <w:jc w:val="right"/>
              <w:rPr>
                <w:b/>
                <w:noProof/>
                <w:sz w:val="20"/>
              </w:rPr>
            </w:pPr>
          </w:p>
        </w:tc>
        <w:tc>
          <w:tcPr>
            <w:tcW w:w="9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8F49A49" w14:textId="77777777" w:rsidR="00320904" w:rsidRDefault="00320904">
            <w:pPr>
              <w:spacing w:before="20" w:after="20"/>
              <w:jc w:val="right"/>
              <w:rPr>
                <w:b/>
                <w:noProof/>
                <w:sz w:val="20"/>
              </w:rPr>
            </w:pPr>
          </w:p>
        </w:tc>
        <w:tc>
          <w:tcPr>
            <w:tcW w:w="1289" w:type="dxa"/>
            <w:tcBorders>
              <w:top w:val="single" w:sz="4" w:space="0" w:color="auto"/>
              <w:left w:val="single" w:sz="4" w:space="0" w:color="auto"/>
              <w:bottom w:val="single" w:sz="4" w:space="0" w:color="auto"/>
              <w:right w:val="single" w:sz="4" w:space="0" w:color="auto"/>
            </w:tcBorders>
            <w:vAlign w:val="center"/>
          </w:tcPr>
          <w:p w14:paraId="5ACFD9A7" w14:textId="77777777" w:rsidR="00320904" w:rsidRDefault="00320904">
            <w:pPr>
              <w:spacing w:before="20" w:after="20"/>
              <w:jc w:val="right"/>
              <w:rPr>
                <w:b/>
                <w:noProof/>
                <w:sz w:val="20"/>
              </w:rPr>
            </w:pPr>
          </w:p>
        </w:tc>
      </w:tr>
      <w:tr w:rsidR="00320904" w14:paraId="69981CC4" w14:textId="77777777" w:rsidTr="00320904">
        <w:trPr>
          <w:jc w:val="center"/>
        </w:trPr>
        <w:tc>
          <w:tcPr>
            <w:tcW w:w="6197" w:type="dxa"/>
            <w:vMerge/>
            <w:tcBorders>
              <w:top w:val="single" w:sz="4" w:space="0" w:color="auto"/>
              <w:left w:val="single" w:sz="4" w:space="0" w:color="auto"/>
              <w:bottom w:val="single" w:sz="4" w:space="0" w:color="auto"/>
              <w:right w:val="single" w:sz="4" w:space="0" w:color="auto"/>
            </w:tcBorders>
            <w:vAlign w:val="center"/>
            <w:hideMark/>
          </w:tcPr>
          <w:p w14:paraId="4334D819" w14:textId="77777777" w:rsidR="00320904" w:rsidRDefault="00320904">
            <w:pPr>
              <w:spacing w:before="0" w:after="0"/>
              <w:jc w:val="left"/>
              <w:rPr>
                <w:b/>
                <w:i/>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5D531C9C" w14:textId="77777777" w:rsidR="00320904" w:rsidRDefault="00320904">
            <w:pPr>
              <w:jc w:val="left"/>
              <w:rPr>
                <w:noProof/>
                <w:sz w:val="18"/>
              </w:rPr>
            </w:pPr>
            <w:r>
              <w:rPr>
                <w:noProof/>
                <w:sz w:val="18"/>
              </w:rPr>
              <w:t>Payments</w:t>
            </w:r>
          </w:p>
        </w:tc>
        <w:tc>
          <w:tcPr>
            <w:tcW w:w="654" w:type="dxa"/>
            <w:tcBorders>
              <w:top w:val="single" w:sz="4" w:space="0" w:color="auto"/>
              <w:left w:val="single" w:sz="4" w:space="0" w:color="auto"/>
              <w:bottom w:val="single" w:sz="4" w:space="0" w:color="auto"/>
              <w:right w:val="single" w:sz="4" w:space="0" w:color="auto"/>
            </w:tcBorders>
            <w:vAlign w:val="center"/>
            <w:hideMark/>
          </w:tcPr>
          <w:p w14:paraId="587D6B3B" w14:textId="77777777" w:rsidR="00320904" w:rsidRDefault="00320904">
            <w:pPr>
              <w:jc w:val="center"/>
              <w:rPr>
                <w:noProof/>
                <w:sz w:val="14"/>
              </w:rPr>
            </w:pPr>
            <w:r>
              <w:rPr>
                <w:noProof/>
                <w:sz w:val="14"/>
              </w:rPr>
              <w:t>(6)=(2+4)</w:t>
            </w:r>
          </w:p>
        </w:tc>
        <w:tc>
          <w:tcPr>
            <w:tcW w:w="868" w:type="dxa"/>
            <w:tcBorders>
              <w:top w:val="single" w:sz="4" w:space="0" w:color="auto"/>
              <w:left w:val="single" w:sz="4" w:space="0" w:color="auto"/>
              <w:bottom w:val="single" w:sz="4" w:space="0" w:color="auto"/>
              <w:right w:val="single" w:sz="4" w:space="0" w:color="auto"/>
            </w:tcBorders>
            <w:vAlign w:val="center"/>
          </w:tcPr>
          <w:p w14:paraId="5E87991D" w14:textId="77777777" w:rsidR="00320904" w:rsidRDefault="00320904">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1309CFD8" w14:textId="77777777" w:rsidR="00320904" w:rsidRDefault="00320904">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7A7750EE" w14:textId="77777777" w:rsidR="00320904" w:rsidRDefault="00320904">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4E68B4E5" w14:textId="77777777" w:rsidR="00320904" w:rsidRDefault="00320904">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21F0878A" w14:textId="77777777" w:rsidR="00320904" w:rsidRDefault="00320904">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238C8483" w14:textId="77777777" w:rsidR="00320904" w:rsidRDefault="00320904">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60C46516" w14:textId="77777777" w:rsidR="00320904" w:rsidRDefault="00320904">
            <w:pPr>
              <w:spacing w:before="20" w:after="20"/>
              <w:jc w:val="right"/>
              <w:rPr>
                <w:b/>
                <w:noProof/>
                <w:sz w:val="20"/>
              </w:rPr>
            </w:pPr>
          </w:p>
        </w:tc>
        <w:tc>
          <w:tcPr>
            <w:tcW w:w="909" w:type="dxa"/>
            <w:tcBorders>
              <w:top w:val="single" w:sz="4" w:space="0" w:color="auto"/>
              <w:left w:val="single" w:sz="4" w:space="0" w:color="auto"/>
              <w:bottom w:val="single" w:sz="4" w:space="0" w:color="auto"/>
              <w:right w:val="single" w:sz="4" w:space="0" w:color="auto"/>
            </w:tcBorders>
          </w:tcPr>
          <w:p w14:paraId="6966F27A" w14:textId="77777777" w:rsidR="00320904" w:rsidRDefault="00320904">
            <w:pPr>
              <w:spacing w:before="20" w:after="20"/>
              <w:jc w:val="right"/>
              <w:rPr>
                <w:b/>
                <w:noProof/>
                <w:sz w:val="20"/>
              </w:rPr>
            </w:pPr>
          </w:p>
        </w:tc>
        <w:tc>
          <w:tcPr>
            <w:tcW w:w="1289" w:type="dxa"/>
            <w:tcBorders>
              <w:top w:val="single" w:sz="4" w:space="0" w:color="auto"/>
              <w:left w:val="single" w:sz="4" w:space="0" w:color="auto"/>
              <w:bottom w:val="single" w:sz="4" w:space="0" w:color="auto"/>
              <w:right w:val="single" w:sz="4" w:space="0" w:color="auto"/>
            </w:tcBorders>
            <w:vAlign w:val="center"/>
          </w:tcPr>
          <w:p w14:paraId="2D712B55" w14:textId="77777777" w:rsidR="00320904" w:rsidRDefault="00320904">
            <w:pPr>
              <w:spacing w:before="20" w:after="20"/>
              <w:jc w:val="right"/>
              <w:rPr>
                <w:b/>
                <w:noProof/>
                <w:sz w:val="20"/>
              </w:rPr>
            </w:pPr>
          </w:p>
        </w:tc>
      </w:tr>
    </w:tbl>
    <w:p w14:paraId="0B947096" w14:textId="77777777" w:rsidR="00320904" w:rsidRDefault="00320904" w:rsidP="00320904">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320904" w14:paraId="74C3C8A7" w14:textId="77777777" w:rsidTr="00320904">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14:paraId="58AFD4C0" w14:textId="77777777" w:rsidR="00320904" w:rsidRDefault="00320904">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14:paraId="6C81B4AC" w14:textId="77777777" w:rsidR="00320904" w:rsidRDefault="00320904">
            <w:pPr>
              <w:spacing w:before="60" w:after="60"/>
              <w:jc w:val="center"/>
              <w:rPr>
                <w:noProof/>
              </w:rPr>
            </w:pPr>
            <w:r>
              <w:rPr>
                <w:noProof/>
              </w:rPr>
              <w:t>7</w:t>
            </w:r>
          </w:p>
        </w:tc>
        <w:tc>
          <w:tcPr>
            <w:tcW w:w="7817" w:type="dxa"/>
            <w:tcBorders>
              <w:top w:val="single" w:sz="4" w:space="0" w:color="auto"/>
              <w:left w:val="single" w:sz="4" w:space="0" w:color="auto"/>
              <w:bottom w:val="single" w:sz="4" w:space="0" w:color="auto"/>
              <w:right w:val="single" w:sz="4" w:space="0" w:color="auto"/>
            </w:tcBorders>
            <w:vAlign w:val="center"/>
            <w:hideMark/>
          </w:tcPr>
          <w:p w14:paraId="46FD0C0A" w14:textId="77777777" w:rsidR="00320904" w:rsidRDefault="00320904">
            <w:pPr>
              <w:spacing w:before="60" w:after="60"/>
              <w:rPr>
                <w:noProof/>
              </w:rPr>
            </w:pPr>
            <w:r>
              <w:rPr>
                <w:noProof/>
                <w:sz w:val="22"/>
              </w:rPr>
              <w:t>‘Administrative expenditure’</w:t>
            </w:r>
          </w:p>
        </w:tc>
      </w:tr>
    </w:tbl>
    <w:p w14:paraId="15F59386" w14:textId="77777777" w:rsidR="00320904" w:rsidRDefault="00320904" w:rsidP="00320904">
      <w:pPr>
        <w:jc w:val="right"/>
        <w:rPr>
          <w:noProof/>
          <w:sz w:val="20"/>
        </w:rPr>
      </w:pPr>
    </w:p>
    <w:p w14:paraId="0929420B" w14:textId="77777777" w:rsidR="00320904" w:rsidRDefault="00320904" w:rsidP="00320904">
      <w:pPr>
        <w:jc w:val="right"/>
        <w:rPr>
          <w:noProof/>
          <w:sz w:val="20"/>
        </w:rPr>
      </w:pPr>
      <w:r>
        <w:rPr>
          <w:noProof/>
          <w:sz w:val="20"/>
        </w:rPr>
        <w:t>EUR million (to three decimal places)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rsidR="00320904" w14:paraId="02B3ADE7" w14:textId="77777777" w:rsidTr="00320904">
        <w:trPr>
          <w:jc w:val="center"/>
        </w:trPr>
        <w:tc>
          <w:tcPr>
            <w:tcW w:w="6245" w:type="dxa"/>
            <w:gridSpan w:val="2"/>
            <w:tcBorders>
              <w:top w:val="nil"/>
              <w:left w:val="nil"/>
              <w:bottom w:val="single" w:sz="4" w:space="0" w:color="auto"/>
              <w:right w:val="single" w:sz="4" w:space="0" w:color="auto"/>
            </w:tcBorders>
            <w:vAlign w:val="center"/>
          </w:tcPr>
          <w:p w14:paraId="0ED7429E" w14:textId="77777777" w:rsidR="00320904" w:rsidRDefault="00320904">
            <w:pPr>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32357B9" w14:textId="77777777" w:rsidR="00320904" w:rsidRDefault="00320904">
            <w:pPr>
              <w:jc w:val="center"/>
              <w:rPr>
                <w:b/>
                <w:noProof/>
                <w:sz w:val="20"/>
              </w:rPr>
            </w:pPr>
            <w:r>
              <w:rPr>
                <w:b/>
                <w:noProof/>
                <w:sz w:val="20"/>
              </w:rPr>
              <w:t>2021</w:t>
            </w:r>
          </w:p>
        </w:tc>
        <w:tc>
          <w:tcPr>
            <w:tcW w:w="868" w:type="dxa"/>
            <w:tcBorders>
              <w:top w:val="single" w:sz="4" w:space="0" w:color="auto"/>
              <w:left w:val="single" w:sz="4" w:space="0" w:color="auto"/>
              <w:bottom w:val="single" w:sz="4" w:space="0" w:color="auto"/>
              <w:right w:val="single" w:sz="4" w:space="0" w:color="auto"/>
            </w:tcBorders>
            <w:vAlign w:val="center"/>
            <w:hideMark/>
          </w:tcPr>
          <w:p w14:paraId="2DE95A7B" w14:textId="77777777" w:rsidR="00320904" w:rsidRDefault="00320904">
            <w:pPr>
              <w:jc w:val="center"/>
              <w:rPr>
                <w:b/>
                <w:noProof/>
                <w:sz w:val="20"/>
              </w:rPr>
            </w:pPr>
            <w:r>
              <w:rPr>
                <w:b/>
                <w:noProof/>
                <w:sz w:val="20"/>
              </w:rPr>
              <w:t>2022</w:t>
            </w:r>
          </w:p>
        </w:tc>
        <w:tc>
          <w:tcPr>
            <w:tcW w:w="868" w:type="dxa"/>
            <w:tcBorders>
              <w:top w:val="single" w:sz="4" w:space="0" w:color="auto"/>
              <w:left w:val="single" w:sz="4" w:space="0" w:color="auto"/>
              <w:bottom w:val="single" w:sz="4" w:space="0" w:color="auto"/>
              <w:right w:val="single" w:sz="4" w:space="0" w:color="auto"/>
            </w:tcBorders>
            <w:vAlign w:val="center"/>
            <w:hideMark/>
          </w:tcPr>
          <w:p w14:paraId="6C40E757" w14:textId="77777777" w:rsidR="00320904" w:rsidRDefault="00320904">
            <w:pPr>
              <w:jc w:val="center"/>
              <w:rPr>
                <w:b/>
                <w:noProof/>
                <w:sz w:val="20"/>
              </w:rPr>
            </w:pPr>
            <w:r>
              <w:rPr>
                <w:b/>
                <w:noProof/>
                <w:sz w:val="20"/>
              </w:rPr>
              <w:t>2023</w:t>
            </w:r>
          </w:p>
        </w:tc>
        <w:tc>
          <w:tcPr>
            <w:tcW w:w="868" w:type="dxa"/>
            <w:tcBorders>
              <w:top w:val="single" w:sz="4" w:space="0" w:color="auto"/>
              <w:left w:val="single" w:sz="4" w:space="0" w:color="auto"/>
              <w:bottom w:val="single" w:sz="4" w:space="0" w:color="auto"/>
              <w:right w:val="single" w:sz="4" w:space="0" w:color="auto"/>
            </w:tcBorders>
            <w:vAlign w:val="center"/>
            <w:hideMark/>
          </w:tcPr>
          <w:p w14:paraId="10F7D976" w14:textId="77777777" w:rsidR="00320904" w:rsidRDefault="00320904">
            <w:pPr>
              <w:jc w:val="center"/>
              <w:rPr>
                <w:b/>
                <w:noProof/>
                <w:sz w:val="20"/>
              </w:rPr>
            </w:pPr>
            <w:r>
              <w:rPr>
                <w:b/>
                <w:noProof/>
                <w:sz w:val="20"/>
              </w:rPr>
              <w:t>2024</w:t>
            </w:r>
          </w:p>
        </w:tc>
        <w:tc>
          <w:tcPr>
            <w:tcW w:w="868" w:type="dxa"/>
            <w:tcBorders>
              <w:top w:val="single" w:sz="4" w:space="0" w:color="auto"/>
              <w:left w:val="single" w:sz="4" w:space="0" w:color="auto"/>
              <w:bottom w:val="single" w:sz="4" w:space="0" w:color="auto"/>
              <w:right w:val="single" w:sz="4" w:space="0" w:color="auto"/>
            </w:tcBorders>
            <w:vAlign w:val="center"/>
            <w:hideMark/>
          </w:tcPr>
          <w:p w14:paraId="0F5E4A3A" w14:textId="77777777" w:rsidR="00320904" w:rsidRDefault="00320904">
            <w:pPr>
              <w:jc w:val="center"/>
              <w:rPr>
                <w:b/>
                <w:noProof/>
                <w:sz w:val="18"/>
              </w:rPr>
            </w:pPr>
            <w:r>
              <w:rPr>
                <w:b/>
                <w:noProof/>
                <w:sz w:val="18"/>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14:paraId="2F525C0D" w14:textId="77777777" w:rsidR="00320904" w:rsidRDefault="00320904">
            <w:pPr>
              <w:jc w:val="center"/>
              <w:rPr>
                <w:b/>
                <w:noProof/>
                <w:sz w:val="18"/>
              </w:rPr>
            </w:pPr>
            <w:r>
              <w:rPr>
                <w:b/>
                <w:noProof/>
                <w:sz w:val="18"/>
              </w:rPr>
              <w:t>2026</w:t>
            </w:r>
          </w:p>
        </w:tc>
        <w:tc>
          <w:tcPr>
            <w:tcW w:w="868" w:type="dxa"/>
            <w:tcBorders>
              <w:top w:val="single" w:sz="4" w:space="0" w:color="auto"/>
              <w:left w:val="single" w:sz="4" w:space="0" w:color="auto"/>
              <w:bottom w:val="single" w:sz="4" w:space="0" w:color="auto"/>
              <w:right w:val="single" w:sz="4" w:space="0" w:color="auto"/>
            </w:tcBorders>
            <w:vAlign w:val="center"/>
            <w:hideMark/>
          </w:tcPr>
          <w:p w14:paraId="05A2356B" w14:textId="77777777" w:rsidR="00320904" w:rsidRDefault="00320904">
            <w:pPr>
              <w:jc w:val="center"/>
              <w:rPr>
                <w:b/>
                <w:noProof/>
                <w:sz w:val="18"/>
              </w:rPr>
            </w:pPr>
            <w:r>
              <w:rPr>
                <w:b/>
                <w:noProof/>
                <w:sz w:val="18"/>
              </w:rPr>
              <w:t>2027</w:t>
            </w:r>
          </w:p>
        </w:tc>
        <w:tc>
          <w:tcPr>
            <w:tcW w:w="887" w:type="dxa"/>
            <w:tcBorders>
              <w:top w:val="single" w:sz="4" w:space="0" w:color="auto"/>
              <w:left w:val="single" w:sz="4" w:space="0" w:color="auto"/>
              <w:bottom w:val="single" w:sz="4" w:space="0" w:color="auto"/>
              <w:right w:val="single" w:sz="4" w:space="0" w:color="auto"/>
            </w:tcBorders>
            <w:hideMark/>
          </w:tcPr>
          <w:p w14:paraId="3AE8036B" w14:textId="77777777" w:rsidR="00320904" w:rsidRDefault="00320904">
            <w:pPr>
              <w:jc w:val="center"/>
              <w:rPr>
                <w:b/>
                <w:noProof/>
                <w:sz w:val="20"/>
              </w:rPr>
            </w:pPr>
            <w:r>
              <w:rPr>
                <w:b/>
                <w:i/>
                <w:noProof/>
                <w:sz w:val="20"/>
              </w:rPr>
              <w:t>Post 2027</w:t>
            </w:r>
          </w:p>
        </w:tc>
        <w:tc>
          <w:tcPr>
            <w:tcW w:w="1291" w:type="dxa"/>
            <w:tcBorders>
              <w:top w:val="single" w:sz="4" w:space="0" w:color="auto"/>
              <w:left w:val="single" w:sz="4" w:space="0" w:color="auto"/>
              <w:bottom w:val="single" w:sz="4" w:space="0" w:color="auto"/>
              <w:right w:val="single" w:sz="4" w:space="0" w:color="auto"/>
            </w:tcBorders>
            <w:vAlign w:val="center"/>
            <w:hideMark/>
          </w:tcPr>
          <w:p w14:paraId="71D7E687" w14:textId="77777777" w:rsidR="00320904" w:rsidRDefault="00320904">
            <w:pPr>
              <w:jc w:val="center"/>
              <w:rPr>
                <w:b/>
                <w:noProof/>
                <w:sz w:val="20"/>
              </w:rPr>
            </w:pPr>
            <w:r>
              <w:rPr>
                <w:b/>
                <w:noProof/>
                <w:sz w:val="20"/>
              </w:rPr>
              <w:t>TOTAL</w:t>
            </w:r>
          </w:p>
        </w:tc>
      </w:tr>
      <w:tr w:rsidR="00320904" w14:paraId="3553416A" w14:textId="77777777" w:rsidTr="00320904">
        <w:trPr>
          <w:trHeight w:val="313"/>
          <w:jc w:val="center"/>
        </w:trPr>
        <w:tc>
          <w:tcPr>
            <w:tcW w:w="6245" w:type="dxa"/>
            <w:gridSpan w:val="2"/>
            <w:tcBorders>
              <w:top w:val="single" w:sz="4" w:space="0" w:color="auto"/>
              <w:left w:val="single" w:sz="4" w:space="0" w:color="auto"/>
              <w:bottom w:val="single" w:sz="4" w:space="0" w:color="auto"/>
              <w:right w:val="single" w:sz="4" w:space="0" w:color="auto"/>
            </w:tcBorders>
            <w:vAlign w:val="center"/>
            <w:hideMark/>
          </w:tcPr>
          <w:p w14:paraId="422316EA" w14:textId="77777777" w:rsidR="00320904" w:rsidRDefault="00320904">
            <w:pPr>
              <w:spacing w:before="20" w:after="20"/>
              <w:rPr>
                <w:noProof/>
              </w:rPr>
            </w:pPr>
            <w:r>
              <w:rPr>
                <w:noProof/>
                <w:sz w:val="22"/>
              </w:rPr>
              <w:t xml:space="preserve">Human resources </w:t>
            </w:r>
          </w:p>
        </w:tc>
        <w:tc>
          <w:tcPr>
            <w:tcW w:w="868" w:type="dxa"/>
            <w:tcBorders>
              <w:top w:val="single" w:sz="4" w:space="0" w:color="auto"/>
              <w:left w:val="single" w:sz="4" w:space="0" w:color="auto"/>
              <w:bottom w:val="single" w:sz="4" w:space="0" w:color="auto"/>
              <w:right w:val="single" w:sz="4" w:space="0" w:color="auto"/>
            </w:tcBorders>
            <w:vAlign w:val="center"/>
          </w:tcPr>
          <w:p w14:paraId="5732D7FD" w14:textId="77777777" w:rsidR="00320904" w:rsidRDefault="00320904">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5494F29B" w14:textId="77777777" w:rsidR="00320904" w:rsidRDefault="00320904">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712BFB26" w14:textId="77777777" w:rsidR="00320904" w:rsidRDefault="00320904">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3F4ECEA6" w14:textId="77777777" w:rsidR="00320904" w:rsidRDefault="00320904">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4D5A9B3C" w14:textId="77777777" w:rsidR="00320904" w:rsidRDefault="00320904">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280219FA" w14:textId="77777777" w:rsidR="00320904" w:rsidRDefault="00320904">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73AB42BD" w14:textId="77777777" w:rsidR="00320904" w:rsidRDefault="00320904">
            <w:pPr>
              <w:spacing w:before="20" w:after="20"/>
              <w:jc w:val="right"/>
              <w:rPr>
                <w:b/>
                <w:noProof/>
                <w:sz w:val="20"/>
              </w:rPr>
            </w:pPr>
          </w:p>
        </w:tc>
        <w:tc>
          <w:tcPr>
            <w:tcW w:w="88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C2C5256" w14:textId="77777777" w:rsidR="00320904" w:rsidRDefault="00320904">
            <w:pPr>
              <w:spacing w:before="20" w:after="20"/>
              <w:jc w:val="right"/>
              <w:rPr>
                <w:b/>
                <w:noProof/>
                <w:sz w:val="20"/>
              </w:rPr>
            </w:pPr>
          </w:p>
        </w:tc>
        <w:tc>
          <w:tcPr>
            <w:tcW w:w="1291" w:type="dxa"/>
            <w:tcBorders>
              <w:top w:val="single" w:sz="4" w:space="0" w:color="auto"/>
              <w:left w:val="single" w:sz="4" w:space="0" w:color="auto"/>
              <w:bottom w:val="single" w:sz="4" w:space="0" w:color="auto"/>
              <w:right w:val="single" w:sz="4" w:space="0" w:color="auto"/>
            </w:tcBorders>
            <w:vAlign w:val="center"/>
          </w:tcPr>
          <w:p w14:paraId="1B5F6285" w14:textId="77777777" w:rsidR="00320904" w:rsidRDefault="00320904">
            <w:pPr>
              <w:spacing w:before="20" w:after="20"/>
              <w:jc w:val="right"/>
              <w:rPr>
                <w:b/>
                <w:noProof/>
                <w:sz w:val="20"/>
              </w:rPr>
            </w:pPr>
          </w:p>
        </w:tc>
      </w:tr>
      <w:tr w:rsidR="00320904" w14:paraId="20ABAE65" w14:textId="77777777" w:rsidTr="00320904">
        <w:trPr>
          <w:trHeight w:val="351"/>
          <w:jc w:val="center"/>
        </w:trPr>
        <w:tc>
          <w:tcPr>
            <w:tcW w:w="6245" w:type="dxa"/>
            <w:gridSpan w:val="2"/>
            <w:tcBorders>
              <w:top w:val="single" w:sz="4" w:space="0" w:color="auto"/>
              <w:left w:val="single" w:sz="4" w:space="0" w:color="auto"/>
              <w:bottom w:val="single" w:sz="4" w:space="0" w:color="auto"/>
              <w:right w:val="single" w:sz="4" w:space="0" w:color="auto"/>
            </w:tcBorders>
            <w:vAlign w:val="center"/>
            <w:hideMark/>
          </w:tcPr>
          <w:p w14:paraId="560142B8" w14:textId="77777777" w:rsidR="00320904" w:rsidRDefault="00320904">
            <w:pPr>
              <w:spacing w:before="20" w:after="20"/>
              <w:rPr>
                <w:noProof/>
              </w:rPr>
            </w:pPr>
            <w:r>
              <w:rPr>
                <w:noProof/>
                <w:sz w:val="22"/>
              </w:rPr>
              <w:t xml:space="preserve">Other administrative expenditure </w:t>
            </w:r>
          </w:p>
        </w:tc>
        <w:tc>
          <w:tcPr>
            <w:tcW w:w="868" w:type="dxa"/>
            <w:tcBorders>
              <w:top w:val="single" w:sz="4" w:space="0" w:color="auto"/>
              <w:left w:val="single" w:sz="4" w:space="0" w:color="auto"/>
              <w:bottom w:val="single" w:sz="4" w:space="0" w:color="auto"/>
              <w:right w:val="single" w:sz="4" w:space="0" w:color="auto"/>
            </w:tcBorders>
            <w:vAlign w:val="center"/>
          </w:tcPr>
          <w:p w14:paraId="09696410" w14:textId="77777777" w:rsidR="00320904" w:rsidRDefault="00320904">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2B307DC6" w14:textId="77777777" w:rsidR="00320904" w:rsidRDefault="00320904">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7E55E519" w14:textId="77777777" w:rsidR="00320904" w:rsidRDefault="00320904">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4042FDEC" w14:textId="77777777" w:rsidR="00320904" w:rsidRDefault="00320904">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65141ABA" w14:textId="77777777" w:rsidR="00320904" w:rsidRDefault="00320904">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4F524329" w14:textId="77777777" w:rsidR="00320904" w:rsidRDefault="00320904">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21E763D2" w14:textId="77777777" w:rsidR="00320904" w:rsidRDefault="00320904">
            <w:pPr>
              <w:spacing w:before="20" w:after="20"/>
              <w:jc w:val="right"/>
              <w:rPr>
                <w:b/>
                <w:noProof/>
                <w:sz w:val="20"/>
              </w:rPr>
            </w:pPr>
          </w:p>
        </w:tc>
        <w:tc>
          <w:tcPr>
            <w:tcW w:w="88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4ED46A8" w14:textId="77777777" w:rsidR="00320904" w:rsidRDefault="00320904">
            <w:pPr>
              <w:spacing w:before="20" w:after="20"/>
              <w:jc w:val="right"/>
              <w:rPr>
                <w:b/>
                <w:noProof/>
                <w:sz w:val="20"/>
              </w:rPr>
            </w:pPr>
          </w:p>
        </w:tc>
        <w:tc>
          <w:tcPr>
            <w:tcW w:w="1291" w:type="dxa"/>
            <w:tcBorders>
              <w:top w:val="single" w:sz="4" w:space="0" w:color="auto"/>
              <w:left w:val="single" w:sz="4" w:space="0" w:color="auto"/>
              <w:bottom w:val="single" w:sz="4" w:space="0" w:color="auto"/>
              <w:right w:val="single" w:sz="4" w:space="0" w:color="auto"/>
            </w:tcBorders>
            <w:vAlign w:val="center"/>
          </w:tcPr>
          <w:p w14:paraId="5DBC6CED" w14:textId="77777777" w:rsidR="00320904" w:rsidRDefault="00320904">
            <w:pPr>
              <w:spacing w:before="20" w:after="20"/>
              <w:jc w:val="right"/>
              <w:rPr>
                <w:b/>
                <w:noProof/>
                <w:sz w:val="20"/>
              </w:rPr>
            </w:pPr>
          </w:p>
        </w:tc>
      </w:tr>
      <w:tr w:rsidR="00320904" w14:paraId="6A4A4CD6" w14:textId="77777777" w:rsidTr="00320904">
        <w:trPr>
          <w:trHeight w:val="351"/>
          <w:jc w:val="center"/>
        </w:trPr>
        <w:tc>
          <w:tcPr>
            <w:tcW w:w="4199" w:type="dxa"/>
            <w:tcBorders>
              <w:top w:val="single" w:sz="4" w:space="0" w:color="auto"/>
              <w:left w:val="single" w:sz="4" w:space="0" w:color="auto"/>
              <w:bottom w:val="single" w:sz="4" w:space="0" w:color="auto"/>
              <w:right w:val="single" w:sz="4" w:space="0" w:color="auto"/>
            </w:tcBorders>
            <w:vAlign w:val="center"/>
            <w:hideMark/>
          </w:tcPr>
          <w:p w14:paraId="754E1A8D" w14:textId="77777777" w:rsidR="00320904" w:rsidRDefault="00320904">
            <w:pPr>
              <w:spacing w:before="20" w:after="20"/>
              <w:jc w:val="left"/>
              <w:rPr>
                <w:b/>
                <w:noProof/>
                <w:sz w:val="22"/>
              </w:rPr>
            </w:pPr>
            <w:r>
              <w:rPr>
                <w:b/>
                <w:noProof/>
                <w:sz w:val="22"/>
              </w:rPr>
              <w:t>TOTAL appropriations under HEADING 7 of the multiannual financial framework</w:t>
            </w:r>
          </w:p>
        </w:tc>
        <w:tc>
          <w:tcPr>
            <w:tcW w:w="2046" w:type="dxa"/>
            <w:tcBorders>
              <w:top w:val="single" w:sz="4" w:space="0" w:color="auto"/>
              <w:left w:val="single" w:sz="4" w:space="0" w:color="auto"/>
              <w:bottom w:val="single" w:sz="4" w:space="0" w:color="auto"/>
              <w:right w:val="single" w:sz="4" w:space="0" w:color="auto"/>
            </w:tcBorders>
            <w:vAlign w:val="center"/>
            <w:hideMark/>
          </w:tcPr>
          <w:p w14:paraId="505D8676" w14:textId="77777777" w:rsidR="00320904" w:rsidRDefault="00320904">
            <w:pPr>
              <w:spacing w:before="20" w:after="20"/>
              <w:rPr>
                <w:noProof/>
                <w:sz w:val="22"/>
              </w:rPr>
            </w:pPr>
            <w:r>
              <w:rPr>
                <w:noProof/>
                <w:sz w:val="18"/>
              </w:rPr>
              <w:t>(Total commitments = Total payments)</w:t>
            </w:r>
          </w:p>
        </w:tc>
        <w:tc>
          <w:tcPr>
            <w:tcW w:w="868" w:type="dxa"/>
            <w:tcBorders>
              <w:top w:val="single" w:sz="4" w:space="0" w:color="auto"/>
              <w:left w:val="single" w:sz="4" w:space="0" w:color="auto"/>
              <w:bottom w:val="single" w:sz="4" w:space="0" w:color="auto"/>
              <w:right w:val="single" w:sz="4" w:space="0" w:color="auto"/>
            </w:tcBorders>
            <w:vAlign w:val="center"/>
          </w:tcPr>
          <w:p w14:paraId="2EFC44CB" w14:textId="77777777" w:rsidR="00320904" w:rsidRDefault="00320904">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1EE7F71D" w14:textId="77777777" w:rsidR="00320904" w:rsidRDefault="00320904">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43FFE56F" w14:textId="77777777" w:rsidR="00320904" w:rsidRDefault="00320904">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4B119B41" w14:textId="77777777" w:rsidR="00320904" w:rsidRDefault="00320904">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7D7DF4D6" w14:textId="77777777" w:rsidR="00320904" w:rsidRDefault="00320904">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6426A8FB" w14:textId="77777777" w:rsidR="00320904" w:rsidRDefault="00320904">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3A2D8D1C" w14:textId="77777777" w:rsidR="00320904" w:rsidRDefault="00320904">
            <w:pPr>
              <w:spacing w:before="20" w:after="20"/>
              <w:jc w:val="right"/>
              <w:rPr>
                <w:b/>
                <w:noProof/>
                <w:sz w:val="20"/>
              </w:rPr>
            </w:pPr>
          </w:p>
        </w:tc>
        <w:tc>
          <w:tcPr>
            <w:tcW w:w="88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08B428B" w14:textId="77777777" w:rsidR="00320904" w:rsidRDefault="00320904">
            <w:pPr>
              <w:spacing w:before="20" w:after="20"/>
              <w:jc w:val="right"/>
              <w:rPr>
                <w:b/>
                <w:noProof/>
                <w:sz w:val="20"/>
              </w:rPr>
            </w:pPr>
          </w:p>
        </w:tc>
        <w:tc>
          <w:tcPr>
            <w:tcW w:w="1291" w:type="dxa"/>
            <w:tcBorders>
              <w:top w:val="single" w:sz="4" w:space="0" w:color="auto"/>
              <w:left w:val="single" w:sz="4" w:space="0" w:color="auto"/>
              <w:bottom w:val="single" w:sz="4" w:space="0" w:color="auto"/>
              <w:right w:val="single" w:sz="4" w:space="0" w:color="auto"/>
            </w:tcBorders>
            <w:vAlign w:val="center"/>
          </w:tcPr>
          <w:p w14:paraId="79847A07" w14:textId="77777777" w:rsidR="00320904" w:rsidRDefault="00320904">
            <w:pPr>
              <w:spacing w:before="20" w:after="20"/>
              <w:jc w:val="right"/>
              <w:rPr>
                <w:b/>
                <w:noProof/>
                <w:sz w:val="20"/>
              </w:rPr>
            </w:pPr>
          </w:p>
        </w:tc>
      </w:tr>
    </w:tbl>
    <w:p w14:paraId="3F72A182" w14:textId="77777777" w:rsidR="00320904" w:rsidRDefault="00320904" w:rsidP="00320904">
      <w:pPr>
        <w:jc w:val="right"/>
        <w:rPr>
          <w:noProof/>
          <w:sz w:val="20"/>
        </w:rPr>
      </w:pPr>
      <w:r>
        <w:rPr>
          <w:noProof/>
          <w:sz w:val="20"/>
        </w:rPr>
        <w:t>EUR million (to three decimal places)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rsidR="00320904" w14:paraId="6D40D34C" w14:textId="77777777" w:rsidTr="00320904">
        <w:trPr>
          <w:jc w:val="center"/>
        </w:trPr>
        <w:tc>
          <w:tcPr>
            <w:tcW w:w="4173" w:type="dxa"/>
            <w:tcBorders>
              <w:top w:val="nil"/>
              <w:left w:val="nil"/>
              <w:bottom w:val="single" w:sz="4" w:space="0" w:color="auto"/>
              <w:right w:val="nil"/>
            </w:tcBorders>
            <w:vAlign w:val="center"/>
          </w:tcPr>
          <w:p w14:paraId="2BAAC40E" w14:textId="77777777" w:rsidR="00320904" w:rsidRDefault="00320904">
            <w:pPr>
              <w:jc w:val="center"/>
              <w:rPr>
                <w:noProof/>
                <w:highlight w:val="yellow"/>
              </w:rPr>
            </w:pPr>
          </w:p>
        </w:tc>
        <w:tc>
          <w:tcPr>
            <w:tcW w:w="1560" w:type="dxa"/>
            <w:tcBorders>
              <w:top w:val="nil"/>
              <w:left w:val="nil"/>
              <w:bottom w:val="single" w:sz="4" w:space="0" w:color="auto"/>
              <w:right w:val="nil"/>
            </w:tcBorders>
          </w:tcPr>
          <w:p w14:paraId="51302008" w14:textId="77777777" w:rsidR="00320904" w:rsidRDefault="00320904">
            <w:pPr>
              <w:rPr>
                <w:noProof/>
                <w:sz w:val="20"/>
              </w:rPr>
            </w:pPr>
          </w:p>
        </w:tc>
        <w:tc>
          <w:tcPr>
            <w:tcW w:w="534" w:type="dxa"/>
            <w:tcBorders>
              <w:top w:val="nil"/>
              <w:left w:val="nil"/>
              <w:bottom w:val="single" w:sz="4" w:space="0" w:color="auto"/>
              <w:right w:val="single" w:sz="4" w:space="0" w:color="auto"/>
            </w:tcBorders>
          </w:tcPr>
          <w:p w14:paraId="3E49AFAB" w14:textId="77777777" w:rsidR="00320904" w:rsidRDefault="00320904">
            <w:pPr>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BE50804" w14:textId="77777777" w:rsidR="00320904" w:rsidRDefault="00320904">
            <w:pPr>
              <w:jc w:val="center"/>
              <w:rPr>
                <w:noProof/>
                <w:sz w:val="20"/>
              </w:rPr>
            </w:pPr>
            <w:r>
              <w:rPr>
                <w:b/>
                <w:noProof/>
                <w:sz w:val="20"/>
              </w:rPr>
              <w:t>2021</w:t>
            </w:r>
          </w:p>
        </w:tc>
        <w:tc>
          <w:tcPr>
            <w:tcW w:w="868" w:type="dxa"/>
            <w:tcBorders>
              <w:top w:val="single" w:sz="4" w:space="0" w:color="auto"/>
              <w:left w:val="single" w:sz="4" w:space="0" w:color="auto"/>
              <w:bottom w:val="single" w:sz="4" w:space="0" w:color="auto"/>
              <w:right w:val="single" w:sz="4" w:space="0" w:color="auto"/>
            </w:tcBorders>
            <w:vAlign w:val="center"/>
            <w:hideMark/>
          </w:tcPr>
          <w:p w14:paraId="0C715394" w14:textId="77777777" w:rsidR="00320904" w:rsidRDefault="00320904">
            <w:pPr>
              <w:jc w:val="center"/>
              <w:rPr>
                <w:noProof/>
                <w:sz w:val="20"/>
              </w:rPr>
            </w:pPr>
            <w:r>
              <w:rPr>
                <w:b/>
                <w:noProof/>
                <w:sz w:val="20"/>
              </w:rPr>
              <w:t>2022</w:t>
            </w:r>
          </w:p>
        </w:tc>
        <w:tc>
          <w:tcPr>
            <w:tcW w:w="868" w:type="dxa"/>
            <w:tcBorders>
              <w:top w:val="single" w:sz="4" w:space="0" w:color="auto"/>
              <w:left w:val="single" w:sz="4" w:space="0" w:color="auto"/>
              <w:bottom w:val="single" w:sz="4" w:space="0" w:color="auto"/>
              <w:right w:val="single" w:sz="4" w:space="0" w:color="auto"/>
            </w:tcBorders>
            <w:vAlign w:val="center"/>
            <w:hideMark/>
          </w:tcPr>
          <w:p w14:paraId="72A00B3C" w14:textId="77777777" w:rsidR="00320904" w:rsidRDefault="00320904">
            <w:pPr>
              <w:jc w:val="center"/>
              <w:rPr>
                <w:noProof/>
                <w:sz w:val="20"/>
              </w:rPr>
            </w:pPr>
            <w:r>
              <w:rPr>
                <w:b/>
                <w:noProof/>
                <w:sz w:val="20"/>
              </w:rPr>
              <w:t>2023</w:t>
            </w:r>
          </w:p>
        </w:tc>
        <w:tc>
          <w:tcPr>
            <w:tcW w:w="868" w:type="dxa"/>
            <w:tcBorders>
              <w:top w:val="single" w:sz="4" w:space="0" w:color="auto"/>
              <w:left w:val="single" w:sz="4" w:space="0" w:color="auto"/>
              <w:bottom w:val="single" w:sz="4" w:space="0" w:color="auto"/>
              <w:right w:val="single" w:sz="4" w:space="0" w:color="auto"/>
            </w:tcBorders>
            <w:vAlign w:val="center"/>
            <w:hideMark/>
          </w:tcPr>
          <w:p w14:paraId="00DBFF07" w14:textId="77777777" w:rsidR="00320904" w:rsidRDefault="00320904">
            <w:pPr>
              <w:jc w:val="center"/>
              <w:rPr>
                <w:noProof/>
                <w:sz w:val="20"/>
              </w:rPr>
            </w:pPr>
            <w:r>
              <w:rPr>
                <w:b/>
                <w:noProof/>
                <w:sz w:val="20"/>
              </w:rPr>
              <w:t>2024</w:t>
            </w:r>
          </w:p>
        </w:tc>
        <w:tc>
          <w:tcPr>
            <w:tcW w:w="868" w:type="dxa"/>
            <w:tcBorders>
              <w:top w:val="single" w:sz="4" w:space="0" w:color="auto"/>
              <w:left w:val="single" w:sz="4" w:space="0" w:color="auto"/>
              <w:bottom w:val="single" w:sz="4" w:space="0" w:color="auto"/>
              <w:right w:val="single" w:sz="4" w:space="0" w:color="auto"/>
            </w:tcBorders>
            <w:vAlign w:val="center"/>
            <w:hideMark/>
          </w:tcPr>
          <w:p w14:paraId="12D35755" w14:textId="77777777" w:rsidR="00320904" w:rsidRDefault="00320904">
            <w:pPr>
              <w:jc w:val="center"/>
              <w:rPr>
                <w:b/>
                <w:noProof/>
                <w:sz w:val="18"/>
              </w:rPr>
            </w:pPr>
            <w:r>
              <w:rPr>
                <w:b/>
                <w:noProof/>
                <w:sz w:val="18"/>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14:paraId="50CA1CAA" w14:textId="77777777" w:rsidR="00320904" w:rsidRDefault="00320904">
            <w:pPr>
              <w:jc w:val="center"/>
              <w:rPr>
                <w:b/>
                <w:noProof/>
                <w:sz w:val="18"/>
              </w:rPr>
            </w:pPr>
            <w:r>
              <w:rPr>
                <w:b/>
                <w:noProof/>
                <w:sz w:val="18"/>
              </w:rPr>
              <w:t>2026</w:t>
            </w:r>
          </w:p>
        </w:tc>
        <w:tc>
          <w:tcPr>
            <w:tcW w:w="868" w:type="dxa"/>
            <w:tcBorders>
              <w:top w:val="single" w:sz="4" w:space="0" w:color="auto"/>
              <w:left w:val="single" w:sz="4" w:space="0" w:color="auto"/>
              <w:bottom w:val="single" w:sz="4" w:space="0" w:color="auto"/>
              <w:right w:val="single" w:sz="4" w:space="0" w:color="auto"/>
            </w:tcBorders>
            <w:vAlign w:val="center"/>
            <w:hideMark/>
          </w:tcPr>
          <w:p w14:paraId="74BA815B" w14:textId="77777777" w:rsidR="00320904" w:rsidRDefault="00320904">
            <w:pPr>
              <w:jc w:val="center"/>
              <w:rPr>
                <w:b/>
                <w:noProof/>
                <w:sz w:val="18"/>
              </w:rPr>
            </w:pPr>
            <w:r>
              <w:rPr>
                <w:b/>
                <w:noProof/>
                <w:sz w:val="18"/>
              </w:rPr>
              <w:t>2027</w:t>
            </w:r>
          </w:p>
        </w:tc>
        <w:tc>
          <w:tcPr>
            <w:tcW w:w="877" w:type="dxa"/>
            <w:tcBorders>
              <w:top w:val="single" w:sz="4" w:space="0" w:color="auto"/>
              <w:left w:val="single" w:sz="4" w:space="0" w:color="auto"/>
              <w:bottom w:val="single" w:sz="4" w:space="0" w:color="auto"/>
              <w:right w:val="single" w:sz="4" w:space="0" w:color="auto"/>
            </w:tcBorders>
            <w:hideMark/>
          </w:tcPr>
          <w:p w14:paraId="32016F41" w14:textId="77777777" w:rsidR="00320904" w:rsidRDefault="00320904">
            <w:pPr>
              <w:jc w:val="center"/>
              <w:rPr>
                <w:b/>
                <w:noProof/>
                <w:sz w:val="20"/>
              </w:rPr>
            </w:pPr>
            <w:r>
              <w:rPr>
                <w:b/>
                <w:i/>
                <w:noProof/>
                <w:sz w:val="20"/>
              </w:rPr>
              <w:t>Post 2027</w:t>
            </w:r>
          </w:p>
        </w:tc>
        <w:tc>
          <w:tcPr>
            <w:tcW w:w="1292" w:type="dxa"/>
            <w:tcBorders>
              <w:top w:val="single" w:sz="4" w:space="0" w:color="auto"/>
              <w:left w:val="single" w:sz="4" w:space="0" w:color="auto"/>
              <w:bottom w:val="single" w:sz="4" w:space="0" w:color="auto"/>
              <w:right w:val="single" w:sz="4" w:space="0" w:color="auto"/>
            </w:tcBorders>
            <w:vAlign w:val="center"/>
            <w:hideMark/>
          </w:tcPr>
          <w:p w14:paraId="7C15D95E" w14:textId="77777777" w:rsidR="00320904" w:rsidRDefault="00320904">
            <w:pPr>
              <w:jc w:val="center"/>
              <w:rPr>
                <w:b/>
                <w:noProof/>
                <w:sz w:val="20"/>
              </w:rPr>
            </w:pPr>
            <w:r>
              <w:rPr>
                <w:b/>
                <w:noProof/>
                <w:sz w:val="20"/>
              </w:rPr>
              <w:t>TOTAL</w:t>
            </w:r>
          </w:p>
        </w:tc>
      </w:tr>
      <w:tr w:rsidR="00320904" w14:paraId="33C78707" w14:textId="77777777" w:rsidTr="00320904">
        <w:trPr>
          <w:jc w:val="center"/>
        </w:trPr>
        <w:tc>
          <w:tcPr>
            <w:tcW w:w="4173"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6AF6F707" w14:textId="77777777" w:rsidR="00320904" w:rsidRDefault="00320904">
            <w:pPr>
              <w:jc w:val="center"/>
              <w:rPr>
                <w:b/>
                <w:noProof/>
              </w:rPr>
            </w:pPr>
            <w:r>
              <w:rPr>
                <w:b/>
                <w:noProof/>
                <w:sz w:val="22"/>
              </w:rPr>
              <w:t xml:space="preserve">TOTAL appropriations </w:t>
            </w:r>
            <w:r>
              <w:rPr>
                <w:noProof/>
                <w:sz w:val="22"/>
              </w:rPr>
              <w:br/>
            </w:r>
            <w:r>
              <w:rPr>
                <w:b/>
                <w:noProof/>
                <w:sz w:val="22"/>
              </w:rPr>
              <w:t xml:space="preserve">across HEADINGS </w:t>
            </w:r>
            <w:r>
              <w:rPr>
                <w:noProof/>
                <w:sz w:val="22"/>
              </w:rPr>
              <w:br/>
              <w:t>of the multiannual financial framework</w:t>
            </w:r>
            <w:r>
              <w:rPr>
                <w:b/>
                <w:noProof/>
                <w:sz w:val="22"/>
              </w:rPr>
              <w:t xml:space="preserve"> </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14:paraId="1F6FC174" w14:textId="77777777" w:rsidR="00320904" w:rsidRDefault="00320904">
            <w:pPr>
              <w:rPr>
                <w:noProof/>
                <w:sz w:val="14"/>
              </w:rPr>
            </w:pPr>
            <w:r>
              <w:rPr>
                <w:noProof/>
                <w:sz w:val="18"/>
              </w:rPr>
              <w:t>Commitments</w:t>
            </w:r>
          </w:p>
        </w:tc>
        <w:tc>
          <w:tcPr>
            <w:tcW w:w="868" w:type="dxa"/>
            <w:tcBorders>
              <w:top w:val="single" w:sz="4" w:space="0" w:color="auto"/>
              <w:left w:val="single" w:sz="4" w:space="0" w:color="auto"/>
              <w:bottom w:val="single" w:sz="4" w:space="0" w:color="auto"/>
              <w:right w:val="single" w:sz="4" w:space="0" w:color="auto"/>
            </w:tcBorders>
            <w:vAlign w:val="center"/>
          </w:tcPr>
          <w:p w14:paraId="1D5D4700" w14:textId="77777777" w:rsidR="00320904" w:rsidRDefault="00320904">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1E7985E5" w14:textId="77777777" w:rsidR="00320904" w:rsidRDefault="00320904">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37127331" w14:textId="77777777" w:rsidR="00320904" w:rsidRDefault="00320904">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59D9DFD6" w14:textId="77777777" w:rsidR="00320904" w:rsidRDefault="00320904">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166D080F" w14:textId="77777777" w:rsidR="00320904" w:rsidRDefault="00320904">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6FDAEFD4" w14:textId="77777777" w:rsidR="00320904" w:rsidRDefault="00320904">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3D2F83B0" w14:textId="77777777" w:rsidR="00320904" w:rsidRDefault="00320904">
            <w:pPr>
              <w:spacing w:before="60" w:after="60"/>
              <w:jc w:val="right"/>
              <w:rPr>
                <w:b/>
                <w:noProof/>
                <w:sz w:val="20"/>
              </w:rPr>
            </w:pPr>
          </w:p>
        </w:tc>
        <w:tc>
          <w:tcPr>
            <w:tcW w:w="8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2DBD186" w14:textId="77777777" w:rsidR="00320904" w:rsidRDefault="00320904">
            <w:pPr>
              <w:spacing w:before="60" w:after="60"/>
              <w:jc w:val="right"/>
              <w:rPr>
                <w:b/>
                <w:noProof/>
                <w:sz w:val="20"/>
              </w:rPr>
            </w:pPr>
          </w:p>
        </w:tc>
        <w:tc>
          <w:tcPr>
            <w:tcW w:w="1292" w:type="dxa"/>
            <w:tcBorders>
              <w:top w:val="single" w:sz="4" w:space="0" w:color="auto"/>
              <w:left w:val="single" w:sz="4" w:space="0" w:color="auto"/>
              <w:bottom w:val="single" w:sz="4" w:space="0" w:color="auto"/>
              <w:right w:val="single" w:sz="4" w:space="0" w:color="auto"/>
            </w:tcBorders>
            <w:vAlign w:val="center"/>
          </w:tcPr>
          <w:p w14:paraId="2601F2AC" w14:textId="77777777" w:rsidR="00320904" w:rsidRDefault="00320904">
            <w:pPr>
              <w:spacing w:before="60" w:after="60"/>
              <w:jc w:val="right"/>
              <w:rPr>
                <w:b/>
                <w:noProof/>
                <w:sz w:val="20"/>
              </w:rPr>
            </w:pPr>
          </w:p>
        </w:tc>
      </w:tr>
      <w:tr w:rsidR="00320904" w14:paraId="0C5A851D" w14:textId="77777777" w:rsidTr="00320904">
        <w:trPr>
          <w:jc w:val="center"/>
        </w:trPr>
        <w:tc>
          <w:tcPr>
            <w:tcW w:w="4173" w:type="dxa"/>
            <w:vMerge/>
            <w:tcBorders>
              <w:top w:val="single" w:sz="4" w:space="0" w:color="auto"/>
              <w:left w:val="single" w:sz="4" w:space="0" w:color="auto"/>
              <w:bottom w:val="single" w:sz="4" w:space="0" w:color="auto"/>
              <w:right w:val="single" w:sz="4" w:space="0" w:color="auto"/>
            </w:tcBorders>
            <w:vAlign w:val="center"/>
            <w:hideMark/>
          </w:tcPr>
          <w:p w14:paraId="0893E985" w14:textId="77777777" w:rsidR="00320904" w:rsidRDefault="00320904">
            <w:pPr>
              <w:spacing w:before="0" w:after="0"/>
              <w:jc w:val="left"/>
              <w:rPr>
                <w:b/>
                <w:noProof/>
              </w:rPr>
            </w:pP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14:paraId="2D723BDB" w14:textId="77777777" w:rsidR="00320904" w:rsidRDefault="00320904">
            <w:pPr>
              <w:rPr>
                <w:noProof/>
                <w:sz w:val="14"/>
              </w:rPr>
            </w:pPr>
            <w:r>
              <w:rPr>
                <w:noProof/>
                <w:sz w:val="18"/>
              </w:rPr>
              <w:t>Payments</w:t>
            </w:r>
          </w:p>
        </w:tc>
        <w:tc>
          <w:tcPr>
            <w:tcW w:w="868" w:type="dxa"/>
            <w:tcBorders>
              <w:top w:val="single" w:sz="4" w:space="0" w:color="auto"/>
              <w:left w:val="single" w:sz="4" w:space="0" w:color="auto"/>
              <w:bottom w:val="single" w:sz="4" w:space="0" w:color="auto"/>
              <w:right w:val="single" w:sz="4" w:space="0" w:color="auto"/>
            </w:tcBorders>
            <w:vAlign w:val="center"/>
          </w:tcPr>
          <w:p w14:paraId="126EFE4D" w14:textId="77777777" w:rsidR="00320904" w:rsidRDefault="00320904">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471E9D39" w14:textId="77777777" w:rsidR="00320904" w:rsidRDefault="00320904">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7C8277F5" w14:textId="77777777" w:rsidR="00320904" w:rsidRDefault="00320904">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3440F38E" w14:textId="77777777" w:rsidR="00320904" w:rsidRDefault="00320904">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3ACC6AAC" w14:textId="77777777" w:rsidR="00320904" w:rsidRDefault="00320904">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4F252B64" w14:textId="77777777" w:rsidR="00320904" w:rsidRDefault="00320904">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5FFE6C2D" w14:textId="77777777" w:rsidR="00320904" w:rsidRDefault="00320904">
            <w:pPr>
              <w:spacing w:before="60" w:after="60"/>
              <w:jc w:val="right"/>
              <w:rPr>
                <w:b/>
                <w:noProof/>
                <w:sz w:val="20"/>
              </w:rPr>
            </w:pPr>
          </w:p>
        </w:tc>
        <w:tc>
          <w:tcPr>
            <w:tcW w:w="877" w:type="dxa"/>
            <w:tcBorders>
              <w:top w:val="single" w:sz="4" w:space="0" w:color="auto"/>
              <w:left w:val="single" w:sz="4" w:space="0" w:color="auto"/>
              <w:bottom w:val="single" w:sz="4" w:space="0" w:color="auto"/>
              <w:right w:val="single" w:sz="4" w:space="0" w:color="auto"/>
            </w:tcBorders>
          </w:tcPr>
          <w:p w14:paraId="3E88D3D0" w14:textId="77777777" w:rsidR="00320904" w:rsidRDefault="00320904">
            <w:pPr>
              <w:spacing w:before="60" w:after="60"/>
              <w:jc w:val="right"/>
              <w:rPr>
                <w:b/>
                <w:noProof/>
                <w:sz w:val="20"/>
              </w:rPr>
            </w:pPr>
          </w:p>
        </w:tc>
        <w:tc>
          <w:tcPr>
            <w:tcW w:w="1292" w:type="dxa"/>
            <w:tcBorders>
              <w:top w:val="single" w:sz="4" w:space="0" w:color="auto"/>
              <w:left w:val="single" w:sz="4" w:space="0" w:color="auto"/>
              <w:bottom w:val="single" w:sz="4" w:space="0" w:color="auto"/>
              <w:right w:val="single" w:sz="4" w:space="0" w:color="auto"/>
            </w:tcBorders>
            <w:vAlign w:val="center"/>
          </w:tcPr>
          <w:p w14:paraId="2232A7C2" w14:textId="77777777" w:rsidR="00320904" w:rsidRDefault="00320904">
            <w:pPr>
              <w:spacing w:before="60" w:after="60"/>
              <w:jc w:val="right"/>
              <w:rPr>
                <w:b/>
                <w:noProof/>
                <w:sz w:val="20"/>
              </w:rPr>
            </w:pPr>
          </w:p>
        </w:tc>
      </w:tr>
    </w:tbl>
    <w:p w14:paraId="07B14F87" w14:textId="77777777" w:rsidR="00320904" w:rsidRDefault="00320904" w:rsidP="00320904">
      <w:pPr>
        <w:spacing w:before="0" w:after="0"/>
        <w:jc w:val="left"/>
        <w:rPr>
          <w:noProof/>
        </w:rPr>
        <w:sectPr w:rsidR="00320904" w:rsidSect="00AA0B5E">
          <w:headerReference w:type="default" r:id="rId25"/>
          <w:footerReference w:type="default" r:id="rId26"/>
          <w:headerReference w:type="first" r:id="rId27"/>
          <w:footerReference w:type="first" r:id="rId28"/>
          <w:pgSz w:w="16840" w:h="11907" w:orient="landscape"/>
          <w:pgMar w:top="1134" w:right="1418" w:bottom="1134" w:left="1418" w:header="709" w:footer="709" w:gutter="0"/>
          <w:cols w:space="720"/>
          <w:docGrid w:linePitch="326"/>
        </w:sectPr>
      </w:pPr>
    </w:p>
    <w:p w14:paraId="3844A50B" w14:textId="77777777" w:rsidR="00320904" w:rsidRDefault="00320904" w:rsidP="00A42355">
      <w:pPr>
        <w:pStyle w:val="Heading3"/>
        <w:numPr>
          <w:ilvl w:val="2"/>
          <w:numId w:val="16"/>
        </w:numPr>
        <w:rPr>
          <w:bCs w:val="0"/>
          <w:noProof/>
          <w:szCs w:val="24"/>
        </w:rPr>
      </w:pPr>
      <w:r>
        <w:rPr>
          <w:noProof/>
        </w:rPr>
        <w:t>Summary of estimated impact on appropriations of an administrative nature</w:t>
      </w:r>
    </w:p>
    <w:p w14:paraId="3C7C56E9" w14:textId="77777777" w:rsidR="00320904" w:rsidRDefault="00320904" w:rsidP="00320904">
      <w:pPr>
        <w:pStyle w:val="ListDash1"/>
        <w:rPr>
          <w:noProof/>
        </w:rPr>
      </w:pPr>
      <w:r>
        <w:rPr>
          <w:noProof/>
        </w:rPr>
        <w:sym w:font="Wingdings" w:char="F0A8"/>
      </w:r>
      <w:r>
        <w:rPr>
          <w:noProof/>
        </w:rPr>
        <w:tab/>
        <w:t xml:space="preserve">The proposal/initiative does not require the use of appropriations of an administrative nature </w:t>
      </w:r>
    </w:p>
    <w:p w14:paraId="091F002A" w14:textId="77777777" w:rsidR="00320904" w:rsidRDefault="00320904" w:rsidP="00320904">
      <w:pPr>
        <w:pStyle w:val="ListDash1"/>
        <w:rPr>
          <w:noProof/>
        </w:rPr>
      </w:pPr>
      <w:r>
        <w:rPr>
          <w:noProof/>
        </w:rPr>
        <w:sym w:font="Wingdings" w:char="F078"/>
      </w:r>
      <w:r>
        <w:rPr>
          <w:noProof/>
        </w:rPr>
        <w:tab/>
        <w:t>The proposal/initiative requires the use of appropriations of an administrative nature, as explained below:</w:t>
      </w:r>
    </w:p>
    <w:p w14:paraId="055604BB" w14:textId="09A2F454" w:rsidR="00320904" w:rsidRDefault="00320904" w:rsidP="008742F8">
      <w:pPr>
        <w:pStyle w:val="Point1"/>
        <w:ind w:firstLine="1"/>
        <w:rPr>
          <w:noProof/>
        </w:rPr>
      </w:pPr>
      <w:r>
        <w:rPr>
          <w:noProof/>
        </w:rPr>
        <w:t>The proposal does not modify the impact estimated in the legislative financial statement accompanying the Commission proposal for the period post 2020 (cf. COM(2018) 392).</w:t>
      </w:r>
    </w:p>
    <w:p w14:paraId="5000399F" w14:textId="77777777" w:rsidR="00320904" w:rsidRDefault="00320904" w:rsidP="00320904">
      <w:pPr>
        <w:rPr>
          <w:noProof/>
          <w:sz w:val="20"/>
        </w:rPr>
      </w:pPr>
      <w:r>
        <w:rPr>
          <w:noProof/>
          <w:sz w:val="20"/>
        </w:rPr>
        <w:t>EUR million (to three decimal places)</w:t>
      </w:r>
    </w:p>
    <w:tbl>
      <w:tblPr>
        <w:tblW w:w="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320904" w14:paraId="1CF61C56" w14:textId="77777777" w:rsidTr="00320904">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14:paraId="33AF71BD" w14:textId="77777777" w:rsidR="00320904" w:rsidRDefault="00320904">
            <w:pPr>
              <w:spacing w:before="60" w:after="60" w:line="200" w:lineRule="exact"/>
              <w:jc w:val="center"/>
              <w:rPr>
                <w:b/>
                <w:noProof/>
                <w:sz w:val="16"/>
                <w:szCs w:val="16"/>
              </w:rPr>
            </w:pPr>
            <w:r>
              <w:rPr>
                <w:b/>
                <w:noProof/>
                <w:sz w:val="16"/>
                <w:szCs w:val="16"/>
              </w:rPr>
              <w:t>Years</w:t>
            </w:r>
          </w:p>
        </w:tc>
        <w:tc>
          <w:tcPr>
            <w:tcW w:w="1080" w:type="dxa"/>
            <w:tcBorders>
              <w:top w:val="single" w:sz="2" w:space="0" w:color="auto"/>
              <w:left w:val="single" w:sz="2" w:space="0" w:color="auto"/>
              <w:bottom w:val="single" w:sz="2" w:space="0" w:color="auto"/>
              <w:right w:val="single" w:sz="2" w:space="0" w:color="auto"/>
            </w:tcBorders>
            <w:vAlign w:val="center"/>
            <w:hideMark/>
          </w:tcPr>
          <w:p w14:paraId="6CAB257E" w14:textId="77777777" w:rsidR="00320904" w:rsidRDefault="00320904">
            <w:pPr>
              <w:spacing w:before="60" w:after="60" w:line="200" w:lineRule="exact"/>
              <w:jc w:val="center"/>
              <w:rPr>
                <w:noProof/>
                <w:sz w:val="16"/>
                <w:szCs w:val="16"/>
              </w:rPr>
            </w:pPr>
            <w:r>
              <w:rPr>
                <w:b/>
                <w:noProof/>
                <w:sz w:val="20"/>
              </w:rPr>
              <w:t>2021</w:t>
            </w:r>
          </w:p>
        </w:tc>
        <w:tc>
          <w:tcPr>
            <w:tcW w:w="1080" w:type="dxa"/>
            <w:tcBorders>
              <w:top w:val="single" w:sz="2" w:space="0" w:color="auto"/>
              <w:left w:val="single" w:sz="2" w:space="0" w:color="auto"/>
              <w:bottom w:val="single" w:sz="2" w:space="0" w:color="auto"/>
              <w:right w:val="single" w:sz="2" w:space="0" w:color="auto"/>
            </w:tcBorders>
            <w:vAlign w:val="center"/>
            <w:hideMark/>
          </w:tcPr>
          <w:p w14:paraId="7CCA37B3" w14:textId="77777777" w:rsidR="00320904" w:rsidRDefault="00320904">
            <w:pPr>
              <w:spacing w:before="60" w:after="60" w:line="200" w:lineRule="exact"/>
              <w:jc w:val="center"/>
              <w:rPr>
                <w:noProof/>
                <w:sz w:val="16"/>
                <w:szCs w:val="16"/>
              </w:rPr>
            </w:pPr>
            <w:r>
              <w:rPr>
                <w:b/>
                <w:noProof/>
                <w:sz w:val="20"/>
              </w:rPr>
              <w:t>2022</w:t>
            </w:r>
          </w:p>
        </w:tc>
        <w:tc>
          <w:tcPr>
            <w:tcW w:w="1080" w:type="dxa"/>
            <w:tcBorders>
              <w:top w:val="single" w:sz="2" w:space="0" w:color="auto"/>
              <w:left w:val="single" w:sz="2" w:space="0" w:color="auto"/>
              <w:bottom w:val="single" w:sz="2" w:space="0" w:color="auto"/>
              <w:right w:val="single" w:sz="2" w:space="0" w:color="auto"/>
            </w:tcBorders>
            <w:vAlign w:val="center"/>
            <w:hideMark/>
          </w:tcPr>
          <w:p w14:paraId="74C7C1A4" w14:textId="77777777" w:rsidR="00320904" w:rsidRDefault="00320904">
            <w:pPr>
              <w:spacing w:before="60" w:after="60" w:line="200" w:lineRule="exact"/>
              <w:jc w:val="center"/>
              <w:rPr>
                <w:noProof/>
                <w:sz w:val="16"/>
                <w:szCs w:val="16"/>
              </w:rPr>
            </w:pPr>
            <w:r>
              <w:rPr>
                <w:b/>
                <w:noProof/>
                <w:sz w:val="20"/>
              </w:rPr>
              <w:t>2023</w:t>
            </w:r>
          </w:p>
        </w:tc>
        <w:tc>
          <w:tcPr>
            <w:tcW w:w="1080" w:type="dxa"/>
            <w:tcBorders>
              <w:top w:val="single" w:sz="2" w:space="0" w:color="auto"/>
              <w:left w:val="single" w:sz="2" w:space="0" w:color="auto"/>
              <w:bottom w:val="single" w:sz="2" w:space="0" w:color="auto"/>
              <w:right w:val="single" w:sz="2" w:space="0" w:color="auto"/>
            </w:tcBorders>
            <w:vAlign w:val="center"/>
            <w:hideMark/>
          </w:tcPr>
          <w:p w14:paraId="2E5C94E9" w14:textId="77777777" w:rsidR="00320904" w:rsidRDefault="00320904">
            <w:pPr>
              <w:spacing w:before="60" w:after="60" w:line="200" w:lineRule="exact"/>
              <w:jc w:val="center"/>
              <w:rPr>
                <w:noProof/>
                <w:sz w:val="16"/>
                <w:szCs w:val="16"/>
              </w:rPr>
            </w:pPr>
            <w:r>
              <w:rPr>
                <w:b/>
                <w:noProof/>
                <w:sz w:val="20"/>
              </w:rPr>
              <w:t>2024</w:t>
            </w:r>
          </w:p>
        </w:tc>
        <w:tc>
          <w:tcPr>
            <w:tcW w:w="1080" w:type="dxa"/>
            <w:tcBorders>
              <w:top w:val="single" w:sz="2" w:space="0" w:color="auto"/>
              <w:left w:val="single" w:sz="2" w:space="0" w:color="auto"/>
              <w:bottom w:val="single" w:sz="2" w:space="0" w:color="auto"/>
              <w:right w:val="single" w:sz="2" w:space="0" w:color="auto"/>
            </w:tcBorders>
            <w:vAlign w:val="center"/>
            <w:hideMark/>
          </w:tcPr>
          <w:p w14:paraId="30C96A83" w14:textId="77777777" w:rsidR="00320904" w:rsidRDefault="00320904">
            <w:pPr>
              <w:spacing w:line="200" w:lineRule="exact"/>
              <w:jc w:val="center"/>
              <w:rPr>
                <w:b/>
                <w:noProof/>
                <w:sz w:val="16"/>
                <w:szCs w:val="16"/>
              </w:rPr>
            </w:pPr>
            <w:r>
              <w:rPr>
                <w:b/>
                <w:noProof/>
                <w:sz w:val="18"/>
              </w:rPr>
              <w:t>2025</w:t>
            </w:r>
          </w:p>
        </w:tc>
        <w:tc>
          <w:tcPr>
            <w:tcW w:w="1080" w:type="dxa"/>
            <w:tcBorders>
              <w:top w:val="single" w:sz="2" w:space="0" w:color="auto"/>
              <w:left w:val="single" w:sz="2" w:space="0" w:color="auto"/>
              <w:bottom w:val="single" w:sz="2" w:space="0" w:color="auto"/>
              <w:right w:val="single" w:sz="2" w:space="0" w:color="auto"/>
            </w:tcBorders>
            <w:vAlign w:val="center"/>
            <w:hideMark/>
          </w:tcPr>
          <w:p w14:paraId="3A080273" w14:textId="77777777" w:rsidR="00320904" w:rsidRDefault="00320904">
            <w:pPr>
              <w:spacing w:line="200" w:lineRule="exact"/>
              <w:jc w:val="center"/>
              <w:rPr>
                <w:b/>
                <w:noProof/>
                <w:sz w:val="16"/>
                <w:szCs w:val="16"/>
              </w:rPr>
            </w:pPr>
            <w:r>
              <w:rPr>
                <w:b/>
                <w:noProof/>
                <w:sz w:val="18"/>
              </w:rPr>
              <w:t>2026</w:t>
            </w:r>
          </w:p>
        </w:tc>
        <w:tc>
          <w:tcPr>
            <w:tcW w:w="1080" w:type="dxa"/>
            <w:tcBorders>
              <w:top w:val="single" w:sz="2" w:space="0" w:color="auto"/>
              <w:left w:val="single" w:sz="2" w:space="0" w:color="auto"/>
              <w:bottom w:val="single" w:sz="2" w:space="0" w:color="auto"/>
              <w:right w:val="single" w:sz="2" w:space="0" w:color="auto"/>
            </w:tcBorders>
            <w:vAlign w:val="center"/>
            <w:hideMark/>
          </w:tcPr>
          <w:p w14:paraId="6052CDF7" w14:textId="77777777" w:rsidR="00320904" w:rsidRDefault="00320904">
            <w:pPr>
              <w:spacing w:line="200" w:lineRule="exact"/>
              <w:jc w:val="center"/>
              <w:rPr>
                <w:b/>
                <w:noProof/>
                <w:sz w:val="16"/>
                <w:szCs w:val="16"/>
              </w:rPr>
            </w:pPr>
            <w:r>
              <w:rPr>
                <w:b/>
                <w:noProof/>
                <w:sz w:val="18"/>
              </w:rPr>
              <w:t>2027</w:t>
            </w:r>
          </w:p>
        </w:tc>
        <w:tc>
          <w:tcPr>
            <w:tcW w:w="1080" w:type="dxa"/>
            <w:tcBorders>
              <w:top w:val="single" w:sz="2" w:space="0" w:color="auto"/>
              <w:left w:val="single" w:sz="2" w:space="0" w:color="auto"/>
              <w:bottom w:val="single" w:sz="2" w:space="0" w:color="auto"/>
              <w:right w:val="single" w:sz="2" w:space="0" w:color="auto"/>
            </w:tcBorders>
            <w:vAlign w:val="center"/>
            <w:hideMark/>
          </w:tcPr>
          <w:p w14:paraId="63B474EA" w14:textId="77777777" w:rsidR="00320904" w:rsidRDefault="00320904">
            <w:pPr>
              <w:spacing w:before="60" w:after="60" w:line="200" w:lineRule="exact"/>
              <w:jc w:val="center"/>
              <w:rPr>
                <w:b/>
                <w:noProof/>
                <w:sz w:val="16"/>
                <w:szCs w:val="16"/>
              </w:rPr>
            </w:pPr>
            <w:r>
              <w:rPr>
                <w:b/>
                <w:noProof/>
                <w:sz w:val="16"/>
              </w:rPr>
              <w:t>TOTAL</w:t>
            </w:r>
          </w:p>
        </w:tc>
      </w:tr>
    </w:tbl>
    <w:p w14:paraId="28A9D53A" w14:textId="77777777" w:rsidR="00320904" w:rsidRDefault="00320904" w:rsidP="00320904">
      <w:pPr>
        <w:spacing w:line="200" w:lineRule="exact"/>
        <w:rPr>
          <w:noProof/>
          <w:sz w:val="16"/>
          <w:szCs w:val="16"/>
        </w:rPr>
      </w:pPr>
    </w:p>
    <w:tbl>
      <w:tblPr>
        <w:tblW w:w="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320904" w14:paraId="2C848831" w14:textId="77777777" w:rsidTr="00320904">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14:paraId="1665DE93" w14:textId="77777777" w:rsidR="00320904" w:rsidRDefault="00320904">
            <w:pPr>
              <w:spacing w:before="60" w:after="60" w:line="200" w:lineRule="exact"/>
              <w:jc w:val="center"/>
              <w:rPr>
                <w:b/>
                <w:noProof/>
                <w:sz w:val="16"/>
                <w:szCs w:val="16"/>
              </w:rPr>
            </w:pPr>
            <w:r>
              <w:rPr>
                <w:b/>
                <w:noProof/>
                <w:sz w:val="16"/>
              </w:rPr>
              <w:t>HEADING 7</w:t>
            </w:r>
            <w:r>
              <w:rPr>
                <w:noProof/>
                <w:sz w:val="22"/>
              </w:rPr>
              <w:br/>
            </w:r>
            <w:r>
              <w:rPr>
                <w:b/>
                <w:noProof/>
                <w:sz w:val="16"/>
              </w:rPr>
              <w:t>of the multiannual financial framework</w:t>
            </w:r>
          </w:p>
        </w:tc>
        <w:tc>
          <w:tcPr>
            <w:tcW w:w="1080" w:type="dxa"/>
            <w:tcBorders>
              <w:top w:val="single" w:sz="2" w:space="0" w:color="auto"/>
              <w:left w:val="single" w:sz="2" w:space="0" w:color="auto"/>
              <w:bottom w:val="single" w:sz="2" w:space="0" w:color="auto"/>
              <w:right w:val="single" w:sz="2" w:space="0" w:color="auto"/>
            </w:tcBorders>
            <w:vAlign w:val="center"/>
          </w:tcPr>
          <w:p w14:paraId="5D187256" w14:textId="77777777" w:rsidR="00320904" w:rsidRDefault="00320904">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0DE72B48" w14:textId="77777777" w:rsidR="00320904" w:rsidRDefault="00320904">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78741B0E" w14:textId="77777777" w:rsidR="00320904" w:rsidRDefault="00320904">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193EE73E" w14:textId="77777777" w:rsidR="00320904" w:rsidRDefault="00320904">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1D39F271" w14:textId="77777777" w:rsidR="00320904" w:rsidRDefault="00320904">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5316A660" w14:textId="77777777" w:rsidR="00320904" w:rsidRDefault="00320904">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26F99C19" w14:textId="77777777" w:rsidR="00320904" w:rsidRDefault="00320904">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50E64226" w14:textId="77777777" w:rsidR="00320904" w:rsidRDefault="00320904">
            <w:pPr>
              <w:spacing w:before="60" w:after="60" w:line="200" w:lineRule="exact"/>
              <w:jc w:val="right"/>
              <w:rPr>
                <w:b/>
                <w:noProof/>
                <w:sz w:val="16"/>
                <w:szCs w:val="16"/>
              </w:rPr>
            </w:pPr>
          </w:p>
        </w:tc>
      </w:tr>
      <w:tr w:rsidR="00320904" w14:paraId="24F9A389" w14:textId="77777777" w:rsidTr="00320904">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14:paraId="73699837" w14:textId="77777777" w:rsidR="00320904" w:rsidRDefault="00320904">
            <w:pPr>
              <w:spacing w:before="60" w:after="60" w:line="200" w:lineRule="exact"/>
              <w:ind w:left="72"/>
              <w:jc w:val="left"/>
              <w:rPr>
                <w:noProof/>
                <w:sz w:val="16"/>
                <w:szCs w:val="16"/>
              </w:rPr>
            </w:pPr>
            <w:r>
              <w:rPr>
                <w:noProof/>
                <w:sz w:val="16"/>
              </w:rPr>
              <w:t xml:space="preserve">Human resources </w:t>
            </w:r>
          </w:p>
        </w:tc>
        <w:tc>
          <w:tcPr>
            <w:tcW w:w="1080" w:type="dxa"/>
            <w:tcBorders>
              <w:top w:val="single" w:sz="2" w:space="0" w:color="auto"/>
              <w:left w:val="single" w:sz="2" w:space="0" w:color="auto"/>
              <w:bottom w:val="single" w:sz="2" w:space="0" w:color="auto"/>
              <w:right w:val="single" w:sz="2" w:space="0" w:color="auto"/>
            </w:tcBorders>
            <w:vAlign w:val="center"/>
          </w:tcPr>
          <w:p w14:paraId="35015CB5" w14:textId="77777777" w:rsidR="00320904" w:rsidRDefault="00320904">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104E66CC" w14:textId="77777777" w:rsidR="00320904" w:rsidRDefault="00320904">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2ACA47D3" w14:textId="77777777" w:rsidR="00320904" w:rsidRDefault="00320904">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2D322778" w14:textId="77777777" w:rsidR="00320904" w:rsidRDefault="00320904">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7820FACF" w14:textId="77777777" w:rsidR="00320904" w:rsidRDefault="00320904">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2442DDB3" w14:textId="77777777" w:rsidR="00320904" w:rsidRDefault="00320904">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343FD14D" w14:textId="77777777" w:rsidR="00320904" w:rsidRDefault="00320904">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0F4D566F" w14:textId="77777777" w:rsidR="00320904" w:rsidRDefault="00320904">
            <w:pPr>
              <w:spacing w:before="60" w:after="60" w:line="200" w:lineRule="exact"/>
              <w:jc w:val="right"/>
              <w:rPr>
                <w:b/>
                <w:noProof/>
                <w:sz w:val="16"/>
                <w:szCs w:val="16"/>
              </w:rPr>
            </w:pPr>
          </w:p>
        </w:tc>
      </w:tr>
      <w:tr w:rsidR="00320904" w14:paraId="63238435" w14:textId="77777777" w:rsidTr="00320904">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14:paraId="180395FD" w14:textId="77777777" w:rsidR="00320904" w:rsidRDefault="00320904">
            <w:pPr>
              <w:spacing w:before="60" w:after="60" w:line="200" w:lineRule="exact"/>
              <w:ind w:left="72"/>
              <w:jc w:val="left"/>
              <w:rPr>
                <w:noProof/>
                <w:sz w:val="16"/>
                <w:szCs w:val="16"/>
              </w:rPr>
            </w:pPr>
            <w:r>
              <w:rPr>
                <w:noProof/>
                <w:sz w:val="16"/>
              </w:rPr>
              <w:t xml:space="preserve">Other administrative expenditure </w:t>
            </w:r>
          </w:p>
        </w:tc>
        <w:tc>
          <w:tcPr>
            <w:tcW w:w="1080" w:type="dxa"/>
            <w:tcBorders>
              <w:top w:val="single" w:sz="2" w:space="0" w:color="auto"/>
              <w:left w:val="single" w:sz="2" w:space="0" w:color="auto"/>
              <w:bottom w:val="single" w:sz="2" w:space="0" w:color="auto"/>
              <w:right w:val="single" w:sz="2" w:space="0" w:color="auto"/>
            </w:tcBorders>
            <w:vAlign w:val="center"/>
          </w:tcPr>
          <w:p w14:paraId="5C9DCEDE" w14:textId="77777777" w:rsidR="00320904" w:rsidRDefault="00320904">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2D161130" w14:textId="77777777" w:rsidR="00320904" w:rsidRDefault="00320904">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429E1F8D" w14:textId="77777777" w:rsidR="00320904" w:rsidRDefault="00320904">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472D3824" w14:textId="77777777" w:rsidR="00320904" w:rsidRDefault="00320904">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2CCFA7B4" w14:textId="77777777" w:rsidR="00320904" w:rsidRDefault="00320904">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35616A13" w14:textId="77777777" w:rsidR="00320904" w:rsidRDefault="00320904">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752F31E4" w14:textId="77777777" w:rsidR="00320904" w:rsidRDefault="00320904">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2E99F39C" w14:textId="77777777" w:rsidR="00320904" w:rsidRDefault="00320904">
            <w:pPr>
              <w:spacing w:before="60" w:after="60" w:line="200" w:lineRule="exact"/>
              <w:jc w:val="right"/>
              <w:rPr>
                <w:b/>
                <w:noProof/>
                <w:sz w:val="16"/>
                <w:szCs w:val="16"/>
              </w:rPr>
            </w:pPr>
          </w:p>
        </w:tc>
      </w:tr>
      <w:tr w:rsidR="00320904" w14:paraId="3CA7750A" w14:textId="77777777" w:rsidTr="00320904">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14:paraId="6493CB9B" w14:textId="77777777" w:rsidR="00320904" w:rsidRDefault="00320904">
            <w:pPr>
              <w:spacing w:before="60" w:after="60" w:line="200" w:lineRule="exact"/>
              <w:jc w:val="center"/>
              <w:rPr>
                <w:b/>
                <w:noProof/>
                <w:sz w:val="16"/>
                <w:szCs w:val="16"/>
              </w:rPr>
            </w:pPr>
            <w:r>
              <w:rPr>
                <w:b/>
                <w:noProof/>
                <w:sz w:val="16"/>
              </w:rPr>
              <w:t>Subtotal HEADING 7</w:t>
            </w:r>
            <w:r>
              <w:rPr>
                <w:noProof/>
                <w:sz w:val="22"/>
              </w:rPr>
              <w:br/>
            </w:r>
            <w:r>
              <w:rPr>
                <w:b/>
                <w:noProof/>
                <w:sz w:val="16"/>
              </w:rPr>
              <w:t xml:space="preserve">of the multiannual financial framework </w:t>
            </w:r>
          </w:p>
        </w:tc>
        <w:tc>
          <w:tcPr>
            <w:tcW w:w="1080" w:type="dxa"/>
            <w:tcBorders>
              <w:top w:val="single" w:sz="2" w:space="0" w:color="auto"/>
              <w:left w:val="single" w:sz="2" w:space="0" w:color="auto"/>
              <w:bottom w:val="single" w:sz="2" w:space="0" w:color="auto"/>
              <w:right w:val="single" w:sz="2" w:space="0" w:color="auto"/>
            </w:tcBorders>
            <w:vAlign w:val="center"/>
          </w:tcPr>
          <w:p w14:paraId="14F6D7CC" w14:textId="77777777" w:rsidR="00320904" w:rsidRDefault="00320904">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5CC16275" w14:textId="77777777" w:rsidR="00320904" w:rsidRDefault="00320904">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01EB08EF" w14:textId="77777777" w:rsidR="00320904" w:rsidRDefault="00320904">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30C277EA" w14:textId="77777777" w:rsidR="00320904" w:rsidRDefault="00320904">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2F7F239A" w14:textId="77777777" w:rsidR="00320904" w:rsidRDefault="00320904">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3B85A263" w14:textId="77777777" w:rsidR="00320904" w:rsidRDefault="00320904">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10B388D5" w14:textId="77777777" w:rsidR="00320904" w:rsidRDefault="00320904">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52951730" w14:textId="77777777" w:rsidR="00320904" w:rsidRDefault="00320904">
            <w:pPr>
              <w:spacing w:before="60" w:after="60" w:line="200" w:lineRule="exact"/>
              <w:jc w:val="right"/>
              <w:rPr>
                <w:b/>
                <w:noProof/>
                <w:sz w:val="16"/>
                <w:szCs w:val="16"/>
              </w:rPr>
            </w:pPr>
          </w:p>
        </w:tc>
      </w:tr>
    </w:tbl>
    <w:p w14:paraId="7F41C9FC" w14:textId="77777777" w:rsidR="00320904" w:rsidRDefault="00320904" w:rsidP="00320904">
      <w:pPr>
        <w:spacing w:line="200" w:lineRule="exact"/>
        <w:rPr>
          <w:noProof/>
          <w:sz w:val="16"/>
          <w:szCs w:val="16"/>
        </w:rPr>
      </w:pPr>
    </w:p>
    <w:tbl>
      <w:tblPr>
        <w:tblW w:w="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320904" w14:paraId="571EE2E9" w14:textId="77777777" w:rsidTr="00320904">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tcPr>
          <w:p w14:paraId="19EEC215" w14:textId="77777777" w:rsidR="00320904" w:rsidRDefault="00320904">
            <w:pPr>
              <w:spacing w:before="60" w:after="60" w:line="200" w:lineRule="exact"/>
              <w:jc w:val="center"/>
              <w:rPr>
                <w:noProof/>
                <w:sz w:val="16"/>
                <w:szCs w:val="16"/>
              </w:rPr>
            </w:pPr>
            <w:r>
              <w:rPr>
                <w:b/>
                <w:noProof/>
                <w:sz w:val="16"/>
              </w:rPr>
              <w:t>Outside HEADING 7</w:t>
            </w:r>
            <w:r>
              <w:rPr>
                <w:rStyle w:val="FootnoteReference"/>
                <w:b/>
                <w:noProof/>
                <w:sz w:val="16"/>
              </w:rPr>
              <w:footnoteReference w:id="13"/>
            </w:r>
            <w:r>
              <w:rPr>
                <w:noProof/>
                <w:sz w:val="22"/>
              </w:rPr>
              <w:br/>
            </w:r>
            <w:r>
              <w:rPr>
                <w:b/>
                <w:noProof/>
                <w:sz w:val="16"/>
              </w:rPr>
              <w:t xml:space="preserve">of the multiannual financial framework </w:t>
            </w:r>
          </w:p>
          <w:p w14:paraId="77986B14" w14:textId="77777777" w:rsidR="00320904" w:rsidRDefault="00320904">
            <w:pPr>
              <w:spacing w:before="0" w:after="0" w:line="200" w:lineRule="exact"/>
              <w:jc w:val="center"/>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2D50DB19" w14:textId="77777777" w:rsidR="00320904" w:rsidRDefault="00320904">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11F2193D" w14:textId="77777777" w:rsidR="00320904" w:rsidRDefault="00320904">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0FBEF3C2" w14:textId="77777777" w:rsidR="00320904" w:rsidRDefault="00320904">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2B9A0E9A" w14:textId="77777777" w:rsidR="00320904" w:rsidRDefault="00320904">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502EFB77" w14:textId="77777777" w:rsidR="00320904" w:rsidRDefault="00320904">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3571F60C" w14:textId="77777777" w:rsidR="00320904" w:rsidRDefault="00320904">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6FF900D3" w14:textId="77777777" w:rsidR="00320904" w:rsidRDefault="00320904">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3EA19005" w14:textId="77777777" w:rsidR="00320904" w:rsidRDefault="00320904">
            <w:pPr>
              <w:spacing w:before="60" w:after="60" w:line="200" w:lineRule="exact"/>
              <w:jc w:val="right"/>
              <w:rPr>
                <w:b/>
                <w:noProof/>
                <w:sz w:val="16"/>
                <w:szCs w:val="16"/>
              </w:rPr>
            </w:pPr>
          </w:p>
        </w:tc>
      </w:tr>
      <w:tr w:rsidR="00320904" w14:paraId="44349119" w14:textId="77777777" w:rsidTr="00320904">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14:paraId="56F3EF57" w14:textId="77777777" w:rsidR="00320904" w:rsidRDefault="00320904">
            <w:pPr>
              <w:spacing w:before="60" w:after="60" w:line="200" w:lineRule="exact"/>
              <w:ind w:left="72"/>
              <w:jc w:val="left"/>
              <w:rPr>
                <w:noProof/>
                <w:sz w:val="16"/>
                <w:szCs w:val="16"/>
              </w:rPr>
            </w:pPr>
            <w:r>
              <w:rPr>
                <w:noProof/>
                <w:sz w:val="16"/>
              </w:rPr>
              <w:t xml:space="preserve">Human resources </w:t>
            </w:r>
          </w:p>
        </w:tc>
        <w:tc>
          <w:tcPr>
            <w:tcW w:w="1080" w:type="dxa"/>
            <w:tcBorders>
              <w:top w:val="single" w:sz="2" w:space="0" w:color="auto"/>
              <w:left w:val="single" w:sz="2" w:space="0" w:color="auto"/>
              <w:bottom w:val="single" w:sz="2" w:space="0" w:color="auto"/>
              <w:right w:val="single" w:sz="2" w:space="0" w:color="auto"/>
            </w:tcBorders>
            <w:vAlign w:val="center"/>
          </w:tcPr>
          <w:p w14:paraId="6731CF9E" w14:textId="77777777" w:rsidR="00320904" w:rsidRDefault="00320904">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7CF6D9A1" w14:textId="77777777" w:rsidR="00320904" w:rsidRDefault="00320904">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2507F1A5" w14:textId="77777777" w:rsidR="00320904" w:rsidRDefault="00320904">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3CCE2008" w14:textId="77777777" w:rsidR="00320904" w:rsidRDefault="00320904">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4AAFAB9F" w14:textId="77777777" w:rsidR="00320904" w:rsidRDefault="00320904">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5057CEFF" w14:textId="77777777" w:rsidR="00320904" w:rsidRDefault="00320904">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53ACFD7A" w14:textId="77777777" w:rsidR="00320904" w:rsidRDefault="00320904">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2E85204A" w14:textId="77777777" w:rsidR="00320904" w:rsidRDefault="00320904">
            <w:pPr>
              <w:spacing w:before="60" w:after="60" w:line="200" w:lineRule="exact"/>
              <w:jc w:val="right"/>
              <w:rPr>
                <w:b/>
                <w:noProof/>
                <w:sz w:val="16"/>
                <w:szCs w:val="16"/>
              </w:rPr>
            </w:pPr>
          </w:p>
        </w:tc>
      </w:tr>
      <w:tr w:rsidR="00320904" w14:paraId="040C92B0" w14:textId="77777777" w:rsidTr="00320904">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14:paraId="2FAF3A3C" w14:textId="77777777" w:rsidR="00320904" w:rsidRDefault="00320904">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tcBorders>
              <w:top w:val="single" w:sz="2" w:space="0" w:color="auto"/>
              <w:left w:val="single" w:sz="2" w:space="0" w:color="auto"/>
              <w:bottom w:val="single" w:sz="2" w:space="0" w:color="auto"/>
              <w:right w:val="single" w:sz="2" w:space="0" w:color="auto"/>
            </w:tcBorders>
            <w:vAlign w:val="center"/>
          </w:tcPr>
          <w:p w14:paraId="7059D494" w14:textId="77777777" w:rsidR="00320904" w:rsidRDefault="00320904">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413D283A" w14:textId="77777777" w:rsidR="00320904" w:rsidRDefault="00320904">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623D19A7" w14:textId="77777777" w:rsidR="00320904" w:rsidRDefault="00320904">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5D0DFAAD" w14:textId="77777777" w:rsidR="00320904" w:rsidRDefault="00320904">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7C56A4F9" w14:textId="77777777" w:rsidR="00320904" w:rsidRDefault="00320904">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2303D467" w14:textId="77777777" w:rsidR="00320904" w:rsidRDefault="00320904">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64F83547" w14:textId="77777777" w:rsidR="00320904" w:rsidRDefault="00320904">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2120D809" w14:textId="77777777" w:rsidR="00320904" w:rsidRDefault="00320904">
            <w:pPr>
              <w:spacing w:before="60" w:after="60" w:line="200" w:lineRule="exact"/>
              <w:jc w:val="right"/>
              <w:rPr>
                <w:b/>
                <w:noProof/>
                <w:sz w:val="16"/>
                <w:szCs w:val="16"/>
              </w:rPr>
            </w:pPr>
          </w:p>
        </w:tc>
      </w:tr>
      <w:tr w:rsidR="00320904" w14:paraId="1959E80F" w14:textId="77777777" w:rsidTr="00320904">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14:paraId="71640D00" w14:textId="77777777" w:rsidR="00320904" w:rsidRDefault="00320904">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7</w:t>
            </w:r>
            <w:r>
              <w:rPr>
                <w:noProof/>
                <w:sz w:val="22"/>
              </w:rPr>
              <w:br/>
            </w:r>
            <w:r>
              <w:rPr>
                <w:b/>
                <w:noProof/>
                <w:sz w:val="16"/>
              </w:rPr>
              <w:t xml:space="preserve">of the multiannual financial framework </w:t>
            </w:r>
          </w:p>
        </w:tc>
        <w:tc>
          <w:tcPr>
            <w:tcW w:w="1080" w:type="dxa"/>
            <w:tcBorders>
              <w:top w:val="single" w:sz="2" w:space="0" w:color="auto"/>
              <w:left w:val="single" w:sz="2" w:space="0" w:color="auto"/>
              <w:bottom w:val="single" w:sz="2" w:space="0" w:color="auto"/>
              <w:right w:val="single" w:sz="2" w:space="0" w:color="auto"/>
            </w:tcBorders>
            <w:vAlign w:val="center"/>
          </w:tcPr>
          <w:p w14:paraId="2653B981" w14:textId="77777777" w:rsidR="00320904" w:rsidRDefault="00320904">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7500511E" w14:textId="77777777" w:rsidR="00320904" w:rsidRDefault="00320904">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2834E223" w14:textId="77777777" w:rsidR="00320904" w:rsidRDefault="00320904">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0FD42478" w14:textId="77777777" w:rsidR="00320904" w:rsidRDefault="00320904">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5887DB92" w14:textId="77777777" w:rsidR="00320904" w:rsidRDefault="00320904">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6EFF50EB" w14:textId="77777777" w:rsidR="00320904" w:rsidRDefault="00320904">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53D04241" w14:textId="77777777" w:rsidR="00320904" w:rsidRDefault="00320904">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778A8D41" w14:textId="77777777" w:rsidR="00320904" w:rsidRDefault="00320904">
            <w:pPr>
              <w:spacing w:before="60" w:after="60" w:line="200" w:lineRule="exact"/>
              <w:jc w:val="right"/>
              <w:rPr>
                <w:b/>
                <w:noProof/>
                <w:sz w:val="16"/>
                <w:szCs w:val="16"/>
              </w:rPr>
            </w:pPr>
          </w:p>
        </w:tc>
      </w:tr>
    </w:tbl>
    <w:p w14:paraId="29283B3A" w14:textId="77777777" w:rsidR="00320904" w:rsidRDefault="00320904" w:rsidP="00320904">
      <w:pPr>
        <w:spacing w:line="200" w:lineRule="exact"/>
        <w:rPr>
          <w:noProof/>
          <w:sz w:val="16"/>
          <w:szCs w:val="16"/>
        </w:rPr>
      </w:pPr>
    </w:p>
    <w:tbl>
      <w:tblPr>
        <w:tblW w:w="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320904" w14:paraId="7297D111" w14:textId="77777777" w:rsidTr="00320904">
        <w:trPr>
          <w:trHeight w:val="585"/>
        </w:trPr>
        <w:tc>
          <w:tcPr>
            <w:tcW w:w="1980" w:type="dxa"/>
            <w:tcBorders>
              <w:top w:val="single" w:sz="12" w:space="0" w:color="auto"/>
              <w:left w:val="single" w:sz="12" w:space="0" w:color="auto"/>
              <w:bottom w:val="single" w:sz="12" w:space="0" w:color="auto"/>
              <w:right w:val="single" w:sz="2" w:space="0" w:color="auto"/>
            </w:tcBorders>
            <w:vAlign w:val="center"/>
            <w:hideMark/>
          </w:tcPr>
          <w:p w14:paraId="0774E742" w14:textId="77777777" w:rsidR="00320904" w:rsidRDefault="00320904">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14:paraId="2AD87185" w14:textId="77777777" w:rsidR="00320904" w:rsidRDefault="00320904">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4C87CB0A" w14:textId="77777777" w:rsidR="00320904" w:rsidRDefault="00320904">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108522AA" w14:textId="77777777" w:rsidR="00320904" w:rsidRDefault="00320904">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5E8F9A0A" w14:textId="77777777" w:rsidR="00320904" w:rsidRDefault="00320904">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46155A02" w14:textId="77777777" w:rsidR="00320904" w:rsidRDefault="00320904">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3C2AD98A" w14:textId="77777777" w:rsidR="00320904" w:rsidRDefault="00320904">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52E862AA" w14:textId="77777777" w:rsidR="00320904" w:rsidRDefault="00320904">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14:paraId="381E044D" w14:textId="77777777" w:rsidR="00320904" w:rsidRDefault="00320904">
            <w:pPr>
              <w:spacing w:before="60" w:after="60" w:line="200" w:lineRule="exact"/>
              <w:jc w:val="right"/>
              <w:rPr>
                <w:b/>
                <w:noProof/>
                <w:sz w:val="16"/>
                <w:szCs w:val="16"/>
              </w:rPr>
            </w:pPr>
          </w:p>
        </w:tc>
      </w:tr>
    </w:tbl>
    <w:p w14:paraId="453C63E0" w14:textId="77777777" w:rsidR="00320904" w:rsidRDefault="00320904" w:rsidP="00320904">
      <w:pPr>
        <w:rPr>
          <w:noProof/>
          <w:sz w:val="18"/>
        </w:r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14:paraId="38D05507" w14:textId="77777777" w:rsidR="00320904" w:rsidRDefault="00320904" w:rsidP="00320904">
      <w:pPr>
        <w:spacing w:before="0" w:after="0"/>
        <w:jc w:val="left"/>
        <w:rPr>
          <w:noProof/>
          <w:sz w:val="18"/>
        </w:rPr>
        <w:sectPr w:rsidR="00320904" w:rsidSect="00AA0B5E">
          <w:headerReference w:type="default" r:id="rId29"/>
          <w:footerReference w:type="default" r:id="rId30"/>
          <w:headerReference w:type="first" r:id="rId31"/>
          <w:footerReference w:type="first" r:id="rId32"/>
          <w:pgSz w:w="11907" w:h="16840"/>
          <w:pgMar w:top="1134" w:right="1418" w:bottom="1134" w:left="1418" w:header="709" w:footer="709" w:gutter="0"/>
          <w:cols w:space="720"/>
          <w:docGrid w:linePitch="326"/>
        </w:sectPr>
      </w:pPr>
    </w:p>
    <w:p w14:paraId="2B5AC06A" w14:textId="77777777" w:rsidR="00320904" w:rsidRDefault="00320904" w:rsidP="00A42355">
      <w:pPr>
        <w:pStyle w:val="Heading4"/>
        <w:numPr>
          <w:ilvl w:val="3"/>
          <w:numId w:val="16"/>
        </w:numPr>
        <w:rPr>
          <w:bCs w:val="0"/>
          <w:noProof/>
          <w:szCs w:val="24"/>
        </w:rPr>
      </w:pPr>
      <w:r>
        <w:rPr>
          <w:noProof/>
        </w:rPr>
        <w:t>Estimated requirements of human resources</w:t>
      </w:r>
    </w:p>
    <w:p w14:paraId="5394784D" w14:textId="77777777" w:rsidR="00320904" w:rsidRDefault="00320904" w:rsidP="00320904">
      <w:pPr>
        <w:pStyle w:val="ListDash1"/>
        <w:rPr>
          <w:noProof/>
        </w:rPr>
      </w:pPr>
      <w:r>
        <w:rPr>
          <w:noProof/>
        </w:rPr>
        <w:sym w:font="Wingdings" w:char="F0A8"/>
      </w:r>
      <w:r>
        <w:rPr>
          <w:noProof/>
        </w:rPr>
        <w:tab/>
        <w:t xml:space="preserve">The proposal/initiative does not require the use of human resources. </w:t>
      </w:r>
    </w:p>
    <w:p w14:paraId="01D7FAFE" w14:textId="77777777" w:rsidR="00320904" w:rsidRDefault="00320904" w:rsidP="00320904">
      <w:pPr>
        <w:pStyle w:val="ListDash1"/>
        <w:rPr>
          <w:noProof/>
        </w:rPr>
      </w:pPr>
      <w:r>
        <w:rPr>
          <w:noProof/>
        </w:rPr>
        <w:sym w:font="Wingdings" w:char="F078"/>
      </w:r>
      <w:r>
        <w:rPr>
          <w:noProof/>
        </w:rPr>
        <w:tab/>
        <w:t>The proposal/initiative requires the use of human resources, as explained below:</w:t>
      </w:r>
    </w:p>
    <w:p w14:paraId="55C48DA8" w14:textId="1F6AB9A8" w:rsidR="00320904" w:rsidRDefault="00320904" w:rsidP="008742F8">
      <w:pPr>
        <w:pStyle w:val="Point1"/>
        <w:ind w:left="1134" w:firstLine="1"/>
        <w:rPr>
          <w:noProof/>
        </w:rPr>
      </w:pPr>
      <w:r>
        <w:rPr>
          <w:noProof/>
        </w:rPr>
        <w:t>The proposal does not modify the requirements estimated in the legislative financial statement accompanying the Commission proposal for the period post 2020 (cf. COM(2018) 392).</w:t>
      </w:r>
    </w:p>
    <w:p w14:paraId="707B4664" w14:textId="4F855928" w:rsidR="00320904" w:rsidRDefault="00320904" w:rsidP="00DA1FAB">
      <w:pPr>
        <w:rPr>
          <w:noProof/>
        </w:rPr>
      </w:pPr>
    </w:p>
    <w:p w14:paraId="44484B6F" w14:textId="57C2D27A" w:rsidR="00320904" w:rsidRDefault="00320904" w:rsidP="00320904">
      <w:pPr>
        <w:spacing w:after="60"/>
        <w:jc w:val="right"/>
        <w:rPr>
          <w:i/>
          <w:noProof/>
          <w:sz w:val="20"/>
        </w:rPr>
      </w:pPr>
      <w:r>
        <w:rPr>
          <w:i/>
          <w:noProof/>
          <w:sz w:val="20"/>
        </w:rPr>
        <w:t>Estimate to be expressed in full time equivalent units</w:t>
      </w:r>
    </w:p>
    <w:tbl>
      <w:tblPr>
        <w:tblW w:w="5700"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967"/>
        <w:gridCol w:w="2055"/>
        <w:gridCol w:w="857"/>
        <w:gridCol w:w="1001"/>
        <w:gridCol w:w="857"/>
        <w:gridCol w:w="1001"/>
        <w:gridCol w:w="1000"/>
        <w:gridCol w:w="862"/>
        <w:gridCol w:w="987"/>
      </w:tblGrid>
      <w:tr w:rsidR="00320904" w14:paraId="25429FCA" w14:textId="77777777" w:rsidTr="00320904">
        <w:trPr>
          <w:trHeight w:val="289"/>
        </w:trPr>
        <w:tc>
          <w:tcPr>
            <w:tcW w:w="1472" w:type="pct"/>
            <w:gridSpan w:val="2"/>
            <w:tcBorders>
              <w:top w:val="single" w:sz="6" w:space="0" w:color="auto"/>
              <w:left w:val="single" w:sz="6" w:space="0" w:color="auto"/>
              <w:bottom w:val="single" w:sz="6" w:space="0" w:color="auto"/>
              <w:right w:val="single" w:sz="6" w:space="0" w:color="auto"/>
            </w:tcBorders>
            <w:vAlign w:val="center"/>
            <w:hideMark/>
          </w:tcPr>
          <w:p w14:paraId="2482CAC0" w14:textId="77777777" w:rsidR="00320904" w:rsidRDefault="00320904">
            <w:pPr>
              <w:pStyle w:val="Text1"/>
              <w:spacing w:before="40" w:after="40"/>
              <w:ind w:left="0"/>
              <w:jc w:val="center"/>
              <w:rPr>
                <w:i/>
                <w:noProof/>
                <w:sz w:val="16"/>
                <w:szCs w:val="16"/>
              </w:rPr>
            </w:pPr>
            <w:r>
              <w:rPr>
                <w:b/>
                <w:noProof/>
                <w:sz w:val="16"/>
                <w:szCs w:val="16"/>
              </w:rPr>
              <w:t>Years</w:t>
            </w:r>
          </w:p>
        </w:tc>
        <w:tc>
          <w:tcPr>
            <w:tcW w:w="466" w:type="pct"/>
            <w:tcBorders>
              <w:top w:val="single" w:sz="6" w:space="0" w:color="auto"/>
              <w:left w:val="single" w:sz="6" w:space="0" w:color="auto"/>
              <w:bottom w:val="single" w:sz="6" w:space="0" w:color="auto"/>
              <w:right w:val="single" w:sz="6" w:space="0" w:color="auto"/>
            </w:tcBorders>
            <w:vAlign w:val="center"/>
            <w:hideMark/>
          </w:tcPr>
          <w:p w14:paraId="48A8F108" w14:textId="77777777" w:rsidR="00320904" w:rsidRDefault="00320904">
            <w:pPr>
              <w:spacing w:before="20" w:after="20"/>
              <w:jc w:val="center"/>
              <w:rPr>
                <w:b/>
                <w:noProof/>
                <w:sz w:val="16"/>
                <w:szCs w:val="16"/>
              </w:rPr>
            </w:pPr>
            <w:r>
              <w:rPr>
                <w:b/>
                <w:noProof/>
                <w:sz w:val="20"/>
              </w:rPr>
              <w:t>2021</w:t>
            </w:r>
          </w:p>
        </w:tc>
        <w:tc>
          <w:tcPr>
            <w:tcW w:w="534" w:type="pct"/>
            <w:tcBorders>
              <w:top w:val="single" w:sz="6" w:space="0" w:color="auto"/>
              <w:left w:val="single" w:sz="6" w:space="0" w:color="auto"/>
              <w:bottom w:val="single" w:sz="6" w:space="0" w:color="auto"/>
              <w:right w:val="single" w:sz="6" w:space="0" w:color="auto"/>
            </w:tcBorders>
            <w:vAlign w:val="center"/>
            <w:hideMark/>
          </w:tcPr>
          <w:p w14:paraId="14338C1C" w14:textId="77777777" w:rsidR="00320904" w:rsidRDefault="00320904">
            <w:pPr>
              <w:spacing w:before="20" w:after="20"/>
              <w:jc w:val="center"/>
              <w:rPr>
                <w:b/>
                <w:noProof/>
                <w:sz w:val="20"/>
              </w:rPr>
            </w:pPr>
            <w:r>
              <w:rPr>
                <w:b/>
                <w:noProof/>
                <w:sz w:val="20"/>
              </w:rPr>
              <w:t>2022</w:t>
            </w:r>
          </w:p>
        </w:tc>
        <w:tc>
          <w:tcPr>
            <w:tcW w:w="466" w:type="pct"/>
            <w:tcBorders>
              <w:top w:val="single" w:sz="6" w:space="0" w:color="auto"/>
              <w:left w:val="single" w:sz="6" w:space="0" w:color="auto"/>
              <w:bottom w:val="single" w:sz="6" w:space="0" w:color="auto"/>
              <w:right w:val="single" w:sz="6" w:space="0" w:color="auto"/>
            </w:tcBorders>
            <w:vAlign w:val="center"/>
            <w:hideMark/>
          </w:tcPr>
          <w:p w14:paraId="1892DD99" w14:textId="77777777" w:rsidR="00320904" w:rsidRDefault="00320904">
            <w:pPr>
              <w:spacing w:before="20" w:after="20"/>
              <w:jc w:val="center"/>
              <w:rPr>
                <w:b/>
                <w:noProof/>
                <w:sz w:val="20"/>
              </w:rPr>
            </w:pPr>
            <w:r>
              <w:rPr>
                <w:b/>
                <w:noProof/>
                <w:sz w:val="20"/>
              </w:rPr>
              <w:t>2023</w:t>
            </w:r>
          </w:p>
        </w:tc>
        <w:tc>
          <w:tcPr>
            <w:tcW w:w="534" w:type="pct"/>
            <w:tcBorders>
              <w:top w:val="single" w:sz="6" w:space="0" w:color="auto"/>
              <w:left w:val="single" w:sz="6" w:space="0" w:color="auto"/>
              <w:bottom w:val="single" w:sz="6" w:space="0" w:color="auto"/>
              <w:right w:val="single" w:sz="6" w:space="0" w:color="auto"/>
            </w:tcBorders>
            <w:vAlign w:val="center"/>
            <w:hideMark/>
          </w:tcPr>
          <w:p w14:paraId="554BFEBD" w14:textId="77777777" w:rsidR="00320904" w:rsidRDefault="00320904">
            <w:pPr>
              <w:spacing w:before="20" w:after="20"/>
              <w:jc w:val="center"/>
              <w:rPr>
                <w:b/>
                <w:noProof/>
                <w:sz w:val="20"/>
              </w:rPr>
            </w:pPr>
            <w:r>
              <w:rPr>
                <w:b/>
                <w:noProof/>
                <w:sz w:val="20"/>
              </w:rPr>
              <w:t>2024</w:t>
            </w:r>
          </w:p>
        </w:tc>
        <w:tc>
          <w:tcPr>
            <w:tcW w:w="533" w:type="pct"/>
            <w:tcBorders>
              <w:top w:val="single" w:sz="6" w:space="0" w:color="auto"/>
              <w:left w:val="single" w:sz="6" w:space="0" w:color="auto"/>
              <w:bottom w:val="single" w:sz="6" w:space="0" w:color="auto"/>
              <w:right w:val="single" w:sz="6" w:space="0" w:color="auto"/>
            </w:tcBorders>
            <w:vAlign w:val="center"/>
            <w:hideMark/>
          </w:tcPr>
          <w:p w14:paraId="5F786F6D" w14:textId="77777777" w:rsidR="00320904" w:rsidRDefault="00320904">
            <w:pPr>
              <w:jc w:val="center"/>
              <w:rPr>
                <w:b/>
                <w:noProof/>
                <w:sz w:val="20"/>
              </w:rPr>
            </w:pPr>
            <w:r>
              <w:rPr>
                <w:b/>
                <w:noProof/>
                <w:sz w:val="20"/>
              </w:rPr>
              <w:t>2025</w:t>
            </w:r>
          </w:p>
        </w:tc>
        <w:tc>
          <w:tcPr>
            <w:tcW w:w="468" w:type="pct"/>
            <w:tcBorders>
              <w:top w:val="single" w:sz="6" w:space="0" w:color="auto"/>
              <w:left w:val="single" w:sz="6" w:space="0" w:color="auto"/>
              <w:bottom w:val="single" w:sz="6" w:space="0" w:color="auto"/>
              <w:right w:val="single" w:sz="6" w:space="0" w:color="auto"/>
            </w:tcBorders>
            <w:vAlign w:val="center"/>
            <w:hideMark/>
          </w:tcPr>
          <w:p w14:paraId="2A578F7A" w14:textId="77777777" w:rsidR="00320904" w:rsidRDefault="00320904">
            <w:pPr>
              <w:jc w:val="center"/>
              <w:rPr>
                <w:b/>
                <w:noProof/>
                <w:sz w:val="20"/>
              </w:rPr>
            </w:pPr>
            <w:r>
              <w:rPr>
                <w:b/>
                <w:noProof/>
                <w:sz w:val="20"/>
              </w:rPr>
              <w:t>2026</w:t>
            </w:r>
          </w:p>
        </w:tc>
        <w:tc>
          <w:tcPr>
            <w:tcW w:w="527" w:type="pct"/>
            <w:tcBorders>
              <w:top w:val="single" w:sz="6" w:space="0" w:color="auto"/>
              <w:left w:val="single" w:sz="6" w:space="0" w:color="auto"/>
              <w:bottom w:val="single" w:sz="6" w:space="0" w:color="auto"/>
              <w:right w:val="single" w:sz="6" w:space="0" w:color="auto"/>
            </w:tcBorders>
            <w:vAlign w:val="center"/>
            <w:hideMark/>
          </w:tcPr>
          <w:p w14:paraId="7C27FDDA" w14:textId="77777777" w:rsidR="00320904" w:rsidRDefault="00320904">
            <w:pPr>
              <w:jc w:val="center"/>
              <w:rPr>
                <w:b/>
                <w:noProof/>
                <w:sz w:val="20"/>
              </w:rPr>
            </w:pPr>
            <w:r>
              <w:rPr>
                <w:b/>
                <w:noProof/>
                <w:sz w:val="20"/>
              </w:rPr>
              <w:t>2027</w:t>
            </w:r>
          </w:p>
        </w:tc>
      </w:tr>
      <w:tr w:rsidR="00320904" w14:paraId="6E961E35" w14:textId="77777777" w:rsidTr="00320904">
        <w:trPr>
          <w:trHeight w:val="289"/>
        </w:trPr>
        <w:tc>
          <w:tcPr>
            <w:tcW w:w="5000" w:type="pct"/>
            <w:gridSpan w:val="9"/>
            <w:tcBorders>
              <w:top w:val="single" w:sz="6" w:space="0" w:color="auto"/>
              <w:left w:val="single" w:sz="6" w:space="0" w:color="auto"/>
              <w:bottom w:val="single" w:sz="6" w:space="0" w:color="auto"/>
              <w:right w:val="single" w:sz="6" w:space="0" w:color="auto"/>
            </w:tcBorders>
            <w:hideMark/>
          </w:tcPr>
          <w:p w14:paraId="07F8CB26" w14:textId="77777777" w:rsidR="00320904" w:rsidRDefault="00320904">
            <w:pPr>
              <w:jc w:val="left"/>
              <w:rPr>
                <w:noProof/>
                <w:sz w:val="16"/>
                <w:szCs w:val="16"/>
              </w:rPr>
            </w:pPr>
            <w:r>
              <w:rPr>
                <w:b/>
                <w:noProof/>
                <w:sz w:val="16"/>
              </w:rPr>
              <w:sym w:font="Wingdings" w:char="F09F"/>
            </w:r>
            <w:r>
              <w:rPr>
                <w:b/>
                <w:noProof/>
                <w:sz w:val="16"/>
              </w:rPr>
              <w:t xml:space="preserve"> Establishment plan posts (officials and temporary staff)</w:t>
            </w:r>
          </w:p>
        </w:tc>
      </w:tr>
      <w:tr w:rsidR="00320904" w14:paraId="1294C653" w14:textId="77777777" w:rsidTr="00320904">
        <w:trPr>
          <w:trHeight w:val="289"/>
        </w:trPr>
        <w:tc>
          <w:tcPr>
            <w:tcW w:w="1472" w:type="pct"/>
            <w:gridSpan w:val="2"/>
            <w:tcBorders>
              <w:top w:val="single" w:sz="6" w:space="0" w:color="auto"/>
              <w:left w:val="single" w:sz="6" w:space="0" w:color="auto"/>
              <w:bottom w:val="single" w:sz="6" w:space="0" w:color="auto"/>
              <w:right w:val="single" w:sz="6" w:space="0" w:color="auto"/>
            </w:tcBorders>
            <w:hideMark/>
          </w:tcPr>
          <w:p w14:paraId="1011DA4F" w14:textId="77777777" w:rsidR="00320904" w:rsidRDefault="00320904">
            <w:pPr>
              <w:pStyle w:val="Text1"/>
              <w:spacing w:beforeLines="20" w:before="48" w:afterLines="20" w:after="48"/>
              <w:ind w:left="984"/>
              <w:jc w:val="left"/>
              <w:rPr>
                <w:b/>
                <w:noProof/>
                <w:sz w:val="16"/>
                <w:szCs w:val="16"/>
              </w:rPr>
            </w:pPr>
            <w:r>
              <w:rPr>
                <w:noProof/>
                <w:sz w:val="16"/>
              </w:rPr>
              <w:t>Headquarters and Commission’s Representation Offices</w:t>
            </w:r>
          </w:p>
        </w:tc>
        <w:tc>
          <w:tcPr>
            <w:tcW w:w="466" w:type="pct"/>
            <w:tcBorders>
              <w:top w:val="single" w:sz="6" w:space="0" w:color="auto"/>
              <w:left w:val="single" w:sz="6" w:space="0" w:color="auto"/>
              <w:bottom w:val="single" w:sz="6" w:space="0" w:color="auto"/>
              <w:right w:val="single" w:sz="6" w:space="0" w:color="auto"/>
            </w:tcBorders>
            <w:vAlign w:val="center"/>
          </w:tcPr>
          <w:p w14:paraId="17F0B057" w14:textId="77777777" w:rsidR="00320904" w:rsidRDefault="00320904">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14:paraId="07A9B075" w14:textId="77777777" w:rsidR="00320904" w:rsidRDefault="00320904">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14:paraId="13E32A7C" w14:textId="77777777" w:rsidR="00320904" w:rsidRDefault="00320904">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14:paraId="0CE19072" w14:textId="77777777" w:rsidR="00320904" w:rsidRDefault="00320904">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14:paraId="446F1E23" w14:textId="77777777" w:rsidR="00320904" w:rsidRDefault="00320904">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14:paraId="75E3EB72" w14:textId="77777777" w:rsidR="00320904" w:rsidRDefault="00320904">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14:paraId="43CC603C" w14:textId="77777777" w:rsidR="00320904" w:rsidRDefault="00320904">
            <w:pPr>
              <w:spacing w:beforeLines="20" w:before="48" w:afterLines="20" w:after="48"/>
              <w:jc w:val="center"/>
              <w:rPr>
                <w:noProof/>
                <w:sz w:val="16"/>
                <w:szCs w:val="16"/>
              </w:rPr>
            </w:pPr>
          </w:p>
        </w:tc>
      </w:tr>
      <w:tr w:rsidR="00320904" w14:paraId="66631499" w14:textId="77777777" w:rsidTr="00320904">
        <w:trPr>
          <w:trHeight w:val="289"/>
        </w:trPr>
        <w:tc>
          <w:tcPr>
            <w:tcW w:w="1472" w:type="pct"/>
            <w:gridSpan w:val="2"/>
            <w:tcBorders>
              <w:top w:val="single" w:sz="6" w:space="0" w:color="auto"/>
              <w:left w:val="single" w:sz="6" w:space="0" w:color="auto"/>
              <w:bottom w:val="single" w:sz="6" w:space="0" w:color="auto"/>
              <w:right w:val="single" w:sz="6" w:space="0" w:color="auto"/>
            </w:tcBorders>
            <w:hideMark/>
          </w:tcPr>
          <w:p w14:paraId="70892089" w14:textId="77777777" w:rsidR="00320904" w:rsidRDefault="00320904">
            <w:pPr>
              <w:pStyle w:val="Text1"/>
              <w:spacing w:beforeLines="20" w:before="48" w:afterLines="20" w:after="48"/>
              <w:ind w:left="984"/>
              <w:jc w:val="left"/>
              <w:rPr>
                <w:noProof/>
                <w:sz w:val="16"/>
                <w:szCs w:val="16"/>
              </w:rPr>
            </w:pPr>
            <w:r>
              <w:rPr>
                <w:noProof/>
                <w:sz w:val="16"/>
              </w:rPr>
              <w:t>Delegations</w:t>
            </w:r>
          </w:p>
        </w:tc>
        <w:tc>
          <w:tcPr>
            <w:tcW w:w="466" w:type="pct"/>
            <w:tcBorders>
              <w:top w:val="single" w:sz="6" w:space="0" w:color="auto"/>
              <w:left w:val="single" w:sz="6" w:space="0" w:color="auto"/>
              <w:bottom w:val="single" w:sz="6" w:space="0" w:color="auto"/>
              <w:right w:val="single" w:sz="6" w:space="0" w:color="auto"/>
            </w:tcBorders>
            <w:vAlign w:val="center"/>
          </w:tcPr>
          <w:p w14:paraId="57B2256C" w14:textId="77777777" w:rsidR="00320904" w:rsidRDefault="00320904">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14:paraId="68529199" w14:textId="77777777" w:rsidR="00320904" w:rsidRDefault="00320904">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14:paraId="42A893F7" w14:textId="77777777" w:rsidR="00320904" w:rsidRDefault="00320904">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14:paraId="58414E75" w14:textId="77777777" w:rsidR="00320904" w:rsidRDefault="00320904">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14:paraId="5C6BD5A3" w14:textId="77777777" w:rsidR="00320904" w:rsidRDefault="00320904">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14:paraId="2FEFC713" w14:textId="77777777" w:rsidR="00320904" w:rsidRDefault="00320904">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14:paraId="1CB4FD38" w14:textId="77777777" w:rsidR="00320904" w:rsidRDefault="00320904">
            <w:pPr>
              <w:spacing w:beforeLines="20" w:before="48" w:afterLines="20" w:after="48"/>
              <w:jc w:val="center"/>
              <w:rPr>
                <w:noProof/>
                <w:sz w:val="16"/>
                <w:szCs w:val="16"/>
              </w:rPr>
            </w:pPr>
          </w:p>
        </w:tc>
      </w:tr>
      <w:tr w:rsidR="00320904" w14:paraId="2AC58501" w14:textId="77777777" w:rsidTr="00320904">
        <w:trPr>
          <w:trHeight w:val="289"/>
        </w:trPr>
        <w:tc>
          <w:tcPr>
            <w:tcW w:w="1472" w:type="pct"/>
            <w:gridSpan w:val="2"/>
            <w:tcBorders>
              <w:top w:val="single" w:sz="6" w:space="0" w:color="auto"/>
              <w:left w:val="single" w:sz="6" w:space="0" w:color="auto"/>
              <w:bottom w:val="single" w:sz="6" w:space="0" w:color="auto"/>
              <w:right w:val="single" w:sz="6" w:space="0" w:color="auto"/>
            </w:tcBorders>
            <w:hideMark/>
          </w:tcPr>
          <w:p w14:paraId="021A27D3" w14:textId="77777777" w:rsidR="00320904" w:rsidRDefault="00320904">
            <w:pPr>
              <w:pStyle w:val="Text1"/>
              <w:spacing w:beforeLines="20" w:before="48" w:afterLines="20" w:after="48"/>
              <w:ind w:left="984"/>
              <w:jc w:val="left"/>
              <w:rPr>
                <w:noProof/>
                <w:sz w:val="16"/>
                <w:szCs w:val="16"/>
              </w:rPr>
            </w:pPr>
            <w:r>
              <w:rPr>
                <w:noProof/>
                <w:sz w:val="16"/>
              </w:rPr>
              <w:t>Research</w:t>
            </w:r>
          </w:p>
        </w:tc>
        <w:tc>
          <w:tcPr>
            <w:tcW w:w="466" w:type="pct"/>
            <w:tcBorders>
              <w:top w:val="single" w:sz="6" w:space="0" w:color="auto"/>
              <w:left w:val="single" w:sz="6" w:space="0" w:color="auto"/>
              <w:bottom w:val="single" w:sz="6" w:space="0" w:color="auto"/>
              <w:right w:val="single" w:sz="6" w:space="0" w:color="auto"/>
            </w:tcBorders>
            <w:vAlign w:val="center"/>
          </w:tcPr>
          <w:p w14:paraId="40766EE4" w14:textId="77777777" w:rsidR="00320904" w:rsidRDefault="00320904">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14:paraId="1A89053D" w14:textId="77777777" w:rsidR="00320904" w:rsidRDefault="00320904">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14:paraId="159AA890" w14:textId="77777777" w:rsidR="00320904" w:rsidRDefault="00320904">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14:paraId="69416704" w14:textId="77777777" w:rsidR="00320904" w:rsidRDefault="00320904">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14:paraId="0D19E1F8" w14:textId="77777777" w:rsidR="00320904" w:rsidRDefault="00320904">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14:paraId="34FE8E95" w14:textId="77777777" w:rsidR="00320904" w:rsidRDefault="00320904">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14:paraId="24B0B968" w14:textId="77777777" w:rsidR="00320904" w:rsidRDefault="00320904">
            <w:pPr>
              <w:spacing w:beforeLines="20" w:before="48" w:afterLines="20" w:after="48"/>
              <w:jc w:val="center"/>
              <w:rPr>
                <w:noProof/>
                <w:sz w:val="16"/>
                <w:szCs w:val="16"/>
              </w:rPr>
            </w:pPr>
          </w:p>
        </w:tc>
      </w:tr>
      <w:tr w:rsidR="00320904" w14:paraId="47E67537" w14:textId="77777777" w:rsidTr="00320904">
        <w:trPr>
          <w:trHeight w:val="293"/>
        </w:trPr>
        <w:tc>
          <w:tcPr>
            <w:tcW w:w="5000" w:type="pct"/>
            <w:gridSpan w:val="9"/>
            <w:tcBorders>
              <w:top w:val="single" w:sz="6" w:space="0" w:color="auto"/>
              <w:left w:val="single" w:sz="6" w:space="0" w:color="auto"/>
              <w:bottom w:val="single" w:sz="6" w:space="0" w:color="auto"/>
              <w:right w:val="single" w:sz="6" w:space="0" w:color="auto"/>
            </w:tcBorders>
            <w:hideMark/>
          </w:tcPr>
          <w:p w14:paraId="768C3002" w14:textId="77777777" w:rsidR="00320904" w:rsidRDefault="00320904">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 - AC, AL, END, INT and JED</w:t>
            </w:r>
            <w:r>
              <w:rPr>
                <w:noProof/>
                <w:sz w:val="16"/>
              </w:rPr>
              <w:t xml:space="preserve"> </w:t>
            </w:r>
            <w:r w:rsidRPr="00DC6943">
              <w:rPr>
                <w:rStyle w:val="FootnoteReference"/>
                <w:noProof/>
                <w:sz w:val="16"/>
              </w:rPr>
              <w:footnoteReference w:id="14"/>
            </w:r>
          </w:p>
          <w:p w14:paraId="7B1AA2DA" w14:textId="77777777" w:rsidR="00320904" w:rsidRDefault="00320904">
            <w:pPr>
              <w:pStyle w:val="Text1"/>
              <w:spacing w:before="0" w:after="0"/>
              <w:ind w:left="0"/>
              <w:jc w:val="left"/>
              <w:rPr>
                <w:noProof/>
                <w:sz w:val="16"/>
                <w:szCs w:val="16"/>
              </w:rPr>
            </w:pPr>
            <w:r>
              <w:rPr>
                <w:noProof/>
                <w:sz w:val="16"/>
                <w:szCs w:val="16"/>
              </w:rPr>
              <w:t>Heading 7</w:t>
            </w:r>
          </w:p>
        </w:tc>
      </w:tr>
      <w:tr w:rsidR="00320904" w14:paraId="54EB2357" w14:textId="77777777" w:rsidTr="00320904">
        <w:trPr>
          <w:trHeight w:val="485"/>
        </w:trPr>
        <w:tc>
          <w:tcPr>
            <w:tcW w:w="735" w:type="pct"/>
            <w:vMerge w:val="restart"/>
            <w:tcBorders>
              <w:top w:val="single" w:sz="6" w:space="0" w:color="auto"/>
              <w:left w:val="single" w:sz="6" w:space="0" w:color="auto"/>
              <w:bottom w:val="single" w:sz="6" w:space="0" w:color="auto"/>
              <w:right w:val="single" w:sz="6" w:space="0" w:color="auto"/>
            </w:tcBorders>
            <w:vAlign w:val="center"/>
            <w:hideMark/>
          </w:tcPr>
          <w:p w14:paraId="6F2B87BC" w14:textId="77777777" w:rsidR="00320904" w:rsidRDefault="00320904">
            <w:pPr>
              <w:pStyle w:val="Text1"/>
              <w:spacing w:beforeLines="20" w:before="48" w:afterLines="20" w:after="48"/>
              <w:ind w:left="986"/>
              <w:jc w:val="left"/>
              <w:rPr>
                <w:b/>
                <w:noProof/>
                <w:sz w:val="16"/>
                <w:szCs w:val="16"/>
              </w:rPr>
            </w:pPr>
            <w:r>
              <w:rPr>
                <w:noProof/>
                <w:sz w:val="16"/>
                <w:szCs w:val="16"/>
              </w:rPr>
              <w:t>Financed from HEADING 7 of the multiannual financial framework</w:t>
            </w:r>
            <w:r>
              <w:rPr>
                <w:b/>
                <w:noProof/>
                <w:sz w:val="16"/>
              </w:rPr>
              <w:t xml:space="preserve"> </w:t>
            </w:r>
          </w:p>
        </w:tc>
        <w:tc>
          <w:tcPr>
            <w:tcW w:w="737" w:type="pct"/>
            <w:tcBorders>
              <w:top w:val="single" w:sz="6" w:space="0" w:color="auto"/>
              <w:left w:val="single" w:sz="6" w:space="0" w:color="auto"/>
              <w:bottom w:val="single" w:sz="6" w:space="0" w:color="auto"/>
              <w:right w:val="single" w:sz="6" w:space="0" w:color="auto"/>
            </w:tcBorders>
            <w:vAlign w:val="center"/>
            <w:hideMark/>
          </w:tcPr>
          <w:p w14:paraId="74031F72" w14:textId="77777777" w:rsidR="00320904" w:rsidRDefault="00320904">
            <w:pPr>
              <w:pStyle w:val="Text1"/>
              <w:spacing w:beforeLines="20" w:before="48" w:afterLines="20" w:after="48"/>
              <w:ind w:left="986"/>
              <w:jc w:val="left"/>
              <w:rPr>
                <w:b/>
                <w:noProof/>
                <w:sz w:val="16"/>
                <w:szCs w:val="16"/>
              </w:rPr>
            </w:pPr>
            <w:r>
              <w:rPr>
                <w:noProof/>
                <w:sz w:val="16"/>
              </w:rPr>
              <w:t>- at Headquarters</w:t>
            </w:r>
          </w:p>
        </w:tc>
        <w:tc>
          <w:tcPr>
            <w:tcW w:w="466" w:type="pct"/>
            <w:tcBorders>
              <w:top w:val="single" w:sz="6" w:space="0" w:color="auto"/>
              <w:left w:val="single" w:sz="6" w:space="0" w:color="auto"/>
              <w:bottom w:val="single" w:sz="6" w:space="0" w:color="auto"/>
              <w:right w:val="single" w:sz="6" w:space="0" w:color="auto"/>
            </w:tcBorders>
            <w:vAlign w:val="center"/>
          </w:tcPr>
          <w:p w14:paraId="36DA44D6" w14:textId="77777777" w:rsidR="00320904" w:rsidRDefault="00320904">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14:paraId="6E8F9949" w14:textId="77777777" w:rsidR="00320904" w:rsidRDefault="00320904">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14:paraId="15F873AB" w14:textId="77777777" w:rsidR="00320904" w:rsidRDefault="00320904">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14:paraId="777A1B31" w14:textId="77777777" w:rsidR="00320904" w:rsidRDefault="00320904">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14:paraId="22723039" w14:textId="77777777" w:rsidR="00320904" w:rsidRDefault="00320904">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14:paraId="11B0B348" w14:textId="77777777" w:rsidR="00320904" w:rsidRDefault="00320904">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14:paraId="42DA89F4" w14:textId="77777777" w:rsidR="00320904" w:rsidRDefault="00320904">
            <w:pPr>
              <w:spacing w:beforeLines="20" w:before="48" w:afterLines="20" w:after="48"/>
              <w:jc w:val="center"/>
              <w:rPr>
                <w:noProof/>
                <w:sz w:val="16"/>
                <w:szCs w:val="16"/>
              </w:rPr>
            </w:pPr>
          </w:p>
        </w:tc>
      </w:tr>
      <w:tr w:rsidR="00320904" w14:paraId="3EB5324B" w14:textId="77777777" w:rsidTr="00320904">
        <w:trPr>
          <w:trHeight w:val="289"/>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BB7A84E" w14:textId="77777777" w:rsidR="00320904" w:rsidRDefault="00320904">
            <w:pPr>
              <w:spacing w:before="0" w:after="0"/>
              <w:jc w:val="left"/>
              <w:rPr>
                <w:b/>
                <w:noProof/>
                <w:sz w:val="16"/>
                <w:szCs w:val="16"/>
              </w:rPr>
            </w:pPr>
          </w:p>
        </w:tc>
        <w:tc>
          <w:tcPr>
            <w:tcW w:w="737" w:type="pct"/>
            <w:tcBorders>
              <w:top w:val="single" w:sz="6" w:space="0" w:color="auto"/>
              <w:left w:val="single" w:sz="6" w:space="0" w:color="auto"/>
              <w:bottom w:val="single" w:sz="6" w:space="0" w:color="auto"/>
              <w:right w:val="single" w:sz="6" w:space="0" w:color="auto"/>
            </w:tcBorders>
            <w:vAlign w:val="center"/>
            <w:hideMark/>
          </w:tcPr>
          <w:p w14:paraId="2FC0A129" w14:textId="77777777" w:rsidR="00320904" w:rsidRDefault="00320904">
            <w:pPr>
              <w:pStyle w:val="Text1"/>
              <w:spacing w:beforeLines="20" w:before="48" w:afterLines="20" w:after="48"/>
              <w:ind w:left="986"/>
              <w:jc w:val="left"/>
              <w:rPr>
                <w:noProof/>
                <w:sz w:val="16"/>
                <w:szCs w:val="16"/>
              </w:rPr>
            </w:pPr>
            <w:r>
              <w:rPr>
                <w:noProof/>
                <w:sz w:val="16"/>
              </w:rPr>
              <w:t xml:space="preserve">- in Delegations </w:t>
            </w:r>
          </w:p>
        </w:tc>
        <w:tc>
          <w:tcPr>
            <w:tcW w:w="466" w:type="pct"/>
            <w:tcBorders>
              <w:top w:val="single" w:sz="6" w:space="0" w:color="auto"/>
              <w:left w:val="single" w:sz="6" w:space="0" w:color="auto"/>
              <w:bottom w:val="single" w:sz="6" w:space="0" w:color="auto"/>
              <w:right w:val="single" w:sz="6" w:space="0" w:color="auto"/>
            </w:tcBorders>
            <w:vAlign w:val="center"/>
          </w:tcPr>
          <w:p w14:paraId="0BF38028" w14:textId="77777777" w:rsidR="00320904" w:rsidRDefault="00320904">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14:paraId="17884557" w14:textId="77777777" w:rsidR="00320904" w:rsidRDefault="00320904">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14:paraId="61D8E708" w14:textId="77777777" w:rsidR="00320904" w:rsidRDefault="00320904">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14:paraId="5924023C" w14:textId="77777777" w:rsidR="00320904" w:rsidRDefault="00320904">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14:paraId="557699F4" w14:textId="77777777" w:rsidR="00320904" w:rsidRDefault="00320904">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14:paraId="41FCFD88" w14:textId="77777777" w:rsidR="00320904" w:rsidRDefault="00320904">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14:paraId="219726B8" w14:textId="77777777" w:rsidR="00320904" w:rsidRDefault="00320904">
            <w:pPr>
              <w:spacing w:beforeLines="20" w:before="48" w:afterLines="20" w:after="48"/>
              <w:jc w:val="center"/>
              <w:rPr>
                <w:noProof/>
                <w:sz w:val="16"/>
                <w:szCs w:val="16"/>
              </w:rPr>
            </w:pPr>
          </w:p>
        </w:tc>
      </w:tr>
      <w:tr w:rsidR="00320904" w14:paraId="73621788" w14:textId="77777777" w:rsidTr="00320904">
        <w:trPr>
          <w:trHeight w:val="370"/>
        </w:trPr>
        <w:tc>
          <w:tcPr>
            <w:tcW w:w="735" w:type="pct"/>
            <w:vMerge w:val="restart"/>
            <w:tcBorders>
              <w:top w:val="single" w:sz="6" w:space="0" w:color="auto"/>
              <w:left w:val="single" w:sz="6" w:space="0" w:color="auto"/>
              <w:bottom w:val="single" w:sz="6" w:space="0" w:color="auto"/>
              <w:right w:val="single" w:sz="6" w:space="0" w:color="auto"/>
            </w:tcBorders>
            <w:vAlign w:val="center"/>
            <w:hideMark/>
          </w:tcPr>
          <w:p w14:paraId="48572BBB" w14:textId="77777777" w:rsidR="00320904" w:rsidRDefault="00320904">
            <w:pPr>
              <w:pStyle w:val="Text1"/>
              <w:spacing w:beforeLines="20" w:before="48" w:afterLines="20" w:after="48"/>
              <w:ind w:left="986"/>
              <w:jc w:val="left"/>
              <w:rPr>
                <w:b/>
                <w:noProof/>
                <w:sz w:val="16"/>
                <w:szCs w:val="16"/>
              </w:rPr>
            </w:pPr>
            <w:r>
              <w:rPr>
                <w:noProof/>
                <w:sz w:val="16"/>
                <w:szCs w:val="16"/>
              </w:rPr>
              <w:t>Financed from the envelope of the programme</w:t>
            </w:r>
            <w:r>
              <w:rPr>
                <w:b/>
                <w:noProof/>
                <w:sz w:val="16"/>
                <w:szCs w:val="16"/>
              </w:rPr>
              <w:t xml:space="preserve"> </w:t>
            </w:r>
            <w:r w:rsidRPr="00DC6943">
              <w:rPr>
                <w:rStyle w:val="FootnoteReference"/>
                <w:b/>
                <w:noProof/>
                <w:sz w:val="16"/>
              </w:rPr>
              <w:footnoteReference w:id="15"/>
            </w:r>
          </w:p>
        </w:tc>
        <w:tc>
          <w:tcPr>
            <w:tcW w:w="737" w:type="pct"/>
            <w:tcBorders>
              <w:top w:val="single" w:sz="6" w:space="0" w:color="auto"/>
              <w:left w:val="single" w:sz="6" w:space="0" w:color="auto"/>
              <w:bottom w:val="single" w:sz="6" w:space="0" w:color="auto"/>
              <w:right w:val="single" w:sz="6" w:space="0" w:color="auto"/>
            </w:tcBorders>
            <w:vAlign w:val="center"/>
            <w:hideMark/>
          </w:tcPr>
          <w:p w14:paraId="53357F85" w14:textId="77777777" w:rsidR="00320904" w:rsidRDefault="00320904">
            <w:pPr>
              <w:pStyle w:val="Text1"/>
              <w:spacing w:beforeLines="20" w:before="48" w:afterLines="20" w:after="48"/>
              <w:ind w:left="986"/>
              <w:jc w:val="left"/>
              <w:rPr>
                <w:b/>
                <w:noProof/>
                <w:sz w:val="16"/>
                <w:szCs w:val="16"/>
              </w:rPr>
            </w:pPr>
            <w:r>
              <w:rPr>
                <w:noProof/>
                <w:sz w:val="16"/>
              </w:rPr>
              <w:t>- at Headquarters</w:t>
            </w:r>
          </w:p>
        </w:tc>
        <w:tc>
          <w:tcPr>
            <w:tcW w:w="466" w:type="pct"/>
            <w:tcBorders>
              <w:top w:val="single" w:sz="6" w:space="0" w:color="auto"/>
              <w:left w:val="single" w:sz="6" w:space="0" w:color="auto"/>
              <w:bottom w:val="single" w:sz="6" w:space="0" w:color="auto"/>
              <w:right w:val="single" w:sz="6" w:space="0" w:color="auto"/>
            </w:tcBorders>
            <w:vAlign w:val="center"/>
          </w:tcPr>
          <w:p w14:paraId="466A024F" w14:textId="77777777" w:rsidR="00320904" w:rsidRDefault="00320904">
            <w:pPr>
              <w:pStyle w:val="Text1"/>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14:paraId="6BE7673D" w14:textId="77777777" w:rsidR="00320904" w:rsidRDefault="00320904">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14:paraId="2770877F" w14:textId="77777777" w:rsidR="00320904" w:rsidRDefault="00320904">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14:paraId="230AE230" w14:textId="77777777" w:rsidR="00320904" w:rsidRDefault="00320904">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14:paraId="7394171D" w14:textId="77777777" w:rsidR="00320904" w:rsidRDefault="00320904">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14:paraId="13479EE9" w14:textId="77777777" w:rsidR="00320904" w:rsidRDefault="00320904">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14:paraId="3DA80F5C" w14:textId="77777777" w:rsidR="00320904" w:rsidRDefault="00320904">
            <w:pPr>
              <w:spacing w:beforeLines="20" w:before="48" w:afterLines="20" w:after="48"/>
              <w:jc w:val="center"/>
              <w:rPr>
                <w:noProof/>
                <w:sz w:val="16"/>
                <w:szCs w:val="16"/>
              </w:rPr>
            </w:pPr>
          </w:p>
        </w:tc>
      </w:tr>
      <w:tr w:rsidR="00320904" w14:paraId="62F41720" w14:textId="77777777" w:rsidTr="00320904">
        <w:trPr>
          <w:trHeight w:val="289"/>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52DB7D1" w14:textId="77777777" w:rsidR="00320904" w:rsidRDefault="00320904">
            <w:pPr>
              <w:spacing w:before="0" w:after="0"/>
              <w:jc w:val="left"/>
              <w:rPr>
                <w:b/>
                <w:noProof/>
                <w:sz w:val="16"/>
                <w:szCs w:val="16"/>
              </w:rPr>
            </w:pPr>
          </w:p>
        </w:tc>
        <w:tc>
          <w:tcPr>
            <w:tcW w:w="737" w:type="pct"/>
            <w:tcBorders>
              <w:top w:val="single" w:sz="6" w:space="0" w:color="auto"/>
              <w:left w:val="single" w:sz="6" w:space="0" w:color="auto"/>
              <w:bottom w:val="single" w:sz="6" w:space="0" w:color="auto"/>
              <w:right w:val="single" w:sz="6" w:space="0" w:color="auto"/>
            </w:tcBorders>
            <w:vAlign w:val="center"/>
            <w:hideMark/>
          </w:tcPr>
          <w:p w14:paraId="15F186B3" w14:textId="77777777" w:rsidR="00320904" w:rsidRDefault="00320904">
            <w:pPr>
              <w:pStyle w:val="Text1"/>
              <w:spacing w:beforeLines="20" w:before="48" w:afterLines="20" w:after="48"/>
              <w:ind w:left="986"/>
              <w:jc w:val="left"/>
              <w:rPr>
                <w:b/>
                <w:noProof/>
                <w:sz w:val="16"/>
                <w:szCs w:val="16"/>
              </w:rPr>
            </w:pPr>
            <w:r>
              <w:rPr>
                <w:noProof/>
                <w:sz w:val="16"/>
              </w:rPr>
              <w:t xml:space="preserve">- in Delegations </w:t>
            </w:r>
          </w:p>
        </w:tc>
        <w:tc>
          <w:tcPr>
            <w:tcW w:w="466" w:type="pct"/>
            <w:tcBorders>
              <w:top w:val="single" w:sz="6" w:space="0" w:color="auto"/>
              <w:left w:val="single" w:sz="6" w:space="0" w:color="auto"/>
              <w:bottom w:val="single" w:sz="6" w:space="0" w:color="auto"/>
              <w:right w:val="single" w:sz="6" w:space="0" w:color="auto"/>
            </w:tcBorders>
            <w:vAlign w:val="center"/>
          </w:tcPr>
          <w:p w14:paraId="6DC93639" w14:textId="77777777" w:rsidR="00320904" w:rsidRDefault="00320904">
            <w:pPr>
              <w:pStyle w:val="Text1"/>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14:paraId="5B32278F" w14:textId="77777777" w:rsidR="00320904" w:rsidRDefault="00320904">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14:paraId="2E2486B8" w14:textId="77777777" w:rsidR="00320904" w:rsidRDefault="00320904">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14:paraId="4A511EA7" w14:textId="77777777" w:rsidR="00320904" w:rsidRDefault="00320904">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14:paraId="2511D665" w14:textId="77777777" w:rsidR="00320904" w:rsidRDefault="00320904">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14:paraId="385A9F7B" w14:textId="77777777" w:rsidR="00320904" w:rsidRDefault="00320904">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14:paraId="07A513C5" w14:textId="77777777" w:rsidR="00320904" w:rsidRDefault="00320904">
            <w:pPr>
              <w:spacing w:beforeLines="20" w:before="48" w:afterLines="20" w:after="48"/>
              <w:jc w:val="center"/>
              <w:rPr>
                <w:noProof/>
                <w:sz w:val="16"/>
                <w:szCs w:val="16"/>
              </w:rPr>
            </w:pPr>
          </w:p>
        </w:tc>
      </w:tr>
      <w:tr w:rsidR="00320904" w14:paraId="22E5757A" w14:textId="77777777" w:rsidTr="00320904">
        <w:trPr>
          <w:trHeight w:val="289"/>
        </w:trPr>
        <w:tc>
          <w:tcPr>
            <w:tcW w:w="1472" w:type="pct"/>
            <w:gridSpan w:val="2"/>
            <w:tcBorders>
              <w:top w:val="single" w:sz="6" w:space="0" w:color="auto"/>
              <w:left w:val="single" w:sz="6" w:space="0" w:color="auto"/>
              <w:bottom w:val="single" w:sz="6" w:space="0" w:color="auto"/>
              <w:right w:val="single" w:sz="6" w:space="0" w:color="auto"/>
            </w:tcBorders>
            <w:hideMark/>
          </w:tcPr>
          <w:p w14:paraId="4928070F" w14:textId="77777777" w:rsidR="00320904" w:rsidRDefault="00320904">
            <w:pPr>
              <w:pStyle w:val="Text1"/>
              <w:spacing w:beforeLines="20" w:before="48" w:afterLines="20" w:after="48"/>
              <w:ind w:left="986"/>
              <w:jc w:val="left"/>
              <w:rPr>
                <w:noProof/>
                <w:sz w:val="16"/>
                <w:szCs w:val="16"/>
              </w:rPr>
            </w:pPr>
            <w:r>
              <w:rPr>
                <w:noProof/>
                <w:sz w:val="16"/>
                <w:szCs w:val="16"/>
              </w:rPr>
              <w:t>Research</w:t>
            </w:r>
          </w:p>
        </w:tc>
        <w:tc>
          <w:tcPr>
            <w:tcW w:w="466" w:type="pct"/>
            <w:tcBorders>
              <w:top w:val="single" w:sz="6" w:space="0" w:color="auto"/>
              <w:left w:val="single" w:sz="6" w:space="0" w:color="auto"/>
              <w:bottom w:val="single" w:sz="6" w:space="0" w:color="auto"/>
              <w:right w:val="single" w:sz="6" w:space="0" w:color="auto"/>
            </w:tcBorders>
            <w:vAlign w:val="center"/>
          </w:tcPr>
          <w:p w14:paraId="1FA39B86" w14:textId="77777777" w:rsidR="00320904" w:rsidRDefault="00320904">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14:paraId="62922BAF" w14:textId="77777777" w:rsidR="00320904" w:rsidRDefault="00320904">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14:paraId="1CA2C7C5" w14:textId="77777777" w:rsidR="00320904" w:rsidRDefault="00320904">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14:paraId="2BD69953" w14:textId="77777777" w:rsidR="00320904" w:rsidRDefault="00320904">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14:paraId="62C4C6F0" w14:textId="77777777" w:rsidR="00320904" w:rsidRDefault="00320904">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14:paraId="3210D176" w14:textId="77777777" w:rsidR="00320904" w:rsidRDefault="00320904">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14:paraId="4A406166" w14:textId="77777777" w:rsidR="00320904" w:rsidRDefault="00320904">
            <w:pPr>
              <w:spacing w:beforeLines="20" w:before="48" w:afterLines="20" w:after="48"/>
              <w:jc w:val="center"/>
              <w:rPr>
                <w:noProof/>
                <w:sz w:val="16"/>
                <w:szCs w:val="16"/>
              </w:rPr>
            </w:pPr>
          </w:p>
        </w:tc>
      </w:tr>
      <w:tr w:rsidR="00320904" w14:paraId="47EB2869" w14:textId="77777777" w:rsidTr="00320904">
        <w:trPr>
          <w:trHeight w:val="289"/>
        </w:trPr>
        <w:tc>
          <w:tcPr>
            <w:tcW w:w="1472" w:type="pct"/>
            <w:gridSpan w:val="2"/>
            <w:tcBorders>
              <w:top w:val="single" w:sz="6" w:space="0" w:color="auto"/>
              <w:left w:val="single" w:sz="6" w:space="0" w:color="auto"/>
              <w:bottom w:val="double" w:sz="4" w:space="0" w:color="auto"/>
              <w:right w:val="single" w:sz="6" w:space="0" w:color="auto"/>
            </w:tcBorders>
            <w:hideMark/>
          </w:tcPr>
          <w:p w14:paraId="57D8809E" w14:textId="77777777" w:rsidR="00320904" w:rsidRDefault="00320904">
            <w:pPr>
              <w:pStyle w:val="Text1"/>
              <w:spacing w:beforeLines="20" w:before="48" w:afterLines="20" w:after="48"/>
              <w:ind w:left="984"/>
              <w:jc w:val="left"/>
              <w:rPr>
                <w:noProof/>
                <w:sz w:val="16"/>
                <w:szCs w:val="16"/>
              </w:rPr>
            </w:pPr>
            <w:r>
              <w:rPr>
                <w:noProof/>
                <w:sz w:val="16"/>
              </w:rPr>
              <w:t>Other (specify)</w:t>
            </w:r>
          </w:p>
        </w:tc>
        <w:tc>
          <w:tcPr>
            <w:tcW w:w="466" w:type="pct"/>
            <w:tcBorders>
              <w:top w:val="single" w:sz="6" w:space="0" w:color="auto"/>
              <w:left w:val="single" w:sz="6" w:space="0" w:color="auto"/>
              <w:bottom w:val="double" w:sz="4" w:space="0" w:color="auto"/>
              <w:right w:val="single" w:sz="6" w:space="0" w:color="auto"/>
            </w:tcBorders>
            <w:vAlign w:val="center"/>
          </w:tcPr>
          <w:p w14:paraId="27CB0930" w14:textId="77777777" w:rsidR="00320904" w:rsidRDefault="00320904">
            <w:pPr>
              <w:spacing w:beforeLines="20" w:before="48" w:afterLines="20" w:after="48"/>
              <w:jc w:val="center"/>
              <w:rPr>
                <w:noProof/>
                <w:sz w:val="16"/>
                <w:szCs w:val="16"/>
              </w:rPr>
            </w:pPr>
          </w:p>
        </w:tc>
        <w:tc>
          <w:tcPr>
            <w:tcW w:w="534" w:type="pct"/>
            <w:tcBorders>
              <w:top w:val="single" w:sz="6" w:space="0" w:color="auto"/>
              <w:left w:val="single" w:sz="6" w:space="0" w:color="auto"/>
              <w:bottom w:val="double" w:sz="4" w:space="0" w:color="auto"/>
              <w:right w:val="single" w:sz="6" w:space="0" w:color="auto"/>
            </w:tcBorders>
            <w:vAlign w:val="center"/>
          </w:tcPr>
          <w:p w14:paraId="332C3D78" w14:textId="77777777" w:rsidR="00320904" w:rsidRDefault="00320904">
            <w:pPr>
              <w:spacing w:beforeLines="20" w:before="48" w:afterLines="20" w:after="48"/>
              <w:jc w:val="center"/>
              <w:rPr>
                <w:noProof/>
                <w:sz w:val="16"/>
                <w:szCs w:val="16"/>
              </w:rPr>
            </w:pPr>
          </w:p>
        </w:tc>
        <w:tc>
          <w:tcPr>
            <w:tcW w:w="466" w:type="pct"/>
            <w:tcBorders>
              <w:top w:val="single" w:sz="6" w:space="0" w:color="auto"/>
              <w:left w:val="single" w:sz="6" w:space="0" w:color="auto"/>
              <w:bottom w:val="double" w:sz="4" w:space="0" w:color="auto"/>
              <w:right w:val="single" w:sz="6" w:space="0" w:color="auto"/>
            </w:tcBorders>
            <w:vAlign w:val="center"/>
          </w:tcPr>
          <w:p w14:paraId="433F05ED" w14:textId="77777777" w:rsidR="00320904" w:rsidRDefault="00320904">
            <w:pPr>
              <w:spacing w:beforeLines="20" w:before="48" w:afterLines="20" w:after="48"/>
              <w:jc w:val="center"/>
              <w:rPr>
                <w:noProof/>
                <w:sz w:val="16"/>
                <w:szCs w:val="16"/>
              </w:rPr>
            </w:pPr>
          </w:p>
        </w:tc>
        <w:tc>
          <w:tcPr>
            <w:tcW w:w="534" w:type="pct"/>
            <w:tcBorders>
              <w:top w:val="single" w:sz="6" w:space="0" w:color="auto"/>
              <w:left w:val="single" w:sz="6" w:space="0" w:color="auto"/>
              <w:bottom w:val="double" w:sz="4" w:space="0" w:color="auto"/>
              <w:right w:val="single" w:sz="6" w:space="0" w:color="auto"/>
            </w:tcBorders>
            <w:vAlign w:val="center"/>
          </w:tcPr>
          <w:p w14:paraId="63D32D10" w14:textId="77777777" w:rsidR="00320904" w:rsidRDefault="00320904">
            <w:pPr>
              <w:spacing w:beforeLines="20" w:before="48" w:afterLines="20" w:after="48"/>
              <w:jc w:val="center"/>
              <w:rPr>
                <w:noProof/>
                <w:sz w:val="16"/>
                <w:szCs w:val="16"/>
              </w:rPr>
            </w:pPr>
          </w:p>
        </w:tc>
        <w:tc>
          <w:tcPr>
            <w:tcW w:w="533" w:type="pct"/>
            <w:tcBorders>
              <w:top w:val="single" w:sz="6" w:space="0" w:color="auto"/>
              <w:left w:val="single" w:sz="6" w:space="0" w:color="auto"/>
              <w:bottom w:val="double" w:sz="4" w:space="0" w:color="auto"/>
              <w:right w:val="single" w:sz="6" w:space="0" w:color="auto"/>
            </w:tcBorders>
            <w:vAlign w:val="center"/>
          </w:tcPr>
          <w:p w14:paraId="3774A218" w14:textId="77777777" w:rsidR="00320904" w:rsidRDefault="00320904">
            <w:pPr>
              <w:spacing w:beforeLines="20" w:before="48" w:afterLines="20" w:after="48"/>
              <w:jc w:val="center"/>
              <w:rPr>
                <w:noProof/>
                <w:sz w:val="16"/>
                <w:szCs w:val="16"/>
              </w:rPr>
            </w:pPr>
          </w:p>
        </w:tc>
        <w:tc>
          <w:tcPr>
            <w:tcW w:w="468" w:type="pct"/>
            <w:tcBorders>
              <w:top w:val="single" w:sz="6" w:space="0" w:color="auto"/>
              <w:left w:val="single" w:sz="6" w:space="0" w:color="auto"/>
              <w:bottom w:val="double" w:sz="4" w:space="0" w:color="auto"/>
              <w:right w:val="single" w:sz="6" w:space="0" w:color="auto"/>
            </w:tcBorders>
            <w:vAlign w:val="center"/>
          </w:tcPr>
          <w:p w14:paraId="107B400C" w14:textId="77777777" w:rsidR="00320904" w:rsidRDefault="00320904">
            <w:pPr>
              <w:spacing w:beforeLines="20" w:before="48" w:afterLines="20" w:after="48"/>
              <w:jc w:val="center"/>
              <w:rPr>
                <w:noProof/>
                <w:sz w:val="16"/>
                <w:szCs w:val="16"/>
              </w:rPr>
            </w:pPr>
          </w:p>
        </w:tc>
        <w:tc>
          <w:tcPr>
            <w:tcW w:w="527" w:type="pct"/>
            <w:tcBorders>
              <w:top w:val="single" w:sz="6" w:space="0" w:color="auto"/>
              <w:left w:val="single" w:sz="6" w:space="0" w:color="auto"/>
              <w:bottom w:val="double" w:sz="4" w:space="0" w:color="auto"/>
              <w:right w:val="single" w:sz="6" w:space="0" w:color="auto"/>
            </w:tcBorders>
            <w:vAlign w:val="center"/>
          </w:tcPr>
          <w:p w14:paraId="6354D137" w14:textId="77777777" w:rsidR="00320904" w:rsidRDefault="00320904">
            <w:pPr>
              <w:spacing w:beforeLines="20" w:before="48" w:afterLines="20" w:after="48"/>
              <w:jc w:val="center"/>
              <w:rPr>
                <w:noProof/>
                <w:sz w:val="16"/>
                <w:szCs w:val="16"/>
              </w:rPr>
            </w:pPr>
          </w:p>
        </w:tc>
      </w:tr>
      <w:tr w:rsidR="00320904" w14:paraId="7416C508" w14:textId="77777777" w:rsidTr="00320904">
        <w:trPr>
          <w:trHeight w:val="289"/>
        </w:trPr>
        <w:tc>
          <w:tcPr>
            <w:tcW w:w="1472" w:type="pct"/>
            <w:gridSpan w:val="2"/>
            <w:tcBorders>
              <w:top w:val="double" w:sz="4" w:space="0" w:color="auto"/>
              <w:left w:val="single" w:sz="6" w:space="0" w:color="auto"/>
              <w:bottom w:val="single" w:sz="6" w:space="0" w:color="auto"/>
              <w:right w:val="single" w:sz="6" w:space="0" w:color="auto"/>
            </w:tcBorders>
            <w:hideMark/>
          </w:tcPr>
          <w:p w14:paraId="237A2088" w14:textId="77777777" w:rsidR="00320904" w:rsidRDefault="00320904">
            <w:pPr>
              <w:pStyle w:val="Text1"/>
              <w:spacing w:beforeLines="20" w:before="48" w:afterLines="20" w:after="48"/>
              <w:ind w:left="986"/>
              <w:jc w:val="left"/>
              <w:rPr>
                <w:noProof/>
                <w:sz w:val="16"/>
                <w:szCs w:val="16"/>
              </w:rPr>
            </w:pPr>
            <w:r>
              <w:rPr>
                <w:b/>
                <w:noProof/>
                <w:sz w:val="16"/>
              </w:rPr>
              <w:t>TOTAL</w:t>
            </w:r>
          </w:p>
        </w:tc>
        <w:tc>
          <w:tcPr>
            <w:tcW w:w="466" w:type="pct"/>
            <w:tcBorders>
              <w:top w:val="double" w:sz="4" w:space="0" w:color="auto"/>
              <w:left w:val="single" w:sz="6" w:space="0" w:color="auto"/>
              <w:bottom w:val="single" w:sz="6" w:space="0" w:color="auto"/>
              <w:right w:val="single" w:sz="6" w:space="0" w:color="auto"/>
            </w:tcBorders>
            <w:vAlign w:val="center"/>
          </w:tcPr>
          <w:p w14:paraId="1F3ED9D3" w14:textId="77777777" w:rsidR="00320904" w:rsidRDefault="00320904">
            <w:pPr>
              <w:spacing w:beforeLines="20" w:before="48" w:afterLines="20" w:after="48"/>
              <w:jc w:val="center"/>
              <w:rPr>
                <w:b/>
                <w:noProof/>
                <w:sz w:val="16"/>
                <w:szCs w:val="16"/>
              </w:rPr>
            </w:pPr>
          </w:p>
        </w:tc>
        <w:tc>
          <w:tcPr>
            <w:tcW w:w="534" w:type="pct"/>
            <w:tcBorders>
              <w:top w:val="double" w:sz="4" w:space="0" w:color="auto"/>
              <w:left w:val="single" w:sz="6" w:space="0" w:color="auto"/>
              <w:bottom w:val="single" w:sz="6" w:space="0" w:color="auto"/>
              <w:right w:val="single" w:sz="6" w:space="0" w:color="auto"/>
            </w:tcBorders>
            <w:vAlign w:val="center"/>
          </w:tcPr>
          <w:p w14:paraId="49373404" w14:textId="77777777" w:rsidR="00320904" w:rsidRDefault="00320904">
            <w:pPr>
              <w:spacing w:beforeLines="20" w:before="48" w:afterLines="20" w:after="48"/>
              <w:jc w:val="center"/>
              <w:rPr>
                <w:b/>
                <w:noProof/>
                <w:sz w:val="16"/>
                <w:szCs w:val="16"/>
              </w:rPr>
            </w:pPr>
          </w:p>
        </w:tc>
        <w:tc>
          <w:tcPr>
            <w:tcW w:w="466" w:type="pct"/>
            <w:tcBorders>
              <w:top w:val="double" w:sz="4" w:space="0" w:color="auto"/>
              <w:left w:val="single" w:sz="6" w:space="0" w:color="auto"/>
              <w:bottom w:val="single" w:sz="6" w:space="0" w:color="auto"/>
              <w:right w:val="single" w:sz="6" w:space="0" w:color="auto"/>
            </w:tcBorders>
            <w:vAlign w:val="center"/>
          </w:tcPr>
          <w:p w14:paraId="65D3586A" w14:textId="77777777" w:rsidR="00320904" w:rsidRDefault="00320904">
            <w:pPr>
              <w:spacing w:beforeLines="20" w:before="48" w:afterLines="20" w:after="48"/>
              <w:jc w:val="center"/>
              <w:rPr>
                <w:b/>
                <w:noProof/>
                <w:sz w:val="16"/>
                <w:szCs w:val="16"/>
              </w:rPr>
            </w:pPr>
          </w:p>
        </w:tc>
        <w:tc>
          <w:tcPr>
            <w:tcW w:w="534" w:type="pct"/>
            <w:tcBorders>
              <w:top w:val="double" w:sz="4" w:space="0" w:color="auto"/>
              <w:left w:val="single" w:sz="6" w:space="0" w:color="auto"/>
              <w:bottom w:val="single" w:sz="6" w:space="0" w:color="auto"/>
              <w:right w:val="single" w:sz="6" w:space="0" w:color="auto"/>
            </w:tcBorders>
            <w:vAlign w:val="center"/>
          </w:tcPr>
          <w:p w14:paraId="77F3C7FA" w14:textId="77777777" w:rsidR="00320904" w:rsidRDefault="00320904">
            <w:pPr>
              <w:spacing w:beforeLines="20" w:before="48" w:afterLines="20" w:after="48"/>
              <w:jc w:val="center"/>
              <w:rPr>
                <w:b/>
                <w:noProof/>
                <w:sz w:val="16"/>
                <w:szCs w:val="16"/>
              </w:rPr>
            </w:pPr>
          </w:p>
        </w:tc>
        <w:tc>
          <w:tcPr>
            <w:tcW w:w="533" w:type="pct"/>
            <w:tcBorders>
              <w:top w:val="double" w:sz="4" w:space="0" w:color="auto"/>
              <w:left w:val="single" w:sz="6" w:space="0" w:color="auto"/>
              <w:bottom w:val="single" w:sz="6" w:space="0" w:color="auto"/>
              <w:right w:val="single" w:sz="6" w:space="0" w:color="auto"/>
            </w:tcBorders>
            <w:vAlign w:val="center"/>
          </w:tcPr>
          <w:p w14:paraId="5E4BAA1E" w14:textId="77777777" w:rsidR="00320904" w:rsidRDefault="00320904">
            <w:pPr>
              <w:spacing w:beforeLines="20" w:before="48" w:afterLines="20" w:after="48"/>
              <w:jc w:val="center"/>
              <w:rPr>
                <w:b/>
                <w:noProof/>
                <w:sz w:val="16"/>
                <w:szCs w:val="16"/>
              </w:rPr>
            </w:pPr>
          </w:p>
        </w:tc>
        <w:tc>
          <w:tcPr>
            <w:tcW w:w="468" w:type="pct"/>
            <w:tcBorders>
              <w:top w:val="double" w:sz="4" w:space="0" w:color="auto"/>
              <w:left w:val="single" w:sz="6" w:space="0" w:color="auto"/>
              <w:bottom w:val="single" w:sz="6" w:space="0" w:color="auto"/>
              <w:right w:val="single" w:sz="6" w:space="0" w:color="auto"/>
            </w:tcBorders>
            <w:vAlign w:val="center"/>
          </w:tcPr>
          <w:p w14:paraId="17CA3B1C" w14:textId="77777777" w:rsidR="00320904" w:rsidRDefault="00320904">
            <w:pPr>
              <w:spacing w:beforeLines="20" w:before="48" w:afterLines="20" w:after="48"/>
              <w:jc w:val="center"/>
              <w:rPr>
                <w:b/>
                <w:noProof/>
                <w:sz w:val="16"/>
                <w:szCs w:val="16"/>
              </w:rPr>
            </w:pPr>
          </w:p>
        </w:tc>
        <w:tc>
          <w:tcPr>
            <w:tcW w:w="527" w:type="pct"/>
            <w:tcBorders>
              <w:top w:val="double" w:sz="4" w:space="0" w:color="auto"/>
              <w:left w:val="single" w:sz="6" w:space="0" w:color="auto"/>
              <w:bottom w:val="single" w:sz="6" w:space="0" w:color="auto"/>
              <w:right w:val="single" w:sz="6" w:space="0" w:color="auto"/>
            </w:tcBorders>
            <w:vAlign w:val="center"/>
          </w:tcPr>
          <w:p w14:paraId="444A5E77" w14:textId="77777777" w:rsidR="00320904" w:rsidRDefault="00320904">
            <w:pPr>
              <w:spacing w:beforeLines="20" w:before="48" w:afterLines="20" w:after="48"/>
              <w:jc w:val="center"/>
              <w:rPr>
                <w:b/>
                <w:noProof/>
                <w:sz w:val="16"/>
                <w:szCs w:val="16"/>
              </w:rPr>
            </w:pPr>
          </w:p>
        </w:tc>
      </w:tr>
    </w:tbl>
    <w:p w14:paraId="2891C0E3" w14:textId="77777777" w:rsidR="00320904" w:rsidRDefault="00320904" w:rsidP="00320904">
      <w:pPr>
        <w:pStyle w:val="Text1"/>
        <w:ind w:left="0"/>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14:paraId="7AA19D67" w14:textId="77777777" w:rsidR="00320904" w:rsidRDefault="00320904" w:rsidP="00320904">
      <w:pPr>
        <w:rPr>
          <w:noProof/>
          <w:sz w:val="20"/>
        </w:rPr>
      </w:pPr>
      <w:r>
        <w:rPr>
          <w:noProof/>
          <w:sz w:val="20"/>
        </w:rPr>
        <w:t>Description of tasks to be carried out:</w:t>
      </w:r>
    </w:p>
    <w:tbl>
      <w:tblPr>
        <w:tblW w:w="0"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rsidR="00320904" w14:paraId="79BE406E" w14:textId="77777777" w:rsidTr="00320904">
        <w:tc>
          <w:tcPr>
            <w:tcW w:w="3240" w:type="dxa"/>
            <w:tcBorders>
              <w:top w:val="single" w:sz="2" w:space="0" w:color="auto"/>
              <w:left w:val="single" w:sz="2" w:space="0" w:color="auto"/>
              <w:bottom w:val="single" w:sz="2" w:space="0" w:color="auto"/>
              <w:right w:val="single" w:sz="2" w:space="0" w:color="auto"/>
            </w:tcBorders>
            <w:hideMark/>
          </w:tcPr>
          <w:p w14:paraId="25206990" w14:textId="77777777" w:rsidR="00320904" w:rsidRDefault="00320904">
            <w:pPr>
              <w:rPr>
                <w:noProof/>
                <w:sz w:val="20"/>
              </w:rPr>
            </w:pPr>
            <w:r>
              <w:rPr>
                <w:noProof/>
                <w:sz w:val="20"/>
              </w:rPr>
              <w:t>Officials and temporary staff</w:t>
            </w:r>
          </w:p>
        </w:tc>
        <w:tc>
          <w:tcPr>
            <w:tcW w:w="7392" w:type="dxa"/>
            <w:tcBorders>
              <w:top w:val="single" w:sz="2" w:space="0" w:color="auto"/>
              <w:left w:val="single" w:sz="2" w:space="0" w:color="auto"/>
              <w:bottom w:val="single" w:sz="2" w:space="0" w:color="auto"/>
              <w:right w:val="single" w:sz="2" w:space="0" w:color="auto"/>
            </w:tcBorders>
          </w:tcPr>
          <w:p w14:paraId="677E7793" w14:textId="77777777" w:rsidR="00320904" w:rsidRDefault="00320904">
            <w:pPr>
              <w:rPr>
                <w:noProof/>
                <w:sz w:val="20"/>
              </w:rPr>
            </w:pPr>
          </w:p>
        </w:tc>
      </w:tr>
      <w:tr w:rsidR="00320904" w14:paraId="250C6A9F" w14:textId="77777777" w:rsidTr="00320904">
        <w:tc>
          <w:tcPr>
            <w:tcW w:w="3240" w:type="dxa"/>
            <w:tcBorders>
              <w:top w:val="single" w:sz="2" w:space="0" w:color="auto"/>
              <w:left w:val="single" w:sz="2" w:space="0" w:color="auto"/>
              <w:bottom w:val="single" w:sz="2" w:space="0" w:color="auto"/>
              <w:right w:val="single" w:sz="2" w:space="0" w:color="auto"/>
            </w:tcBorders>
            <w:hideMark/>
          </w:tcPr>
          <w:p w14:paraId="12BAA9BC" w14:textId="77777777" w:rsidR="00320904" w:rsidRDefault="00320904">
            <w:pPr>
              <w:spacing w:before="60" w:after="60"/>
              <w:rPr>
                <w:noProof/>
                <w:sz w:val="20"/>
              </w:rPr>
            </w:pPr>
            <w:r>
              <w:rPr>
                <w:noProof/>
                <w:sz w:val="20"/>
              </w:rPr>
              <w:t>External staff</w:t>
            </w:r>
          </w:p>
        </w:tc>
        <w:tc>
          <w:tcPr>
            <w:tcW w:w="7392" w:type="dxa"/>
            <w:tcBorders>
              <w:top w:val="single" w:sz="2" w:space="0" w:color="auto"/>
              <w:left w:val="single" w:sz="2" w:space="0" w:color="auto"/>
              <w:bottom w:val="single" w:sz="2" w:space="0" w:color="auto"/>
              <w:right w:val="single" w:sz="2" w:space="0" w:color="auto"/>
            </w:tcBorders>
          </w:tcPr>
          <w:p w14:paraId="1E0E48D2" w14:textId="77777777" w:rsidR="00320904" w:rsidRDefault="00320904">
            <w:pPr>
              <w:rPr>
                <w:noProof/>
                <w:sz w:val="20"/>
              </w:rPr>
            </w:pPr>
          </w:p>
        </w:tc>
      </w:tr>
    </w:tbl>
    <w:p w14:paraId="6863106E" w14:textId="77777777" w:rsidR="00320904" w:rsidRDefault="00320904" w:rsidP="00320904">
      <w:pPr>
        <w:spacing w:before="0" w:after="0"/>
        <w:jc w:val="left"/>
        <w:rPr>
          <w:noProof/>
        </w:rPr>
        <w:sectPr w:rsidR="00320904" w:rsidSect="00AA0B5E">
          <w:pgSz w:w="11907" w:h="16840"/>
          <w:pgMar w:top="1134" w:right="1418" w:bottom="1134" w:left="1418" w:header="709" w:footer="709" w:gutter="0"/>
          <w:cols w:space="720"/>
          <w:docGrid w:linePitch="326"/>
        </w:sectPr>
      </w:pPr>
    </w:p>
    <w:p w14:paraId="3B7A2E6B" w14:textId="77777777" w:rsidR="00320904" w:rsidRDefault="00320904" w:rsidP="00A42355">
      <w:pPr>
        <w:pStyle w:val="Heading3"/>
        <w:numPr>
          <w:ilvl w:val="2"/>
          <w:numId w:val="16"/>
        </w:numPr>
        <w:rPr>
          <w:bCs w:val="0"/>
          <w:noProof/>
          <w:szCs w:val="24"/>
        </w:rPr>
      </w:pPr>
      <w:r>
        <w:rPr>
          <w:noProof/>
        </w:rPr>
        <w:t xml:space="preserve">Third-party contributions </w:t>
      </w:r>
    </w:p>
    <w:p w14:paraId="59538C45" w14:textId="77777777" w:rsidR="00320904" w:rsidRDefault="00320904" w:rsidP="00320904">
      <w:pPr>
        <w:pStyle w:val="Text1"/>
      </w:pPr>
      <w:r>
        <w:rPr>
          <w:noProof/>
        </w:rPr>
        <w:t>The proposal/initiative:</w:t>
      </w:r>
    </w:p>
    <w:p w14:paraId="75392541" w14:textId="77777777" w:rsidR="00320904" w:rsidRDefault="00320904" w:rsidP="000E2862">
      <w:pPr>
        <w:pStyle w:val="ListDash1"/>
        <w:rPr>
          <w:noProof/>
        </w:rPr>
      </w:pPr>
      <w:r>
        <w:rPr>
          <w:noProof/>
        </w:rPr>
        <w:sym w:font="Wingdings" w:char="F078"/>
      </w:r>
      <w:r>
        <w:rPr>
          <w:noProof/>
        </w:rPr>
        <w:tab/>
      </w:r>
      <w:r w:rsidRPr="000E2862">
        <w:t>does</w:t>
      </w:r>
      <w:r>
        <w:rPr>
          <w:noProof/>
        </w:rPr>
        <w:t xml:space="preserve"> not provide for co-financing by third parties</w:t>
      </w:r>
    </w:p>
    <w:p w14:paraId="2C5727EC" w14:textId="77777777" w:rsidR="00320904" w:rsidRDefault="00320904" w:rsidP="000E2862">
      <w:pPr>
        <w:pStyle w:val="ListDash1"/>
        <w:rPr>
          <w:noProof/>
        </w:rPr>
      </w:pPr>
      <w:r>
        <w:rPr>
          <w:noProof/>
        </w:rPr>
        <w:sym w:font="Wingdings" w:char="F0A8"/>
      </w:r>
      <w:r>
        <w:rPr>
          <w:noProof/>
        </w:rPr>
        <w:tab/>
        <w:t xml:space="preserve">provides for the </w:t>
      </w:r>
      <w:r w:rsidRPr="000E2862">
        <w:t>co</w:t>
      </w:r>
      <w:r>
        <w:rPr>
          <w:noProof/>
        </w:rPr>
        <w:t>-financing by third parties estimated below:</w:t>
      </w:r>
    </w:p>
    <w:p w14:paraId="26A36593" w14:textId="77777777" w:rsidR="00320904" w:rsidRDefault="00320904" w:rsidP="00320904">
      <w:pPr>
        <w:jc w:val="right"/>
        <w:rPr>
          <w:noProof/>
          <w:sz w:val="20"/>
        </w:rPr>
      </w:pPr>
      <w:r>
        <w:rPr>
          <w:noProof/>
          <w:sz w:val="20"/>
        </w:rPr>
        <w:t>Appropriations in EUR million (to three decimal places)</w:t>
      </w:r>
    </w:p>
    <w:tbl>
      <w:tblPr>
        <w:tblW w:w="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40"/>
        <w:gridCol w:w="964"/>
        <w:gridCol w:w="964"/>
        <w:gridCol w:w="964"/>
        <w:gridCol w:w="964"/>
        <w:gridCol w:w="964"/>
        <w:gridCol w:w="964"/>
        <w:gridCol w:w="964"/>
        <w:gridCol w:w="1158"/>
      </w:tblGrid>
      <w:tr w:rsidR="00320904" w14:paraId="08890A53" w14:textId="77777777" w:rsidTr="00320904">
        <w:trPr>
          <w:cantSplit/>
          <w:jc w:val="center"/>
        </w:trPr>
        <w:tc>
          <w:tcPr>
            <w:tcW w:w="2340" w:type="dxa"/>
            <w:tcBorders>
              <w:top w:val="single" w:sz="6" w:space="0" w:color="auto"/>
              <w:left w:val="single" w:sz="6" w:space="0" w:color="auto"/>
              <w:bottom w:val="single" w:sz="6" w:space="0" w:color="auto"/>
              <w:right w:val="single" w:sz="6" w:space="0" w:color="auto"/>
            </w:tcBorders>
            <w:vAlign w:val="center"/>
            <w:hideMark/>
          </w:tcPr>
          <w:p w14:paraId="657C6DE6" w14:textId="77777777" w:rsidR="00320904" w:rsidRDefault="00320904">
            <w:pPr>
              <w:spacing w:before="60" w:after="60"/>
              <w:jc w:val="center"/>
              <w:rPr>
                <w:b/>
                <w:noProof/>
                <w:sz w:val="20"/>
              </w:rPr>
            </w:pPr>
            <w:r>
              <w:rPr>
                <w:b/>
                <w:noProof/>
                <w:sz w:val="20"/>
              </w:rPr>
              <w:t>Years</w:t>
            </w:r>
          </w:p>
        </w:tc>
        <w:tc>
          <w:tcPr>
            <w:tcW w:w="964" w:type="dxa"/>
            <w:tcBorders>
              <w:top w:val="single" w:sz="6" w:space="0" w:color="auto"/>
              <w:left w:val="single" w:sz="6" w:space="0" w:color="auto"/>
              <w:bottom w:val="single" w:sz="6" w:space="0" w:color="auto"/>
              <w:right w:val="single" w:sz="6" w:space="0" w:color="auto"/>
            </w:tcBorders>
            <w:vAlign w:val="center"/>
            <w:hideMark/>
          </w:tcPr>
          <w:p w14:paraId="719104EA" w14:textId="77777777" w:rsidR="00320904" w:rsidRDefault="00320904">
            <w:pPr>
              <w:jc w:val="center"/>
              <w:rPr>
                <w:noProof/>
                <w:sz w:val="20"/>
              </w:rPr>
            </w:pPr>
            <w:r>
              <w:rPr>
                <w:b/>
                <w:noProof/>
                <w:sz w:val="20"/>
              </w:rPr>
              <w:t>2021</w:t>
            </w:r>
          </w:p>
        </w:tc>
        <w:tc>
          <w:tcPr>
            <w:tcW w:w="964" w:type="dxa"/>
            <w:tcBorders>
              <w:top w:val="single" w:sz="6" w:space="0" w:color="auto"/>
              <w:left w:val="single" w:sz="6" w:space="0" w:color="auto"/>
              <w:bottom w:val="single" w:sz="6" w:space="0" w:color="auto"/>
              <w:right w:val="single" w:sz="6" w:space="0" w:color="auto"/>
            </w:tcBorders>
            <w:vAlign w:val="center"/>
            <w:hideMark/>
          </w:tcPr>
          <w:p w14:paraId="63768894" w14:textId="77777777" w:rsidR="00320904" w:rsidRDefault="00320904">
            <w:pPr>
              <w:jc w:val="center"/>
              <w:rPr>
                <w:b/>
                <w:noProof/>
                <w:sz w:val="20"/>
              </w:rPr>
            </w:pPr>
            <w:r>
              <w:rPr>
                <w:b/>
                <w:noProof/>
                <w:sz w:val="20"/>
              </w:rPr>
              <w:t>2022</w:t>
            </w:r>
          </w:p>
        </w:tc>
        <w:tc>
          <w:tcPr>
            <w:tcW w:w="964" w:type="dxa"/>
            <w:tcBorders>
              <w:top w:val="single" w:sz="6" w:space="0" w:color="auto"/>
              <w:left w:val="single" w:sz="6" w:space="0" w:color="auto"/>
              <w:bottom w:val="single" w:sz="6" w:space="0" w:color="auto"/>
              <w:right w:val="single" w:sz="6" w:space="0" w:color="auto"/>
            </w:tcBorders>
            <w:vAlign w:val="center"/>
            <w:hideMark/>
          </w:tcPr>
          <w:p w14:paraId="55629478" w14:textId="77777777" w:rsidR="00320904" w:rsidRDefault="00320904">
            <w:pPr>
              <w:jc w:val="center"/>
              <w:rPr>
                <w:b/>
                <w:noProof/>
                <w:sz w:val="20"/>
              </w:rPr>
            </w:pPr>
            <w:r>
              <w:rPr>
                <w:b/>
                <w:noProof/>
                <w:sz w:val="20"/>
              </w:rPr>
              <w:t>2023</w:t>
            </w:r>
          </w:p>
        </w:tc>
        <w:tc>
          <w:tcPr>
            <w:tcW w:w="964" w:type="dxa"/>
            <w:tcBorders>
              <w:top w:val="single" w:sz="6" w:space="0" w:color="auto"/>
              <w:left w:val="single" w:sz="6" w:space="0" w:color="auto"/>
              <w:bottom w:val="single" w:sz="6" w:space="0" w:color="auto"/>
              <w:right w:val="single" w:sz="6" w:space="0" w:color="auto"/>
            </w:tcBorders>
            <w:vAlign w:val="center"/>
            <w:hideMark/>
          </w:tcPr>
          <w:p w14:paraId="41E69F5A" w14:textId="77777777" w:rsidR="00320904" w:rsidRDefault="00320904">
            <w:pPr>
              <w:jc w:val="center"/>
              <w:rPr>
                <w:b/>
                <w:noProof/>
                <w:sz w:val="20"/>
              </w:rPr>
            </w:pPr>
            <w:r>
              <w:rPr>
                <w:b/>
                <w:noProof/>
                <w:sz w:val="20"/>
              </w:rPr>
              <w:t>2024</w:t>
            </w:r>
          </w:p>
        </w:tc>
        <w:tc>
          <w:tcPr>
            <w:tcW w:w="964" w:type="dxa"/>
            <w:tcBorders>
              <w:top w:val="single" w:sz="6" w:space="0" w:color="auto"/>
              <w:left w:val="single" w:sz="6" w:space="0" w:color="auto"/>
              <w:bottom w:val="single" w:sz="6" w:space="0" w:color="auto"/>
              <w:right w:val="single" w:sz="6" w:space="0" w:color="auto"/>
            </w:tcBorders>
            <w:vAlign w:val="center"/>
            <w:hideMark/>
          </w:tcPr>
          <w:p w14:paraId="477C1EC7" w14:textId="77777777" w:rsidR="00320904" w:rsidRDefault="00320904">
            <w:pPr>
              <w:jc w:val="center"/>
              <w:rPr>
                <w:b/>
                <w:noProof/>
                <w:sz w:val="20"/>
              </w:rPr>
            </w:pPr>
            <w:r>
              <w:rPr>
                <w:b/>
                <w:noProof/>
                <w:sz w:val="20"/>
              </w:rPr>
              <w:t>2025</w:t>
            </w:r>
          </w:p>
        </w:tc>
        <w:tc>
          <w:tcPr>
            <w:tcW w:w="964" w:type="dxa"/>
            <w:tcBorders>
              <w:top w:val="single" w:sz="6" w:space="0" w:color="auto"/>
              <w:left w:val="single" w:sz="6" w:space="0" w:color="auto"/>
              <w:bottom w:val="single" w:sz="6" w:space="0" w:color="auto"/>
              <w:right w:val="single" w:sz="6" w:space="0" w:color="auto"/>
            </w:tcBorders>
            <w:vAlign w:val="center"/>
            <w:hideMark/>
          </w:tcPr>
          <w:p w14:paraId="7FB5A563" w14:textId="77777777" w:rsidR="00320904" w:rsidRDefault="00320904">
            <w:pPr>
              <w:jc w:val="center"/>
              <w:rPr>
                <w:b/>
                <w:noProof/>
                <w:sz w:val="20"/>
              </w:rPr>
            </w:pPr>
            <w:r>
              <w:rPr>
                <w:b/>
                <w:noProof/>
                <w:sz w:val="20"/>
              </w:rPr>
              <w:t>2026</w:t>
            </w:r>
          </w:p>
        </w:tc>
        <w:tc>
          <w:tcPr>
            <w:tcW w:w="964" w:type="dxa"/>
            <w:tcBorders>
              <w:top w:val="single" w:sz="6" w:space="0" w:color="auto"/>
              <w:left w:val="single" w:sz="6" w:space="0" w:color="auto"/>
              <w:bottom w:val="single" w:sz="6" w:space="0" w:color="auto"/>
              <w:right w:val="single" w:sz="6" w:space="0" w:color="auto"/>
            </w:tcBorders>
            <w:vAlign w:val="center"/>
            <w:hideMark/>
          </w:tcPr>
          <w:p w14:paraId="7696B2C9" w14:textId="77777777" w:rsidR="00320904" w:rsidRDefault="00320904">
            <w:pPr>
              <w:jc w:val="center"/>
              <w:rPr>
                <w:b/>
                <w:noProof/>
                <w:sz w:val="20"/>
              </w:rPr>
            </w:pPr>
            <w:r>
              <w:rPr>
                <w:b/>
                <w:noProof/>
                <w:sz w:val="20"/>
              </w:rPr>
              <w:t>2027</w:t>
            </w:r>
          </w:p>
        </w:tc>
        <w:tc>
          <w:tcPr>
            <w:tcW w:w="1158" w:type="dxa"/>
            <w:tcBorders>
              <w:top w:val="single" w:sz="6" w:space="0" w:color="auto"/>
              <w:left w:val="single" w:sz="6" w:space="0" w:color="auto"/>
              <w:bottom w:val="single" w:sz="6" w:space="0" w:color="auto"/>
              <w:right w:val="single" w:sz="6" w:space="0" w:color="auto"/>
            </w:tcBorders>
            <w:vAlign w:val="center"/>
            <w:hideMark/>
          </w:tcPr>
          <w:p w14:paraId="0E55B18C" w14:textId="77777777" w:rsidR="00320904" w:rsidRDefault="00320904">
            <w:pPr>
              <w:spacing w:before="60" w:after="60"/>
              <w:jc w:val="center"/>
              <w:rPr>
                <w:b/>
                <w:noProof/>
                <w:sz w:val="20"/>
              </w:rPr>
            </w:pPr>
            <w:r>
              <w:rPr>
                <w:b/>
                <w:noProof/>
                <w:sz w:val="20"/>
              </w:rPr>
              <w:t>TOTAL</w:t>
            </w:r>
          </w:p>
        </w:tc>
      </w:tr>
      <w:tr w:rsidR="00320904" w14:paraId="38928C57" w14:textId="77777777" w:rsidTr="00320904">
        <w:trPr>
          <w:cantSplit/>
          <w:jc w:val="center"/>
        </w:trPr>
        <w:tc>
          <w:tcPr>
            <w:tcW w:w="2340" w:type="dxa"/>
            <w:tcBorders>
              <w:top w:val="single" w:sz="6" w:space="0" w:color="auto"/>
              <w:left w:val="single" w:sz="6" w:space="0" w:color="auto"/>
              <w:bottom w:val="single" w:sz="6" w:space="0" w:color="auto"/>
              <w:right w:val="single" w:sz="6" w:space="0" w:color="auto"/>
            </w:tcBorders>
            <w:hideMark/>
          </w:tcPr>
          <w:p w14:paraId="0C5DCA0D" w14:textId="77777777" w:rsidR="00320904" w:rsidRDefault="00320904">
            <w:pPr>
              <w:rPr>
                <w:noProof/>
              </w:rPr>
            </w:pPr>
            <w:r>
              <w:rPr>
                <w:noProof/>
                <w:sz w:val="20"/>
              </w:rPr>
              <w:t>Specify the co-financing body</w:t>
            </w:r>
            <w:r>
              <w:rPr>
                <w:i/>
                <w:noProof/>
                <w:sz w:val="20"/>
              </w:rPr>
              <w:t xml:space="preserve"> </w:t>
            </w:r>
          </w:p>
        </w:tc>
        <w:tc>
          <w:tcPr>
            <w:tcW w:w="964" w:type="dxa"/>
            <w:tcBorders>
              <w:top w:val="single" w:sz="6" w:space="0" w:color="auto"/>
              <w:left w:val="single" w:sz="6" w:space="0" w:color="auto"/>
              <w:bottom w:val="single" w:sz="6" w:space="0" w:color="auto"/>
              <w:right w:val="single" w:sz="6" w:space="0" w:color="auto"/>
            </w:tcBorders>
            <w:vAlign w:val="center"/>
          </w:tcPr>
          <w:p w14:paraId="051D1B89" w14:textId="77777777" w:rsidR="00320904" w:rsidRDefault="00320904">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48B5FCD5" w14:textId="77777777" w:rsidR="00320904" w:rsidRDefault="00320904">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08B15BB6" w14:textId="77777777" w:rsidR="00320904" w:rsidRDefault="00320904">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171810EA" w14:textId="77777777" w:rsidR="00320904" w:rsidRDefault="00320904">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114D928A" w14:textId="77777777" w:rsidR="00320904" w:rsidRDefault="00320904">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67FB6E14" w14:textId="77777777" w:rsidR="00320904" w:rsidRDefault="00320904">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33BAED14" w14:textId="77777777" w:rsidR="00320904" w:rsidRDefault="00320904">
            <w:pPr>
              <w:spacing w:before="60" w:after="60"/>
              <w:jc w:val="center"/>
              <w:rPr>
                <w:noProof/>
                <w:sz w:val="20"/>
              </w:rPr>
            </w:pPr>
          </w:p>
        </w:tc>
        <w:tc>
          <w:tcPr>
            <w:tcW w:w="1158" w:type="dxa"/>
            <w:tcBorders>
              <w:top w:val="single" w:sz="6" w:space="0" w:color="auto"/>
              <w:left w:val="single" w:sz="6" w:space="0" w:color="auto"/>
              <w:bottom w:val="single" w:sz="6" w:space="0" w:color="auto"/>
              <w:right w:val="single" w:sz="6" w:space="0" w:color="auto"/>
            </w:tcBorders>
            <w:vAlign w:val="center"/>
          </w:tcPr>
          <w:p w14:paraId="2525DCC1" w14:textId="77777777" w:rsidR="00320904" w:rsidRDefault="00320904">
            <w:pPr>
              <w:spacing w:before="60" w:after="60"/>
              <w:jc w:val="center"/>
              <w:rPr>
                <w:noProof/>
                <w:sz w:val="20"/>
              </w:rPr>
            </w:pPr>
          </w:p>
        </w:tc>
      </w:tr>
      <w:tr w:rsidR="00320904" w14:paraId="62752EC3" w14:textId="77777777" w:rsidTr="00320904">
        <w:trPr>
          <w:cantSplit/>
          <w:jc w:val="center"/>
        </w:trPr>
        <w:tc>
          <w:tcPr>
            <w:tcW w:w="2340" w:type="dxa"/>
            <w:tcBorders>
              <w:top w:val="single" w:sz="6" w:space="0" w:color="auto"/>
              <w:left w:val="single" w:sz="6" w:space="0" w:color="auto"/>
              <w:bottom w:val="single" w:sz="6" w:space="0" w:color="auto"/>
              <w:right w:val="single" w:sz="6" w:space="0" w:color="auto"/>
            </w:tcBorders>
            <w:hideMark/>
          </w:tcPr>
          <w:p w14:paraId="691EB03B" w14:textId="77777777" w:rsidR="00320904" w:rsidRDefault="00320904">
            <w:pPr>
              <w:spacing w:before="60" w:after="60"/>
              <w:jc w:val="left"/>
              <w:rPr>
                <w:noProof/>
                <w:sz w:val="20"/>
              </w:rPr>
            </w:pPr>
            <w:r>
              <w:rPr>
                <w:noProof/>
                <w:sz w:val="20"/>
              </w:rPr>
              <w:t xml:space="preserve">TOTAL appropriations co-financed </w:t>
            </w:r>
          </w:p>
        </w:tc>
        <w:tc>
          <w:tcPr>
            <w:tcW w:w="964" w:type="dxa"/>
            <w:tcBorders>
              <w:top w:val="single" w:sz="6" w:space="0" w:color="auto"/>
              <w:left w:val="single" w:sz="6" w:space="0" w:color="auto"/>
              <w:bottom w:val="single" w:sz="6" w:space="0" w:color="auto"/>
              <w:right w:val="single" w:sz="6" w:space="0" w:color="auto"/>
            </w:tcBorders>
            <w:vAlign w:val="center"/>
          </w:tcPr>
          <w:p w14:paraId="595BC456" w14:textId="77777777" w:rsidR="00320904" w:rsidRDefault="00320904">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30880F94" w14:textId="77777777" w:rsidR="00320904" w:rsidRDefault="00320904">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6ECA6FAA" w14:textId="77777777" w:rsidR="00320904" w:rsidRDefault="00320904">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672AB0DC" w14:textId="77777777" w:rsidR="00320904" w:rsidRDefault="00320904">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6BCFDB89" w14:textId="77777777" w:rsidR="00320904" w:rsidRDefault="00320904">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2025FB07" w14:textId="77777777" w:rsidR="00320904" w:rsidRDefault="00320904">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6C1BF084" w14:textId="77777777" w:rsidR="00320904" w:rsidRDefault="00320904">
            <w:pPr>
              <w:spacing w:before="60" w:after="60"/>
              <w:jc w:val="center"/>
              <w:rPr>
                <w:noProof/>
                <w:sz w:val="20"/>
              </w:rPr>
            </w:pPr>
          </w:p>
        </w:tc>
        <w:tc>
          <w:tcPr>
            <w:tcW w:w="1158" w:type="dxa"/>
            <w:tcBorders>
              <w:top w:val="single" w:sz="6" w:space="0" w:color="auto"/>
              <w:left w:val="single" w:sz="6" w:space="0" w:color="auto"/>
              <w:bottom w:val="single" w:sz="6" w:space="0" w:color="auto"/>
              <w:right w:val="single" w:sz="6" w:space="0" w:color="auto"/>
            </w:tcBorders>
            <w:vAlign w:val="center"/>
          </w:tcPr>
          <w:p w14:paraId="06E6E1E8" w14:textId="77777777" w:rsidR="00320904" w:rsidRDefault="00320904">
            <w:pPr>
              <w:spacing w:before="60" w:after="60"/>
              <w:jc w:val="center"/>
              <w:rPr>
                <w:noProof/>
                <w:sz w:val="20"/>
              </w:rPr>
            </w:pPr>
          </w:p>
        </w:tc>
      </w:tr>
    </w:tbl>
    <w:p w14:paraId="448FD27F" w14:textId="77777777" w:rsidR="00320904" w:rsidRDefault="00320904" w:rsidP="00320904">
      <w:pPr>
        <w:rPr>
          <w:noProof/>
        </w:rPr>
      </w:pPr>
    </w:p>
    <w:p w14:paraId="5C8B1BF1" w14:textId="77777777" w:rsidR="00320904" w:rsidRDefault="00320904" w:rsidP="00A42355">
      <w:pPr>
        <w:pStyle w:val="Heading2"/>
        <w:numPr>
          <w:ilvl w:val="1"/>
          <w:numId w:val="16"/>
        </w:numPr>
        <w:rPr>
          <w:bCs w:val="0"/>
          <w:noProof/>
          <w:szCs w:val="24"/>
        </w:rPr>
      </w:pPr>
      <w:r>
        <w:rPr>
          <w:noProof/>
        </w:rPr>
        <w:t xml:space="preserve">Estimated impact on revenue </w:t>
      </w:r>
    </w:p>
    <w:p w14:paraId="5FBBC32B" w14:textId="77777777" w:rsidR="00320904" w:rsidRDefault="00320904" w:rsidP="00320904">
      <w:pPr>
        <w:pStyle w:val="ListDash1"/>
        <w:rPr>
          <w:noProof/>
        </w:rPr>
      </w:pPr>
      <w:r>
        <w:rPr>
          <w:noProof/>
        </w:rPr>
        <w:sym w:font="Wingdings" w:char="F0A8"/>
      </w:r>
      <w:r>
        <w:rPr>
          <w:noProof/>
        </w:rPr>
        <w:tab/>
        <w:t>The proposal/initiative has no financial impact on revenue.</w:t>
      </w:r>
    </w:p>
    <w:p w14:paraId="413B2190" w14:textId="77777777" w:rsidR="00320904" w:rsidRDefault="00320904" w:rsidP="00320904">
      <w:pPr>
        <w:pStyle w:val="ListDash1"/>
        <w:rPr>
          <w:noProof/>
        </w:rPr>
      </w:pPr>
      <w:r>
        <w:rPr>
          <w:noProof/>
        </w:rPr>
        <w:sym w:font="Wingdings" w:char="F0A8"/>
      </w:r>
      <w:r>
        <w:rPr>
          <w:noProof/>
        </w:rPr>
        <w:tab/>
        <w:t>The proposal/initiative has the following financial impact:</w:t>
      </w:r>
    </w:p>
    <w:p w14:paraId="14835C18" w14:textId="08F9A5C0" w:rsidR="00320904" w:rsidRDefault="00320904" w:rsidP="000E2862">
      <w:pPr>
        <w:pStyle w:val="ListNumberLevel3"/>
        <w:tabs>
          <w:tab w:val="clear" w:pos="2126"/>
        </w:tabs>
        <w:rPr>
          <w:noProof/>
        </w:rPr>
      </w:pPr>
      <w:r>
        <w:rPr>
          <w:noProof/>
        </w:rPr>
        <w:sym w:font="Wingdings" w:char="F0A8"/>
      </w:r>
      <w:r>
        <w:rPr>
          <w:noProof/>
        </w:rPr>
        <w:tab/>
        <w:t xml:space="preserve">on </w:t>
      </w:r>
      <w:r w:rsidRPr="00DA1FAB">
        <w:t>own</w:t>
      </w:r>
      <w:r>
        <w:rPr>
          <w:noProof/>
        </w:rPr>
        <w:t xml:space="preserve"> resources </w:t>
      </w:r>
    </w:p>
    <w:p w14:paraId="0E70C2D6" w14:textId="44135AC5" w:rsidR="00320904" w:rsidRDefault="00320904" w:rsidP="00DC6943">
      <w:pPr>
        <w:pStyle w:val="ListNumberLevel3"/>
        <w:tabs>
          <w:tab w:val="clear" w:pos="2126"/>
        </w:tabs>
        <w:rPr>
          <w:noProof/>
        </w:rPr>
      </w:pPr>
      <w:r>
        <w:rPr>
          <w:noProof/>
        </w:rPr>
        <w:sym w:font="Wingdings" w:char="F078"/>
      </w:r>
      <w:r>
        <w:rPr>
          <w:noProof/>
        </w:rPr>
        <w:tab/>
        <w:t xml:space="preserve"> on other revenue </w:t>
      </w:r>
    </w:p>
    <w:p w14:paraId="16EF5579" w14:textId="77777777" w:rsidR="00320904" w:rsidRDefault="00320904" w:rsidP="00320904">
      <w:pPr>
        <w:jc w:val="right"/>
        <w:rPr>
          <w:noProof/>
        </w:rPr>
      </w:pPr>
      <w:r>
        <w:rPr>
          <w:noProof/>
        </w:rPr>
        <w:t xml:space="preserve">      please indicate, if the revenue is assigned to expenditure lines </w:t>
      </w:r>
      <w:r>
        <w:rPr>
          <w:noProof/>
        </w:rPr>
        <w:sym w:font="Wingdings" w:char="F0A8"/>
      </w:r>
      <w:r>
        <w:rPr>
          <w:noProof/>
        </w:rPr>
        <w:tab/>
      </w:r>
    </w:p>
    <w:p w14:paraId="76AED29A" w14:textId="77777777" w:rsidR="00320904" w:rsidRDefault="00320904" w:rsidP="00320904">
      <w:pPr>
        <w:jc w:val="right"/>
        <w:rPr>
          <w:i/>
          <w:noProof/>
          <w:sz w:val="20"/>
        </w:rPr>
      </w:pPr>
      <w:r>
        <w:rPr>
          <w:noProof/>
        </w:rPr>
        <w:t>EUR million (to three decimal places)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080"/>
        <w:gridCol w:w="900"/>
        <w:gridCol w:w="900"/>
        <w:gridCol w:w="1080"/>
        <w:gridCol w:w="1080"/>
        <w:gridCol w:w="1080"/>
        <w:gridCol w:w="1080"/>
      </w:tblGrid>
      <w:tr w:rsidR="00320904" w14:paraId="0FB60FC1" w14:textId="77777777" w:rsidTr="00320904">
        <w:trPr>
          <w:trHeight w:val="388"/>
          <w:jc w:val="center"/>
        </w:trPr>
        <w:tc>
          <w:tcPr>
            <w:tcW w:w="2144" w:type="dxa"/>
            <w:vMerge w:val="restart"/>
            <w:tcBorders>
              <w:top w:val="single" w:sz="4" w:space="0" w:color="auto"/>
              <w:left w:val="single" w:sz="4" w:space="0" w:color="auto"/>
              <w:bottom w:val="single" w:sz="4" w:space="0" w:color="auto"/>
              <w:right w:val="single" w:sz="4" w:space="0" w:color="auto"/>
            </w:tcBorders>
            <w:vAlign w:val="center"/>
            <w:hideMark/>
          </w:tcPr>
          <w:p w14:paraId="2BD2615F" w14:textId="77777777" w:rsidR="00320904" w:rsidRDefault="00320904">
            <w:pPr>
              <w:spacing w:before="40" w:after="40"/>
              <w:rPr>
                <w:noProof/>
                <w:sz w:val="18"/>
              </w:rPr>
            </w:pPr>
            <w:r>
              <w:rPr>
                <w:noProof/>
                <w:sz w:val="18"/>
              </w:rPr>
              <w:t>Budget revenue line:</w:t>
            </w:r>
          </w:p>
        </w:tc>
        <w:tc>
          <w:tcPr>
            <w:tcW w:w="7200" w:type="dxa"/>
            <w:gridSpan w:val="7"/>
            <w:tcBorders>
              <w:top w:val="single" w:sz="4" w:space="0" w:color="auto"/>
              <w:left w:val="single" w:sz="4" w:space="0" w:color="auto"/>
              <w:bottom w:val="single" w:sz="4" w:space="0" w:color="auto"/>
              <w:right w:val="single" w:sz="4" w:space="0" w:color="auto"/>
            </w:tcBorders>
            <w:vAlign w:val="center"/>
            <w:hideMark/>
          </w:tcPr>
          <w:p w14:paraId="40EE4411" w14:textId="77777777" w:rsidR="00320904" w:rsidRDefault="00320904">
            <w:pPr>
              <w:jc w:val="center"/>
              <w:rPr>
                <w:noProof/>
                <w:sz w:val="18"/>
              </w:rPr>
            </w:pPr>
            <w:r>
              <w:rPr>
                <w:noProof/>
                <w:sz w:val="18"/>
              </w:rPr>
              <w:t>Impact of the proposal/initiative</w:t>
            </w:r>
            <w:r>
              <w:rPr>
                <w:rStyle w:val="FootnoteReference"/>
                <w:noProof/>
                <w:sz w:val="18"/>
              </w:rPr>
              <w:footnoteReference w:id="16"/>
            </w:r>
          </w:p>
        </w:tc>
      </w:tr>
      <w:tr w:rsidR="00320904" w14:paraId="4E09DB5E" w14:textId="77777777" w:rsidTr="00320904">
        <w:trPr>
          <w:trHeight w:val="388"/>
          <w:jc w:val="center"/>
        </w:trPr>
        <w:tc>
          <w:tcPr>
            <w:tcW w:w="2144" w:type="dxa"/>
            <w:vMerge/>
            <w:tcBorders>
              <w:top w:val="single" w:sz="4" w:space="0" w:color="auto"/>
              <w:left w:val="single" w:sz="4" w:space="0" w:color="auto"/>
              <w:bottom w:val="single" w:sz="4" w:space="0" w:color="auto"/>
              <w:right w:val="single" w:sz="4" w:space="0" w:color="auto"/>
            </w:tcBorders>
            <w:vAlign w:val="center"/>
            <w:hideMark/>
          </w:tcPr>
          <w:p w14:paraId="56870ED7" w14:textId="77777777" w:rsidR="00320904" w:rsidRDefault="00320904">
            <w:pPr>
              <w:spacing w:before="0" w:after="0"/>
              <w:jc w:val="left"/>
              <w:rPr>
                <w:noProof/>
                <w:sz w:val="18"/>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165142FF" w14:textId="77777777" w:rsidR="00320904" w:rsidRDefault="00320904">
            <w:pPr>
              <w:jc w:val="center"/>
              <w:rPr>
                <w:noProof/>
                <w:sz w:val="18"/>
              </w:rPr>
            </w:pPr>
            <w:r>
              <w:rPr>
                <w:b/>
                <w:noProof/>
                <w:sz w:val="20"/>
              </w:rPr>
              <w:t>2021</w:t>
            </w:r>
          </w:p>
        </w:tc>
        <w:tc>
          <w:tcPr>
            <w:tcW w:w="900" w:type="dxa"/>
            <w:tcBorders>
              <w:top w:val="single" w:sz="4" w:space="0" w:color="auto"/>
              <w:left w:val="single" w:sz="4" w:space="0" w:color="auto"/>
              <w:bottom w:val="single" w:sz="4" w:space="0" w:color="auto"/>
              <w:right w:val="single" w:sz="4" w:space="0" w:color="auto"/>
            </w:tcBorders>
            <w:vAlign w:val="center"/>
            <w:hideMark/>
          </w:tcPr>
          <w:p w14:paraId="4683F1E6" w14:textId="77777777" w:rsidR="00320904" w:rsidRDefault="00320904">
            <w:pPr>
              <w:jc w:val="center"/>
              <w:rPr>
                <w:b/>
                <w:noProof/>
                <w:sz w:val="20"/>
              </w:rPr>
            </w:pPr>
            <w:r>
              <w:rPr>
                <w:b/>
                <w:noProof/>
                <w:sz w:val="20"/>
              </w:rPr>
              <w:t>2022</w:t>
            </w:r>
          </w:p>
        </w:tc>
        <w:tc>
          <w:tcPr>
            <w:tcW w:w="900" w:type="dxa"/>
            <w:tcBorders>
              <w:top w:val="single" w:sz="4" w:space="0" w:color="auto"/>
              <w:left w:val="single" w:sz="4" w:space="0" w:color="auto"/>
              <w:bottom w:val="single" w:sz="4" w:space="0" w:color="auto"/>
              <w:right w:val="single" w:sz="4" w:space="0" w:color="auto"/>
            </w:tcBorders>
            <w:vAlign w:val="center"/>
            <w:hideMark/>
          </w:tcPr>
          <w:p w14:paraId="4EE3E669" w14:textId="77777777" w:rsidR="00320904" w:rsidRDefault="00320904">
            <w:pPr>
              <w:jc w:val="center"/>
              <w:rPr>
                <w:b/>
                <w:noProof/>
                <w:sz w:val="20"/>
              </w:rPr>
            </w:pPr>
            <w:r>
              <w:rPr>
                <w:b/>
                <w:noProof/>
                <w:sz w:val="20"/>
              </w:rPr>
              <w:t>2023</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80B2C87" w14:textId="77777777" w:rsidR="00320904" w:rsidRDefault="00320904">
            <w:pPr>
              <w:jc w:val="center"/>
              <w:rPr>
                <w:b/>
                <w:noProof/>
                <w:sz w:val="20"/>
              </w:rPr>
            </w:pPr>
            <w:r>
              <w:rPr>
                <w:b/>
                <w:noProof/>
                <w:sz w:val="20"/>
              </w:rPr>
              <w:t>2024</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FB7FD79" w14:textId="77777777" w:rsidR="00320904" w:rsidRDefault="00320904">
            <w:pPr>
              <w:jc w:val="center"/>
              <w:rPr>
                <w:b/>
                <w:noProof/>
                <w:sz w:val="20"/>
              </w:rPr>
            </w:pPr>
            <w:r>
              <w:rPr>
                <w:b/>
                <w:noProof/>
                <w:sz w:val="20"/>
              </w:rPr>
              <w:t>2025</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0840145" w14:textId="77777777" w:rsidR="00320904" w:rsidRDefault="00320904">
            <w:pPr>
              <w:jc w:val="center"/>
              <w:rPr>
                <w:b/>
                <w:noProof/>
                <w:sz w:val="20"/>
              </w:rPr>
            </w:pPr>
            <w:r>
              <w:rPr>
                <w:b/>
                <w:noProof/>
                <w:sz w:val="20"/>
              </w:rPr>
              <w:t>2026</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33186B6" w14:textId="77777777" w:rsidR="00320904" w:rsidRDefault="00320904">
            <w:pPr>
              <w:jc w:val="center"/>
              <w:rPr>
                <w:b/>
                <w:noProof/>
                <w:sz w:val="20"/>
              </w:rPr>
            </w:pPr>
            <w:r>
              <w:rPr>
                <w:b/>
                <w:noProof/>
                <w:sz w:val="20"/>
              </w:rPr>
              <w:t>2027</w:t>
            </w:r>
          </w:p>
        </w:tc>
      </w:tr>
      <w:tr w:rsidR="00320904" w14:paraId="404D510C" w14:textId="77777777" w:rsidTr="00320904">
        <w:trPr>
          <w:trHeight w:val="388"/>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14:paraId="6B318AAD" w14:textId="77777777" w:rsidR="00320904" w:rsidRDefault="00320904">
            <w:pPr>
              <w:spacing w:before="40" w:after="40"/>
              <w:rPr>
                <w:noProof/>
                <w:sz w:val="18"/>
              </w:rPr>
            </w:pPr>
            <w:r>
              <w:rPr>
                <w:noProof/>
                <w:sz w:val="18"/>
              </w:rPr>
              <w:t>67 01 &amp; 67 02</w:t>
            </w:r>
            <w:r>
              <w:rPr>
                <w:rStyle w:val="FootnoteReference"/>
                <w:noProof/>
                <w:sz w:val="18"/>
              </w:rPr>
              <w:footnoteReference w:id="17"/>
            </w:r>
          </w:p>
        </w:tc>
        <w:tc>
          <w:tcPr>
            <w:tcW w:w="1080" w:type="dxa"/>
            <w:tcBorders>
              <w:top w:val="single" w:sz="4" w:space="0" w:color="auto"/>
              <w:left w:val="single" w:sz="4" w:space="0" w:color="auto"/>
              <w:bottom w:val="single" w:sz="4" w:space="0" w:color="auto"/>
              <w:right w:val="single" w:sz="4" w:space="0" w:color="auto"/>
            </w:tcBorders>
          </w:tcPr>
          <w:p w14:paraId="66A1ED68" w14:textId="77777777" w:rsidR="00320904" w:rsidRDefault="00320904">
            <w:pPr>
              <w:spacing w:beforeLines="40" w:before="96" w:afterLines="40" w:after="96"/>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14:paraId="6D1D919C" w14:textId="77777777" w:rsidR="00320904" w:rsidRDefault="00320904">
            <w:pPr>
              <w:spacing w:beforeLines="40" w:before="96" w:afterLines="40" w:after="96"/>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14:paraId="2267FDEB" w14:textId="77777777" w:rsidR="00320904" w:rsidRDefault="00320904">
            <w:pPr>
              <w:spacing w:beforeLines="40" w:before="96" w:afterLines="40" w:after="96"/>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14:paraId="0A84D7BF" w14:textId="77777777" w:rsidR="00320904" w:rsidRDefault="00320904">
            <w:pPr>
              <w:spacing w:beforeLines="40" w:before="96" w:afterLines="40" w:after="96"/>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14:paraId="255576C8" w14:textId="77777777" w:rsidR="00320904" w:rsidRDefault="00320904">
            <w:pPr>
              <w:spacing w:beforeLines="40" w:before="96" w:afterLines="40" w:after="96"/>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14:paraId="5ABA9991" w14:textId="77777777" w:rsidR="00320904" w:rsidRDefault="00320904">
            <w:pPr>
              <w:spacing w:beforeLines="40" w:before="96" w:afterLines="40" w:after="96"/>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14:paraId="43A23162" w14:textId="77777777" w:rsidR="00320904" w:rsidRDefault="00320904">
            <w:pPr>
              <w:spacing w:beforeLines="40" w:before="96" w:afterLines="40" w:after="96"/>
              <w:jc w:val="center"/>
              <w:rPr>
                <w:noProof/>
                <w:sz w:val="18"/>
              </w:rPr>
            </w:pPr>
          </w:p>
        </w:tc>
      </w:tr>
    </w:tbl>
    <w:p w14:paraId="1AE01079" w14:textId="549572FE" w:rsidR="00320904" w:rsidRDefault="00320904" w:rsidP="00320904">
      <w:pPr>
        <w:pStyle w:val="Text1"/>
        <w:rPr>
          <w:noProof/>
          <w:sz w:val="20"/>
        </w:rPr>
      </w:pPr>
      <w:r>
        <w:rPr>
          <w:noProof/>
          <w:sz w:val="20"/>
        </w:rPr>
        <w:t>For assigned revenue, specify the budget expenditure line(s) affected.</w:t>
      </w:r>
    </w:p>
    <w:p w14:paraId="20E4A549" w14:textId="77777777" w:rsidR="00320904" w:rsidRDefault="00320904" w:rsidP="00320904">
      <w:pPr>
        <w:pStyle w:val="Text1"/>
        <w:pBdr>
          <w:top w:val="single" w:sz="4" w:space="1" w:color="auto"/>
          <w:left w:val="single" w:sz="4" w:space="4" w:color="auto"/>
          <w:bottom w:val="single" w:sz="4" w:space="1" w:color="auto"/>
          <w:right w:val="single" w:sz="4" w:space="4" w:color="auto"/>
        </w:pBdr>
      </w:pPr>
      <w:r w:rsidRPr="00DA1FAB">
        <w:t>In addition to the lines mentioned in the</w:t>
      </w:r>
      <w:r w:rsidRPr="00DC6943">
        <w:t xml:space="preserve"> </w:t>
      </w:r>
      <w:r>
        <w:t>legislative financial statement that accompanied the Commission proposal for the CAP for the period post 2020 (COM (2018) 392 final), the following budget line will be affected in the transitional period</w:t>
      </w:r>
    </w:p>
    <w:p w14:paraId="7EA5A540" w14:textId="77777777" w:rsidR="00320904" w:rsidRDefault="00320904" w:rsidP="00320904">
      <w:pPr>
        <w:pStyle w:val="Text1"/>
        <w:pBdr>
          <w:top w:val="single" w:sz="4" w:space="1" w:color="auto"/>
          <w:left w:val="single" w:sz="4" w:space="4" w:color="auto"/>
          <w:bottom w:val="single" w:sz="4" w:space="1" w:color="auto"/>
          <w:right w:val="single" w:sz="4" w:space="4" w:color="auto"/>
        </w:pBdr>
        <w:rPr>
          <w:noProof/>
        </w:rPr>
      </w:pPr>
      <w:r>
        <w:t>08 02 YY Direct payments outside the CAP Plan</w:t>
      </w:r>
      <w:r>
        <w:rPr>
          <w:rStyle w:val="Marker"/>
          <w:noProof/>
        </w:rPr>
        <w:t xml:space="preserve"> </w:t>
      </w:r>
    </w:p>
    <w:p w14:paraId="33C1903F" w14:textId="77777777" w:rsidR="00320904" w:rsidRDefault="00320904" w:rsidP="00320904">
      <w:pPr>
        <w:pStyle w:val="Text1"/>
        <w:rPr>
          <w:noProof/>
          <w:sz w:val="20"/>
        </w:rPr>
      </w:pPr>
      <w:r>
        <w:rPr>
          <w:noProof/>
          <w:sz w:val="20"/>
        </w:rPr>
        <w:t>Other remarks (e.g. method/formula used for calculating the impact on revenue or any other information).</w:t>
      </w:r>
    </w:p>
    <w:p w14:paraId="23C78E71" w14:textId="77777777" w:rsidR="00320904" w:rsidRDefault="00320904" w:rsidP="00320904">
      <w:pPr>
        <w:pStyle w:val="Text1"/>
        <w:pBdr>
          <w:top w:val="single" w:sz="4" w:space="1" w:color="auto"/>
          <w:left w:val="single" w:sz="4" w:space="4" w:color="auto"/>
          <w:bottom w:val="single" w:sz="4" w:space="1" w:color="auto"/>
          <w:right w:val="single" w:sz="4" w:space="4" w:color="auto"/>
        </w:pBdr>
        <w:rPr>
          <w:noProof/>
        </w:rPr>
      </w:pPr>
    </w:p>
    <w:p w14:paraId="1C53418D" w14:textId="004C0434" w:rsidR="001950BC" w:rsidRPr="001950BC" w:rsidRDefault="001950BC" w:rsidP="00320904"/>
    <w:sectPr w:rsidR="001950BC" w:rsidRPr="001950BC" w:rsidSect="00AA0B5E">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E0954" w14:textId="77777777" w:rsidR="00D723FC" w:rsidRDefault="00D723FC" w:rsidP="001950BC">
      <w:pPr>
        <w:spacing w:before="0" w:after="0"/>
      </w:pPr>
      <w:r>
        <w:separator/>
      </w:r>
    </w:p>
  </w:endnote>
  <w:endnote w:type="continuationSeparator" w:id="0">
    <w:p w14:paraId="3216DBAF" w14:textId="77777777" w:rsidR="00D723FC" w:rsidRDefault="00D723FC" w:rsidP="001950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Malgun Gothic Semi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B0F4A" w14:textId="77777777" w:rsidR="00AA0B5E" w:rsidRPr="00AA0B5E" w:rsidRDefault="00AA0B5E" w:rsidP="00AA0B5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4D59A" w14:textId="70A150E6" w:rsidR="00AA0B5E" w:rsidRPr="00AA0B5E" w:rsidRDefault="00AA0B5E" w:rsidP="00AA0B5E">
    <w:pPr>
      <w:pStyle w:val="FooterLandscape"/>
      <w:rPr>
        <w:rFonts w:ascii="Arial" w:hAnsi="Arial" w:cs="Arial"/>
        <w:b/>
        <w:sz w:val="48"/>
      </w:rPr>
    </w:pPr>
    <w:r w:rsidRPr="00AA0B5E">
      <w:rPr>
        <w:rFonts w:ascii="Arial" w:hAnsi="Arial" w:cs="Arial"/>
        <w:b/>
        <w:sz w:val="48"/>
      </w:rPr>
      <w:t>EN</w:t>
    </w:r>
    <w:r w:rsidRPr="00AA0B5E">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rsidRPr="00AA0B5E">
      <w:tab/>
    </w:r>
    <w:r w:rsidRPr="00AA0B5E">
      <w:rPr>
        <w:rFonts w:ascii="Arial" w:hAnsi="Arial" w:cs="Arial"/>
        <w:b/>
        <w:sz w:val="48"/>
      </w:rPr>
      <w:t>EN</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B1A64" w14:textId="77777777" w:rsidR="00AA0B5E" w:rsidRPr="00AA0B5E" w:rsidRDefault="00AA0B5E" w:rsidP="00AA0B5E">
    <w:pPr>
      <w:pStyle w:val="FooterLandscape"/>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00C27" w14:textId="5377411F" w:rsidR="00DE0ACE" w:rsidRPr="00AA0B5E" w:rsidRDefault="00AA0B5E" w:rsidP="00AA0B5E">
    <w:pPr>
      <w:pStyle w:val="Footer"/>
      <w:rPr>
        <w:rFonts w:ascii="Arial" w:hAnsi="Arial" w:cs="Arial"/>
        <w:b/>
        <w:sz w:val="48"/>
      </w:rPr>
    </w:pPr>
    <w:r w:rsidRPr="00AA0B5E">
      <w:rPr>
        <w:rFonts w:ascii="Arial" w:hAnsi="Arial" w:cs="Arial"/>
        <w:b/>
        <w:sz w:val="48"/>
      </w:rPr>
      <w:t>EN</w:t>
    </w:r>
    <w:r w:rsidRPr="00AA0B5E">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rsidRPr="00AA0B5E">
      <w:tab/>
    </w:r>
    <w:r w:rsidRPr="00AA0B5E">
      <w:rPr>
        <w:rFonts w:ascii="Arial" w:hAnsi="Arial" w:cs="Arial"/>
        <w:b/>
        <w:sz w:val="48"/>
      </w:rPr>
      <w:t>EN</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2D8D6" w14:textId="77777777" w:rsidR="00AA0B5E" w:rsidRPr="00AA0B5E" w:rsidRDefault="00AA0B5E" w:rsidP="00AA0B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E7791" w14:textId="40DF8052" w:rsidR="00CC5DA8" w:rsidRPr="00AA0B5E" w:rsidRDefault="00AA0B5E" w:rsidP="00AA0B5E">
    <w:pPr>
      <w:pStyle w:val="Footer"/>
      <w:rPr>
        <w:rFonts w:ascii="Arial" w:hAnsi="Arial" w:cs="Arial"/>
        <w:b/>
        <w:sz w:val="48"/>
      </w:rPr>
    </w:pPr>
    <w:r w:rsidRPr="00AA0B5E">
      <w:rPr>
        <w:rFonts w:ascii="Arial" w:hAnsi="Arial" w:cs="Arial"/>
        <w:b/>
        <w:sz w:val="48"/>
      </w:rPr>
      <w:t>EN</w:t>
    </w:r>
    <w:r w:rsidRPr="00AA0B5E">
      <w:rPr>
        <w:rFonts w:ascii="Arial" w:hAnsi="Arial" w:cs="Arial"/>
        <w:b/>
        <w:sz w:val="48"/>
      </w:rPr>
      <w:tab/>
    </w:r>
    <w:r w:rsidRPr="00AA0B5E">
      <w:rPr>
        <w:rFonts w:ascii="Arial" w:hAnsi="Arial" w:cs="Arial"/>
        <w:b/>
        <w:sz w:val="48"/>
      </w:rPr>
      <w:tab/>
    </w:r>
    <w:r w:rsidRPr="00AA0B5E">
      <w:tab/>
    </w:r>
    <w:r w:rsidRPr="00AA0B5E">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7FCCE" w14:textId="77777777" w:rsidR="00AA0B5E" w:rsidRPr="00AA0B5E" w:rsidRDefault="00AA0B5E" w:rsidP="00AA0B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55897" w14:textId="582F59B0" w:rsidR="00AA0B5E" w:rsidRPr="00AA0B5E" w:rsidRDefault="00AA0B5E" w:rsidP="00AA0B5E">
    <w:pPr>
      <w:pStyle w:val="Footer"/>
      <w:rPr>
        <w:rFonts w:ascii="Arial" w:hAnsi="Arial" w:cs="Arial"/>
        <w:b/>
        <w:sz w:val="48"/>
      </w:rPr>
    </w:pPr>
    <w:r w:rsidRPr="00AA0B5E">
      <w:rPr>
        <w:rFonts w:ascii="Arial" w:hAnsi="Arial" w:cs="Arial"/>
        <w:b/>
        <w:sz w:val="48"/>
      </w:rPr>
      <w:t>EN</w:t>
    </w:r>
    <w:r w:rsidRPr="00AA0B5E">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rsidRPr="00AA0B5E">
      <w:tab/>
    </w:r>
    <w:r w:rsidRPr="00AA0B5E">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9313D" w14:textId="77777777" w:rsidR="00AA0B5E" w:rsidRPr="00AA0B5E" w:rsidRDefault="00AA0B5E" w:rsidP="00AA0B5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57FA7" w14:textId="0B621758" w:rsidR="00AA0B5E" w:rsidRPr="00AA0B5E" w:rsidRDefault="00AA0B5E" w:rsidP="00AA0B5E">
    <w:pPr>
      <w:pStyle w:val="Footer"/>
      <w:rPr>
        <w:rFonts w:ascii="Arial" w:hAnsi="Arial" w:cs="Arial"/>
        <w:b/>
        <w:sz w:val="48"/>
      </w:rPr>
    </w:pPr>
    <w:r w:rsidRPr="00AA0B5E">
      <w:rPr>
        <w:rFonts w:ascii="Arial" w:hAnsi="Arial" w:cs="Arial"/>
        <w:b/>
        <w:sz w:val="48"/>
      </w:rPr>
      <w:t>EN</w:t>
    </w:r>
    <w:r w:rsidRPr="00AA0B5E">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rsidRPr="00AA0B5E">
      <w:tab/>
    </w:r>
    <w:r w:rsidRPr="00AA0B5E">
      <w:rPr>
        <w:rFonts w:ascii="Arial" w:hAnsi="Arial" w:cs="Arial"/>
        <w:b/>
        <w:sz w:val="48"/>
      </w:rPr>
      <w:t>EN</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8860B" w14:textId="77777777" w:rsidR="00AA0B5E" w:rsidRPr="00AA0B5E" w:rsidRDefault="00AA0B5E" w:rsidP="00AA0B5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985DD" w14:textId="17AB67F0" w:rsidR="00C85BAE" w:rsidRPr="00AA0B5E" w:rsidRDefault="00AA0B5E" w:rsidP="00AA0B5E">
    <w:pPr>
      <w:pStyle w:val="Footer"/>
      <w:rPr>
        <w:rFonts w:ascii="Arial" w:hAnsi="Arial" w:cs="Arial"/>
        <w:b/>
        <w:sz w:val="48"/>
      </w:rPr>
    </w:pPr>
    <w:r w:rsidRPr="00AA0B5E">
      <w:rPr>
        <w:rFonts w:ascii="Arial" w:hAnsi="Arial" w:cs="Arial"/>
        <w:b/>
        <w:sz w:val="48"/>
      </w:rPr>
      <w:t>EN</w:t>
    </w:r>
    <w:r w:rsidRPr="00AA0B5E">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rsidRPr="00AA0B5E">
      <w:tab/>
    </w:r>
    <w:r w:rsidRPr="00AA0B5E">
      <w:rPr>
        <w:rFonts w:ascii="Arial" w:hAnsi="Arial" w:cs="Arial"/>
        <w:b/>
        <w:sz w:val="48"/>
      </w:rPr>
      <w:t>EN</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511B2" w14:textId="77777777" w:rsidR="00AA0B5E" w:rsidRPr="00AA0B5E" w:rsidRDefault="00AA0B5E" w:rsidP="00AA0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D1E3A" w14:textId="77777777" w:rsidR="00D723FC" w:rsidRDefault="00D723FC" w:rsidP="001950BC">
      <w:pPr>
        <w:spacing w:before="0" w:after="0"/>
      </w:pPr>
      <w:r>
        <w:separator/>
      </w:r>
    </w:p>
  </w:footnote>
  <w:footnote w:type="continuationSeparator" w:id="0">
    <w:p w14:paraId="26B308B7" w14:textId="77777777" w:rsidR="00D723FC" w:rsidRDefault="00D723FC" w:rsidP="001950BC">
      <w:pPr>
        <w:spacing w:before="0" w:after="0"/>
      </w:pPr>
      <w:r>
        <w:continuationSeparator/>
      </w:r>
    </w:p>
  </w:footnote>
  <w:footnote w:id="1">
    <w:p w14:paraId="75B315F3" w14:textId="77777777" w:rsidR="001950BC" w:rsidRDefault="001950BC" w:rsidP="006D42BA">
      <w:pPr>
        <w:pStyle w:val="FootnoteText"/>
      </w:pPr>
      <w:r>
        <w:rPr>
          <w:rStyle w:val="FootnoteReference"/>
        </w:rPr>
        <w:footnoteRef/>
      </w:r>
      <w:r>
        <w:tab/>
        <w:t xml:space="preserve">OJ C </w:t>
      </w:r>
      <w:r>
        <w:rPr>
          <w:rStyle w:val="Marker"/>
        </w:rPr>
        <w:t>[…]</w:t>
      </w:r>
      <w:r>
        <w:t xml:space="preserve">, </w:t>
      </w:r>
      <w:r>
        <w:rPr>
          <w:rStyle w:val="Marker"/>
        </w:rPr>
        <w:t>[…]</w:t>
      </w:r>
      <w:r>
        <w:t xml:space="preserve">, p. </w:t>
      </w:r>
      <w:r>
        <w:rPr>
          <w:rStyle w:val="Marker"/>
        </w:rPr>
        <w:t>[…]</w:t>
      </w:r>
      <w:r>
        <w:t>.</w:t>
      </w:r>
    </w:p>
  </w:footnote>
  <w:footnote w:id="2">
    <w:p w14:paraId="725DFD77" w14:textId="77777777" w:rsidR="001950BC" w:rsidRDefault="001950BC" w:rsidP="006D42BA">
      <w:pPr>
        <w:pStyle w:val="FootnoteText"/>
      </w:pPr>
      <w:r>
        <w:rPr>
          <w:rStyle w:val="FootnoteReference"/>
        </w:rPr>
        <w:footnoteRef/>
      </w:r>
      <w:r>
        <w:tab/>
        <w:t xml:space="preserve">OJ C </w:t>
      </w:r>
      <w:r>
        <w:rPr>
          <w:rStyle w:val="Marker"/>
        </w:rPr>
        <w:t>[…]</w:t>
      </w:r>
      <w:r>
        <w:t xml:space="preserve">, </w:t>
      </w:r>
      <w:r>
        <w:rPr>
          <w:rStyle w:val="Marker"/>
        </w:rPr>
        <w:t>[…]</w:t>
      </w:r>
      <w:r>
        <w:t xml:space="preserve">, p. </w:t>
      </w:r>
      <w:r>
        <w:rPr>
          <w:rStyle w:val="Marker"/>
        </w:rPr>
        <w:t>[…]</w:t>
      </w:r>
      <w:r>
        <w:t>.</w:t>
      </w:r>
    </w:p>
  </w:footnote>
  <w:footnote w:id="3">
    <w:p w14:paraId="1AD1B78B" w14:textId="5CF9763F" w:rsidR="00945A9C" w:rsidRPr="00945A9C" w:rsidRDefault="00945A9C">
      <w:pPr>
        <w:pStyle w:val="FootnoteText"/>
      </w:pPr>
      <w:r w:rsidRPr="00AC495A">
        <w:rPr>
          <w:rStyle w:val="FootnoteReference"/>
        </w:rPr>
        <w:footnoteRef/>
      </w:r>
      <w:r w:rsidR="00AC495A">
        <w:tab/>
      </w:r>
      <w:r w:rsidRPr="00945A9C">
        <w:t>Regulation (EU) No 1306/2013 of the European Parliament and of the Council of 17 December 2013 on the financing, management and monitoring of the common agricultural policy and repealing Council Regulations (EEC) No 352/78, (EC) No 165/94, (EC) No 2799/98, (EC) No 814/2000, (EC) No 1290/2005 and (EC) No 485/2008</w:t>
      </w:r>
      <w:r>
        <w:t xml:space="preserve"> (</w:t>
      </w:r>
      <w:r w:rsidRPr="00945A9C">
        <w:t>OJ L 347, 20.12.2013, p. 549</w:t>
      </w:r>
      <w:r>
        <w:t>).</w:t>
      </w:r>
    </w:p>
  </w:footnote>
  <w:footnote w:id="4">
    <w:p w14:paraId="7A7B05F7" w14:textId="596E2D44" w:rsidR="006D2767" w:rsidRPr="006D2767" w:rsidRDefault="006D2767" w:rsidP="006D2767">
      <w:pPr>
        <w:pStyle w:val="FootnoteText"/>
      </w:pPr>
      <w:r w:rsidRPr="00AC495A">
        <w:rPr>
          <w:rStyle w:val="FootnoteReference"/>
        </w:rPr>
        <w:footnoteRef/>
      </w:r>
      <w:r w:rsidR="00AC495A">
        <w:tab/>
      </w:r>
      <w:r>
        <w:t>Council Regulation (EU, Euratom) No 1311/2013 of 2 December 2013 laying down the multiannual financial framework for the years 2014-2020 (OJ L 347, 20.12.2013, p. 884).</w:t>
      </w:r>
    </w:p>
  </w:footnote>
  <w:footnote w:id="5">
    <w:p w14:paraId="5CA0D6F4" w14:textId="2BF73AF9" w:rsidR="003E66A8" w:rsidRPr="003E66A8" w:rsidRDefault="003E66A8" w:rsidP="003E66A8">
      <w:pPr>
        <w:pStyle w:val="FootnoteText"/>
      </w:pPr>
      <w:r w:rsidRPr="00AC495A">
        <w:rPr>
          <w:rStyle w:val="FootnoteReference"/>
        </w:rPr>
        <w:footnoteRef/>
      </w:r>
      <w:r w:rsidR="00AC495A">
        <w:tab/>
      </w:r>
      <w:r>
        <w:t>Regulation (EU) No 1307/2013 of the European Parliament and of the Council of 17 December 2013 establishing rules for direct payments to farmers under support schemes within the framework of the common agricultural policy and repealing Council Regulation (EC) No 637/2008 and Council Regulation (EC) No 73/2009 (OJ L 347, 20.12.2013, p. 608).</w:t>
      </w:r>
    </w:p>
  </w:footnote>
  <w:footnote w:id="6">
    <w:p w14:paraId="21634328" w14:textId="030C56C3" w:rsidR="00DD0266" w:rsidRPr="000477DA" w:rsidRDefault="00DD0266" w:rsidP="00DD0266">
      <w:pPr>
        <w:pStyle w:val="FootnoteText"/>
      </w:pPr>
      <w:r w:rsidRPr="00AC495A">
        <w:rPr>
          <w:rStyle w:val="FootnoteReference"/>
        </w:rPr>
        <w:footnoteRef/>
      </w:r>
      <w:r w:rsidR="00AC495A">
        <w:tab/>
      </w:r>
      <w:r w:rsidRPr="000477DA">
        <w:t>Regulation (EU) 2019/288 of the European Parliament and of the Council of 13 February 2019 amending Regulations (EU) No 1305/2013 and (EU) No 1307/2013 as regards certain rules on direct payments and support for rural development in respect of the years 2019 and 2020</w:t>
      </w:r>
      <w:r>
        <w:t xml:space="preserve"> (</w:t>
      </w:r>
      <w:r w:rsidRPr="000477DA">
        <w:t>OJ L 53, 22.2.2019, p. 14</w:t>
      </w:r>
      <w:r>
        <w:t>).</w:t>
      </w:r>
    </w:p>
  </w:footnote>
  <w:footnote w:id="7">
    <w:p w14:paraId="78141A50" w14:textId="5D07B168" w:rsidR="002D2158" w:rsidRPr="00972792" w:rsidRDefault="002D2158">
      <w:pPr>
        <w:pStyle w:val="FootnoteText"/>
        <w:rPr>
          <w:lang w:val="en-US"/>
        </w:rPr>
      </w:pPr>
      <w:r w:rsidRPr="00AC495A">
        <w:rPr>
          <w:rStyle w:val="FootnoteReference"/>
        </w:rPr>
        <w:footnoteRef/>
      </w:r>
      <w:r w:rsidR="00AC495A">
        <w:tab/>
      </w:r>
      <w:r w:rsidRPr="00972792">
        <w:rPr>
          <w:lang w:val="en-US"/>
        </w:rPr>
        <w:t>COM(2018)392.</w:t>
      </w:r>
    </w:p>
  </w:footnote>
  <w:footnote w:id="8">
    <w:p w14:paraId="387284D8" w14:textId="77777777" w:rsidR="00320904" w:rsidRDefault="00320904" w:rsidP="00320904">
      <w:pPr>
        <w:pStyle w:val="FootnoteText"/>
        <w:rPr>
          <w:szCs w:val="24"/>
        </w:rPr>
      </w:pPr>
      <w:r>
        <w:rPr>
          <w:rStyle w:val="FootnoteReference"/>
        </w:rPr>
        <w:footnoteRef/>
      </w:r>
      <w:r>
        <w:tab/>
        <w:t>As referred to in Article 58(2)(a) or (b) of the Financial Regulation.</w:t>
      </w:r>
    </w:p>
  </w:footnote>
  <w:footnote w:id="9">
    <w:p w14:paraId="1C5F2FFB" w14:textId="77777777" w:rsidR="00320904" w:rsidRDefault="00320904" w:rsidP="00320904">
      <w:pPr>
        <w:pStyle w:val="FootnoteText"/>
        <w:jc w:val="left"/>
        <w:rPr>
          <w:szCs w:val="24"/>
        </w:rPr>
      </w:pPr>
      <w:r>
        <w:rPr>
          <w:rStyle w:val="FootnoteReference"/>
        </w:rPr>
        <w:footnoteRef/>
      </w:r>
      <w:r>
        <w:tab/>
        <w:t xml:space="preserve">Details of management modes and references to the Financial Regulation may be found on the BudgWeb site: </w:t>
      </w:r>
      <w:hyperlink r:id="rId1" w:history="1">
        <w:r>
          <w:rPr>
            <w:rStyle w:val="Hyperlink"/>
            <w:szCs w:val="24"/>
          </w:rPr>
          <w:t>https://myintracomm.ec.europa.eu/budgweb/EN/man/budgmanag/Pages/budgmanag.aspx</w:t>
        </w:r>
      </w:hyperlink>
      <w:r>
        <w:rPr>
          <w:szCs w:val="24"/>
        </w:rPr>
        <w:t xml:space="preserve"> </w:t>
      </w:r>
    </w:p>
  </w:footnote>
  <w:footnote w:id="10">
    <w:p w14:paraId="0AC07E0A" w14:textId="77777777" w:rsidR="00320904" w:rsidRDefault="00320904" w:rsidP="00320904">
      <w:pPr>
        <w:pStyle w:val="FootnoteText"/>
        <w:rPr>
          <w:szCs w:val="24"/>
        </w:rPr>
      </w:pPr>
      <w:r>
        <w:rPr>
          <w:rStyle w:val="FootnoteReference"/>
        </w:rPr>
        <w:footnoteRef/>
      </w:r>
      <w:r>
        <w:tab/>
        <w:t>Diff. = Differentiated appropriations / Non-diff. = Non-differentiated appropriations.</w:t>
      </w:r>
    </w:p>
  </w:footnote>
  <w:footnote w:id="11">
    <w:p w14:paraId="15AFEE8C" w14:textId="77777777" w:rsidR="00320904" w:rsidRDefault="00320904" w:rsidP="00320904">
      <w:pPr>
        <w:pStyle w:val="FootnoteText"/>
        <w:rPr>
          <w:szCs w:val="24"/>
        </w:rPr>
      </w:pPr>
      <w:r>
        <w:rPr>
          <w:rStyle w:val="FootnoteReference"/>
        </w:rPr>
        <w:footnoteRef/>
      </w:r>
      <w:r>
        <w:tab/>
        <w:t xml:space="preserve">EFTA: European Free Trade Association. </w:t>
      </w:r>
    </w:p>
  </w:footnote>
  <w:footnote w:id="12">
    <w:p w14:paraId="47F7DC72" w14:textId="17EEB68A" w:rsidR="00D4699D" w:rsidRDefault="00320904" w:rsidP="00320904">
      <w:pPr>
        <w:pStyle w:val="FootnoteText"/>
        <w:rPr>
          <w:szCs w:val="24"/>
        </w:rPr>
      </w:pPr>
      <w:r>
        <w:rPr>
          <w:rStyle w:val="FootnoteReference"/>
        </w:rPr>
        <w:footnoteRef/>
      </w:r>
      <w:r>
        <w:tab/>
        <w:t>Candidate countries and, where applicable, potential candidates from the Western Balkans.</w:t>
      </w:r>
    </w:p>
  </w:footnote>
  <w:footnote w:id="13">
    <w:p w14:paraId="73047D46" w14:textId="77777777" w:rsidR="00320904" w:rsidRDefault="00320904" w:rsidP="00320904">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14">
    <w:p w14:paraId="0E46CC8F" w14:textId="77777777" w:rsidR="00320904" w:rsidRDefault="00320904" w:rsidP="00320904">
      <w:pPr>
        <w:pStyle w:val="FootnoteText"/>
        <w:rPr>
          <w:szCs w:val="24"/>
        </w:rPr>
      </w:pPr>
      <w:r>
        <w:rPr>
          <w:rStyle w:val="FootnoteReference"/>
        </w:rPr>
        <w:footnoteRef/>
      </w:r>
      <w:r>
        <w:tab/>
        <w:t xml:space="preserve">AC= Contract Staff; AL = Local Staff; END = Seconded National Expert; INT = agency staff; JPD= Junior Professionals in Delegations. </w:t>
      </w:r>
    </w:p>
  </w:footnote>
  <w:footnote w:id="15">
    <w:p w14:paraId="4D22539A" w14:textId="77777777" w:rsidR="00320904" w:rsidRDefault="00320904" w:rsidP="00320904">
      <w:pPr>
        <w:pStyle w:val="FootnoteText"/>
        <w:rPr>
          <w:szCs w:val="24"/>
        </w:rPr>
      </w:pPr>
      <w:r>
        <w:rPr>
          <w:rStyle w:val="FootnoteReference"/>
        </w:rPr>
        <w:footnoteRef/>
      </w:r>
      <w:r>
        <w:tab/>
        <w:t>Sub-ceiling for external staff covered by operational appropriations (former ‘BA’ lines).</w:t>
      </w:r>
    </w:p>
  </w:footnote>
  <w:footnote w:id="16">
    <w:p w14:paraId="38EE29FD" w14:textId="77777777" w:rsidR="00320904" w:rsidRDefault="00320904" w:rsidP="00320904">
      <w:pPr>
        <w:pStyle w:val="FootnoteText"/>
        <w:rPr>
          <w:szCs w:val="24"/>
        </w:rPr>
      </w:pPr>
      <w:r>
        <w:rPr>
          <w:rStyle w:val="FootnoteReference"/>
        </w:rPr>
        <w:footnoteRef/>
      </w:r>
      <w:r>
        <w:tab/>
        <w:t>As regards traditional own resources (customs duties, sugar levies), the amounts indicated must be net amounts, i.e. gross amounts after deduction of 20 % for collection costs.</w:t>
      </w:r>
    </w:p>
  </w:footnote>
  <w:footnote w:id="17">
    <w:p w14:paraId="23CDB018" w14:textId="27AE798F" w:rsidR="00320904" w:rsidRDefault="00320904" w:rsidP="00320904">
      <w:pPr>
        <w:pStyle w:val="FootnoteText"/>
      </w:pPr>
      <w:r w:rsidRPr="00DC6943">
        <w:rPr>
          <w:rStyle w:val="FootnoteReference"/>
        </w:rPr>
        <w:footnoteRef/>
      </w:r>
      <w:r w:rsidR="00DC6943">
        <w:tab/>
      </w:r>
      <w:r>
        <w:t xml:space="preserve">The impact on revenue cannot be quantified at present. An initial estimate will be made in the frame of the Draft Budget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4C6A7" w14:textId="77777777" w:rsidR="00AA0B5E" w:rsidRPr="00AA0B5E" w:rsidRDefault="00AA0B5E" w:rsidP="00AA0B5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F9C57" w14:textId="77777777" w:rsidR="00DE0ACE" w:rsidRPr="00DA1FAB" w:rsidRDefault="00DE0ACE" w:rsidP="00AA0B5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71921" w14:textId="77777777" w:rsidR="00AA0B5E" w:rsidRPr="00AA0B5E" w:rsidRDefault="00AA0B5E" w:rsidP="00AA0B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E3BC9" w14:textId="77777777" w:rsidR="00AA0B5E" w:rsidRPr="00AA0B5E" w:rsidRDefault="00AA0B5E" w:rsidP="00AA0B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ADB28" w14:textId="77777777" w:rsidR="00AA0B5E" w:rsidRPr="00AA0B5E" w:rsidRDefault="00AA0B5E" w:rsidP="00AA0B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29CD8" w14:textId="77777777" w:rsidR="00AA0B5E" w:rsidRPr="00AA0B5E" w:rsidRDefault="00AA0B5E" w:rsidP="00AA0B5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CC7F7" w14:textId="77777777" w:rsidR="00AA0B5E" w:rsidRPr="00AA0B5E" w:rsidRDefault="00AA0B5E" w:rsidP="00AA0B5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E4296" w14:textId="77777777" w:rsidR="00C85BAE" w:rsidRPr="00C85BAE" w:rsidRDefault="00C85BAE" w:rsidP="00AA0B5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3A37D" w14:textId="77777777" w:rsidR="00AA0B5E" w:rsidRPr="00AA0B5E" w:rsidRDefault="00AA0B5E" w:rsidP="00AA0B5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D1628" w14:textId="77777777" w:rsidR="00AA0B5E" w:rsidRPr="00C85BAE" w:rsidRDefault="00AA0B5E" w:rsidP="00AA0B5E">
    <w:pPr>
      <w:pStyle w:val="HeaderLandscap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3485A" w14:textId="77777777" w:rsidR="00AA0B5E" w:rsidRPr="00AA0B5E" w:rsidRDefault="00AA0B5E" w:rsidP="00AA0B5E">
    <w:pPr>
      <w:pStyle w:val="HeaderLandscap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4A2CF44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7CDED0C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65C82E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D85AB77C"/>
    <w:lvl w:ilvl="0">
      <w:start w:val="1"/>
      <w:numFmt w:val="bullet"/>
      <w:pStyle w:val="ListBullet4"/>
      <w:lvlText w:val=""/>
      <w:lvlJc w:val="left"/>
      <w:pPr>
        <w:tabs>
          <w:tab w:val="num" w:pos="1351"/>
        </w:tabs>
        <w:ind w:left="1351" w:hanging="360"/>
      </w:pPr>
      <w:rPr>
        <w:rFonts w:ascii="Symbol" w:hAnsi="Symbol" w:hint="default"/>
      </w:rPr>
    </w:lvl>
  </w:abstractNum>
  <w:abstractNum w:abstractNumId="4" w15:restartNumberingAfterBreak="0">
    <w:nsid w:val="FFFFFF82"/>
    <w:multiLevelType w:val="singleLevel"/>
    <w:tmpl w:val="BE9ACCB2"/>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4D873F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83A385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304C4DA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6" w15:restartNumberingAfterBreak="0">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1"/>
  </w:num>
  <w:num w:numId="11">
    <w:abstractNumId w:val="0"/>
  </w:num>
  <w:num w:numId="12">
    <w:abstractNumId w:val="14"/>
    <w:lvlOverride w:ilvl="0">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5"/>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2"/>
  </w:num>
  <w:num w:numId="19">
    <w:abstractNumId w:val="22"/>
  </w:num>
  <w:num w:numId="20">
    <w:abstractNumId w:val="11"/>
  </w:num>
  <w:num w:numId="21">
    <w:abstractNumId w:val="13"/>
  </w:num>
  <w:num w:numId="22">
    <w:abstractNumId w:val="9"/>
  </w:num>
  <w:num w:numId="23">
    <w:abstractNumId w:val="21"/>
  </w:num>
  <w:num w:numId="24">
    <w:abstractNumId w:val="8"/>
  </w:num>
  <w:num w:numId="25">
    <w:abstractNumId w:val="14"/>
  </w:num>
  <w:num w:numId="26">
    <w:abstractNumId w:val="18"/>
  </w:num>
  <w:num w:numId="27">
    <w:abstractNumId w:val="19"/>
  </w:num>
  <w:num w:numId="28">
    <w:abstractNumId w:val="10"/>
  </w:num>
  <w:num w:numId="29">
    <w:abstractNumId w:val="17"/>
  </w:num>
  <w:num w:numId="30">
    <w:abstractNumId w:val="23"/>
  </w:num>
  <w:num w:numId="31">
    <w:abstractNumId w:val="20"/>
  </w:num>
  <w:num w:numId="32">
    <w:abstractNumId w:val="12"/>
  </w:num>
  <w:num w:numId="33">
    <w:abstractNumId w:val="22"/>
  </w:num>
  <w:num w:numId="34">
    <w:abstractNumId w:val="11"/>
  </w:num>
  <w:num w:numId="35">
    <w:abstractNumId w:val="13"/>
  </w:num>
  <w:num w:numId="36">
    <w:abstractNumId w:val="9"/>
  </w:num>
  <w:num w:numId="37">
    <w:abstractNumId w:val="21"/>
  </w:num>
  <w:num w:numId="38">
    <w:abstractNumId w:val="8"/>
  </w:num>
  <w:num w:numId="39">
    <w:abstractNumId w:val="14"/>
  </w:num>
  <w:num w:numId="40">
    <w:abstractNumId w:val="18"/>
  </w:num>
  <w:num w:numId="41">
    <w:abstractNumId w:val="19"/>
  </w:num>
  <w:num w:numId="42">
    <w:abstractNumId w:val="10"/>
  </w:num>
  <w:num w:numId="43">
    <w:abstractNumId w:val="17"/>
  </w:num>
  <w:num w:numId="44">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defaultTabStop w:val="720"/>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29 18:19:1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1"/>
    <w:docVar w:name="DQCResult_StructureCheck" w:val="0;0"/>
    <w:docVar w:name="DQCResult_SuperfluousWhitespace" w:val="0;7"/>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133632A9-695B-45D9-AEE6-C41166EF13DB"/>
    <w:docVar w:name="LW_COVERPAGE_TYPE" w:val="1"/>
    <w:docVar w:name="LW_CROSSREFERENCE" w:val="&lt;UNUSED&gt;"/>
    <w:docVar w:name="LW_DocType" w:val="COM"/>
    <w:docVar w:name="LW_EMISSION" w:val="31.10.2019"/>
    <w:docVar w:name="LW_EMISSION_ISODATE" w:val="2019-10-31"/>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53"/>
    <w:docVar w:name="LW_REF.II.NEW.CP_YEAR" w:val="2019"/>
    <w:docVar w:name="LW_REF.INST.NEW" w:val="COM"/>
    <w:docVar w:name="LW_REF.INST.NEW_ADOPTED" w:val="final"/>
    <w:docVar w:name="LW_REF.INST.NEW_TEXT" w:val="(2019) 5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Regulation (EU) No 1306/2013 as regards financial discipline as from financial year 2021 and Regulation (EU) No 1307/2013 as regards flexibility between pillars in respect of calendar year 2020"/>
    <w:docVar w:name="LW_TYPE.DOC.CP" w:val="REGULATION OF THE EUROPEAN PARLIAMENT AND OF THE COUNCIL"/>
  </w:docVars>
  <w:rsids>
    <w:rsidRoot w:val="001950BC"/>
    <w:rsid w:val="000012E4"/>
    <w:rsid w:val="00007B2C"/>
    <w:rsid w:val="000107AB"/>
    <w:rsid w:val="00010892"/>
    <w:rsid w:val="00011734"/>
    <w:rsid w:val="00013D7B"/>
    <w:rsid w:val="00020C09"/>
    <w:rsid w:val="000477DA"/>
    <w:rsid w:val="000537BB"/>
    <w:rsid w:val="000560A8"/>
    <w:rsid w:val="00062BE7"/>
    <w:rsid w:val="000677D8"/>
    <w:rsid w:val="000914CE"/>
    <w:rsid w:val="000A0666"/>
    <w:rsid w:val="000B1749"/>
    <w:rsid w:val="000D0A0D"/>
    <w:rsid w:val="000D335B"/>
    <w:rsid w:val="000D3776"/>
    <w:rsid w:val="000D4704"/>
    <w:rsid w:val="000E2862"/>
    <w:rsid w:val="000E68B7"/>
    <w:rsid w:val="000F4B70"/>
    <w:rsid w:val="00106F71"/>
    <w:rsid w:val="00113125"/>
    <w:rsid w:val="0011468D"/>
    <w:rsid w:val="00127148"/>
    <w:rsid w:val="001320BF"/>
    <w:rsid w:val="00135F64"/>
    <w:rsid w:val="0014409D"/>
    <w:rsid w:val="00153D73"/>
    <w:rsid w:val="00167FE1"/>
    <w:rsid w:val="001771BB"/>
    <w:rsid w:val="00181D50"/>
    <w:rsid w:val="00185F36"/>
    <w:rsid w:val="00192DE9"/>
    <w:rsid w:val="001950BC"/>
    <w:rsid w:val="001A52F7"/>
    <w:rsid w:val="001A6AB4"/>
    <w:rsid w:val="001B205C"/>
    <w:rsid w:val="001E0087"/>
    <w:rsid w:val="001E186C"/>
    <w:rsid w:val="001E35A2"/>
    <w:rsid w:val="001E50D6"/>
    <w:rsid w:val="001E7425"/>
    <w:rsid w:val="001F6B62"/>
    <w:rsid w:val="001F7BAD"/>
    <w:rsid w:val="002127E6"/>
    <w:rsid w:val="002144C8"/>
    <w:rsid w:val="002170B0"/>
    <w:rsid w:val="00222475"/>
    <w:rsid w:val="002229CA"/>
    <w:rsid w:val="002435B9"/>
    <w:rsid w:val="0025447D"/>
    <w:rsid w:val="002748C0"/>
    <w:rsid w:val="002750A0"/>
    <w:rsid w:val="0027674A"/>
    <w:rsid w:val="002807AB"/>
    <w:rsid w:val="00280A9F"/>
    <w:rsid w:val="00286925"/>
    <w:rsid w:val="00286CC8"/>
    <w:rsid w:val="00287FFD"/>
    <w:rsid w:val="002A494F"/>
    <w:rsid w:val="002C0C3E"/>
    <w:rsid w:val="002C19AB"/>
    <w:rsid w:val="002C6A4A"/>
    <w:rsid w:val="002D2158"/>
    <w:rsid w:val="002D2913"/>
    <w:rsid w:val="002E3968"/>
    <w:rsid w:val="002E476B"/>
    <w:rsid w:val="002E4F8A"/>
    <w:rsid w:val="002E5638"/>
    <w:rsid w:val="00302233"/>
    <w:rsid w:val="0031390C"/>
    <w:rsid w:val="003200B1"/>
    <w:rsid w:val="00320904"/>
    <w:rsid w:val="003210CC"/>
    <w:rsid w:val="0033711D"/>
    <w:rsid w:val="003377DD"/>
    <w:rsid w:val="00341365"/>
    <w:rsid w:val="00343110"/>
    <w:rsid w:val="00352527"/>
    <w:rsid w:val="0035444C"/>
    <w:rsid w:val="003568B0"/>
    <w:rsid w:val="0036300F"/>
    <w:rsid w:val="00366EDB"/>
    <w:rsid w:val="00392787"/>
    <w:rsid w:val="00392A8E"/>
    <w:rsid w:val="003A4C58"/>
    <w:rsid w:val="003B36DD"/>
    <w:rsid w:val="003C04BC"/>
    <w:rsid w:val="003C4CA2"/>
    <w:rsid w:val="003C4CEF"/>
    <w:rsid w:val="003C5445"/>
    <w:rsid w:val="003D605D"/>
    <w:rsid w:val="003D6D7C"/>
    <w:rsid w:val="003E66A8"/>
    <w:rsid w:val="003F2064"/>
    <w:rsid w:val="00417ED5"/>
    <w:rsid w:val="0042741A"/>
    <w:rsid w:val="00431B96"/>
    <w:rsid w:val="0043200B"/>
    <w:rsid w:val="00440905"/>
    <w:rsid w:val="0044340C"/>
    <w:rsid w:val="00447A31"/>
    <w:rsid w:val="00447C43"/>
    <w:rsid w:val="00447F11"/>
    <w:rsid w:val="0045264E"/>
    <w:rsid w:val="00476653"/>
    <w:rsid w:val="00480F15"/>
    <w:rsid w:val="004822F3"/>
    <w:rsid w:val="004850BC"/>
    <w:rsid w:val="00494170"/>
    <w:rsid w:val="00495C89"/>
    <w:rsid w:val="004963E6"/>
    <w:rsid w:val="004A013B"/>
    <w:rsid w:val="004A17B0"/>
    <w:rsid w:val="004A75B5"/>
    <w:rsid w:val="004B2BB5"/>
    <w:rsid w:val="004B2D30"/>
    <w:rsid w:val="004B3036"/>
    <w:rsid w:val="004B36F5"/>
    <w:rsid w:val="004B56C3"/>
    <w:rsid w:val="004B69CC"/>
    <w:rsid w:val="004C5159"/>
    <w:rsid w:val="004E24A6"/>
    <w:rsid w:val="00506BDB"/>
    <w:rsid w:val="005137B4"/>
    <w:rsid w:val="00517C27"/>
    <w:rsid w:val="00522C38"/>
    <w:rsid w:val="00573075"/>
    <w:rsid w:val="00592831"/>
    <w:rsid w:val="005950E3"/>
    <w:rsid w:val="00595D90"/>
    <w:rsid w:val="005B5B92"/>
    <w:rsid w:val="005B629A"/>
    <w:rsid w:val="005D1B75"/>
    <w:rsid w:val="005D7F02"/>
    <w:rsid w:val="005E08F5"/>
    <w:rsid w:val="006060D6"/>
    <w:rsid w:val="006138B9"/>
    <w:rsid w:val="0061531F"/>
    <w:rsid w:val="00617EC5"/>
    <w:rsid w:val="0063550F"/>
    <w:rsid w:val="00641187"/>
    <w:rsid w:val="00643277"/>
    <w:rsid w:val="00650793"/>
    <w:rsid w:val="00690D63"/>
    <w:rsid w:val="006A1A40"/>
    <w:rsid w:val="006A3042"/>
    <w:rsid w:val="006C5E9C"/>
    <w:rsid w:val="006C72C0"/>
    <w:rsid w:val="006D2767"/>
    <w:rsid w:val="006F4128"/>
    <w:rsid w:val="006F7FC5"/>
    <w:rsid w:val="0070163A"/>
    <w:rsid w:val="00701839"/>
    <w:rsid w:val="00702D98"/>
    <w:rsid w:val="00710E2B"/>
    <w:rsid w:val="00712B69"/>
    <w:rsid w:val="00715CAA"/>
    <w:rsid w:val="007200B2"/>
    <w:rsid w:val="00730AC0"/>
    <w:rsid w:val="00734786"/>
    <w:rsid w:val="007353C2"/>
    <w:rsid w:val="00735411"/>
    <w:rsid w:val="00743C23"/>
    <w:rsid w:val="00747582"/>
    <w:rsid w:val="007511FA"/>
    <w:rsid w:val="00753BFA"/>
    <w:rsid w:val="00756E11"/>
    <w:rsid w:val="007941D5"/>
    <w:rsid w:val="007955A2"/>
    <w:rsid w:val="007C4BA5"/>
    <w:rsid w:val="007C56FC"/>
    <w:rsid w:val="007D178B"/>
    <w:rsid w:val="007D23CF"/>
    <w:rsid w:val="007D6632"/>
    <w:rsid w:val="00821373"/>
    <w:rsid w:val="00825E75"/>
    <w:rsid w:val="008329D4"/>
    <w:rsid w:val="008402A5"/>
    <w:rsid w:val="00840FDD"/>
    <w:rsid w:val="00856A5A"/>
    <w:rsid w:val="00857494"/>
    <w:rsid w:val="008606E1"/>
    <w:rsid w:val="00861515"/>
    <w:rsid w:val="0086438C"/>
    <w:rsid w:val="008742F8"/>
    <w:rsid w:val="00877878"/>
    <w:rsid w:val="00882C1E"/>
    <w:rsid w:val="00885242"/>
    <w:rsid w:val="00885CDA"/>
    <w:rsid w:val="00886CC2"/>
    <w:rsid w:val="00886F23"/>
    <w:rsid w:val="008909F9"/>
    <w:rsid w:val="008919E2"/>
    <w:rsid w:val="008A3836"/>
    <w:rsid w:val="008B1207"/>
    <w:rsid w:val="008B26BC"/>
    <w:rsid w:val="008C6398"/>
    <w:rsid w:val="008C6EAE"/>
    <w:rsid w:val="008D058D"/>
    <w:rsid w:val="008D1224"/>
    <w:rsid w:val="008E3C9C"/>
    <w:rsid w:val="008F6F89"/>
    <w:rsid w:val="00925073"/>
    <w:rsid w:val="00945A9C"/>
    <w:rsid w:val="00966003"/>
    <w:rsid w:val="00967B9D"/>
    <w:rsid w:val="00972792"/>
    <w:rsid w:val="00981014"/>
    <w:rsid w:val="009908E4"/>
    <w:rsid w:val="00991D6E"/>
    <w:rsid w:val="00991EFE"/>
    <w:rsid w:val="009C2DA0"/>
    <w:rsid w:val="009D04D1"/>
    <w:rsid w:val="009D64A9"/>
    <w:rsid w:val="009D6C94"/>
    <w:rsid w:val="009D73CE"/>
    <w:rsid w:val="009E0947"/>
    <w:rsid w:val="009E3DB8"/>
    <w:rsid w:val="009E6144"/>
    <w:rsid w:val="009F281E"/>
    <w:rsid w:val="00A119D5"/>
    <w:rsid w:val="00A42355"/>
    <w:rsid w:val="00A54D39"/>
    <w:rsid w:val="00A6255D"/>
    <w:rsid w:val="00A8158B"/>
    <w:rsid w:val="00A83DC7"/>
    <w:rsid w:val="00A85EF2"/>
    <w:rsid w:val="00A949E0"/>
    <w:rsid w:val="00AA0B5E"/>
    <w:rsid w:val="00AC495A"/>
    <w:rsid w:val="00AD3D57"/>
    <w:rsid w:val="00AD57A3"/>
    <w:rsid w:val="00AD590A"/>
    <w:rsid w:val="00AD5CD8"/>
    <w:rsid w:val="00AE131C"/>
    <w:rsid w:val="00AE5706"/>
    <w:rsid w:val="00AE646E"/>
    <w:rsid w:val="00AF6F26"/>
    <w:rsid w:val="00B16956"/>
    <w:rsid w:val="00B2035E"/>
    <w:rsid w:val="00B308B5"/>
    <w:rsid w:val="00B411D1"/>
    <w:rsid w:val="00B44A60"/>
    <w:rsid w:val="00B4601F"/>
    <w:rsid w:val="00B50F3D"/>
    <w:rsid w:val="00B5528E"/>
    <w:rsid w:val="00B6636F"/>
    <w:rsid w:val="00B6742B"/>
    <w:rsid w:val="00B67E68"/>
    <w:rsid w:val="00B76249"/>
    <w:rsid w:val="00B76A5E"/>
    <w:rsid w:val="00B814D4"/>
    <w:rsid w:val="00B82310"/>
    <w:rsid w:val="00B83B8E"/>
    <w:rsid w:val="00B8707D"/>
    <w:rsid w:val="00B948E7"/>
    <w:rsid w:val="00B94E39"/>
    <w:rsid w:val="00BA7177"/>
    <w:rsid w:val="00BB2030"/>
    <w:rsid w:val="00BB57CE"/>
    <w:rsid w:val="00BC29B0"/>
    <w:rsid w:val="00BC7255"/>
    <w:rsid w:val="00BD26CF"/>
    <w:rsid w:val="00BD36C6"/>
    <w:rsid w:val="00BE06A4"/>
    <w:rsid w:val="00BE74DE"/>
    <w:rsid w:val="00C0275E"/>
    <w:rsid w:val="00C07D01"/>
    <w:rsid w:val="00C10BF6"/>
    <w:rsid w:val="00C3284F"/>
    <w:rsid w:val="00C3288C"/>
    <w:rsid w:val="00C336BE"/>
    <w:rsid w:val="00C33976"/>
    <w:rsid w:val="00C33CDE"/>
    <w:rsid w:val="00C36E0D"/>
    <w:rsid w:val="00C457E7"/>
    <w:rsid w:val="00C47DAB"/>
    <w:rsid w:val="00C5384C"/>
    <w:rsid w:val="00C53BA6"/>
    <w:rsid w:val="00C703CE"/>
    <w:rsid w:val="00C71A7A"/>
    <w:rsid w:val="00C72A0C"/>
    <w:rsid w:val="00C72FC3"/>
    <w:rsid w:val="00C74EDE"/>
    <w:rsid w:val="00C75126"/>
    <w:rsid w:val="00C84E3B"/>
    <w:rsid w:val="00C85BAE"/>
    <w:rsid w:val="00CA760F"/>
    <w:rsid w:val="00CB3777"/>
    <w:rsid w:val="00CC5DA8"/>
    <w:rsid w:val="00CD3A34"/>
    <w:rsid w:val="00CE7351"/>
    <w:rsid w:val="00CF34A0"/>
    <w:rsid w:val="00CF7B81"/>
    <w:rsid w:val="00D32FA6"/>
    <w:rsid w:val="00D3461C"/>
    <w:rsid w:val="00D42D98"/>
    <w:rsid w:val="00D4699D"/>
    <w:rsid w:val="00D5116E"/>
    <w:rsid w:val="00D52E14"/>
    <w:rsid w:val="00D7054D"/>
    <w:rsid w:val="00D706A0"/>
    <w:rsid w:val="00D723FC"/>
    <w:rsid w:val="00D84A2B"/>
    <w:rsid w:val="00D91BCE"/>
    <w:rsid w:val="00DA024D"/>
    <w:rsid w:val="00DA1FAB"/>
    <w:rsid w:val="00DA2B8F"/>
    <w:rsid w:val="00DC09BC"/>
    <w:rsid w:val="00DC6494"/>
    <w:rsid w:val="00DC6943"/>
    <w:rsid w:val="00DD0266"/>
    <w:rsid w:val="00DE0ACE"/>
    <w:rsid w:val="00E026C0"/>
    <w:rsid w:val="00E034BD"/>
    <w:rsid w:val="00E11226"/>
    <w:rsid w:val="00E114BD"/>
    <w:rsid w:val="00E12B89"/>
    <w:rsid w:val="00E14685"/>
    <w:rsid w:val="00E54F6D"/>
    <w:rsid w:val="00E57484"/>
    <w:rsid w:val="00E60050"/>
    <w:rsid w:val="00E65DCC"/>
    <w:rsid w:val="00E82D14"/>
    <w:rsid w:val="00E92356"/>
    <w:rsid w:val="00E94060"/>
    <w:rsid w:val="00EA0AB0"/>
    <w:rsid w:val="00EA7749"/>
    <w:rsid w:val="00EF1AEA"/>
    <w:rsid w:val="00EF7290"/>
    <w:rsid w:val="00F21713"/>
    <w:rsid w:val="00F3278C"/>
    <w:rsid w:val="00F34D81"/>
    <w:rsid w:val="00F5567F"/>
    <w:rsid w:val="00F56645"/>
    <w:rsid w:val="00F6589C"/>
    <w:rsid w:val="00F71D3F"/>
    <w:rsid w:val="00F837B7"/>
    <w:rsid w:val="00F83A4D"/>
    <w:rsid w:val="00F92922"/>
    <w:rsid w:val="00F9417E"/>
    <w:rsid w:val="00F9444A"/>
    <w:rsid w:val="00FB2A94"/>
    <w:rsid w:val="00FB63E3"/>
    <w:rsid w:val="00FD02C0"/>
    <w:rsid w:val="00FD3513"/>
    <w:rsid w:val="00FD4A6D"/>
    <w:rsid w:val="00FD6451"/>
    <w:rsid w:val="00FE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83969"/>
    <o:shapelayout v:ext="edit">
      <o:idmap v:ext="edit" data="1"/>
    </o:shapelayout>
  </w:shapeDefaults>
  <w:decimalSymbol w:val=","/>
  <w:listSeparator w:val=";"/>
  <w14:docId w14:val="54203759"/>
  <w15:docId w15:val="{B39B1B43-351E-4A10-B0C6-F83AAE09D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9B7138"/>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6138B9"/>
    <w:pPr>
      <w:numPr>
        <w:numId w:val="1"/>
      </w:numPr>
      <w:contextualSpacing/>
    </w:pPr>
  </w:style>
  <w:style w:type="paragraph" w:styleId="ListBullet2">
    <w:name w:val="List Bullet 2"/>
    <w:basedOn w:val="Normal"/>
    <w:uiPriority w:val="99"/>
    <w:semiHidden/>
    <w:unhideWhenUsed/>
    <w:rsid w:val="006138B9"/>
    <w:pPr>
      <w:numPr>
        <w:numId w:val="2"/>
      </w:numPr>
      <w:contextualSpacing/>
    </w:pPr>
  </w:style>
  <w:style w:type="paragraph" w:styleId="ListBullet3">
    <w:name w:val="List Bullet 3"/>
    <w:basedOn w:val="Normal"/>
    <w:uiPriority w:val="99"/>
    <w:semiHidden/>
    <w:unhideWhenUsed/>
    <w:rsid w:val="006138B9"/>
    <w:pPr>
      <w:numPr>
        <w:numId w:val="3"/>
      </w:numPr>
      <w:contextualSpacing/>
    </w:pPr>
  </w:style>
  <w:style w:type="paragraph" w:styleId="ListBullet4">
    <w:name w:val="List Bullet 4"/>
    <w:basedOn w:val="Normal"/>
    <w:uiPriority w:val="99"/>
    <w:semiHidden/>
    <w:unhideWhenUsed/>
    <w:rsid w:val="006138B9"/>
    <w:pPr>
      <w:numPr>
        <w:numId w:val="4"/>
      </w:numPr>
      <w:contextualSpacing/>
    </w:pPr>
  </w:style>
  <w:style w:type="paragraph" w:styleId="ListParagraph">
    <w:name w:val="List Paragraph"/>
    <w:basedOn w:val="Normal"/>
    <w:uiPriority w:val="34"/>
    <w:qFormat/>
    <w:rsid w:val="005E08F5"/>
    <w:pPr>
      <w:ind w:left="720"/>
      <w:contextualSpacing/>
    </w:pPr>
  </w:style>
  <w:style w:type="character" w:styleId="CommentReference">
    <w:name w:val="annotation reference"/>
    <w:basedOn w:val="DefaultParagraphFont"/>
    <w:uiPriority w:val="99"/>
    <w:semiHidden/>
    <w:unhideWhenUsed/>
    <w:rsid w:val="000914CE"/>
    <w:rPr>
      <w:sz w:val="16"/>
      <w:szCs w:val="16"/>
    </w:rPr>
  </w:style>
  <w:style w:type="paragraph" w:styleId="CommentText">
    <w:name w:val="annotation text"/>
    <w:basedOn w:val="Normal"/>
    <w:link w:val="CommentTextChar"/>
    <w:uiPriority w:val="99"/>
    <w:semiHidden/>
    <w:unhideWhenUsed/>
    <w:rsid w:val="000914CE"/>
    <w:rPr>
      <w:sz w:val="20"/>
      <w:szCs w:val="20"/>
    </w:rPr>
  </w:style>
  <w:style w:type="character" w:customStyle="1" w:styleId="CommentTextChar">
    <w:name w:val="Comment Text Char"/>
    <w:basedOn w:val="DefaultParagraphFont"/>
    <w:link w:val="CommentText"/>
    <w:uiPriority w:val="99"/>
    <w:semiHidden/>
    <w:rsid w:val="000914CE"/>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914CE"/>
    <w:rPr>
      <w:b/>
      <w:bCs/>
    </w:rPr>
  </w:style>
  <w:style w:type="character" w:customStyle="1" w:styleId="CommentSubjectChar">
    <w:name w:val="Comment Subject Char"/>
    <w:basedOn w:val="CommentTextChar"/>
    <w:link w:val="CommentSubject"/>
    <w:uiPriority w:val="99"/>
    <w:semiHidden/>
    <w:rsid w:val="000914CE"/>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0914C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4CE"/>
    <w:rPr>
      <w:rFonts w:ascii="Segoe UI" w:hAnsi="Segoe UI" w:cs="Segoe UI"/>
      <w:sz w:val="18"/>
      <w:szCs w:val="18"/>
      <w:lang w:val="en-GB"/>
    </w:rPr>
  </w:style>
  <w:style w:type="paragraph" w:styleId="Revision">
    <w:name w:val="Revision"/>
    <w:hidden/>
    <w:uiPriority w:val="99"/>
    <w:semiHidden/>
    <w:rsid w:val="001B205C"/>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sid w:val="008A3836"/>
    <w:rPr>
      <w:color w:val="0000FF" w:themeColor="hyperlink"/>
      <w:u w:val="single"/>
    </w:rPr>
  </w:style>
  <w:style w:type="paragraph" w:styleId="Caption">
    <w:name w:val="caption"/>
    <w:basedOn w:val="Normal"/>
    <w:next w:val="Normal"/>
    <w:uiPriority w:val="35"/>
    <w:semiHidden/>
    <w:unhideWhenUsed/>
    <w:qFormat/>
    <w:rsid w:val="0011468D"/>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11468D"/>
    <w:pPr>
      <w:spacing w:after="0"/>
    </w:pPr>
  </w:style>
  <w:style w:type="paragraph" w:styleId="ListNumber">
    <w:name w:val="List Number"/>
    <w:basedOn w:val="Normal"/>
    <w:semiHidden/>
    <w:unhideWhenUsed/>
    <w:rsid w:val="0011468D"/>
    <w:pPr>
      <w:numPr>
        <w:numId w:val="8"/>
      </w:numPr>
      <w:contextualSpacing/>
    </w:pPr>
  </w:style>
  <w:style w:type="paragraph" w:styleId="ListNumber2">
    <w:name w:val="List Number 2"/>
    <w:basedOn w:val="Normal"/>
    <w:uiPriority w:val="99"/>
    <w:semiHidden/>
    <w:unhideWhenUsed/>
    <w:rsid w:val="0011468D"/>
    <w:pPr>
      <w:numPr>
        <w:numId w:val="9"/>
      </w:numPr>
      <w:contextualSpacing/>
    </w:pPr>
  </w:style>
  <w:style w:type="paragraph" w:styleId="ListNumber3">
    <w:name w:val="List Number 3"/>
    <w:basedOn w:val="Normal"/>
    <w:uiPriority w:val="99"/>
    <w:semiHidden/>
    <w:unhideWhenUsed/>
    <w:rsid w:val="0011468D"/>
    <w:pPr>
      <w:numPr>
        <w:numId w:val="10"/>
      </w:numPr>
      <w:contextualSpacing/>
    </w:pPr>
  </w:style>
  <w:style w:type="paragraph" w:styleId="ListNumber4">
    <w:name w:val="List Number 4"/>
    <w:basedOn w:val="Normal"/>
    <w:uiPriority w:val="99"/>
    <w:semiHidden/>
    <w:unhideWhenUsed/>
    <w:rsid w:val="0011468D"/>
    <w:pPr>
      <w:numPr>
        <w:numId w:val="11"/>
      </w:numPr>
      <w:contextualSpacing/>
    </w:pPr>
  </w:style>
  <w:style w:type="paragraph" w:customStyle="1" w:styleId="ListDash1">
    <w:name w:val="List Dash 1"/>
    <w:basedOn w:val="Normal"/>
    <w:rsid w:val="00320904"/>
    <w:pPr>
      <w:numPr>
        <w:numId w:val="14"/>
      </w:numPr>
    </w:pPr>
    <w:rPr>
      <w:rFonts w:eastAsia="Times New Roman"/>
      <w:lang w:eastAsia="en-GB"/>
    </w:rPr>
  </w:style>
  <w:style w:type="paragraph" w:customStyle="1" w:styleId="ListDash2">
    <w:name w:val="List Dash 2"/>
    <w:basedOn w:val="Normal"/>
    <w:rsid w:val="00320904"/>
    <w:pPr>
      <w:numPr>
        <w:numId w:val="15"/>
      </w:numPr>
    </w:pPr>
    <w:rPr>
      <w:rFonts w:eastAsia="Times New Roman"/>
      <w:lang w:eastAsia="en-GB"/>
    </w:rPr>
  </w:style>
  <w:style w:type="paragraph" w:customStyle="1" w:styleId="ListNumberLevel2">
    <w:name w:val="List Number (Level 2)"/>
    <w:basedOn w:val="Normal"/>
    <w:rsid w:val="00320904"/>
    <w:pPr>
      <w:tabs>
        <w:tab w:val="num" w:pos="1417"/>
      </w:tabs>
      <w:ind w:left="1417" w:hanging="708"/>
    </w:pPr>
    <w:rPr>
      <w:rFonts w:eastAsia="Times New Roman"/>
      <w:lang w:eastAsia="en-GB"/>
    </w:rPr>
  </w:style>
  <w:style w:type="paragraph" w:customStyle="1" w:styleId="ListNumberLevel3">
    <w:name w:val="List Number (Level 3)"/>
    <w:basedOn w:val="Normal"/>
    <w:rsid w:val="00320904"/>
    <w:pPr>
      <w:tabs>
        <w:tab w:val="num" w:pos="2126"/>
      </w:tabs>
      <w:ind w:left="2126" w:hanging="709"/>
    </w:pPr>
    <w:rPr>
      <w:rFonts w:eastAsia="Times New Roman"/>
      <w:lang w:eastAsia="en-GB"/>
    </w:rPr>
  </w:style>
  <w:style w:type="paragraph" w:customStyle="1" w:styleId="ListNumberLevel4">
    <w:name w:val="List Number (Level 4)"/>
    <w:basedOn w:val="Normal"/>
    <w:rsid w:val="00320904"/>
    <w:pPr>
      <w:tabs>
        <w:tab w:val="num" w:pos="2835"/>
      </w:tabs>
      <w:ind w:left="2835" w:hanging="709"/>
    </w:pPr>
    <w:rPr>
      <w:rFonts w:eastAsia="Times New Roman"/>
      <w:lang w:eastAsia="en-GB"/>
    </w:rPr>
  </w:style>
  <w:style w:type="paragraph" w:customStyle="1" w:styleId="Legislative">
    <w:name w:val="Legislative"/>
    <w:basedOn w:val="NormalCentered"/>
    <w:rsid w:val="00E11226"/>
    <w:pPr>
      <w:jc w:val="both"/>
    </w:pPr>
    <w:rPr>
      <w:b/>
      <w:i/>
      <w:noProof/>
    </w:rPr>
  </w:style>
  <w:style w:type="paragraph" w:styleId="Header">
    <w:name w:val="header"/>
    <w:basedOn w:val="Normal"/>
    <w:link w:val="HeaderChar"/>
    <w:uiPriority w:val="99"/>
    <w:unhideWhenUsed/>
    <w:rsid w:val="00AA0B5E"/>
    <w:pPr>
      <w:tabs>
        <w:tab w:val="center" w:pos="4535"/>
        <w:tab w:val="right" w:pos="9071"/>
      </w:tabs>
      <w:spacing w:before="0"/>
    </w:pPr>
  </w:style>
  <w:style w:type="character" w:customStyle="1" w:styleId="HeaderChar">
    <w:name w:val="Header Char"/>
    <w:basedOn w:val="DefaultParagraphFont"/>
    <w:link w:val="Header"/>
    <w:uiPriority w:val="99"/>
    <w:rsid w:val="00AA0B5E"/>
    <w:rPr>
      <w:rFonts w:ascii="Times New Roman" w:hAnsi="Times New Roman" w:cs="Times New Roman"/>
      <w:sz w:val="24"/>
      <w:lang w:val="en-GB"/>
    </w:rPr>
  </w:style>
  <w:style w:type="paragraph" w:styleId="Footer">
    <w:name w:val="footer"/>
    <w:basedOn w:val="Normal"/>
    <w:link w:val="FooterChar"/>
    <w:uiPriority w:val="99"/>
    <w:unhideWhenUsed/>
    <w:rsid w:val="00AA0B5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AA0B5E"/>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AA0B5E"/>
    <w:pPr>
      <w:tabs>
        <w:tab w:val="center" w:pos="7285"/>
        <w:tab w:val="right" w:pos="14003"/>
      </w:tabs>
      <w:spacing w:before="0"/>
    </w:pPr>
  </w:style>
  <w:style w:type="paragraph" w:customStyle="1" w:styleId="FooterLandscape">
    <w:name w:val="FooterLandscape"/>
    <w:basedOn w:val="Normal"/>
    <w:rsid w:val="00AA0B5E"/>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AA0B5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AA0B5E"/>
    <w:pPr>
      <w:spacing w:before="0"/>
      <w:jc w:val="right"/>
    </w:pPr>
    <w:rPr>
      <w:sz w:val="28"/>
    </w:rPr>
  </w:style>
  <w:style w:type="paragraph" w:customStyle="1" w:styleId="FooterSensitivity">
    <w:name w:val="Footer Sensitivity"/>
    <w:basedOn w:val="Normal"/>
    <w:rsid w:val="00AA0B5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31"/>
      </w:numPr>
    </w:pPr>
  </w:style>
  <w:style w:type="paragraph" w:customStyle="1" w:styleId="Tiret1">
    <w:name w:val="Tiret 1"/>
    <w:basedOn w:val="Point1"/>
    <w:rsid w:val="009B7138"/>
    <w:pPr>
      <w:numPr>
        <w:numId w:val="32"/>
      </w:numPr>
    </w:pPr>
  </w:style>
  <w:style w:type="paragraph" w:customStyle="1" w:styleId="Tiret2">
    <w:name w:val="Tiret 2"/>
    <w:basedOn w:val="Point2"/>
    <w:rsid w:val="009B7138"/>
    <w:pPr>
      <w:numPr>
        <w:numId w:val="33"/>
      </w:numPr>
    </w:pPr>
  </w:style>
  <w:style w:type="paragraph" w:customStyle="1" w:styleId="Tiret3">
    <w:name w:val="Tiret 3"/>
    <w:basedOn w:val="Point3"/>
    <w:rsid w:val="009B7138"/>
    <w:pPr>
      <w:numPr>
        <w:numId w:val="34"/>
      </w:numPr>
    </w:pPr>
  </w:style>
  <w:style w:type="paragraph" w:customStyle="1" w:styleId="Tiret4">
    <w:name w:val="Tiret 4"/>
    <w:basedOn w:val="Point4"/>
    <w:rsid w:val="009B7138"/>
    <w:pPr>
      <w:numPr>
        <w:numId w:val="35"/>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36"/>
      </w:numPr>
    </w:pPr>
  </w:style>
  <w:style w:type="paragraph" w:customStyle="1" w:styleId="NumPar2">
    <w:name w:val="NumPar 2"/>
    <w:basedOn w:val="Normal"/>
    <w:next w:val="Text1"/>
    <w:rsid w:val="009B7138"/>
    <w:pPr>
      <w:numPr>
        <w:ilvl w:val="1"/>
        <w:numId w:val="36"/>
      </w:numPr>
    </w:pPr>
  </w:style>
  <w:style w:type="paragraph" w:customStyle="1" w:styleId="NumPar3">
    <w:name w:val="NumPar 3"/>
    <w:basedOn w:val="Normal"/>
    <w:next w:val="Text1"/>
    <w:rsid w:val="009B7138"/>
    <w:pPr>
      <w:numPr>
        <w:ilvl w:val="2"/>
        <w:numId w:val="36"/>
      </w:numPr>
    </w:pPr>
  </w:style>
  <w:style w:type="paragraph" w:customStyle="1" w:styleId="NumPar4">
    <w:name w:val="NumPar 4"/>
    <w:basedOn w:val="Normal"/>
    <w:next w:val="Text1"/>
    <w:rsid w:val="009B7138"/>
    <w:pPr>
      <w:numPr>
        <w:ilvl w:val="3"/>
        <w:numId w:val="36"/>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38"/>
      </w:numPr>
    </w:pPr>
  </w:style>
  <w:style w:type="paragraph" w:customStyle="1" w:styleId="Point1number">
    <w:name w:val="Point 1 (number)"/>
    <w:basedOn w:val="Normal"/>
    <w:rsid w:val="009B7138"/>
    <w:pPr>
      <w:numPr>
        <w:ilvl w:val="2"/>
        <w:numId w:val="38"/>
      </w:numPr>
    </w:pPr>
  </w:style>
  <w:style w:type="paragraph" w:customStyle="1" w:styleId="Point2number">
    <w:name w:val="Point 2 (number)"/>
    <w:basedOn w:val="Normal"/>
    <w:rsid w:val="009B7138"/>
    <w:pPr>
      <w:numPr>
        <w:ilvl w:val="4"/>
        <w:numId w:val="38"/>
      </w:numPr>
    </w:pPr>
  </w:style>
  <w:style w:type="paragraph" w:customStyle="1" w:styleId="Point3number">
    <w:name w:val="Point 3 (number)"/>
    <w:basedOn w:val="Normal"/>
    <w:rsid w:val="009B7138"/>
    <w:pPr>
      <w:numPr>
        <w:ilvl w:val="6"/>
        <w:numId w:val="38"/>
      </w:numPr>
    </w:pPr>
  </w:style>
  <w:style w:type="paragraph" w:customStyle="1" w:styleId="Point0letter">
    <w:name w:val="Point 0 (letter)"/>
    <w:basedOn w:val="Normal"/>
    <w:rsid w:val="009B7138"/>
    <w:pPr>
      <w:numPr>
        <w:ilvl w:val="1"/>
        <w:numId w:val="38"/>
      </w:numPr>
    </w:pPr>
  </w:style>
  <w:style w:type="paragraph" w:customStyle="1" w:styleId="Point1letter">
    <w:name w:val="Point 1 (letter)"/>
    <w:basedOn w:val="Normal"/>
    <w:rsid w:val="009B7138"/>
    <w:pPr>
      <w:numPr>
        <w:ilvl w:val="3"/>
        <w:numId w:val="38"/>
      </w:numPr>
    </w:pPr>
  </w:style>
  <w:style w:type="paragraph" w:customStyle="1" w:styleId="Point2letter">
    <w:name w:val="Point 2 (letter)"/>
    <w:basedOn w:val="Normal"/>
    <w:rsid w:val="009B7138"/>
    <w:pPr>
      <w:numPr>
        <w:ilvl w:val="5"/>
        <w:numId w:val="38"/>
      </w:numPr>
    </w:pPr>
  </w:style>
  <w:style w:type="paragraph" w:customStyle="1" w:styleId="Point3letter">
    <w:name w:val="Point 3 (letter)"/>
    <w:basedOn w:val="Normal"/>
    <w:rsid w:val="009B7138"/>
    <w:pPr>
      <w:numPr>
        <w:ilvl w:val="7"/>
        <w:numId w:val="38"/>
      </w:numPr>
    </w:pPr>
  </w:style>
  <w:style w:type="paragraph" w:customStyle="1" w:styleId="Point4letter">
    <w:name w:val="Point 4 (letter)"/>
    <w:basedOn w:val="Normal"/>
    <w:rsid w:val="009B7138"/>
    <w:pPr>
      <w:numPr>
        <w:ilvl w:val="8"/>
        <w:numId w:val="38"/>
      </w:numPr>
    </w:pPr>
  </w:style>
  <w:style w:type="paragraph" w:customStyle="1" w:styleId="Bullet0">
    <w:name w:val="Bullet 0"/>
    <w:basedOn w:val="Normal"/>
    <w:rsid w:val="009B7138"/>
    <w:pPr>
      <w:numPr>
        <w:numId w:val="39"/>
      </w:numPr>
    </w:pPr>
  </w:style>
  <w:style w:type="paragraph" w:customStyle="1" w:styleId="Bullet1">
    <w:name w:val="Bullet 1"/>
    <w:basedOn w:val="Normal"/>
    <w:rsid w:val="009B7138"/>
    <w:pPr>
      <w:numPr>
        <w:numId w:val="40"/>
      </w:numPr>
    </w:pPr>
  </w:style>
  <w:style w:type="paragraph" w:customStyle="1" w:styleId="Bullet2">
    <w:name w:val="Bullet 2"/>
    <w:basedOn w:val="Normal"/>
    <w:rsid w:val="009B7138"/>
    <w:pPr>
      <w:numPr>
        <w:numId w:val="41"/>
      </w:numPr>
    </w:pPr>
  </w:style>
  <w:style w:type="paragraph" w:customStyle="1" w:styleId="Bullet3">
    <w:name w:val="Bullet 3"/>
    <w:basedOn w:val="Normal"/>
    <w:rsid w:val="009B7138"/>
    <w:pPr>
      <w:numPr>
        <w:numId w:val="42"/>
      </w:numPr>
    </w:pPr>
  </w:style>
  <w:style w:type="paragraph" w:customStyle="1" w:styleId="Bullet4">
    <w:name w:val="Bullet 4"/>
    <w:basedOn w:val="Normal"/>
    <w:rsid w:val="009B7138"/>
    <w:pPr>
      <w:numPr>
        <w:numId w:val="43"/>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44"/>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995800">
      <w:bodyDiv w:val="1"/>
      <w:marLeft w:val="0"/>
      <w:marRight w:val="0"/>
      <w:marTop w:val="0"/>
      <w:marBottom w:val="0"/>
      <w:divBdr>
        <w:top w:val="none" w:sz="0" w:space="0" w:color="auto"/>
        <w:left w:val="none" w:sz="0" w:space="0" w:color="auto"/>
        <w:bottom w:val="none" w:sz="0" w:space="0" w:color="auto"/>
        <w:right w:val="none" w:sz="0" w:space="0" w:color="auto"/>
      </w:divBdr>
    </w:div>
    <w:div w:id="762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11.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footer" Target="footer12.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2C3257E-0E2F-4368-B010-90605C077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20</Pages>
  <Words>5507</Words>
  <Characters>30455</Characters>
  <Application>Microsoft Office Word</Application>
  <DocSecurity>0</DocSecurity>
  <Lines>1015</Lines>
  <Paragraphs>428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LAVAL Elsa (AGRI)</dc:creator>
  <cp:keywords/>
  <dc:description/>
  <cp:lastModifiedBy>ANDRIKAKIS Nikolaos (SG)</cp:lastModifiedBy>
  <cp:revision>2</cp:revision>
  <cp:lastPrinted>2019-09-12T13:06:00Z</cp:lastPrinted>
  <dcterms:created xsi:type="dcterms:W3CDTF">2019-10-30T09:02:00Z</dcterms:created>
  <dcterms:modified xsi:type="dcterms:W3CDTF">2019-10-30T09:02:00Z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_DocHome">
    <vt:i4>400712390</vt:i4>
  </property>
  <property fmtid="{D5CDD505-2E9C-101B-9397-08002B2CF9AE}" pid="11" name="DQCStatus">
    <vt:lpwstr>Yellow (DQC version 03)</vt:lpwstr>
  </property>
</Properties>
</file>