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40AFC93-6293-4078-80DF-C73627A657D0" style="width:450.75pt;height:410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SectionTitle"/>
        <w:rPr>
          <w:noProof/>
        </w:rPr>
      </w:pPr>
      <w:r>
        <w:rPr>
          <w:noProof/>
        </w:rPr>
        <w:t>Препоръка за решение на Съвета за даване на разрешение на Европейската комисия да започне преговори за споразумение за митническо сътрудничество и административна взаимопомощ (СМСАВ) с Република Беларус</w:t>
      </w:r>
    </w:p>
    <w:p>
      <w:pPr>
        <w:pStyle w:val="Heading1"/>
        <w:numPr>
          <w:ilvl w:val="0"/>
          <w:numId w:val="1"/>
        </w:numPr>
        <w:rPr>
          <w:noProof/>
        </w:rPr>
      </w:pPr>
      <w:r>
        <w:rPr>
          <w:noProof/>
        </w:rPr>
        <w:t>Естество на предвижданото споразумение</w:t>
      </w:r>
    </w:p>
    <w:p>
      <w:pPr>
        <w:pStyle w:val="Text1"/>
        <w:rPr>
          <w:noProof/>
        </w:rPr>
      </w:pPr>
      <w:r>
        <w:rPr>
          <w:noProof/>
        </w:rPr>
        <w:t xml:space="preserve">Обхватът на предвижданото споразумение ще бъде ограничен до въпроси от компетентността на Съюза. Общата цел на предвижданото споразумение ще бъде да се развият и засилят сътрудничеството и административната взаимопомощ с Република Беларус по въпроси от митническата област, и по-конкретно да се създаде правно основание за нормативна уредба на митническото сътрудничество, целяща обезпечаване на веригата на доставки и улесняване на законната търговия и същевременно гарантираща ефективния митнически контрол и защитаваща финансовите интереси на Европейския съюз благодарение на възможността за обмен на информация с оглед осигуряване на правилното прилагане на митническото законодателство. Предвижданото споразумение ще бъде сключено за неограничен срок. </w:t>
      </w:r>
    </w:p>
    <w:p>
      <w:pPr>
        <w:pStyle w:val="Heading1"/>
        <w:numPr>
          <w:ilvl w:val="0"/>
          <w:numId w:val="1"/>
        </w:numPr>
        <w:rPr>
          <w:noProof/>
        </w:rPr>
      </w:pPr>
      <w:r>
        <w:rPr>
          <w:noProof/>
        </w:rPr>
        <w:t>Съдържание на предвижданото споразумение</w:t>
      </w:r>
    </w:p>
    <w:p>
      <w:pPr>
        <w:pStyle w:val="Text1"/>
        <w:rPr>
          <w:noProof/>
        </w:rPr>
      </w:pPr>
      <w:r>
        <w:rPr>
          <w:noProof/>
        </w:rPr>
        <w:t xml:space="preserve">В обхвата на предвижданото споразумение ще бъдат включени всички разпоредби, приети от Европейския съюз и Република Беларус, наричани също договарящите страни, в техните съответни митнически законодателства, уреждащи вноса, износа и транзита на стоки и поставянето на стоки под всеки друг митнически режим. По принцип от обхвата на споразумението не е изключена нито една област, която е предмет на юрисдикцията на Съюза и в която биха могли да са уместни митническо сътрудничество или административна взаимопомощ. </w:t>
      </w:r>
    </w:p>
    <w:p>
      <w:pPr>
        <w:pStyle w:val="Text1"/>
        <w:rPr>
          <w:noProof/>
        </w:rPr>
      </w:pPr>
      <w:r>
        <w:rPr>
          <w:noProof/>
        </w:rPr>
        <w:t xml:space="preserve">Ето защо в обхвата на предвижданото споразумение би следвало да бъдат елементи като: </w:t>
      </w:r>
    </w:p>
    <w:p>
      <w:pPr>
        <w:pStyle w:val="Point2number"/>
        <w:numPr>
          <w:ilvl w:val="4"/>
          <w:numId w:val="10"/>
        </w:numPr>
        <w:rPr>
          <w:noProof/>
        </w:rPr>
      </w:pPr>
      <w:r>
        <w:rPr>
          <w:noProof/>
        </w:rPr>
        <w:t>сътрудничеството за подобряване на митническото законодателство и за хармонизиране и опростяване на митническите процедури;</w:t>
      </w:r>
    </w:p>
    <w:p>
      <w:pPr>
        <w:pStyle w:val="Point2number"/>
        <w:rPr>
          <w:noProof/>
        </w:rPr>
      </w:pPr>
      <w:r>
        <w:rPr>
          <w:noProof/>
        </w:rPr>
        <w:t>създаването на съвременни митнически системи, включително модерни технологии за митническо оформяне, предвиждането на разпоредби за одобрените икономически оператори, въвеждането на автоматизирани анализ и проверки, които се основават на оценка на риска, опростяването на процедурите за вдигане на стоки, последващия контрол и разпоредбите за партньорства между митниците и дружествата;</w:t>
      </w:r>
    </w:p>
    <w:p>
      <w:pPr>
        <w:pStyle w:val="Point2number"/>
        <w:rPr>
          <w:noProof/>
        </w:rPr>
      </w:pPr>
      <w:r>
        <w:rPr>
          <w:noProof/>
        </w:rPr>
        <w:t xml:space="preserve">улесняването и ефективния контрол на операциите по претоварване и на транзитните движения през съответните територии; сътрудничеството и координацията между всички засегнати органи и агенции на техните съответни територии за улесняване на транзитния трафик; прокарването, където е уместно и подходящо, на възможности за съвместимост между съответните митнически транзитни системи; </w:t>
      </w:r>
    </w:p>
    <w:p>
      <w:pPr>
        <w:pStyle w:val="Point2number"/>
        <w:rPr>
          <w:noProof/>
        </w:rPr>
      </w:pPr>
      <w:r>
        <w:rPr>
          <w:noProof/>
        </w:rPr>
        <w:t xml:space="preserve">професионалната етика; </w:t>
      </w:r>
    </w:p>
    <w:p>
      <w:pPr>
        <w:pStyle w:val="Point2number"/>
        <w:rPr>
          <w:noProof/>
        </w:rPr>
      </w:pPr>
      <w:r>
        <w:rPr>
          <w:noProof/>
        </w:rPr>
        <w:t>обмена, когато е подходящо и при условия, които предстои да бъдат определени, на полезна информация и данни при съблюдаване на правилата за поверителност на чувствителната информация и за защита на личните данни на договарящите страни;</w:t>
      </w:r>
    </w:p>
    <w:p>
      <w:pPr>
        <w:pStyle w:val="Point2number"/>
        <w:rPr>
          <w:noProof/>
        </w:rPr>
      </w:pPr>
      <w:r>
        <w:rPr>
          <w:noProof/>
        </w:rPr>
        <w:t>координацията на митническите действия между митническите органи на договарящите страни;</w:t>
      </w:r>
    </w:p>
    <w:p>
      <w:pPr>
        <w:pStyle w:val="Point2number"/>
        <w:rPr>
          <w:noProof/>
        </w:rPr>
      </w:pPr>
      <w:r>
        <w:rPr>
          <w:noProof/>
        </w:rPr>
        <w:t xml:space="preserve">взаимното признаване на програмите за одобрени икономически оператори и митнически контрол, включващ равностойни мерки за улесняване на търговията, където е уместно и подходящо и при условия, които предстои да бъдат определени; </w:t>
      </w:r>
    </w:p>
    <w:p>
      <w:pPr>
        <w:pStyle w:val="Point2number"/>
        <w:rPr>
          <w:noProof/>
        </w:rPr>
      </w:pPr>
      <w:r>
        <w:rPr>
          <w:noProof/>
        </w:rPr>
        <w:t xml:space="preserve">определянето на митническата стойност; </w:t>
      </w:r>
    </w:p>
    <w:p>
      <w:pPr>
        <w:pStyle w:val="Point2number"/>
        <w:rPr>
          <w:noProof/>
        </w:rPr>
      </w:pPr>
      <w:r>
        <w:rPr>
          <w:noProof/>
        </w:rPr>
        <w:t>административната взаимопомощ.</w:t>
      </w:r>
    </w:p>
    <w:p>
      <w:pPr>
        <w:pStyle w:val="Heading1"/>
        <w:rPr>
          <w:noProof/>
        </w:rPr>
      </w:pPr>
      <w:r>
        <w:rPr>
          <w:noProof/>
        </w:rPr>
        <w:t>Други разпоредби</w:t>
      </w:r>
    </w:p>
    <w:p>
      <w:pPr>
        <w:pStyle w:val="Text1"/>
        <w:rPr>
          <w:noProof/>
        </w:rPr>
      </w:pPr>
      <w:r>
        <w:rPr>
          <w:noProof/>
        </w:rPr>
        <w:t xml:space="preserve">Приложимите правила относно поверителността, защитата на данните и използването на информация ще бъдат определени в съответствие с относимото законодателство на ЕС. </w:t>
      </w:r>
    </w:p>
    <w:p>
      <w:pPr>
        <w:pStyle w:val="Text1"/>
        <w:rPr>
          <w:noProof/>
        </w:rPr>
      </w:pPr>
      <w:r>
        <w:rPr>
          <w:noProof/>
        </w:rPr>
        <w:t xml:space="preserve">Предвижданото споразумение ще съдържа обичайните клаузи относно териториалното приложение, влизането в сила, продължителността и необходимото предизвестие при денонсиране. </w:t>
      </w:r>
    </w:p>
    <w:p>
      <w:pPr>
        <w:pStyle w:val="Heading1"/>
        <w:rPr>
          <w:noProof/>
        </w:rPr>
      </w:pPr>
      <w:r>
        <w:rPr>
          <w:noProof/>
        </w:rPr>
        <w:t>Съвместен комитет за митническо сътрудничество</w:t>
      </w:r>
    </w:p>
    <w:p>
      <w:pPr>
        <w:pStyle w:val="Text1"/>
        <w:rPr>
          <w:noProof/>
        </w:rPr>
      </w:pPr>
      <w:r>
        <w:rPr>
          <w:noProof/>
        </w:rPr>
        <w:t>В предвижданото споразумение ще бъдат включени разпоредби относно съвместен комитет за митническо сътрудничество, който ще следи за правилното действие на предвижданото споразумение; той може да взема решения и други мерки, необходими за изпълнение на целите на споразумението.</w:t>
      </w:r>
    </w:p>
    <w:p>
      <w:pPr>
        <w:pStyle w:val="Text1"/>
        <w:rPr>
          <w:noProof/>
        </w:rPr>
      </w:pPr>
      <w:r>
        <w:rPr>
          <w:noProof/>
        </w:rPr>
        <w:t xml:space="preserve">В съответствие с член 17 от ДЕС в рамките на съвместния комитет за митническо сътрудничество Съюзът ще бъде представен от Комисията, подпомагана от представители на държавите членки. </w:t>
      </w:r>
    </w:p>
    <w:p>
      <w:pPr>
        <w:pStyle w:val="Text1"/>
        <w:rPr>
          <w:noProof/>
        </w:rPr>
      </w:pPr>
      <w:r>
        <w:rPr>
          <w:noProof/>
        </w:rPr>
        <w:t xml:space="preserve">Може да бъде сформирана работна група за разглеждане и отправяне на препоръки към съвместния комитет за митническо сътрудничество по технически въпроси, свързани с изпълнението на предвижданото споразумение. </w:t>
      </w:r>
    </w:p>
    <w:p>
      <w:pPr>
        <w:pStyle w:val="Text1"/>
        <w:rPr>
          <w:noProof/>
        </w:rPr>
      </w:pPr>
      <w:r>
        <w:rPr>
          <w:noProof/>
        </w:rPr>
        <w:t xml:space="preserve">Работната група ще се състои от експерти от двете договарящи страни. </w:t>
      </w:r>
    </w:p>
    <w:p>
      <w:pPr>
        <w:pStyle w:val="Text1"/>
        <w:rPr>
          <w:noProof/>
        </w:rPr>
      </w:pPr>
      <w:r>
        <w:rPr>
          <w:noProof/>
        </w:rPr>
        <w:t>Тя ще докладва на съвместния комитет за митническо сътрудничество, който ще вземе подходящите решения с взаимно съгласие.</w:t>
      </w:r>
    </w:p>
    <w:p>
      <w:pPr>
        <w:pStyle w:val="Heading1"/>
        <w:rPr>
          <w:noProof/>
        </w:rPr>
      </w:pPr>
      <w:r>
        <w:rPr>
          <w:noProof/>
        </w:rPr>
        <w:t>Водене на преговори</w:t>
      </w:r>
    </w:p>
    <w:p>
      <w:pPr>
        <w:pStyle w:val="Text1"/>
        <w:rPr>
          <w:noProof/>
        </w:rPr>
      </w:pPr>
      <w:r>
        <w:rPr>
          <w:noProof/>
        </w:rPr>
        <w:t>Комисията следва да докладва на Съвета за резултата от преговорите, а когато е целесъобразно — и за всеки евентуално възникнал проблем в хода на преговорите.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E6A0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B46DB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1949B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76483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EB2DD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624D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63014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A70F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10-30 08:57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40AFC93-6293-4078-80DF-C73627A657D0"/>
    <w:docVar w:name="LW_COVERPAGE_TYPE" w:val="1"/>
    <w:docVar w:name="LW_CROSSREFERENCE" w:val="&lt;UNUSED&gt;"/>
    <w:docVar w:name="LW_DocType" w:val="ANNEX"/>
    <w:docVar w:name="LW_EMISSION" w:val="4.11.2019"/>
    <w:docVar w:name="LW_EMISSION_ISODATE" w:val="2019-11-0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76?\u1072?\u1074?\u1072?\u1085?\u1077? \u1085?\u1072? \u1088?\u1072?\u1079?\u1088?\u1077?\u1096?\u1077?\u1085?\u1080?\u1077? \u1085?\u1072? \u1045?\u1074?\u1088?\u1086?\u1087?\u1077?\u1081?\u1089?\u1082?\u1072?\u1090?\u1072? \u1082?\u1086?\u1084?\u1080?\u1089?\u1080?\u1103? \u1076?\u1072? \u1079?\u1072?\u1087?\u1086?\u1095?\u1085?\u1077? \u1087?\u1088?\u1077?\u1075?\u1086?\u1074?\u1086?\u1088?\u1080? \u1079?\u1072? \u1089?\u1087?\u1086?\u1088?\u1072?\u1079?\u1091?\u1084?\u1077?\u1085?\u1080?\u1077? \u1079?\u1072? \u1084?\u1080?\u1090?\u1085?\u1080?\u1095?\u1077?\u1089?\u1082?\u1086? \u1089?\u1098?\u1090?\u1088?\u1091?\u1076?\u1085?\u1080?\u1095?\u1077?\u1089?\u1090?\u1074?\u1086? \u1080? \u1072?\u1076?\u1084?\u1080?\u1085?\u1080?\u1089?\u1090?\u1088?\u1072?\u1090?\u1080?\u1074?\u1085?\u1072? \u1074?\u1079?\u1072?\u1080?\u1084?\u1086?\u1087?\u1086?\u1084?\u1086?\u1097? (\u1057?\u1052?\u1057?\u1040?\u1042?) \u1089? \u1056?\u1077?\u1087?\u1091?\u1073?\u1083?\u1080?\u1082?\u1072? \u1041?\u1077?\u1083?\u1072?\u1088?\u1091?\u1089?&lt;/FMT&gt;_x000b_"/>
    <w:docVar w:name="LW_OBJETACTEPRINCIPAL.CP" w:val="&lt;FMT:Bold&gt;\u1079?\u1072? \u1076?\u1072?\u1074?\u1072?\u1085?\u1077? \u1085?\u1072? \u1088?\u1072?\u1079?\u1088?\u1077?\u1096?\u1077?\u1085?\u1080?\u1077? \u1085?\u1072? \u1045?\u1074?\u1088?\u1086?\u1087?\u1077?\u1081?\u1089?\u1082?\u1072?\u1090?\u1072? \u1082?\u1086?\u1084?\u1080?\u1089?\u1080?\u1103? \u1076?\u1072? \u1079?\u1072?\u1087?\u1086?\u1095?\u1085?\u1077? \u1087?\u1088?\u1077?\u1075?\u1086?\u1074?\u1086?\u1088?\u1080? \u1079?\u1072? \u1089?\u1087?\u1086?\u1088?\u1072?\u1079?\u1091?\u1084?\u1077?\u1085?\u1080?\u1077? \u1079?\u1072? \u1084?\u1080?\u1090?\u1085?\u1080?\u1095?\u1077?\u1089?\u1082?\u1086? \u1089?\u1098?\u1090?\u1088?\u1091?\u1076?\u1085?\u1080?\u1095?\u1077?\u1089?\u1090?\u1074?\u1086? \u1080? \u1072?\u1076?\u1084?\u1080?\u1085?\u1080?\u1089?\u1090?\u1088?\u1072?\u1090?\u1080?\u1074?\u1085?\u1072? \u1074?\u1079?\u1072?\u1080?\u1084?\u1086?\u1087?\u1086?\u1084?\u1086?\u1097? (\u1057?\u1052?\u1057?\u1040?\u1042?) \u1089? \u1056?\u1077?\u1087?\u1091?\u1073?\u1083?\u1080?\u1082?\u1072? \u1041?\u1077?\u1083?\u1072?\u1088?\u1091?\u1089?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5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45?\u1064?\u1045?\u1053?\u1048?\u1045? \u1053?\u1040? \u1057?\u1066?\u1042?\u1045?\u1058?\u1040?"/>
    <w:docVar w:name="LW_TYPEACTEPRINCIPAL.CP" w:val="\u1055?\u1088?\u1077?\u1087?\u1086?\u1088?\u1098?\u1082?\u1072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616</Words>
  <Characters>4027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Maria Paola (TAXUD)</dc:creator>
  <cp:keywords/>
  <dc:description/>
  <cp:lastModifiedBy>WES PDFC Administrator</cp:lastModifiedBy>
  <cp:revision>9</cp:revision>
  <dcterms:created xsi:type="dcterms:W3CDTF">2019-10-16T10:32:00Z</dcterms:created>
  <dcterms:modified xsi:type="dcterms:W3CDTF">2019-10-30T07:57:00Z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