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84BCA85F-38C5-4F9B-9C2A-7FE8EAA0113E" style="width:450.75pt;height:366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</w:r>
      <w:r>
        <w:rPr>
          <w:noProof/>
        </w:rPr>
        <w:t>Основания и цели на предложението</w:t>
      </w:r>
    </w:p>
    <w:p>
      <w:pPr>
        <w:rPr>
          <w:rFonts w:eastAsia="Arial Unicode MS"/>
          <w:noProof/>
        </w:rPr>
      </w:pPr>
      <w:r>
        <w:rPr>
          <w:noProof/>
        </w:rPr>
        <w:t xml:space="preserve">През последните години има напредък в отношенията между ЕС и Беларус и двустранната търговия със стоки между ЕС и Беларус постоянно нараства. Европейският съюз е вторият по важност търговски партньор на Беларус с дял от почти една трета от общата търговия на страната. Същевременно значителен дял (по оценки над 15 %) от незаконните тютюневи изделия, задържани от митническите органи на държавите — членки на ЕС, произхожда от фабриките на Беларус. Загубите за бюджета на държавите членки и на ЕС в резултат на незаконната търговия с тютюневи изделия са </w:t>
      </w:r>
      <w:hyperlink r:id="rId11" w:tgtFrame="_blank" w:history="1">
        <w:r>
          <w:rPr>
            <w:noProof/>
          </w:rPr>
          <w:t>приблизително</w:t>
        </w:r>
      </w:hyperlink>
      <w:r>
        <w:rPr>
          <w:noProof/>
        </w:rPr>
        <w:t xml:space="preserve"> 10 милиарда евро на година. Незаконната търговия с тютюневи изделия подронва политиките на ЕС и националните политики в областта на здравеопазването и допринася за многото смъртни случаи годишно, свързани с тютюнопушенето. През 2013 г. ЕС прие цялостна стратегия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за борба с незаконната търговия с тютюневи изделия, която продължава да е актуална и днес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. Ключов елемент от тази стратегия е разширяване на сътрудничеството с държави, които са основни източници на незаконни тютюневи изделия, и с транзитни държави. Поради това настоящото предложение е в отговор на нуждите на държавите — членки на ЕС, и техните предприятия от правна уредба на митническото сътрудничество и административната взаимопомощ с Беларус. </w:t>
      </w:r>
    </w:p>
    <w:p>
      <w:pPr>
        <w:rPr>
          <w:noProof/>
        </w:rPr>
      </w:pPr>
      <w:r>
        <w:rPr>
          <w:noProof/>
        </w:rPr>
        <w:t>Поради специфичния исторически контекст Беларус е единствената държава от източните съседи на ЕС и единствената държава от Евразийски икономически съюз, която няма формално правно основание за митническо сътрудничество и административна взаимопомощ с ЕС.  Ето защо е необходимо едно международно споразумение, което да даде правно основание за митническо сътрудничество, особено в области като сигурността на веригата на доставки и улесняването на търговията, и за административна взаимопомощ с цел предотвратяване, разследване и борба с нарушенията на митническото законодателство.  Споразумението с Беларус ще бъде подходящ инструмент за борба с митническите измами.</w:t>
      </w:r>
    </w:p>
    <w:p>
      <w:pPr>
        <w:rPr>
          <w:noProof/>
        </w:rPr>
      </w:pPr>
      <w:r>
        <w:rPr>
          <w:noProof/>
        </w:rPr>
        <w:t>Предвид цялостното развитие на отношенията между ЕС и Беларус, сега е добър момент за попълване на тази празнота във външните отношения на ЕС с неговите съседи в областта на митниците. Настоящата инициатива е в съответствие със заключенията на Съвета от февруари 2016 г., в които се посочва, че ЕС оставя отворени вратите за задълбочаване на отношенията между ЕС и Беларус и за извършване на нови стъпки към разширяване на политическите връзки и секторното сътрудничество в подходящия контекст. В един по-близък до настоящето момент тя е продължение на политическите контакти в контекста на срещата на Групата за координация между ЕС и Беларус на 25 април 2019 г. и посещението на комисаря Йотингер в Минск през 2019 г. Засилването на ефективната работа с Беларус е ключов елемент и от плана за действие, приет от Комисията през декември 2018 г., за борба с незаконната търговия с тютюневи изделия за периода 2018—2022 г.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. </w:t>
      </w:r>
    </w:p>
    <w:p>
      <w:pPr>
        <w:rPr>
          <w:rFonts w:eastAsia="Arial Unicode MS"/>
          <w:noProof/>
        </w:rPr>
      </w:pPr>
      <w:r>
        <w:rPr>
          <w:noProof/>
        </w:rPr>
        <w:t xml:space="preserve">Това не е инициатива по Програмата за пригодност и резултатност на регулаторната рамка (REFIT). </w:t>
      </w:r>
    </w:p>
    <w:p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u w:color="000000"/>
          <w:bdr w:val="nil"/>
        </w:rPr>
        <w:lastRenderedPageBreak/>
        <w:t>•</w:t>
      </w:r>
      <w:r>
        <w:rPr>
          <w:noProof/>
          <w:u w:color="000000"/>
          <w:bdr w:val="nil"/>
        </w:rPr>
        <w:tab/>
      </w:r>
      <w:r>
        <w:rPr>
          <w:noProof/>
        </w:rPr>
        <w:t>Съгласуваност с действащите разпоредби в тази област на политиката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Комисията има сключени споразумения, съдържащи разпоредби относно митническото сътрудничество и административната взаимопомощ, с всички държави от източното съседство, както и с всички други държави — членки на Евразийския икономически съюз: Русия</w:t>
      </w:r>
      <w:r>
        <w:rPr>
          <w:rStyle w:val="FootnoteReference"/>
          <w:noProof/>
        </w:rPr>
        <w:footnoteReference w:id="5"/>
      </w:r>
      <w:r>
        <w:rPr>
          <w:noProof/>
        </w:rPr>
        <w:t>, Армения</w:t>
      </w:r>
      <w:r>
        <w:rPr>
          <w:rStyle w:val="FootnoteReference"/>
          <w:noProof/>
        </w:rPr>
        <w:footnoteReference w:id="6"/>
      </w:r>
      <w:r>
        <w:rPr>
          <w:noProof/>
        </w:rPr>
        <w:t>, Казахстан</w:t>
      </w:r>
      <w:r>
        <w:rPr>
          <w:rStyle w:val="FootnoteReference"/>
          <w:noProof/>
        </w:rPr>
        <w:footnoteReference w:id="7"/>
      </w:r>
      <w:r>
        <w:rPr>
          <w:noProof/>
        </w:rPr>
        <w:t xml:space="preserve"> и Киргизстан</w:t>
      </w:r>
      <w:r>
        <w:rPr>
          <w:rStyle w:val="FootnoteReference"/>
          <w:noProof/>
        </w:rPr>
        <w:footnoteReference w:id="8"/>
      </w:r>
      <w:r>
        <w:rPr>
          <w:noProof/>
        </w:rPr>
        <w:t>.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</w:r>
      <w:r>
        <w:rPr>
          <w:noProof/>
        </w:rPr>
        <w:t>Съгласуваност с други политики на Съюза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Препоръката е съгласувана с другите политики на Съюза.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>Правно основание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Процесуалноправното основание ще бъде член 218, параграфи 3 и 4 от Договора за функционирането на Европейския съюз (ДФЕС).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Предметът на споразумението ще бъде част от общата търговска политика на Съюза и следователно материалноправното основание за решенията относно подписването и сключването на споразумението ще бъде член 207 от ДФЕС.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 xml:space="preserve">Субсидиарност (при неизключителна компетентност)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Инициативата попада в обхвата на изключителната компетентност на ЕС (обща търговска политика) в съответствие с член 207 от ДФЕС. Следователно принципът на субсидиарност не се прилага.  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>Пропорционалност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Препоръката на Комисията е в съответствие с принципа на пропорционалност.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Международното споразумение е подходящият и необходим инструмент за предоставяне на правно основание за осъществяване на митническо сътрудничество и административна взаимопомощ с трета държава предвид целта ни да установим митническо сътрудничество с Беларус, тъй като това е единствената държава на източната граница на ЕС, с която все още няма споразумение в областта на митниците.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>Избор на инструмент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Решение на Съвета на Европейския съюз.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ПОСЛЕДВАЩИТЕ ОЦЕНКИ, КОНСУЛТАЦИИТЕ СЪС ЗАИНТЕРЕСОВАНИТЕ СТРАНИ И ОЦЕНКИТЕ НА ВЪЗДЕЙСТВИЕТО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>Последващи оценки/проверки за пригодност на действащото законодателство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Не е приложимо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lastRenderedPageBreak/>
        <w:t>•</w:t>
      </w:r>
      <w:r>
        <w:rPr>
          <w:noProof/>
          <w:u w:color="000000"/>
          <w:bdr w:val="nil"/>
        </w:rPr>
        <w:tab/>
        <w:t>Консултации със заинтересованите страни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Не е приложимо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>Събиране и използване на експертни становища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Не е приложимо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>Оценка на въздействието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Споразумението има за цел да подобри прилагането на митническото законодателство посредством сътрудничество и административна взаимопомощ между митническите органи на ЕС и Беларус.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Въздействието ще е положително благодарение на съгласуването на правилата и откриването на нови канали за комуникация с Република Беларус.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Очаква се непряко положително въздействие вследствие на по-правилното прилагане на митническото законодателство посредством административна взаимопомощ и митническо сътрудничество, което би довело до намаляване на митническите измами, особено на контрабандата с тютюневи изделия, и съответно до по-високи митнически и данъчни приходи в ЕС.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Евентуалният текст на споразумението, който подлежи на договаряне, ще наподобява споразуменията, постигнати със съседните на Беларус държави и с други държави от Евразийския икономически съюз, на който Беларус е член, които имат еднакъв регионален митнически кодекс.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Ще се отнася до административната взаимопомощ, една голяма част от нейното съдържание е формална и процедурна, поради което не би следвало проектът на текст да бъде съществено изменен по време на преговорите.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>Пригодност и опростяване на законодателството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Това не е инициатива по Програмата за пригодност и резултатност на регулаторната рамка (REFIT).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>Основни права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Препоръката е в съответствие с Договорите за ЕС и с Хартата на основните права на Европейския съюз.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spacing w:after="240"/>
        <w:rPr>
          <w:noProof/>
        </w:rPr>
      </w:pPr>
      <w:r>
        <w:rPr>
          <w:noProof/>
        </w:rPr>
        <w:t xml:space="preserve">Споразумението за митническо сътрудничество и административна взаимопомощ не би следвало да има пряко отражение върху бюджета на ЕС. </w:t>
      </w:r>
    </w:p>
    <w:p>
      <w:pPr>
        <w:spacing w:after="240"/>
        <w:rPr>
          <w:noProof/>
        </w:rPr>
      </w:pPr>
      <w:r>
        <w:rPr>
          <w:noProof/>
        </w:rPr>
        <w:t xml:space="preserve">За споразумението биха били необходими финансови и административни ресурси, с помощта на които да се учреди съвместен комитет и да се провеждат евентуални мисии и обсъждания за изпълнение на споразумението. </w:t>
      </w:r>
    </w:p>
    <w:p>
      <w:pPr>
        <w:rPr>
          <w:noProof/>
        </w:rPr>
        <w:sectPr>
          <w:footerReference w:type="default" r:id="rId12"/>
          <w:footerReference w:type="first" r:id="rId13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Statut"/>
        <w:rPr>
          <w:noProof/>
        </w:rPr>
      </w:pPr>
      <w:r>
        <w:rPr>
          <w:noProof/>
        </w:rPr>
        <w:lastRenderedPageBreak/>
        <w:t>Препоръка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за даване на разрешение на Европейската комисия да започне преговори за споразумение за митническо сътрудничество и административна взаимопомощ (СМСАВ) с Република Беларус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 xml:space="preserve">като взе предвид Договора за функционирането на Европейския съюз, и по-специално член 218, параграфи 3 и 4 от него, </w:t>
      </w:r>
    </w:p>
    <w:p>
      <w:pPr>
        <w:rPr>
          <w:noProof/>
        </w:rPr>
      </w:pPr>
      <w:r>
        <w:rPr>
          <w:noProof/>
        </w:rPr>
        <w:t xml:space="preserve">като взе предвид препоръката на Европейската комисия, 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С настоящото на Комисията се дава разрешение да започне преговори, от името на Европейския съюз, с Република Беларус за споразумение за митническо сътрудничество и административна взаимопомощ.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Преговорите се водят въз основа на указанията за преговори на Съвета, формулирани в приложението.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rPr>
          <w:noProof/>
        </w:rPr>
      </w:pPr>
      <w:r>
        <w:rPr>
          <w:noProof/>
        </w:rPr>
        <w:t>Комисията води преговорите в консултация с [наименование на специалния комитет — добавя се от Съвета].</w:t>
      </w:r>
    </w:p>
    <w:p>
      <w:pPr>
        <w:pStyle w:val="Titrearticle"/>
        <w:rPr>
          <w:noProof/>
        </w:rPr>
      </w:pPr>
      <w:r>
        <w:rPr>
          <w:noProof/>
        </w:rPr>
        <w:t>Член 4</w:t>
      </w:r>
    </w:p>
    <w:p>
      <w:pPr>
        <w:rPr>
          <w:noProof/>
        </w:rPr>
      </w:pPr>
      <w:r>
        <w:rPr>
          <w:noProof/>
        </w:rPr>
        <w:t xml:space="preserve">Адресат на настоящото решение е Комисията. </w:t>
      </w:r>
    </w:p>
    <w:p>
      <w:pPr>
        <w:rPr>
          <w:noProof/>
        </w:rPr>
      </w:pP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  <w:endnote w:type="continuationNotice" w:id="1">
    <w:p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type="continuationNotice" w:id="1">
    <w:p>
      <w:pPr>
        <w:spacing w:before="0" w:after="0"/>
      </w:pPr>
    </w:p>
  </w:footnote>
  <w:footnote w:id="2">
    <w:p>
      <w:pPr>
        <w:pStyle w:val="FootnoteText"/>
        <w:rPr>
          <w:i/>
        </w:rPr>
      </w:pPr>
      <w:r>
        <w:rPr>
          <w:rStyle w:val="FootnoteReference"/>
        </w:rPr>
        <w:footnoteRef/>
      </w:r>
      <w:r>
        <w:rPr>
          <w:i/>
        </w:rPr>
        <w:tab/>
        <w:t>COM(2013)324</w:t>
      </w:r>
    </w:p>
  </w:footnote>
  <w:footnote w:id="3">
    <w:p>
      <w:pPr>
        <w:pStyle w:val="FootnoteText"/>
        <w:rPr>
          <w:i/>
        </w:rPr>
      </w:pPr>
      <w:r>
        <w:rPr>
          <w:rStyle w:val="FootnoteReference"/>
        </w:rPr>
        <w:footnoteRef/>
      </w:r>
      <w:r>
        <w:rPr>
          <w:i/>
        </w:rPr>
        <w:tab/>
        <w:t>COM(2017)235, раздел Д.</w:t>
      </w:r>
    </w:p>
  </w:footnote>
  <w:footnote w:id="4">
    <w:p>
      <w:pPr>
        <w:pStyle w:val="FootnoteText"/>
        <w:rPr>
          <w:i/>
        </w:rPr>
      </w:pPr>
      <w:r>
        <w:rPr>
          <w:rStyle w:val="FootnoteReference"/>
        </w:rPr>
        <w:footnoteRef/>
      </w:r>
      <w:r>
        <w:rPr>
          <w:i/>
        </w:rPr>
        <w:tab/>
        <w:t>COM(2018)846, точка А.2.7.</w:t>
      </w:r>
    </w:p>
  </w:footnote>
  <w:footnote w:id="5">
    <w:p>
      <w:pPr>
        <w:pStyle w:val="FootnoteText"/>
        <w:rPr>
          <w:i/>
        </w:rPr>
      </w:pPr>
      <w:r>
        <w:rPr>
          <w:rStyle w:val="FootnoteReference"/>
        </w:rPr>
        <w:footnoteRef/>
      </w:r>
      <w:r>
        <w:rPr>
          <w:i/>
        </w:rPr>
        <w:tab/>
        <w:t>OВ L 327/1, 28.11.1997 г.</w:t>
      </w:r>
    </w:p>
  </w:footnote>
  <w:footnote w:id="6">
    <w:p>
      <w:pPr>
        <w:pStyle w:val="FootnoteText"/>
        <w:rPr>
          <w:i/>
        </w:rPr>
      </w:pPr>
      <w:r>
        <w:rPr>
          <w:rStyle w:val="FootnoteReference"/>
        </w:rPr>
        <w:footnoteRef/>
      </w:r>
      <w:r>
        <w:rPr>
          <w:i/>
        </w:rPr>
        <w:tab/>
      </w:r>
      <w:r>
        <w:rPr>
          <w:i/>
          <w:iCs/>
          <w:color w:val="444444"/>
        </w:rPr>
        <w:t>OВ L 239/1, 9.9.1999 г.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rPr>
          <w:i/>
        </w:rPr>
        <w:tab/>
        <w:t>OВ L 29/1, 4.2.2016 г.</w:t>
      </w:r>
      <w:r>
        <w:t xml:space="preserve"> </w:t>
      </w:r>
    </w:p>
  </w:footnote>
  <w:footnote w:id="8">
    <w:p>
      <w:pPr>
        <w:pStyle w:val="FootnoteText"/>
        <w:rPr>
          <w:i/>
        </w:rPr>
      </w:pPr>
      <w:r>
        <w:rPr>
          <w:rStyle w:val="FootnoteReference"/>
        </w:rPr>
        <w:footnoteRef/>
      </w:r>
      <w:r>
        <w:rPr>
          <w:i/>
        </w:rPr>
        <w:tab/>
        <w:t>OВ L 196/46, 28.7.1999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41A53B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B5AAC59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0F63DF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98186F9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41E2DD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6E9E1DC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3E85D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ECAA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10-30 08:56:14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4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84BCA85F-38C5-4F9B-9C2A-7FE8EAA0113E"/>
    <w:docVar w:name="LW_COVERPAGE_TYPE" w:val="1"/>
    <w:docVar w:name="LW_CROSSREFERENCE" w:val="&lt;UNUSED&gt;"/>
    <w:docVar w:name="LW_DocType" w:val="COM"/>
    <w:docVar w:name="LW_EMISSION" w:val="4.11.2019"/>
    <w:docVar w:name="LW_EMISSION_ISODATE" w:val="2019-11-04"/>
    <w:docVar w:name="LW_EMISSION_LOCATION" w:val="BRX"/>
    <w:docVar w:name="LW_EMISSION_PREFIX" w:val="\u1041?\u1088?\u1102?\u1082?\u1089?\u1077?\u1083?, "/>
    <w:docVar w:name="LW_EMISSION_SUFFIX" w:val=" \u1075?."/>
    <w:docVar w:name="LW_ID_DOCMODEL" w:val="SG-001"/>
    <w:docVar w:name="LW_ID_DOCSIGNATURE" w:val="SG-001"/>
    <w:docVar w:name="LW_ID_DOCSTRUCTURE" w:val="COM/PL/ORG/NOEEA"/>
    <w:docVar w:name="LW_ID_DOCTYPE" w:val="SG-001"/>
    <w:docVar w:name="LW_ID_EXP.MOTIFS.NEW" w:val="EM_PL_"/>
    <w:docVar w:name="LW_ID_STATUT" w:val="SG-001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9"/>
    <w:docVar w:name="LW_REF.INST.NEW" w:val="COM"/>
    <w:docVar w:name="LW_REF.INST.NEW_ADOPTED" w:val="final"/>
    <w:docVar w:name="LW_REF.INST.NEW_TEXT" w:val="(2019) 57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" w:val="\u1055?\u1088?\u1077?\u1087?\u1086?\u1088?\u1098?\u1082?\u1072? \u1079?\u1072?"/>
    <w:docVar w:name="LW_STATUT.CP" w:val="\u1055?\u1088?\u1077?\u1087?\u1086?\u1088?\u1098?\u1082?\u1072? \u1079?\u1072?"/>
    <w:docVar w:name="LW_SUPERTITRE" w:val="&lt;UNUSED&gt;"/>
    <w:docVar w:name="LW_TITRE.OBJ" w:val="&lt;FMT:Bold&gt;\u1079?\u1072? \u1076?\u1072?\u1074?\u1072?\u1085?\u1077? \u1085?\u1072? \u1088?\u1072?\u1079?\u1088?\u1077?\u1096?\u1077?\u1085?\u1080?\u1077? \u1085?\u1072? \u1045?\u1074?\u1088?\u1086?\u1087?\u1077?\u1081?\u1089?\u1082?\u1072?\u1090?\u1072? \u1082?\u1086?\u1084?\u1080?\u1089?\u1080?\u1103? \u1076?\u1072? \u1079?\u1072?\u1087?\u1086?\u1095?\u1085?\u1077? \u1087?\u1088?\u1077?\u1075?\u1086?\u1074?\u1086?\u1088?\u1080? \u1079?\u1072? \u1089?\u1087?\u1086?\u1088?\u1072?\u1079?\u1091?\u1084?\u1077?\u1085?\u1080?\u1077? \u1079?\u1072? \u1084?\u1080?\u1090?\u1085?\u1080?\u1095?\u1077?\u1089?\u1082?\u1086? \u1089?\u1098?\u1090?\u1088?\u1091?\u1076?\u1085?\u1080?\u1095?\u1077?\u1089?\u1090?\u1074?\u1086? \u1080? \u1072?\u1076?\u1084?\u1080?\u1085?\u1080?\u1089?\u1090?\u1088?\u1072?\u1090?\u1080?\u1074?\u1085?\u1072? \u1074?\u1079?\u1072?\u1080?\u1084?\u1086?\u1087?\u1086?\u1084?\u1086?\u1097? (\u1057?\u1052?\u1057?\u1040?\u1042?) \u1089? \u1056?\u1077?\u1087?\u1091?\u1073?\u1083?\u1080?\u1082?\u1072? \u1041?\u1077?\u1083?\u1072?\u1088?\u1091?\u1089?&lt;/FMT&gt;_x000b_"/>
    <w:docVar w:name="LW_TITRE.OBJ.CP" w:val="&lt;FMT:Bold&gt;\u1079?\u1072? \u1076?\u1072?\u1074?\u1072?\u1085?\u1077? \u1085?\u1072? \u1088?\u1072?\u1079?\u1088?\u1077?\u1096?\u1077?\u1085?\u1080?\u1077? \u1085?\u1072? \u1045?\u1074?\u1088?\u1086?\u1087?\u1077?\u1081?\u1089?\u1082?\u1072?\u1090?\u1072? \u1082?\u1086?\u1084?\u1080?\u1089?\u1080?\u1103? \u1076?\u1072? \u1079?\u1072?\u1087?\u1086?\u1095?\u1085?\u1077? \u1087?\u1088?\u1077?\u1075?\u1086?\u1074?\u1086?\u1088?\u1080? \u1079?\u1072? \u1089?\u1087?\u1086?\u1088?\u1072?\u1079?\u1091?\u1084?\u1077?\u1085?\u1080?\u1077? \u1079?\u1072? \u1084?\u1080?\u1090?\u1085?\u1080?\u1095?\u1077?\u1089?\u1082?\u1086? \u1089?\u1098?\u1090?\u1088?\u1091?\u1076?\u1085?\u1080?\u1095?\u1077?\u1089?\u1090?\u1074?\u1086? \u1080? \u1072?\u1076?\u1084?\u1080?\u1085?\u1080?\u1089?\u1090?\u1088?\u1072?\u1090?\u1080?\u1074?\u1085?\u1072? \u1074?\u1079?\u1072?\u1080?\u1084?\u1086?\u1087?\u1086?\u1084?\u1086?\u1097? (\u1057?\u1052?\u1057?\u1040?\u1042?) \u1089? \u1056?\u1077?\u1087?\u1091?\u1073?\u1083?\u1080?\u1082?\u1072? \u1041?\u1077?\u1083?\u1072?\u1088?\u1091?\u1089?&lt;/FMT&gt;_x000b_"/>
    <w:docVar w:name="LW_TYPE.DOC" w:val="\u1056?\u1045?\u1064?\u1045?\u1053?\u1048?\u1045? \u1053?\u1040? \u1057?\u1066?\u1042?\u1045?\u1058?\u1040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1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w.com/en/billions-lost-to-cigarette-smuggling/a-1686012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C7D01F4-BE1C-42C2-81D2-83A4CBA12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4</TotalTime>
  <Pages>5</Pages>
  <Words>1116</Words>
  <Characters>6755</Characters>
  <Application>Microsoft Office Word</Application>
  <DocSecurity>0</DocSecurity>
  <Lines>140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>1.	CONTEXT OF THE PROPOSAL</vt:lpstr>
      <vt:lpstr>    •	Reasons for and objectives of the proposal</vt:lpstr>
      <vt:lpstr>    •	Consistency with existing policy provisions in the policy area</vt:lpstr>
      <vt:lpstr>    •	Consistency with other Union policies</vt:lpstr>
      <vt:lpstr>2.	LEGAL BASIS, SUBSIDIARITY AND PROPORTIONALITY</vt:lpstr>
      <vt:lpstr>    •	Legal basis</vt:lpstr>
      <vt:lpstr>    •	Subsidiarity (for non-exclusive competence) </vt:lpstr>
      <vt:lpstr>    •	Proportionality</vt:lpstr>
      <vt:lpstr>    •	Choice of the instrument</vt:lpstr>
      <vt:lpstr>3.	RESULTS OF EX-POST EVALUATIONS, STAKEHOLDER CONSULTATIONS AND IMPACT ASSESSME</vt:lpstr>
      <vt:lpstr>    •	Ex-post evaluations/fitness checks of existing legislation</vt:lpstr>
      <vt:lpstr>    •	Stakeholder consultations</vt:lpstr>
      <vt:lpstr>    •	Collection and use of expertise</vt:lpstr>
      <vt:lpstr>    •	Impact assessment</vt:lpstr>
      <vt:lpstr>    •	Regulatory fitness and simplification</vt:lpstr>
      <vt:lpstr>    •	Fundamental rights</vt:lpstr>
      <vt:lpstr>4.	BUDGETARY IMPLICATIONS</vt:lpstr>
    </vt:vector>
  </TitlesOfParts>
  <Manager/>
  <Company/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WES PDFC Administrator</cp:lastModifiedBy>
  <cp:revision>17</cp:revision>
  <cp:lastPrinted>2019-09-27T13:02:00Z</cp:lastPrinted>
  <dcterms:created xsi:type="dcterms:W3CDTF">2019-10-16T10:26:00Z</dcterms:created>
  <dcterms:modified xsi:type="dcterms:W3CDTF">2019-10-30T07:56:00Z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COM/PL/ORG/NOEEA</vt:lpwstr>
  </property>
  <property fmtid="{D5CDD505-2E9C-101B-9397-08002B2CF9AE}" pid="3" name="Version">
    <vt:lpwstr>6.0.100.0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6.0.1, Build 20180503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SG-001</vt:lpwstr>
  </property>
  <property fmtid="{D5CDD505-2E9C-101B-9397-08002B2CF9AE}" pid="10" name="DQCStatus">
    <vt:lpwstr>Green (DQC version 03)</vt:lpwstr>
  </property>
</Properties>
</file>