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9E" w:rsidRDefault="00107DF9" w:rsidP="00107DF9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A143CDC-5E88-4311-8BEC-429AB27B43BB" style="width:451pt;height:366pt">
            <v:imagedata r:id="rId8" o:title=""/>
          </v:shape>
        </w:pict>
      </w:r>
    </w:p>
    <w:p w:rsidR="000C379E" w:rsidRDefault="000C379E">
      <w:pPr>
        <w:rPr>
          <w:noProof/>
        </w:rPr>
        <w:sectPr w:rsidR="000C379E" w:rsidSect="00107D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0C379E" w:rsidRDefault="00107DF9">
      <w:pPr>
        <w:pStyle w:val="Exposdesmotifstitre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0C379E" w:rsidRDefault="00107DF9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ПРЕПОРЪКАТА</w:t>
      </w:r>
    </w:p>
    <w:p w:rsidR="000C379E" w:rsidRDefault="00107DF9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В глобализирания свят, където тежката престъпност и тероризмът имат все по-често транснационално и </w:t>
      </w:r>
      <w:r>
        <w:rPr>
          <w:noProof/>
        </w:rPr>
        <w:t>поливалентно измерение, правоприлагащите органи следва да могат пълноценно да си сътрудничат с външни партньори, за да гарантират сигурността на гражданите. Поради това Европол следва да е в състояние да обменя лични данни с правоприлагащите органи на трет</w:t>
      </w:r>
      <w:r>
        <w:rPr>
          <w:noProof/>
        </w:rPr>
        <w:t>и държави, доколкото това е необходимо за изпълнението на задачите му в рамките на изискванията, определени в Регламент (ЕО) № 2016/794 от 1 май 2016 г</w:t>
      </w:r>
      <w:r>
        <w:rPr>
          <w:rStyle w:val="FootnoteReference"/>
          <w:iCs/>
          <w:noProof/>
        </w:rPr>
        <w:footnoteReference w:id="1"/>
      </w:r>
      <w:r>
        <w:rPr>
          <w:noProof/>
        </w:rPr>
        <w:t xml:space="preserve">. </w:t>
      </w:r>
    </w:p>
    <w:p w:rsidR="000C379E" w:rsidRDefault="00107DF9">
      <w:pPr>
        <w:rPr>
          <w:iCs/>
          <w:noProof/>
        </w:rPr>
      </w:pPr>
      <w:r>
        <w:rPr>
          <w:noProof/>
        </w:rPr>
        <w:t>От влизането в сила на Регламента насам Европол може да обменя данни с трети държави или международни</w:t>
      </w:r>
      <w:r>
        <w:rPr>
          <w:noProof/>
        </w:rPr>
        <w:t xml:space="preserve"> организации въз основа на международно споразумение, осигуряващо достатъчни гаранции за защитата на неприкосновеността на личния живот и на основните права и свободи на физическите лица. Комисията отговаря от името на Съюза за договарянето на такива между</w:t>
      </w:r>
      <w:r>
        <w:rPr>
          <w:noProof/>
        </w:rPr>
        <w:t>народни споразумения. Доколкото е необходимо за изпълнението на неговите задачи, Европол може също да установява и поддържа отношения на сътрудничество с външни партньори чрез работни и административни договорености, които не могат сами по себе си да бъдат</w:t>
      </w:r>
      <w:r>
        <w:rPr>
          <w:noProof/>
        </w:rPr>
        <w:t xml:space="preserve"> правно основание за обмен на лични данни.</w:t>
      </w:r>
    </w:p>
    <w:p w:rsidR="000C379E" w:rsidRDefault="00107DF9">
      <w:pPr>
        <w:rPr>
          <w:iCs/>
          <w:noProof/>
        </w:rPr>
      </w:pPr>
      <w:r>
        <w:rPr>
          <w:noProof/>
        </w:rPr>
        <w:t>В 11-ия доклад за напредъка към истински и ефективен Съюз на сигурност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Комисията определи осем приоритетни държави</w:t>
      </w:r>
      <w:r>
        <w:rPr>
          <w:rStyle w:val="FootnoteReference"/>
          <w:iCs/>
          <w:noProof/>
        </w:rPr>
        <w:footnoteReference w:id="3"/>
      </w:r>
      <w:r>
        <w:rPr>
          <w:noProof/>
        </w:rPr>
        <w:t xml:space="preserve"> в региона на Близкия изток/Северна Африка (БИСА) въз основа на терористичните заплахи, свързанит</w:t>
      </w:r>
      <w:r>
        <w:rPr>
          <w:noProof/>
        </w:rPr>
        <w:t>е с миграцията предизвикателства и оперативните нужди на Европол за започване на преговори. Като взема предвид политическата стратегия, очертана в Европейската програма за сигурност</w:t>
      </w:r>
      <w:r>
        <w:rPr>
          <w:rStyle w:val="FootnoteReference"/>
          <w:iCs/>
          <w:noProof/>
        </w:rPr>
        <w:footnoteReference w:id="4"/>
      </w:r>
      <w:r>
        <w:rPr>
          <w:noProof/>
        </w:rPr>
        <w:t>, заключенията на Съвета</w:t>
      </w:r>
      <w:r>
        <w:rPr>
          <w:rStyle w:val="FootnoteReference"/>
          <w:iCs/>
          <w:noProof/>
        </w:rPr>
        <w:footnoteReference w:id="5"/>
      </w:r>
      <w:r>
        <w:rPr>
          <w:noProof/>
        </w:rPr>
        <w:t xml:space="preserve"> и Глобалната стратегия</w:t>
      </w:r>
      <w:r>
        <w:rPr>
          <w:rStyle w:val="FootnoteReference"/>
          <w:iCs/>
          <w:noProof/>
        </w:rPr>
        <w:footnoteReference w:id="6"/>
      </w:r>
      <w:r>
        <w:rPr>
          <w:noProof/>
        </w:rPr>
        <w:t>, оперативните нужди на п</w:t>
      </w:r>
      <w:r>
        <w:rPr>
          <w:noProof/>
        </w:rPr>
        <w:t>равоприлагащите органи в целия ЕС и потенциалните ползи от по-тясното сътрудничество в тази област, както е видно и от последващите действия във връзка с атентата в Крайстчърч от март 2019 г., Комисията счита за необходимо да добави Нова Зеландия към приор</w:t>
      </w:r>
      <w:r>
        <w:rPr>
          <w:noProof/>
        </w:rPr>
        <w:t xml:space="preserve">итетните държави с цел да започне преговори в краткосрочен план. На 23 август 2019 г. Нова Зеландия поде официално инициативата. </w:t>
      </w:r>
    </w:p>
    <w:p w:rsidR="000C379E" w:rsidRDefault="00107DF9">
      <w:pPr>
        <w:rPr>
          <w:iCs/>
          <w:noProof/>
        </w:rPr>
      </w:pPr>
      <w:r>
        <w:rPr>
          <w:noProof/>
        </w:rPr>
        <w:t>Европол и Нова Зеландия подписаха работно споразумение през април 2019 г. То осигурява рамка за структурирано сътрудничество н</w:t>
      </w:r>
      <w:r>
        <w:rPr>
          <w:noProof/>
        </w:rPr>
        <w:t xml:space="preserve">а стратегическо равнище, включително защитена линия, позволяваща пряко сигурно общуване, а Нова Зеландия командирова в Европол служител за връзка. Работното споразумение обаче не осигурява правно основание за обмена на лични данни. Към момента няма правно </w:t>
      </w:r>
      <w:r>
        <w:rPr>
          <w:noProof/>
        </w:rPr>
        <w:t xml:space="preserve">основание за редовен и структуриран обмен на лични данни между правоприлагащите органи на Нова Зеландия и Европол, а такъв обмен е от съществено значение за ефективното оперативно сътрудничество. </w:t>
      </w:r>
    </w:p>
    <w:p w:rsidR="000C379E" w:rsidRDefault="00107DF9">
      <w:pPr>
        <w:rPr>
          <w:iCs/>
          <w:noProof/>
        </w:rPr>
      </w:pPr>
      <w:r>
        <w:rPr>
          <w:noProof/>
        </w:rPr>
        <w:t>Правните норми за защита на личните данни в Нова Зеландия с</w:t>
      </w:r>
      <w:r>
        <w:rPr>
          <w:noProof/>
        </w:rPr>
        <w:t xml:space="preserve">е съдържат главно в Закона за защита на личните данни от 17 май 1993 г., изменен със Закона за изменение </w:t>
      </w:r>
      <w:r>
        <w:rPr>
          <w:noProof/>
        </w:rPr>
        <w:lastRenderedPageBreak/>
        <w:t>с цел подобряване на защитата на личните данни от 7 септември 2010 г</w:t>
      </w:r>
      <w:r>
        <w:rPr>
          <w:rStyle w:val="FootnoteReference"/>
          <w:noProof/>
        </w:rPr>
        <w:footnoteReference w:id="7"/>
      </w:r>
      <w:r>
        <w:rPr>
          <w:noProof/>
          <w:shd w:val="clear" w:color="auto" w:fill="FFFFFF"/>
        </w:rPr>
        <w:t xml:space="preserve">. </w:t>
      </w:r>
      <w:r>
        <w:rPr>
          <w:noProof/>
        </w:rPr>
        <w:t>За тази цел в закона са определени дванадесет принципа за неприкосновеност на ли</w:t>
      </w:r>
      <w:r>
        <w:rPr>
          <w:noProof/>
        </w:rPr>
        <w:t xml:space="preserve">чния живот в областта на информацията, с които се урежда обработването на лични данни. Законът за защита на личните данни се прилага за частни и публични органи, включително правоприлагащи органи. Със Закона за защита на личните данни също така се създава </w:t>
      </w:r>
      <w:r>
        <w:rPr>
          <w:noProof/>
        </w:rPr>
        <w:t>длъжността комисар по защита на личните данни, който е независимият орган за защита на данните в Нова Зеландия.</w:t>
      </w:r>
    </w:p>
    <w:p w:rsidR="000C379E" w:rsidRDefault="00107DF9">
      <w:pPr>
        <w:spacing w:before="360"/>
        <w:rPr>
          <w:i/>
          <w:noProof/>
        </w:rPr>
      </w:pPr>
      <w:r>
        <w:rPr>
          <w:i/>
          <w:noProof/>
        </w:rPr>
        <w:t>Политически контекст</w:t>
      </w:r>
    </w:p>
    <w:p w:rsidR="000C379E" w:rsidRDefault="00107DF9">
      <w:pPr>
        <w:rPr>
          <w:iCs/>
          <w:noProof/>
        </w:rPr>
      </w:pPr>
      <w:r>
        <w:rPr>
          <w:noProof/>
        </w:rPr>
        <w:t>На 15 май 2019 г., след атентата в Крайстчърч, президентът на Франция Еманюел Макрон и министър-председателят на Нова Зелан</w:t>
      </w:r>
      <w:r>
        <w:rPr>
          <w:noProof/>
        </w:rPr>
        <w:t>дия Джасинда Ардерн бяха съвместни домакини на събитието „Призив за действие след Крайстчърч“, проведено в Париж, в което участва председателят Юнкер. Те подчертаха колко е важно да бъде решен проблемът с терористичното съдържание в интернет, като същеврем</w:t>
      </w:r>
      <w:r>
        <w:rPr>
          <w:noProof/>
        </w:rPr>
        <w:t>енно се гарантира защитата на основните права. Участващите правителства и технологични дружества, както и Европейската комисия изразиха своята подкрепа за ангажиментите, поети в отговор на „Призиваза действие след Крайстчърч“ за премахване на терористичнот</w:t>
      </w:r>
      <w:r>
        <w:rPr>
          <w:noProof/>
        </w:rPr>
        <w:t>о и насилническото екстремистко съдържание онлайн (</w:t>
      </w:r>
      <w:hyperlink r:id="rId15" w:history="1">
        <w:r>
          <w:rPr>
            <w:noProof/>
          </w:rPr>
          <w:t>https://www.christchurchcall.com/</w:t>
        </w:r>
      </w:hyperlink>
      <w:r>
        <w:rPr>
          <w:noProof/>
        </w:rPr>
        <w:t xml:space="preserve">). </w:t>
      </w:r>
    </w:p>
    <w:p w:rsidR="000C379E" w:rsidRDefault="00107DF9">
      <w:pPr>
        <w:rPr>
          <w:iCs/>
          <w:noProof/>
        </w:rPr>
      </w:pPr>
      <w:r>
        <w:rPr>
          <w:noProof/>
        </w:rPr>
        <w:t>ЕС и Нова Зеландия са единомислещи партньори, които споделят сходни виждания и подходи по многобройни глобални въпроси</w:t>
      </w:r>
      <w:r>
        <w:rPr>
          <w:noProof/>
        </w:rPr>
        <w:t>. Подписаното на 5 октомври 2016 г. Споразумение за партньорство по въпросите на отношенията и сътрудничеството между ЕС и Нова Зеландия проправя пътя за по-тесни и по-стабилни отношения, тъй като съдържа определен брой членове, чрез които страните се анга</w:t>
      </w:r>
      <w:r>
        <w:rPr>
          <w:noProof/>
        </w:rPr>
        <w:t>жират да си сътрудничат в области като борбата с тероризма, сътрудничеството в областта на правоприлагането, предотвратяването и борбата с организираната престъпност и корупцията, наркотиците, киберпрестъпността, изпирането на пари, финансирането на терори</w:t>
      </w:r>
      <w:r>
        <w:rPr>
          <w:noProof/>
        </w:rPr>
        <w:t xml:space="preserve">зма, миграцията и убежището. </w:t>
      </w:r>
    </w:p>
    <w:p w:rsidR="000C379E" w:rsidRDefault="00107DF9">
      <w:pPr>
        <w:rPr>
          <w:iCs/>
          <w:noProof/>
        </w:rPr>
      </w:pPr>
      <w:r>
        <w:rPr>
          <w:noProof/>
        </w:rPr>
        <w:t>ЕС и Нова Зеландия са също така партньори в Глобалния форум за борба с тероризма (ГФБТ), който е международен форум, обединяващ 29 държави и Европейския съюз, чиято основна мисия е намаляването на уязвимостта на хората по свет</w:t>
      </w:r>
      <w:r>
        <w:rPr>
          <w:noProof/>
        </w:rPr>
        <w:t>а спрямо тероризма чрез предотвратяването, борбата и преследването на терористични актове и борбата с подбудителството и вербуването за терористични цели. ЕС и Нова Зеландия си сътрудничат тясно по въпросите на външните работи и сигурността и провеждат ред</w:t>
      </w:r>
      <w:r>
        <w:rPr>
          <w:noProof/>
        </w:rPr>
        <w:t>овен политически диалог и диалог по въпросите на сигурността. Този диалог включва чести консултации на равнище министри и висши длъжностни лица. Въз основа на Рамковото споразумение за партньорство от 2012 г. Нова Зеландия имаше възможност да участва в опе</w:t>
      </w:r>
      <w:r>
        <w:rPr>
          <w:noProof/>
        </w:rPr>
        <w:t>рации на ЕС за управление на кризи, като допринесе например за мисията EUNAVFOR ATALANT (за борба с пиратството по бреговете на Африканския рог).</w:t>
      </w:r>
    </w:p>
    <w:p w:rsidR="000C379E" w:rsidRDefault="00107DF9">
      <w:pPr>
        <w:spacing w:before="360"/>
        <w:rPr>
          <w:i/>
          <w:noProof/>
        </w:rPr>
      </w:pPr>
      <w:r>
        <w:rPr>
          <w:i/>
          <w:noProof/>
        </w:rPr>
        <w:t>Оперативни нужди</w:t>
      </w:r>
    </w:p>
    <w:p w:rsidR="000C379E" w:rsidRDefault="00107DF9">
      <w:pPr>
        <w:rPr>
          <w:iCs/>
          <w:noProof/>
        </w:rPr>
      </w:pPr>
      <w:r>
        <w:rPr>
          <w:noProof/>
        </w:rPr>
        <w:t>Във всички сфери на престъпността, които са от компетентността на Европол, има потенциал за п</w:t>
      </w:r>
      <w:r>
        <w:rPr>
          <w:noProof/>
        </w:rPr>
        <w:t>о-нататъшно сътрудничество с Нова Зеландия. Това е неизчерпателен списък с най-важните оперативни нужди на Европол спрямо Нова Зеландия:</w:t>
      </w:r>
    </w:p>
    <w:p w:rsidR="000C379E" w:rsidRDefault="00107DF9">
      <w:pPr>
        <w:pStyle w:val="Bullet0"/>
        <w:numPr>
          <w:ilvl w:val="0"/>
          <w:numId w:val="9"/>
        </w:numPr>
        <w:rPr>
          <w:iCs/>
          <w:noProof/>
        </w:rPr>
      </w:pPr>
      <w:r>
        <w:rPr>
          <w:iCs/>
          <w:noProof/>
          <w:u w:val="single"/>
        </w:rPr>
        <w:lastRenderedPageBreak/>
        <w:t>Тероризъм:</w:t>
      </w:r>
      <w:r>
        <w:rPr>
          <w:noProof/>
        </w:rPr>
        <w:t xml:space="preserve"> тероризмът представлява сериозна заплаха както за Нова Зеландия, така и за Европейския съюз, които бяха обек</w:t>
      </w:r>
      <w:r>
        <w:rPr>
          <w:noProof/>
        </w:rPr>
        <w:t>т на атентати. Осен че подобрява цялостната представа за заплахата и откриването на нови тенденции, по-тясното сътрудничество, включващо обмен на лични данни, е необходимо, за да се откриват, предотвратяват и преследват по наказателен път терористичните пр</w:t>
      </w:r>
      <w:r>
        <w:rPr>
          <w:noProof/>
        </w:rPr>
        <w:t>естъпления, включително пътуванията с цел тероризъм, финансирането на тероризма, както и терористките злоупотреби с интернет.</w:t>
      </w:r>
      <w:r>
        <w:rPr>
          <w:noProof/>
        </w:rPr>
        <w:br/>
      </w:r>
      <w:r>
        <w:rPr>
          <w:noProof/>
        </w:rPr>
        <w:br/>
        <w:t>Европейският център на Европол за борба с тероризма има силен оперативен интерес да обменя оперативни/лични данни с Нова Зеландия</w:t>
      </w:r>
      <w:r>
        <w:rPr>
          <w:noProof/>
        </w:rPr>
        <w:t xml:space="preserve"> и обратно, както стана ясно след атентата в Крайстчърч. След случилото се в Крайстчърч звеното на Европол за сигнализиране за незаконно съдържание в интернет (EU IRU) започна работа за откриването на съдържание и неговите модели за разпространение в интер</w:t>
      </w:r>
      <w:r>
        <w:rPr>
          <w:noProof/>
        </w:rPr>
        <w:t xml:space="preserve">нет. Скоростта и обемът на злоупотребите в интернет след атентата и големият брой засегнати доставчици на операционни услуги бяха безпрецедентни и показаха ограниченията на съществуващите процеси за справяне с подобни заплахи. Едно оперативно споразумение </w:t>
      </w:r>
      <w:r>
        <w:rPr>
          <w:noProof/>
        </w:rPr>
        <w:t>с Нова Зеландия не само ще укрепи ролята на Европол в ръководенето на оперативния отговор на Призива за действие след Крайстчърч за премахване на терористичното и насилническото екстремистко съдържание онлайн, но също така ще предостави на Европол правната</w:t>
      </w:r>
      <w:r>
        <w:rPr>
          <w:noProof/>
        </w:rPr>
        <w:t xml:space="preserve"> уредба за развиване на напреднало сътрудничество с Нова Зеландия по въпроси, свързани с тероризма.  </w:t>
      </w:r>
    </w:p>
    <w:p w:rsidR="000C379E" w:rsidRDefault="00107DF9">
      <w:pPr>
        <w:pStyle w:val="Bullet0"/>
        <w:rPr>
          <w:iCs/>
          <w:noProof/>
        </w:rPr>
      </w:pPr>
      <w:r>
        <w:rPr>
          <w:noProof/>
          <w:u w:val="single"/>
        </w:rPr>
        <w:t>Киберпрестъпност:</w:t>
      </w:r>
      <w:r>
        <w:rPr>
          <w:noProof/>
        </w:rPr>
        <w:t xml:space="preserve"> за правоприлагащите агенции на ЕС Нова Зеландия е възлов партньор при разследванията на случаи на сексуална експлоатация на деца.</w:t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t>Полицията на Нова Зеландия участва и е активен партньор на Виртуалната глобална работна група, която е основна партньорска мрежа на Европейския център за борба с киберпрестъпността в рамките на Европол, и се бори със сексуалното насилие над деца в интернет</w:t>
      </w:r>
      <w:r>
        <w:rPr>
          <w:noProof/>
        </w:rPr>
        <w:t>. Задълбочените експертни познания на новозеландските органи в областта на разследването на сексуалната експлоатация на деца в интернет и готовността им да споделят своите знания с участниците в тези срещи се ценят високо от компетентните органи на държави</w:t>
      </w:r>
      <w:r>
        <w:rPr>
          <w:noProof/>
        </w:rPr>
        <w:t>те — членки на ЕС, на които е възложено да разследват такива сложни престъпления и са изправени пред редица предизвикателства от правен и технически характер. От оперативна гледна точка сътрудничеството с Нова Зеландия може да има значителна добавена стойн</w:t>
      </w:r>
      <w:r>
        <w:rPr>
          <w:noProof/>
        </w:rPr>
        <w:t>ост за Европол в областта на киберпрестъпността, по-специално сексуалната експлоатация на деца в интернет. Новозеландската полиция и разследващият цифровата експлоатация на деца екип към Министерството на вътрешните работи на Нова Зеландия, работят усилено</w:t>
      </w:r>
      <w:r>
        <w:rPr>
          <w:noProof/>
        </w:rPr>
        <w:t xml:space="preserve"> и опитно в тази област и изиграха основна роля във операции с голям приоритет.</w:t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br/>
        <w:t>Нова Зеландия остава единствената държава от мрежата „Пет очи“</w:t>
      </w:r>
      <w:r>
        <w:rPr>
          <w:rStyle w:val="FootnoteReference"/>
          <w:iCs/>
          <w:noProof/>
        </w:rPr>
        <w:footnoteReference w:id="8"/>
      </w:r>
      <w:r>
        <w:rPr>
          <w:noProof/>
        </w:rPr>
        <w:t>, с която Европол няма правно основание за обмен на лични данни. Това ограничава способността на двете страни д</w:t>
      </w:r>
      <w:r>
        <w:rPr>
          <w:noProof/>
        </w:rPr>
        <w:t xml:space="preserve">а споделят ценна оперативна информация и да се консултират системно една с друга. Липсата на правно основание също така </w:t>
      </w:r>
      <w:r>
        <w:rPr>
          <w:noProof/>
        </w:rPr>
        <w:lastRenderedPageBreak/>
        <w:t>създава положение, при което двустранните контакти трябва да се осъществяват пряко с държавите членки или чрез трети агенции, включителн</w:t>
      </w:r>
      <w:r>
        <w:rPr>
          <w:noProof/>
        </w:rPr>
        <w:t>о ИНТЕРПОЛ. Естеството на тези контакти накърнява способността на държавите членки ефективно да се справят с този вид престъпност и ги лишава от възможността да допринасят и да се възползват от добавената стойност, която Европол предлага, особено в областт</w:t>
      </w:r>
      <w:r>
        <w:rPr>
          <w:noProof/>
        </w:rPr>
        <w:t>а на терористичното съдържание онлайн и сексуалната експлоатация на деца онлайн.</w:t>
      </w:r>
    </w:p>
    <w:p w:rsidR="000C379E" w:rsidRDefault="00107DF9">
      <w:pPr>
        <w:pStyle w:val="Bullet0"/>
        <w:rPr>
          <w:noProof/>
        </w:rPr>
      </w:pPr>
      <w:r>
        <w:rPr>
          <w:noProof/>
          <w:u w:val="single"/>
        </w:rPr>
        <w:t>Престъпни банди от мотоциклетисти:</w:t>
      </w:r>
      <w:r>
        <w:rPr>
          <w:noProof/>
        </w:rPr>
        <w:t xml:space="preserve"> полицията на Нова Зеландия и Европол имат силен интерес да си сътрудничат в областта на престъпните банди от мотоциклетисти (ПБМ). ПБМ будят</w:t>
      </w:r>
      <w:r>
        <w:rPr>
          <w:noProof/>
        </w:rPr>
        <w:t xml:space="preserve"> все по-голямо безпокойство в Нова Зеландия и наскоро полицията в страната създаде звено за разузнаване на банди, като ПБМ са една от основните задачи на този отдел. Проектът за анализ „Monitor“ на Европол има особен интерес към придвижванията до Европа и </w:t>
      </w:r>
      <w:r>
        <w:rPr>
          <w:noProof/>
        </w:rPr>
        <w:t>свидетелствата за съдимост на членовете на новозеландските ПБМ, както и към предполагаемите им контакти с контингент от организираната престъпност в Югоизточна Азия.</w:t>
      </w:r>
    </w:p>
    <w:p w:rsidR="000C379E" w:rsidRDefault="000C379E">
      <w:pPr>
        <w:rPr>
          <w:noProof/>
        </w:rPr>
      </w:pPr>
    </w:p>
    <w:p w:rsidR="000C379E" w:rsidRDefault="00107DF9">
      <w:pPr>
        <w:pStyle w:val="Bullet0"/>
        <w:rPr>
          <w:noProof/>
        </w:rPr>
      </w:pPr>
      <w:r>
        <w:rPr>
          <w:noProof/>
          <w:u w:val="single"/>
        </w:rPr>
        <w:t>Наркотици:</w:t>
      </w:r>
      <w:r>
        <w:rPr>
          <w:noProof/>
        </w:rPr>
        <w:t xml:space="preserve"> в миналото Европол работи по мащабен трафик на амфетамин от ЕС към Нова Зеланд</w:t>
      </w:r>
      <w:r>
        <w:rPr>
          <w:noProof/>
        </w:rPr>
        <w:t>ия. Налице е потенциал за по-нататъшно сътрудничество в тази област.</w:t>
      </w:r>
    </w:p>
    <w:p w:rsidR="000C379E" w:rsidRDefault="00107DF9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ПРЕПОРЪКАТА</w:t>
      </w:r>
    </w:p>
    <w:p w:rsidR="000C379E" w:rsidRDefault="00107DF9">
      <w:pPr>
        <w:rPr>
          <w:noProof/>
        </w:rPr>
      </w:pPr>
      <w:r>
        <w:rPr>
          <w:noProof/>
        </w:rPr>
        <w:t xml:space="preserve">С Регламент (ЕС) 2016/794 относно Агенцията на Европейския съюз за сътрудничество в областта на правоприлагането (Европол) се установява правната уредба </w:t>
      </w:r>
      <w:r>
        <w:rPr>
          <w:noProof/>
        </w:rPr>
        <w:t>на тази агенция, и по-специално нейните цели, задачи и материална компетентност, гаранциите за защита на данните и начините за сътрудничество с външни партньори. Настоящата препоръка е в съответствие с разпоредбите на Регламента за Европол</w:t>
      </w:r>
      <w:r>
        <w:rPr>
          <w:rStyle w:val="FootnoteReference"/>
          <w:noProof/>
        </w:rPr>
        <w:footnoteReference w:id="9"/>
      </w:r>
      <w:r>
        <w:rPr>
          <w:noProof/>
        </w:rPr>
        <w:t>.</w:t>
      </w:r>
    </w:p>
    <w:p w:rsidR="000C379E" w:rsidRDefault="00107DF9">
      <w:pPr>
        <w:rPr>
          <w:noProof/>
        </w:rPr>
      </w:pPr>
      <w:r>
        <w:rPr>
          <w:noProof/>
        </w:rPr>
        <w:t>Целта на насто</w:t>
      </w:r>
      <w:r>
        <w:rPr>
          <w:noProof/>
        </w:rPr>
        <w:t>ящата препоръка е Съветът да упълномощи Комисията да води преговорите за бъдещото споразумение от името на ЕС. Правното основание Съветът да разреши започването на преговорите е член 218, параграфи 3 и 4 от ДФЕС.</w:t>
      </w:r>
    </w:p>
    <w:p w:rsidR="000C379E" w:rsidRDefault="00107DF9">
      <w:pPr>
        <w:rPr>
          <w:noProof/>
        </w:rPr>
      </w:pPr>
      <w:r>
        <w:rPr>
          <w:noProof/>
        </w:rPr>
        <w:t>В съответствие с член 218 от Договора за фу</w:t>
      </w:r>
      <w:r>
        <w:rPr>
          <w:noProof/>
        </w:rPr>
        <w:t>нкционирането на Европейския съюз Комисията е определена за преговарящ за Съюза за споразумението между Европейския съюз и Нова Зеландия относно обмена на лични данни между Агенцията на Европейския съюз за сътрудничество в областта на правоприлагането (Евр</w:t>
      </w:r>
      <w:r>
        <w:rPr>
          <w:noProof/>
        </w:rPr>
        <w:t>опол) и новозеландските компетентни органи за борба с тежката престъпност и тероризма.</w:t>
      </w:r>
    </w:p>
    <w:p w:rsidR="000C379E" w:rsidRDefault="000C379E">
      <w:pPr>
        <w:rPr>
          <w:noProof/>
        </w:rPr>
        <w:sectPr w:rsidR="000C379E" w:rsidSect="00107DF9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0C379E" w:rsidRDefault="00107DF9">
      <w:pPr>
        <w:pStyle w:val="Statut"/>
        <w:rPr>
          <w:noProof/>
        </w:rPr>
      </w:pPr>
      <w:r>
        <w:rPr>
          <w:noProof/>
        </w:rPr>
        <w:lastRenderedPageBreak/>
        <w:t>Препоръка за</w:t>
      </w:r>
    </w:p>
    <w:p w:rsidR="000C379E" w:rsidRDefault="00107DF9"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 w:rsidR="000C379E" w:rsidRDefault="00107DF9">
      <w:pPr>
        <w:pStyle w:val="Titreobjet"/>
        <w:rPr>
          <w:noProof/>
        </w:rPr>
      </w:pPr>
      <w:r>
        <w:rPr>
          <w:noProof/>
        </w:rPr>
        <w:t>за разрешаване на започването на преговори за споразумение между Европейския</w:t>
      </w:r>
      <w:r>
        <w:rPr>
          <w:noProof/>
        </w:rPr>
        <w:t xml:space="preserve"> съюз и Нова Зеландия относно обмена на лични данни между Агенцията на Европейския съюз за сътрудничество в областта на правоприлагането (Европол) и новозеландските компетентни органи за борба с тежката престъпност и тероризма</w:t>
      </w:r>
    </w:p>
    <w:p w:rsidR="000C379E" w:rsidRDefault="00107DF9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0C379E" w:rsidRDefault="00107DF9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параграфи 3 и 4 от него,</w:t>
      </w:r>
    </w:p>
    <w:p w:rsidR="000C379E" w:rsidRDefault="00107DF9">
      <w:pPr>
        <w:rPr>
          <w:noProof/>
        </w:rPr>
      </w:pPr>
      <w:r>
        <w:rPr>
          <w:noProof/>
        </w:rPr>
        <w:t xml:space="preserve">като взе предвид препоръката на Европейската комисия, </w:t>
      </w:r>
    </w:p>
    <w:p w:rsidR="000C379E" w:rsidRDefault="00107DF9">
      <w:pPr>
        <w:rPr>
          <w:noProof/>
        </w:rPr>
      </w:pPr>
      <w:r>
        <w:rPr>
          <w:noProof/>
        </w:rPr>
        <w:t>като има предвид, че:</w:t>
      </w:r>
    </w:p>
    <w:p w:rsidR="000C379E" w:rsidRDefault="00107DF9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Регламент (ЕС) 2016/794 на Европейския парламент и на Съвет</w:t>
      </w:r>
      <w:r>
        <w:rPr>
          <w:noProof/>
        </w:rPr>
        <w:t>а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бе приет на 11 май 2016 г. и се прилага от 1 май 2017 г. </w:t>
      </w:r>
    </w:p>
    <w:p w:rsidR="000C379E" w:rsidRDefault="00107DF9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Разпоредбите на Регламент (EС) 2016/794, и по-специално тези относно предаването на лични данни от Агенцията на Европейския съюз за сътрудничество в областта на правоприлагането (Европол) на </w:t>
      </w:r>
      <w:r>
        <w:rPr>
          <w:noProof/>
        </w:rPr>
        <w:t xml:space="preserve">трети държави и международни организации, предвиждат че Европол може да предава лични данни на орган на трета държава въз основа на международно споразумение, сключено между Съюза и тази трета държава съгласно член 218 от ДФЕС, което предоставя достатъчни </w:t>
      </w:r>
      <w:r>
        <w:rPr>
          <w:noProof/>
        </w:rPr>
        <w:t xml:space="preserve">гаранции по отношение на защитата на личния живот и на основните права и свободи на физическите лица. </w:t>
      </w:r>
    </w:p>
    <w:p w:rsidR="000C379E" w:rsidRDefault="00107DF9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Следва да започнат преговори с оглед сключването на споразумение между Европейския съюз и Нова Зеландия относно обмена на лични данни между Агенцията</w:t>
      </w:r>
      <w:r>
        <w:rPr>
          <w:noProof/>
        </w:rPr>
        <w:t xml:space="preserve"> на Европейския съюз за сътрудничество в областта на правоприлагането (Европол) и новозеландските компетентни органи за борба с тежката престъпност и тероризма („Споразумението“).</w:t>
      </w:r>
    </w:p>
    <w:p w:rsidR="000C379E" w:rsidRDefault="00107DF9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Както е обяснено и в съображение 35 от Регламент (ЕС) 2016/794, Комисият</w:t>
      </w:r>
      <w:r>
        <w:rPr>
          <w:noProof/>
        </w:rPr>
        <w:t>а следва да може да се консултира с Европейския надзорен орган по защита на данните (ЕНОЗД) и по време на преговорите по споразумението, и при всички случаи преди сключването на споразумението.</w:t>
      </w:r>
    </w:p>
    <w:p w:rsidR="000C379E" w:rsidRDefault="00107DF9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Споразумението следва да зачита основните права и да спазв</w:t>
      </w:r>
      <w:r>
        <w:rPr>
          <w:noProof/>
        </w:rPr>
        <w:t>а принципите, признати от Хартата на основните права на Европейския съюз, а именно правото на личен и семеен живот, признато в член 7 от Хартата, правото на защита на личните данни, признато в член 8 от Хартата, и правото на ефективни правни средства за за</w:t>
      </w:r>
      <w:r>
        <w:rPr>
          <w:noProof/>
        </w:rPr>
        <w:t>щита и на справедлив съдебен процес, признато в член 47 от Хартата. Споразумението следва да се прилага в съответствие с тези права и принципи.</w:t>
      </w:r>
    </w:p>
    <w:p w:rsidR="000C379E" w:rsidRDefault="00107DF9">
      <w:pPr>
        <w:pStyle w:val="ManualConsidrant"/>
        <w:rPr>
          <w:noProof/>
        </w:rPr>
      </w:pPr>
      <w:r>
        <w:rPr>
          <w:noProof/>
        </w:rPr>
        <w:lastRenderedPageBreak/>
        <w:t>(6)</w:t>
      </w:r>
      <w:r>
        <w:rPr>
          <w:noProof/>
        </w:rPr>
        <w:tab/>
        <w:t>Споразумението не следва да засяга и не следва да възпрепятства предаването на лични данни или други форми н</w:t>
      </w:r>
      <w:r>
        <w:rPr>
          <w:noProof/>
        </w:rPr>
        <w:t>а сътрудничество между органите, които отговарят за опазването на националната сигурност,</w:t>
      </w:r>
    </w:p>
    <w:p w:rsidR="000C379E" w:rsidRDefault="00107DF9"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 w:rsidR="000C379E" w:rsidRDefault="00107DF9">
      <w:pPr>
        <w:pStyle w:val="Titrearticle"/>
        <w:rPr>
          <w:noProof/>
        </w:rPr>
      </w:pPr>
      <w:r>
        <w:rPr>
          <w:noProof/>
        </w:rPr>
        <w:t>Член 1</w:t>
      </w:r>
    </w:p>
    <w:p w:rsidR="000C379E" w:rsidRDefault="00107DF9">
      <w:pPr>
        <w:rPr>
          <w:noProof/>
        </w:rPr>
      </w:pPr>
      <w:r>
        <w:rPr>
          <w:noProof/>
        </w:rPr>
        <w:t>Комисията се упълномощава да договори, от името на Съюза, споразумение между Европейския съюз и Нова Зеландия относно обмена на лични</w:t>
      </w:r>
      <w:r>
        <w:rPr>
          <w:noProof/>
        </w:rPr>
        <w:t xml:space="preserve"> данни между Агенцията на Европейския съюз за сътрудничество в областта на правоприлагането (Европол) и новозеландските компетентни органи за борба с тежката престъпност и тероризма.</w:t>
      </w:r>
    </w:p>
    <w:p w:rsidR="000C379E" w:rsidRDefault="00107DF9">
      <w:pPr>
        <w:rPr>
          <w:noProof/>
        </w:rPr>
      </w:pPr>
      <w:r>
        <w:rPr>
          <w:noProof/>
        </w:rPr>
        <w:t>Указанията за водене на преговорите се съдържат в приложението.</w:t>
      </w:r>
    </w:p>
    <w:p w:rsidR="000C379E" w:rsidRDefault="00107DF9">
      <w:pPr>
        <w:pStyle w:val="Titrearticle"/>
        <w:rPr>
          <w:noProof/>
        </w:rPr>
      </w:pPr>
      <w:r>
        <w:rPr>
          <w:noProof/>
        </w:rPr>
        <w:t>Член 2</w:t>
      </w:r>
    </w:p>
    <w:p w:rsidR="000C379E" w:rsidRDefault="00107DF9">
      <w:pPr>
        <w:rPr>
          <w:noProof/>
        </w:rPr>
      </w:pPr>
      <w:r>
        <w:rPr>
          <w:noProof/>
        </w:rPr>
        <w:t>Преговорите се водят в консултация със съответния [наименование на специалния комитет — добавя се от Съвета].</w:t>
      </w:r>
    </w:p>
    <w:p w:rsidR="000C379E" w:rsidRDefault="00107DF9">
      <w:pPr>
        <w:pStyle w:val="Titrearticle"/>
        <w:rPr>
          <w:noProof/>
        </w:rPr>
      </w:pPr>
      <w:r>
        <w:rPr>
          <w:noProof/>
        </w:rPr>
        <w:t>Член 3</w:t>
      </w:r>
    </w:p>
    <w:p w:rsidR="000C379E" w:rsidRDefault="00107DF9">
      <w:pPr>
        <w:rPr>
          <w:noProof/>
        </w:rPr>
      </w:pPr>
      <w:r>
        <w:rPr>
          <w:noProof/>
        </w:rPr>
        <w:t xml:space="preserve">Адресат на настоящото решение е Комисията. </w:t>
      </w:r>
    </w:p>
    <w:p w:rsidR="000C379E" w:rsidRDefault="00107DF9" w:rsidP="00107DF9">
      <w:pPr>
        <w:pStyle w:val="Fait"/>
        <w:rPr>
          <w:noProof/>
        </w:rPr>
      </w:pPr>
      <w:r w:rsidRPr="00107DF9">
        <w:t>Съставено в Брюксел на 30.10.2019 година.</w:t>
      </w:r>
    </w:p>
    <w:p w:rsidR="000C379E" w:rsidRDefault="00107DF9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Съвета</w:t>
      </w:r>
    </w:p>
    <w:p w:rsidR="000C379E" w:rsidRPr="00107DF9" w:rsidRDefault="00107DF9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0C379E" w:rsidRPr="00107DF9" w:rsidSect="00107DF9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CFCA5C" w16cid:durableId="213277AC"/>
  <w16cid:commentId w16cid:paraId="3C8F3092" w16cid:durableId="21326CDE"/>
  <w16cid:commentId w16cid:paraId="6D1B795C" w16cid:durableId="213280B4"/>
  <w16cid:commentId w16cid:paraId="4B6FB3F7" w16cid:durableId="21326D9A"/>
  <w16cid:commentId w16cid:paraId="475DF244" w16cid:durableId="21327FC1"/>
  <w16cid:commentId w16cid:paraId="5BCA701B" w16cid:durableId="21327D4D"/>
  <w16cid:commentId w16cid:paraId="7C9D81CE" w16cid:durableId="213272C2"/>
  <w16cid:commentId w16cid:paraId="001654DF" w16cid:durableId="213278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9E" w:rsidRDefault="00107DF9">
      <w:pPr>
        <w:spacing w:before="0" w:after="0"/>
      </w:pPr>
      <w:r>
        <w:separator/>
      </w:r>
    </w:p>
  </w:endnote>
  <w:endnote w:type="continuationSeparator" w:id="0">
    <w:p w:rsidR="000C379E" w:rsidRDefault="00107D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F9" w:rsidRPr="00107DF9" w:rsidRDefault="00107DF9" w:rsidP="00107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F9" w:rsidRPr="00107DF9" w:rsidRDefault="00107DF9" w:rsidP="00107DF9">
    <w:pPr>
      <w:pStyle w:val="Footer"/>
      <w:rPr>
        <w:rFonts w:ascii="Arial" w:hAnsi="Arial" w:cs="Arial"/>
        <w:b/>
        <w:sz w:val="48"/>
      </w:rPr>
    </w:pPr>
    <w:r w:rsidRPr="00107DF9">
      <w:rPr>
        <w:rFonts w:ascii="Arial" w:hAnsi="Arial" w:cs="Arial"/>
        <w:b/>
        <w:sz w:val="48"/>
      </w:rPr>
      <w:t>BG</w:t>
    </w:r>
    <w:r w:rsidRPr="00107DF9">
      <w:rPr>
        <w:rFonts w:ascii="Arial" w:hAnsi="Arial" w:cs="Arial"/>
        <w:b/>
        <w:sz w:val="48"/>
      </w:rPr>
      <w:tab/>
    </w:r>
    <w:r w:rsidRPr="00107DF9">
      <w:rPr>
        <w:rFonts w:ascii="Arial" w:hAnsi="Arial" w:cs="Arial"/>
        <w:b/>
        <w:sz w:val="48"/>
      </w:rPr>
      <w:tab/>
    </w:r>
    <w:r w:rsidRPr="00107DF9">
      <w:tab/>
    </w:r>
    <w:r w:rsidRPr="00107DF9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F9" w:rsidRPr="00107DF9" w:rsidRDefault="00107DF9" w:rsidP="00107D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9E" w:rsidRPr="00107DF9" w:rsidRDefault="00107DF9" w:rsidP="00107DF9">
    <w:pPr>
      <w:pStyle w:val="Footer"/>
      <w:rPr>
        <w:rFonts w:ascii="Arial" w:hAnsi="Arial" w:cs="Arial"/>
        <w:b/>
        <w:sz w:val="48"/>
      </w:rPr>
    </w:pPr>
    <w:r w:rsidRPr="00107DF9">
      <w:rPr>
        <w:rFonts w:ascii="Arial" w:hAnsi="Arial" w:cs="Arial"/>
        <w:b/>
        <w:sz w:val="48"/>
      </w:rPr>
      <w:t>BG</w:t>
    </w:r>
    <w:r w:rsidRPr="00107DF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107DF9">
      <w:tab/>
    </w:r>
    <w:r w:rsidRPr="00107DF9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F9" w:rsidRPr="00107DF9" w:rsidRDefault="00107DF9" w:rsidP="00107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9E" w:rsidRDefault="00107DF9">
      <w:pPr>
        <w:spacing w:before="0" w:after="0"/>
      </w:pPr>
      <w:r>
        <w:separator/>
      </w:r>
    </w:p>
  </w:footnote>
  <w:footnote w:type="continuationSeparator" w:id="0">
    <w:p w:rsidR="000C379E" w:rsidRDefault="00107DF9">
      <w:pPr>
        <w:spacing w:before="0" w:after="0"/>
      </w:pPr>
      <w:r>
        <w:continuationSeparator/>
      </w:r>
    </w:p>
  </w:footnote>
  <w:footnote w:id="1">
    <w:p w:rsidR="000C379E" w:rsidRDefault="00107DF9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Регламент (ЕС) 2016/794 от 11 май 2016 г. (OB L 135, 24.5.2016 г., стр. 53). </w:t>
      </w:r>
    </w:p>
  </w:footnote>
  <w:footnote w:id="2">
    <w:p w:rsidR="000C379E" w:rsidRDefault="00107DF9">
      <w:pPr>
        <w:pStyle w:val="FootnoteText"/>
      </w:pPr>
      <w:r>
        <w:rPr>
          <w:rStyle w:val="FootnoteReference"/>
        </w:rPr>
        <w:footnoteRef/>
      </w:r>
      <w:r>
        <w:tab/>
        <w:t>COM(2017) 608 final.</w:t>
      </w:r>
    </w:p>
  </w:footnote>
  <w:footnote w:id="3">
    <w:p w:rsidR="000C379E" w:rsidRDefault="00107DF9">
      <w:pPr>
        <w:pStyle w:val="FootnoteText"/>
      </w:pPr>
      <w:r>
        <w:rPr>
          <w:rStyle w:val="FootnoteReference"/>
        </w:rPr>
        <w:footnoteRef/>
      </w:r>
      <w:r>
        <w:tab/>
        <w:t>Алжир, Египет, Израел, Йордания, Ливан, Мароко, Тунис и Турция.</w:t>
      </w:r>
    </w:p>
  </w:footnote>
  <w:footnote w:id="4">
    <w:p w:rsidR="000C379E" w:rsidRDefault="00107DF9">
      <w:pPr>
        <w:pStyle w:val="FootnoteText"/>
      </w:pPr>
      <w:r>
        <w:rPr>
          <w:rStyle w:val="FootnoteReference"/>
        </w:rPr>
        <w:footnoteRef/>
      </w:r>
      <w:r>
        <w:tab/>
        <w:t>COM(2015) 185 final.</w:t>
      </w:r>
    </w:p>
  </w:footnote>
  <w:footnote w:id="5">
    <w:p w:rsidR="000C379E" w:rsidRDefault="00107DF9">
      <w:pPr>
        <w:pStyle w:val="FootnoteText"/>
      </w:pPr>
      <w:r>
        <w:rPr>
          <w:rStyle w:val="FootnoteReference"/>
        </w:rPr>
        <w:footnoteRef/>
      </w:r>
      <w:r>
        <w:tab/>
        <w:t>Документ № 10384/17 на Съвета от 19 юни 2017 г.</w:t>
      </w:r>
    </w:p>
  </w:footnote>
  <w:footnote w:id="6">
    <w:p w:rsidR="000C379E" w:rsidRDefault="00107DF9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i/>
        </w:rPr>
        <w:t>Обща визия, об</w:t>
      </w:r>
      <w:r>
        <w:rPr>
          <w:i/>
        </w:rPr>
        <w:t>щи действия: по-силна Европа</w:t>
      </w:r>
      <w:r>
        <w:t xml:space="preserve"> </w:t>
      </w:r>
      <w:r>
        <w:rPr>
          <w:i/>
        </w:rPr>
        <w:t>— глобална стратегия за външната политика и политиката на сигурност на Европейския съюз</w:t>
      </w:r>
      <w:r>
        <w:t xml:space="preserve"> </w:t>
      </w:r>
      <w:hyperlink r:id="rId1" w:history="1">
        <w:r>
          <w:rPr>
            <w:rStyle w:val="Hyperlink"/>
          </w:rPr>
          <w:t>http://europa.eu/globalstrategy/en</w:t>
        </w:r>
      </w:hyperlink>
      <w:r>
        <w:t xml:space="preserve"> </w:t>
      </w:r>
    </w:p>
  </w:footnote>
  <w:footnote w:id="7">
    <w:p w:rsidR="000C379E" w:rsidRDefault="00107DF9">
      <w:pPr>
        <w:pStyle w:val="FootnoteText"/>
      </w:pPr>
      <w:r>
        <w:rPr>
          <w:rStyle w:val="FootnoteReference"/>
        </w:rPr>
        <w:footnoteRef/>
      </w:r>
      <w:r>
        <w:tab/>
        <w:t>След като през март 2018 г. беше внесен законопрое</w:t>
      </w:r>
      <w:r>
        <w:t>кт,понастоящем Законът за защита на личните данни е в процес на изменение.</w:t>
      </w:r>
    </w:p>
  </w:footnote>
  <w:footnote w:id="8">
    <w:p w:rsidR="000C379E" w:rsidRDefault="00107DF9">
      <w:pPr>
        <w:pStyle w:val="FootnoteText"/>
      </w:pPr>
      <w:r>
        <w:rPr>
          <w:rStyle w:val="FootnoteReference"/>
        </w:rPr>
        <w:footnoteRef/>
      </w:r>
      <w:r>
        <w:tab/>
        <w:t xml:space="preserve">Разузнавателен </w:t>
      </w:r>
      <w:hyperlink r:id="rId2" w:tooltip="Оценка на разузнавателни сведения" w:history="1">
        <w:r>
          <w:t>алианс</w:t>
        </w:r>
      </w:hyperlink>
      <w:r>
        <w:t xml:space="preserve">, в който участват </w:t>
      </w:r>
      <w:hyperlink r:id="rId3" w:tooltip="Австралия" w:history="1">
        <w:r>
          <w:t>Австралия</w:t>
        </w:r>
      </w:hyperlink>
      <w:r>
        <w:t xml:space="preserve"> , </w:t>
      </w:r>
      <w:hyperlink r:id="rId4" w:tooltip="Канада" w:history="1">
        <w:r>
          <w:t>Канада</w:t>
        </w:r>
      </w:hyperlink>
      <w:r>
        <w:t xml:space="preserve"> , </w:t>
      </w:r>
      <w:hyperlink r:id="rId5" w:tooltip="Нова Зеландия" w:history="1">
        <w:r>
          <w:t>Нова Зеландия</w:t>
        </w:r>
      </w:hyperlink>
      <w:r>
        <w:t xml:space="preserve">, </w:t>
      </w:r>
      <w:hyperlink r:id="rId6" w:tooltip="Обединено кралство" w:history="1">
        <w:r>
          <w:t>Обединеното кралство</w:t>
        </w:r>
      </w:hyperlink>
      <w:r>
        <w:t xml:space="preserve"> и </w:t>
      </w:r>
      <w:hyperlink r:id="rId7" w:tooltip="Съединени щати" w:history="1">
        <w:r>
          <w:t>Съединените щати</w:t>
        </w:r>
      </w:hyperlink>
      <w:r>
        <w:t>.</w:t>
      </w:r>
    </w:p>
  </w:footnote>
  <w:footnote w:id="9">
    <w:p w:rsidR="000C379E" w:rsidRDefault="00107DF9">
      <w:pPr>
        <w:pStyle w:val="FootnoteText"/>
      </w:pPr>
      <w:r>
        <w:rPr>
          <w:rStyle w:val="FootnoteReference"/>
        </w:rPr>
        <w:footnoteRef/>
      </w:r>
      <w:r>
        <w:tab/>
        <w:t>По-специално членове 3, 23, 25 и глава VI от Регламент (ЕС) 2016/794.</w:t>
      </w:r>
    </w:p>
  </w:footnote>
  <w:footnote w:id="10">
    <w:p w:rsidR="000C379E" w:rsidRDefault="00107DF9">
      <w:pPr>
        <w:pStyle w:val="FootnoteText"/>
      </w:pPr>
      <w:r>
        <w:rPr>
          <w:rStyle w:val="FootnoteReference"/>
        </w:rPr>
        <w:footnoteRef/>
      </w:r>
      <w:r>
        <w:tab/>
        <w:t>Реглам</w:t>
      </w:r>
      <w:r>
        <w:t>ент (ЕС) 2016/794 на Европейския парламент и на Съвета от 11 май 2016 г. относно Агенцията на Европейския съюз за сътрудничество в областта на правоприлагането (Европол) и за замяна и отмяна на решения 2009/371/ПВР, 2009/934/ПВР, 2009/935/ПВР, 2009/936/ПВР</w:t>
      </w:r>
      <w:r>
        <w:t xml:space="preserve"> и 2009/968/ПВР на Съвета (ОВ L 135, 24.5.2016 г., стр. 53).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F9" w:rsidRPr="00107DF9" w:rsidRDefault="00107DF9" w:rsidP="00107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F9" w:rsidRPr="00107DF9" w:rsidRDefault="00107DF9" w:rsidP="00107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F9" w:rsidRPr="00107DF9" w:rsidRDefault="00107DF9" w:rsidP="00107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9A6EE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BF4E4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636E6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B56474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5AA35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5C9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82E5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E1405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activeWritingStyle w:appName="MSWord" w:lang="pt-PT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ttachedTemplate r:id="rId1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1-06 12:24:5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2A143CDC-5E88-4311-8BEC-429AB27B43BB"/>
    <w:docVar w:name="LW_COVERPAGE_TYPE" w:val="1"/>
    <w:docVar w:name="LW_CROSSREFERENCE" w:val="&lt;UNUSED&gt;"/>
    <w:docVar w:name="LW_DocType" w:val="COM"/>
    <w:docVar w:name="LW_EMISSION" w:val="30.10.2019"/>
    <w:docVar w:name="LW_EMISSION_ISODATE" w:val="2019-10-30"/>
    <w:docVar w:name="LW_EMISSION_LOCATION" w:val="BRX"/>
    <w:docVar w:name="LW_EMISSION_PREFIX" w:val="\u1041?\u1088?\u1102?\u1082?\u1089?\u1077?\u1083?, "/>
    <w:docVar w:name="LW_EMISSION_SUFFIX" w:val="&lt;EMPTY&gt;"/>
    <w:docVar w:name="LW_ID_DOCMODEL" w:val="SG-001"/>
    <w:docVar w:name="LW_ID_DOCSIGNATURE" w:val="SG-001"/>
    <w:docVar w:name="LW_ID_DOCSTRUCTURE" w:val="COM/PL/ORG/NOEEA"/>
    <w:docVar w:name="LW_ID_DOCTYPE" w:val="SG-001"/>
    <w:docVar w:name="LW_ID_EXP.MOTIFS.NEW" w:val="EM_PL_"/>
    <w:docVar w:name="LW_ID_STATUT" w:val="SG-001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55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" w:val="\u1055?\u1088?\u1077?\u1087?\u1086?\u1088?\u1098?\u1082?\u1072? \u1079?\u1072?"/>
    <w:docVar w:name="LW_STATUT.CP" w:val="\u1055?\u1088?\u1077?\u1087?\u1086?\u1088?\u1098?\u1082?\u1072? \u1079?\u1072?"/>
    <w:docVar w:name="LW_SUPERTITRE" w:val="&lt;UNUSED&gt;"/>
    <w:docVar w:name="LW_TITRE.OBJ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87?\u1086?\u1088?\u1072?\u1079?\u1091?\u1084?\u1077?\u1085?\u1080?\u1077? \u1084?\u1077?\u1078?\u1076?\u1091? \u1045?\u1074?\u1088?\u1086?\u1087?\u1077?\u1081?\u1089?\u1082?\u1080?\u1103? \u1089?\u1098?\u1102?\u1079? \u1080? \u1053?\u1086?\u1074?\u1072? \u1047?\u1077?\u1083?\u1072?\u1085?\u1076?\u1080?\u1103? \u1086?\u1090?\u1085?\u1086?\u1089?\u1085?\u1086? \u1086?\u1073?\u1084?\u1077?\u1085?\u1072? \u1085?\u1072? \u1083?\u1080?\u1095?\u1085?\u1080? \u1076?\u1072?\u1085?\u1085?\u1080? \u1084?\u1077?\u1078?\u1076?\u1091? \u1040?\u1075?\u1077?\u1085?\u1094?\u1080?\u1103?\u1090?\u1072? \u1085?\u1072? \u1045?\u1074?\u1088?\u1086?\u1087?\u1077?\u1081?\u1089?\u1082?\u1080?\u1103? \u1089?\u1098?\u1102?\u1079? \u1079?\u1072? \u1089?\u1098?\u1090?\u1088?\u1091?\u1076?\u1085?\u1080?\u1095?\u1077?\u1089?\u1090?\u1074?\u1086? \u1074? \u1086?\u1073?\u1083?\u1072?\u1089?\u1090?\u1090?\u1072? \u1085?\u1072? \u1087?\u1088?\u1072?\u1074?\u1086?\u1087?\u1088?\u1080?\u1083?\u1072?\u1075?\u1072?\u1085?\u1077?\u1090?\u1086? (\u1045?\u1074?\u1088?\u1086?\u1087?\u1086?\u1083?) \u1080? \u1085?\u1086?\u1074?\u1086?\u1079?\u1077?\u1083?\u1072?\u1085?\u1076?\u1089?\u1082?\u1080?\u1090?\u1077? \u1082?\u1086?\u1084?\u1087?\u1077?\u1090?\u1077?\u1085?\u1090?\u1085?\u1080? \u1086?\u1088?\u1075?\u1072?\u1085?\u1080? \u1079?\u1072? \u1073?\u1086?\u1088?\u1073?\u1072? \u1089? \u1090?\u1077?\u1078?\u1082?\u1072?\u1090?\u1072? \u1087?\u1088?\u1077?\u1089?\u1090?\u1098?\u1087?\u1085?\u1086?\u1089?\u1090? \u1080? \u1090?\u1077?\u1088?\u1086?\u1088?\u1080?\u1079?\u1084?\u1072?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87?\u1086?\u1088?\u1072?\u1079?\u1091?\u1084?\u1077?\u1085?\u1080?\u1077? \u1084?\u1077?\u1078?\u1076?\u1091? \u1045?\u1074?\u1088?\u1086?\u1087?\u1077?\u1081?\u1089?\u1082?\u1080?\u1103? \u1089?\u1098?\u1102?\u1079? \u1080? \u1053?\u1086?\u1074?\u1072? \u1047?\u1077?\u1083?\u1072?\u1085?\u1076?\u1080?\u1103? \u1086?\u1090?\u1085?\u1086?\u1089?\u1085?\u1086? \u1086?\u1073?\u1084?\u1077?\u1085?\u1072? \u1085?\u1072? \u1083?\u1080?\u1095?\u1085?\u1080? \u1076?\u1072?\u1085?\u1085?\u1080? \u1084?\u1077?\u1078?\u1076?\u1091? \u1040?\u1075?\u1077?\u1085?\u1094?\u1080?\u1103?\u1090?\u1072? \u1085?\u1072? \u1045?\u1074?\u1088?\u1086?\u1087?\u1077?\u1081?\u1089?\u1082?\u1080?\u1103? \u1089?\u1098?\u1102?\u1079? \u1079?\u1072? \u1089?\u1098?\u1090?\u1088?\u1091?\u1076?\u1085?\u1080?\u1095?\u1077?\u1089?\u1090?\u1074?\u1086? \u1074? \u1086?\u1073?\u1083?\u1072?\u1089?\u1090?\u1090?\u1072? \u1085?\u1072? \u1087?\u1088?\u1072?\u1074?\u1086?\u1087?\u1088?\u1080?\u1083?\u1072?\u1075?\u1072?\u1085?\u1077?\u1090?\u1086? (\u1045?\u1074?\u1088?\u1086?\u1087?\u1086?\u1083?) \u1080? \u1085?\u1086?\u1074?\u1086?\u1079?\u1077?\u1083?\u1072?\u1085?\u1076?\u1089?\u1082?\u1080?\u1090?\u1077? \u1082?\u1086?\u1084?\u1087?\u1077?\u1090?\u1077?\u1085?\u1090?\u1085?\u1080? \u1086?\u1088?\u1075?\u1072?\u1085?\u1080? \u1079?\u1072? \u1073?\u1086?\u1088?\u1073?\u1072? \u1089? \u1090?\u1077?\u1078?\u1082?\u1072?\u1090?\u1072? \u1087?\u1088?\u1077?\u1089?\u1090?\u1098?\u1087?\u1085?\u1086?\u1089?\u1090? \u1080? \u1090?\u1077?\u1088?\u1086?\u1088?\u1080?\u1079?\u1084?\u1072?"/>
    <w:docVar w:name="LW_TYPE.DOC" w:val="\u1056?\u1045?\u1064?\u1045?\u1053?\u1048?\u1045? \u1053?\u1040? \u1057?\u1066?\u1042?\u1045?\u1058?\u1040?"/>
    <w:docVar w:name="LW_TYPE.DOC.CP" w:val="\u1056?\u1045?\u1064?\u1045?\u1053?\u1048?\u1045? \u1053?\u1040? \u1057?\u1066?\u1042?\u1045?\u1058?\u1040?"/>
  </w:docVars>
  <w:rsids>
    <w:rsidRoot w:val="000C379E"/>
    <w:rsid w:val="000C379E"/>
    <w:rsid w:val="0010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071D1704-ACCF-4280-BD30-2347EA9C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MAIN CONTENT,List Paragraph11,List Paragraph12,List Paragraph2,OBC Bullet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300"/>
      <w:jc w:val="left"/>
    </w:pPr>
    <w:rPr>
      <w:rFonts w:eastAsia="Times New Roman"/>
      <w:szCs w:val="24"/>
      <w:lang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Pr>
      <w:rFonts w:ascii="Times New Roman" w:hAnsi="Times New Roman" w:cs="Times New Roman"/>
      <w:sz w:val="24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tyleLeft0cm">
    <w:name w:val="Style Left:  0 cm"/>
    <w:basedOn w:val="Normal"/>
    <w:pPr>
      <w:spacing w:before="0"/>
    </w:pPr>
    <w:rPr>
      <w:rFonts w:ascii="Verdana" w:eastAsia="Times New Roman" w:hAnsi="Verdana"/>
      <w:sz w:val="20"/>
      <w:szCs w:val="20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DF9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07DF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07DF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107DF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107DF9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107DF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107D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107DF9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107D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78811">
                                  <w:marLeft w:val="920"/>
                                  <w:marRight w:val="9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hristchurchcall.com/" TargetMode="Externa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g.wikipedia.org/wiki/&#1040;&#1074;&#1089;&#1090;&#1088;&#1072;&#1083;&#1080;&#1103;" TargetMode="External"/><Relationship Id="rId7" Type="http://schemas.openxmlformats.org/officeDocument/2006/relationships/hyperlink" Target="https://bg.wikipedia.org/wiki/&#1057;&#1098;&#1077;&#1076;&#1080;&#1085;&#1077;&#1085;&#1080;_&#1072;&#1084;&#1077;&#1088;&#1080;&#1082;&#1072;&#1085;&#1089;&#1082;&#1080;_&#1097;&#1072;&#1090;&#1080;" TargetMode="External"/><Relationship Id="rId2" Type="http://schemas.openxmlformats.org/officeDocument/2006/relationships/hyperlink" Target="https://bg.wikipedia.org/wiki/&#1056;&#1072;&#1079;&#1091;&#1079;&#1085;&#1072;&#1074;&#1072;&#1085;&#1077;" TargetMode="External"/><Relationship Id="rId1" Type="http://schemas.openxmlformats.org/officeDocument/2006/relationships/hyperlink" Target="http://europa.eu/globalstrategy/en" TargetMode="External"/><Relationship Id="rId6" Type="http://schemas.openxmlformats.org/officeDocument/2006/relationships/hyperlink" Target="https://bg.wikipedia.org/wiki/&#1054;&#1073;&#1077;&#1076;&#1080;&#1085;&#1077;&#1085;&#1086;_&#1050;&#1088;&#1072;&#1083;&#1089;&#1090;&#1074;&#1086;" TargetMode="External"/><Relationship Id="rId5" Type="http://schemas.openxmlformats.org/officeDocument/2006/relationships/hyperlink" Target="https://bg.wikipedia.org/wiki/&#1053;&#1086;&#1074;&#1072;_&#1047;&#1077;&#1083;&#1072;&#1085;&#1076;&#1080;&#1103;" TargetMode="External"/><Relationship Id="rId4" Type="http://schemas.openxmlformats.org/officeDocument/2006/relationships/hyperlink" Target="https://bg.wikipedia.org/wiki/&#1050;&#1072;&#1085;&#1072;&#1076;&#107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E5CB-DA73-416F-859A-857EC38A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6</TotalTime>
  <Pages>7</Pages>
  <Words>2097</Words>
  <Characters>12295</Characters>
  <Application>Microsoft Office Word</Application>
  <DocSecurity>0</DocSecurity>
  <Lines>223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PAREDES ECHAURI Cristina (SG)</cp:lastModifiedBy>
  <cp:revision>18</cp:revision>
  <cp:lastPrinted>2019-09-24T06:30:00Z</cp:lastPrinted>
  <dcterms:created xsi:type="dcterms:W3CDTF">2019-10-28T13:37:00Z</dcterms:created>
  <dcterms:modified xsi:type="dcterms:W3CDTF">2019-11-06T11:39:00Z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COM/PL/ORG/NOEEA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Yellow (DQC version 03)</vt:lpwstr>
  </property>
</Properties>
</file>