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4132FE5A-2888-4FBB-9EB6-E9A5281ED1DA" style="width:451pt;height:393.3pt">
            <v:imagedata r:id="rId7" o:title=""/>
          </v:shape>
        </w:pict>
      </w:r>
    </w:p>
    <w:bookmarkEnd w:id="0"/>
    <w:p>
      <w:pPr>
        <w:rPr>
          <w:rFonts w:eastAsia="Times New Roman"/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widowControl w:val="0"/>
        <w:tabs>
          <w:tab w:val="left" w:pos="396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lastRenderedPageBreak/>
        <w:t>ПРИЛОЖЕНИЕ</w:t>
      </w: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br/>
        <w:t>Оценка по Шенген на Хърватия — ДОКЛАДИ и ПРЕПОРЪКИ</w:t>
      </w:r>
    </w:p>
    <w:p>
      <w:pPr>
        <w:spacing w:after="160" w:line="259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br/>
        <w:t>Защита на данните</w:t>
      </w:r>
      <w:r>
        <w:rPr>
          <w:rFonts w:ascii="Times New Roman" w:hAnsi="Times New Roman"/>
          <w:noProof/>
          <w:sz w:val="24"/>
          <w:szCs w:val="24"/>
          <w:u w:val="single"/>
        </w:rPr>
        <w:br/>
      </w:r>
      <w:r>
        <w:rPr>
          <w:rFonts w:ascii="Times New Roman" w:hAnsi="Times New Roman"/>
          <w:noProof/>
          <w:sz w:val="24"/>
          <w:szCs w:val="24"/>
        </w:rPr>
        <w:t>Доклад на Комисията: C(2016) 6870 final, 21.11.2016 г.</w:t>
      </w:r>
      <w:r>
        <w:rPr>
          <w:rFonts w:ascii="Times New Roman" w:hAnsi="Times New Roman"/>
          <w:noProof/>
          <w:sz w:val="24"/>
          <w:szCs w:val="24"/>
        </w:rPr>
        <w:br/>
        <w:t xml:space="preserve">Препоръки на Съвета: Документ 5725/17 SCH-EVAL 31 COMIX 66, 27.1.2017 г.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Полицейско сътрудничество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Доклад на Комисията: C(2017) 770 final, 15.3.2017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Препоръки на Съвета: Документ 11206/17 SCH-EVAL 197 ENFOPOL 355 COMIX 520, 11.7.2017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Обща визова политика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Доклад на Комисията: C(2017) 6725 final, 3.1.2017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>Препоръки на Съвета: Документ 6359/17 SCH-EVAL 67 VISA 58 COMIX 130, 17.2.2017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Връщане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Доклад на Комисията: C(2017) 1400 final, 30.3.2017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Препоръки на Съвета: Докумeнт 11207/17 SCH-EVAL 198 MIGR 129 COMIX 521, 11.7.2017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Шенгенска информационна система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Доклад на Комисията: C(2018) 1140 final, 23.3.2018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Препоръки на Съвета: Документ 11185/18 SCH-EVAL 154 SIRIS 94 COMIX 409, 16.7.2018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Огнестрелни оръжия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Доклад на Комисията: C(2017) 1079 final, 23.8.2017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t>Препоръки на Съвета: Документ 13969/17 SCH-EVAL 265 ENFOPOL 508 COMIX 738, 7.11.2017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 xml:space="preserve">Съдебно сътрудничество по наказателноправни въпроси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Доклад на Комисията: C(2019) 5981 final, 16.8.2019 г.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Управление на външните граници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Доклад на Комисията за </w:t>
      </w:r>
      <w:r>
        <w:rPr>
          <w:rFonts w:ascii="Times New Roman" w:hAnsi="Times New Roman"/>
          <w:i/>
          <w:iCs/>
          <w:noProof/>
          <w:sz w:val="24"/>
          <w:szCs w:val="24"/>
        </w:rPr>
        <w:t>оценката през 2016 г.</w:t>
      </w:r>
      <w:r>
        <w:rPr>
          <w:rFonts w:ascii="Times New Roman" w:hAnsi="Times New Roman"/>
          <w:noProof/>
          <w:sz w:val="24"/>
          <w:szCs w:val="24"/>
        </w:rPr>
        <w:t xml:space="preserve"> : C(2017) 780 final, 22.2.2017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Препоръки на Съвета: Документ 7739/17 SCH-EVAL 96 FRONT 148 COMIX 228, 27.3.2017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Доклад на Комисията от </w:t>
      </w:r>
      <w:r>
        <w:rPr>
          <w:rFonts w:ascii="Times New Roman" w:hAnsi="Times New Roman"/>
          <w:i/>
          <w:iCs/>
          <w:noProof/>
          <w:spacing w:val="-4"/>
          <w:sz w:val="24"/>
          <w:szCs w:val="24"/>
        </w:rPr>
        <w:t>повторното посещение през 2017 г.</w: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: C(2018) 6372, 4.10.2018 г.</w:t>
      </w:r>
    </w:p>
    <w:p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Препоръки на Съвета: Документ 13902/18 SCH-EVAL 218 FRONT 384 COMIX 61, 6.11.2018 г.</w:t>
      </w:r>
    </w:p>
    <w:p>
      <w:pPr>
        <w:rPr>
          <w:noProof/>
          <w:sz w:val="24"/>
          <w:szCs w:val="24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0439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132FE5A-2888-4FBB-9EB6-E9A5281ED1DA"/>
    <w:docVar w:name="LW_COVERPAGE_TYPE" w:val="1"/>
    <w:docVar w:name="LW_CROSSREFERENCE" w:val="&lt;UNUSED&gt;"/>
    <w:docVar w:name="LW_DocType" w:val="NORMAL"/>
    <w:docVar w:name="LW_EMISSION" w:val="22.10.2019"/>
    <w:docVar w:name="LW_EMISSION_ISODATE" w:val="2019-10-2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8?\u1086?\u1074?\u1077?\u1088?\u1082?\u1072?\u1090?\u1072? \u1085?\u1072? \u1087?\u1098?\u1083?\u1085?\u1086?\u1090?\u1086? \u1087?\u1088?\u1080?\u1083?\u1072?\u1075?\u1072?\u1085?\u1077? \u1086?\u1090? \u1061?\u1098?\u1088?\u1074?\u1072?\u1090?\u1080?\u1103? \u1085?\u1072? \u1076?\u1086?\u1089?\u1090?\u1080?\u1078?\u1077?\u1085?\u1080?\u1103?\u1090?\u1072? \u1085?\u1072? \u1087?\u1088?\u1072?\u1074?\u1086?\u1090?\u1086? \u1086?\u1090? \u1064?\u1077?\u1085?\u1075?\u1077?\u1085? "/>
    <w:docVar w:name="LW_PART_NBR" w:val="1"/>
    <w:docVar w:name="LW_PART_NBR_TOTAL" w:val="1"/>
    <w:docVar w:name="LW_REF.INST.NEW" w:val="COM"/>
    <w:docVar w:name="LW_REF.INST.NEW_ADOPTED" w:val="final"/>
    <w:docVar w:name="LW_REF.INST.NEW_TEXT" w:val="(2019) 4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SensitivityRight">
    <w:name w:val="Header Sensitivity Right"/>
    <w:basedOn w:val="Normal"/>
    <w:link w:val="HeaderSensitivityRightChar"/>
    <w:pPr>
      <w:widowControl w:val="0"/>
      <w:spacing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Theme="minorEastAsia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0"/>
      <w:szCs w:val="20"/>
    </w:rPr>
  </w:style>
  <w:style w:type="paragraph" w:customStyle="1" w:styleId="FooterCoverPage">
    <w:name w:val="Footer Cover Page"/>
    <w:basedOn w:val="Normal"/>
    <w:link w:val="FooterCoverPageChar"/>
    <w:pPr>
      <w:widowControl w:val="0"/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FooterSensitivity">
    <w:name w:val="Footer Sensitivity"/>
    <w:basedOn w:val="Normal"/>
    <w:link w:val="Foot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CoverPage">
    <w:name w:val="Header Cover Page"/>
    <w:basedOn w:val="Normal"/>
    <w:link w:val="HeaderCoverPageChar"/>
    <w:pPr>
      <w:widowControl w:val="0"/>
      <w:tabs>
        <w:tab w:val="center" w:pos="4535"/>
        <w:tab w:val="right" w:pos="9071"/>
      </w:tabs>
      <w:spacing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Theme="minorEastAsia" w:hAnsi="Times New Roman" w:cs="Times New Roman"/>
      <w:sz w:val="24"/>
      <w:szCs w:val="20"/>
    </w:rPr>
  </w:style>
  <w:style w:type="paragraph" w:customStyle="1" w:styleId="HeaderSensitivity">
    <w:name w:val="Header Sensitivity"/>
    <w:basedOn w:val="Normal"/>
    <w:link w:val="HeaderSensitivityChar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Theme="minorEastAsia" w:hAnsi="Times New Roman" w:cs="Times New Roman"/>
      <w:b/>
      <w:sz w:val="32"/>
      <w:szCs w:val="20"/>
    </w:rPr>
  </w:style>
  <w:style w:type="paragraph" w:customStyle="1" w:styleId="HeaderSensitivityRight">
    <w:name w:val="Header Sensitivity Right"/>
    <w:basedOn w:val="Normal"/>
    <w:link w:val="HeaderSensitivityRightChar"/>
    <w:pPr>
      <w:widowControl w:val="0"/>
      <w:spacing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Theme="minorEastAsia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1282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BARETTE Anne (HOME)</dc:creator>
  <cp:keywords/>
  <dc:description/>
  <cp:lastModifiedBy>DIGIT/C6</cp:lastModifiedBy>
  <cp:revision>14</cp:revision>
  <dcterms:created xsi:type="dcterms:W3CDTF">2019-10-18T17:02:00Z</dcterms:created>
  <dcterms:modified xsi:type="dcterms:W3CDTF">2019-11-08T15:11:00Z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