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2D5FFE49-0910-49F4-BF56-01754877732B" style="width:450.75pt;height:379.5pt">
            <v:imagedata r:id="rId7" o:title=""/>
          </v:shape>
        </w:pict>
      </w:r>
    </w:p>
    <w:bookmarkEnd w:id="0"/>
    <w:p>
      <w:pPr>
        <w:rPr>
          <w:rFonts w:eastAsia="Times New Roman"/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widowControl w:val="0"/>
        <w:tabs>
          <w:tab w:val="left" w:pos="39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bCs/>
          <w:noProof/>
          <w:u w:val="single"/>
        </w:rPr>
        <w:lastRenderedPageBreak/>
        <w:t>ANNEXE</w:t>
      </w:r>
      <w:r>
        <w:rPr>
          <w:rFonts w:ascii="Times New Roman" w:hAnsi="Times New Roman"/>
          <w:b/>
          <w:bCs/>
          <w:noProof/>
          <w:u w:val="single"/>
        </w:rPr>
        <w:br/>
        <w:t>Évaluation de Schengen de la Croatie – RAPPORTS et RECOMMANDATIONS</w:t>
      </w:r>
    </w:p>
    <w:p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u w:val="single"/>
        </w:rPr>
        <w:br/>
        <w:t>Protection des données</w:t>
      </w:r>
      <w:r>
        <w:rPr>
          <w:rFonts w:ascii="Times New Roman" w:hAnsi="Times New Roman"/>
          <w:noProof/>
          <w:u w:val="single"/>
        </w:rPr>
        <w:br/>
      </w:r>
      <w:r>
        <w:rPr>
          <w:rFonts w:ascii="Times New Roman" w:hAnsi="Times New Roman"/>
          <w:noProof/>
        </w:rPr>
        <w:t>Rapport de la Commission: C(2016) 6870 final du 21.11.2016</w:t>
      </w:r>
      <w:r>
        <w:rPr>
          <w:rFonts w:ascii="Times New Roman" w:hAnsi="Times New Roman"/>
          <w:noProof/>
        </w:rPr>
        <w:br/>
        <w:t xml:space="preserve">Recommandations du Conseil: Doc. 5725/17 SCH-EVAL 31 COMIX 66 du 27.1.2017.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 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u w:val="single"/>
        </w:rPr>
        <w:t>Coopération policière</w:t>
      </w:r>
      <w:r>
        <w:rPr>
          <w:rFonts w:ascii="Times New Roman" w:hAnsi="Times New Roman"/>
          <w:noProof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Rapport de la Commission: C(2017) 770 final du 15.3.2017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Recommandations du Conseil: Doc. 11206/17 SCH-EVAL 197 ENFOPOL 355 COMIX 520 du 11.7.2017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u w:val="single"/>
        </w:rPr>
        <w:t>Politique commune de visas</w:t>
      </w:r>
      <w:r>
        <w:rPr>
          <w:rFonts w:ascii="Times New Roman" w:hAnsi="Times New Roman"/>
          <w:noProof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Rapport de la Commission: C(2017) 6725 final du 3.1.2017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Recommandations du Conseil: Doc. 6359/17 SCH-EVAL 67 VISA 58 COMIX 130 du 17.2.2017.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  <w:u w:val="single"/>
        </w:rPr>
        <w:t>Retour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Rapport de la Commission: C(2017) 1400 final du 30.3.2017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Recommandations du Conseil: Doc. 11207/17 SCH-EVAL 198 MIGR 129 COMIX 521 du 11.7.2017.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  <w:u w:val="single"/>
        </w:rPr>
        <w:t>Système d'information Schengen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Rapport de la Commission: C(2018) 1140 final du 23.3.2018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Recommandations du Conseil: Doc. 11185/18 SCH-EVAL 154 SIRIS 94 COMIX 409 du 16.7.2018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u w:val="single"/>
        </w:rPr>
        <w:t>Armes à feu</w:t>
      </w:r>
      <w:r>
        <w:rPr>
          <w:rFonts w:ascii="Times New Roman" w:hAnsi="Times New Roman"/>
          <w:noProof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</w:rPr>
        <w:t>Rapport de la Commission: C(2017) 1079 final du 23.8.2017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</w:rPr>
        <w:t>Recommandations du Conseil: Doc. 13969/17 SCH-EVAL 265 ENFOPOL 508 COMIX 738 du 7.11.2017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  <w:u w:val="single"/>
        </w:rPr>
        <w:t xml:space="preserve">Coopération judiciaire en matière pénale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Rapport de la Commission: C(2019) 5981 final du 16.8.2019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u w:val="single"/>
        </w:rPr>
      </w:pPr>
      <w:r>
        <w:rPr>
          <w:rFonts w:ascii="Times New Roman" w:hAnsi="Times New Roman"/>
          <w:noProof/>
          <w:u w:val="single"/>
        </w:rPr>
        <w:t>Gestion des frontières extérieures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Rapport de la Commission sur l’</w:t>
      </w:r>
      <w:r>
        <w:rPr>
          <w:rFonts w:ascii="Times New Roman" w:hAnsi="Times New Roman"/>
          <w:i/>
          <w:noProof/>
        </w:rPr>
        <w:t>évaluation de 2016</w:t>
      </w:r>
      <w:r>
        <w:rPr>
          <w:rFonts w:ascii="Times New Roman" w:hAnsi="Times New Roman"/>
          <w:noProof/>
        </w:rPr>
        <w:t>: C(2017) 780 final du 22.2.2017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Recommandations du Conseil: Doc. 7739/17 SCH-EVAL 96 FRONT 148 COMIX 228 du 27.3.2017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 xml:space="preserve">Rapport de la Commission sur la </w:t>
      </w:r>
      <w:r>
        <w:rPr>
          <w:rFonts w:ascii="Times New Roman" w:hAnsi="Times New Roman"/>
          <w:i/>
          <w:noProof/>
        </w:rPr>
        <w:t>nouvelle inspection de 2017</w:t>
      </w:r>
      <w:r>
        <w:rPr>
          <w:rFonts w:ascii="Times New Roman" w:hAnsi="Times New Roman"/>
          <w:noProof/>
        </w:rPr>
        <w:t>: C (2018) 6372 du 4.10.2018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</w:rPr>
        <w:t>Recommandations du Conseil: Doc. 13902/18 SCH-EVAL 218 FRONT 384 COMIX 61 du 6.11.2018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0439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D5FFE49-0910-49F4-BF56-01754877732B"/>
    <w:docVar w:name="LW_COVERPAGE_TYPE" w:val="1"/>
    <w:docVar w:name="LW_CROSSREFERENCE" w:val="&lt;UNUSED&gt;"/>
    <w:docVar w:name="LW_DocType" w:val="NORMAL"/>
    <w:docVar w:name="LW_EMISSION" w:val="22.10.2019"/>
    <w:docVar w:name="LW_EMISSION_ISODATE" w:val="2019-10-22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elative à la vérification de l'application intégrale de l'acquis de Schengen par la Croatie"/>
    <w:docVar w:name="LW_PART_NBR" w:val="1"/>
    <w:docVar w:name="LW_PART_NBR_TOTAL" w:val="1"/>
    <w:docVar w:name="LW_REF.INST.NEW" w:val="COM"/>
    <w:docVar w:name="LW_REF.INST.NEW_ADOPTED" w:val="final"/>
    <w:docVar w:name="LW_REF.INST.NEW_TEXT" w:val="(2019) 4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 ET A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widowControl w:val="0"/>
      <w:spacing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Theme="minorEastAsia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widowControl w:val="0"/>
      <w:spacing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Theme="minorEastAsia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1327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BARETTE Anne (HOME)</dc:creator>
  <cp:keywords/>
  <dc:description/>
  <cp:lastModifiedBy>DIGIT/C6</cp:lastModifiedBy>
  <cp:revision>12</cp:revision>
  <dcterms:created xsi:type="dcterms:W3CDTF">2019-10-18T17:02:00Z</dcterms:created>
  <dcterms:modified xsi:type="dcterms:W3CDTF">2019-11-08T15:11:00Z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