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D037649-20D8-41A5-9CD6-44DD3D32361C" style="width:450.8pt;height:379.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има за цел да обезпечи сигурност и непрекъснатост при предоставянето на подпомагане на европейските земеделски стопани през 2020 г., както и да гарантира спазването на бюджетните тавани за ЕФГЗ чрез изменение на два от законодателните актове, регламентиращи Общата селскостопанска политика (ОСП). </w:t>
      </w:r>
    </w:p>
    <w:p>
      <w:pPr>
        <w:pBdr>
          <w:top w:val="nil"/>
          <w:left w:val="nil"/>
          <w:bottom w:val="nil"/>
          <w:right w:val="nil"/>
          <w:between w:val="nil"/>
          <w:bar w:val="nil"/>
        </w:pBdr>
        <w:spacing w:before="0" w:after="240"/>
        <w:rPr>
          <w:rFonts w:eastAsia="Arial Unicode MS"/>
          <w:noProof/>
        </w:rPr>
      </w:pPr>
      <w:r>
        <w:rPr>
          <w:noProof/>
        </w:rPr>
        <w:t xml:space="preserve">За да се гарантира, че механизмът за финансова дисциплина, който позволява спазването на определения в Регламента относно многогодишната финансова рамка максимален таван, ще може да продължи да функционира през финансовите години след 2020 г., по отношение на финансирането на ОСП са необходими някои изменения на Регламент (ЕС) № 1306/2013 относно финансирането, управлението и мониторинга на Общата селскостопанска политика („Хоризонталния регламент“). </w:t>
      </w:r>
    </w:p>
    <w:p>
      <w:pPr>
        <w:pBdr>
          <w:top w:val="nil"/>
          <w:left w:val="nil"/>
          <w:bottom w:val="nil"/>
          <w:right w:val="nil"/>
          <w:between w:val="nil"/>
          <w:bar w:val="nil"/>
        </w:pBdr>
        <w:spacing w:before="0" w:after="240"/>
        <w:rPr>
          <w:noProof/>
        </w:rPr>
      </w:pPr>
      <w:r>
        <w:rPr>
          <w:noProof/>
        </w:rPr>
        <w:t xml:space="preserve">Що се отнася до директните плащания, Регламент (ЕС) № 1307/2013 за установяване на правила за директни плащания за земеделски стопани по схеми за подпомагане в рамките на Общата селскостопанска политика („Регламента относно директните плащания“) беше изменен чрез Регламент (ЕС) № 2019/288 с цел възможността за гъвкавост между стълбовете, предвидена за календарните години 2015 – 2019 г., да бъде удължена и да обхване също така календарната 2020 г./финансовата 2021 г. В посочения регламент сумите, които следва да бъдат прехвърлени от пакета за развитие на селските райони към пакета за директни плащания, са определени като процент от сумата, отпусната за подпомагане, финансирано от ЕЗФРСР през финансовата 2021 г. съгласно законодателството на Съюза, прието след приемането от Съвета на съответния регламент по силата на член 312, параграф 2 от ДФЕС.  Съответното законодателство на Съюза може да не бъде прието до настъпването на срока, в който държавите членки трябва да съобщят за решението си за прехвърляне. За да се даде възможност за използването на гъвкавостта между пакетите за развитие на селските райони и за директни плащания, е целесъобразно максималният размер на средствата, който може да бъде прехвърлен, да се определи като фиксирана сума, а не като процент. Вследствие на това и тъй като размерът на средствата, които са на разположение като директни плащания, оказва въздействие върху избора, който държавите членки правят във връзка с доброволното обвързано с производството подпомагане и за който те съобщиха през август 2019 г., държавите членки следва да имат възможността да преразгледат също така решението относно доброволното обвързано с производството подпомагане от август 2019 г. </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Предложените изменения са в съответствие с Регламента относно директните плащания, както и с Регламента относно финансирането, управлението и мониторинга на Общата селскостопанска политика. Поради това предложението е в съответствие със съществуващите разпоредби в рамките на ОСП. </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43, параграф 2 от ДФЕС</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В Договора за функционирането на Европейския съюз се предвижда, че компетентността в областта на селското стопанство е споделена между Съюза и държавите членки. Съюзът упражнява своята компетентност чрез приемането на няколко законодателни акта, в които се определя и чрез които се прилага ОСП на ЕС, както е предвидено в членове 38—44 от ДФЕС. С Регламент (ЕС) № 1307/2013 е създадена система за директни плащания за земеделските стопани. Съгласно член 39 от ДФЕС целта на ОСП е да гарантира справедлив жизнен стандарт на земеделските стопани. Предложената инициатива е съобразена с тази цел. Добавената стойност на предложението е да се гарантира сигурност и стабилност на прякото подпомагане на доходите за европейските земеделски стопани през 2020 г. </w:t>
      </w:r>
    </w:p>
    <w:p>
      <w:pPr>
        <w:pBdr>
          <w:top w:val="nil"/>
          <w:left w:val="nil"/>
          <w:bottom w:val="nil"/>
          <w:right w:val="nil"/>
          <w:between w:val="nil"/>
          <w:bar w:val="nil"/>
        </w:pBdr>
        <w:spacing w:before="0" w:after="240"/>
        <w:rPr>
          <w:rFonts w:eastAsia="Arial Unicode MS"/>
          <w:noProof/>
        </w:rPr>
      </w:pPr>
      <w:r>
        <w:rPr>
          <w:noProof/>
        </w:rPr>
        <w:t>На равнището на ЕС спазването на нетния таван по ЕФГЗ ще се гарантира чрез прилагането на механизма за финансова дисциплина, когато е необходимо. Тези цели могат да се постигнат единствено чрез изменение от съзаконодателите на ЕС на регламенти (ЕС) № 1306/2013 и (ЕС) № 1307/2013.</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не води до нововъведения в политиката по отношение на законодателните актове, които е предвидено да измени. Предложението изменя съществуващите регламенти само в рамките на необходимото за постигане на изложените по-горе цели.</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noProof/>
        </w:rPr>
      </w:pPr>
      <w:r>
        <w:rPr>
          <w:noProof/>
        </w:rPr>
        <w:t>Тъй като първоначалните законодателни актове са регламенти на Европейския парламент и на Съвета, измененията трябва също да бъдат въведени като регламент на Европейския парламент и на Съвета посредством обикновената законодателна процедура.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before="0" w:after="240"/>
        <w:rPr>
          <w:noProof/>
        </w:rPr>
      </w:pPr>
      <w:r>
        <w:rPr>
          <w:noProof/>
        </w:rPr>
        <w:t xml:space="preserve">Предложението се отклонява от стандартната практика, установена в насоките за по-добро регулиране и в набора от инструменти. Отклонението от стандартната практика се налага поради следните основания: </w:t>
      </w:r>
    </w:p>
    <w:p>
      <w:pPr>
        <w:pStyle w:val="Tiret0"/>
        <w:numPr>
          <w:ilvl w:val="0"/>
          <w:numId w:val="17"/>
        </w:numPr>
        <w:rPr>
          <w:noProof/>
        </w:rPr>
      </w:pPr>
      <w:r>
        <w:rPr>
          <w:noProof/>
        </w:rPr>
        <w:t xml:space="preserve">предложението е подчертано техническо в своето приложно поле; </w:t>
      </w:r>
    </w:p>
    <w:p>
      <w:pPr>
        <w:pStyle w:val="Tiret0"/>
        <w:rPr>
          <w:noProof/>
        </w:rPr>
      </w:pPr>
      <w:r>
        <w:rPr>
          <w:noProof/>
        </w:rPr>
        <w:t>инициативата е насочена към финансови проблеми, свързани с края на текущия програмен период;</w:t>
      </w:r>
    </w:p>
    <w:p>
      <w:pPr>
        <w:pStyle w:val="Tiret0"/>
        <w:rPr>
          <w:noProof/>
        </w:rPr>
      </w:pPr>
      <w:r>
        <w:rPr>
          <w:noProof/>
        </w:rPr>
        <w:t xml:space="preserve">тя не въвежда нови политически ангажименти. </w:t>
      </w:r>
    </w:p>
    <w:p>
      <w:pPr>
        <w:pBdr>
          <w:top w:val="nil"/>
          <w:left w:val="nil"/>
          <w:bottom w:val="nil"/>
          <w:right w:val="nil"/>
          <w:between w:val="nil"/>
          <w:bar w:val="nil"/>
        </w:pBdr>
        <w:spacing w:before="0" w:after="240"/>
        <w:rPr>
          <w:noProof/>
        </w:rPr>
      </w:pPr>
      <w:r>
        <w:rPr>
          <w:noProof/>
        </w:rPr>
        <w:t>За настоящото предложение следователно не са необходими оценка на въздействието, обществена консултация и пътна карта. Освен това, тъй като законодателството трябва да бъде въведено през декември 2019 г., то трябва да се приеме по спешност от съзаконодателите.</w:t>
      </w:r>
    </w:p>
    <w:p>
      <w:pPr>
        <w:pStyle w:val="ManualHeading2"/>
        <w:rPr>
          <w:rFonts w:eastAsia="Arial Unicode MS"/>
          <w:noProof/>
          <w:u w:color="000000"/>
          <w:bdr w:val="nil"/>
        </w:rPr>
      </w:pPr>
      <w:r>
        <w:rPr>
          <w:noProof/>
          <w:u w:color="000000"/>
          <w:bdr w:val="nil"/>
        </w:rPr>
        <w:lastRenderedPageBreak/>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noProof/>
        </w:rPr>
      </w:pPr>
      <w:r>
        <w:rPr>
          <w:noProof/>
        </w:rPr>
        <w:t>Предложението е съобразено с основните права и съблюдава принципите, признати в частност от Хартата на основните права на Европейския съюз.</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С измененията на Регламент (ЕС) № 1306/2013 се гарантира, че през финансовата 2021 г. и годините след това може да бъде определена ставка на корекция съгласно механизма за финансова дисциплина, когато прогнозите за разходите за мерките, финансирани по нетния таван на ЕФГЗ за дадена финансова година, показват, че приложимите годишни тавани биха били надвишени. По този начин чрез изменението потенциално се намаляват разходите по ЕФГЗ до максималното равнище, договорено за фонда в многогодишната финансова рамка.</w:t>
      </w:r>
    </w:p>
    <w:p>
      <w:pPr>
        <w:pBdr>
          <w:top w:val="nil"/>
          <w:left w:val="nil"/>
          <w:bottom w:val="nil"/>
          <w:right w:val="nil"/>
          <w:between w:val="nil"/>
          <w:bar w:val="nil"/>
        </w:pBdr>
        <w:spacing w:before="0" w:after="240"/>
        <w:rPr>
          <w:noProof/>
        </w:rPr>
      </w:pPr>
      <w:r>
        <w:rPr>
          <w:noProof/>
        </w:rPr>
        <w:t xml:space="preserve">Изменението на разпоредбата за гъвкавост за календарната 2020 г. (финансовата 2021 г.) представлява техническа корекция, чрез която се осигурява приложимостта на тази разпоредба и която няма никакви финансови последици в сравнение с предвидените по отношение на съществуващата разпоредба.  Възможността за преразглеждане на доброволното обвързано с производството подпомагане може да доведе до финансови преразпределения между мерките в рамките на държавите членки, но те ще се останат под националния таван и следователно не налагат допълнително финансиране. </w:t>
      </w:r>
    </w:p>
    <w:p>
      <w:pPr>
        <w:pBdr>
          <w:top w:val="nil"/>
          <w:left w:val="nil"/>
          <w:bottom w:val="nil"/>
          <w:right w:val="nil"/>
          <w:between w:val="nil"/>
          <w:bar w:val="nil"/>
        </w:pBdr>
        <w:spacing w:before="0" w:after="240"/>
        <w:rPr>
          <w:rFonts w:eastAsia="Arial Unicode MS"/>
          <w:noProof/>
        </w:rPr>
      </w:pPr>
      <w:r>
        <w:rPr>
          <w:noProof/>
        </w:rPr>
        <w:t xml:space="preserve">По-широкото финансово отражение на преходните разпоредби е описано във финансовата обосновка, придружаваща настоящото предложение.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наблюдение, оценка и докладване</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директивите)</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lastRenderedPageBreak/>
        <w:t>•</w:t>
      </w:r>
      <w:r>
        <w:rPr>
          <w:noProof/>
          <w:u w:color="000000"/>
          <w:bdr w:val="nil"/>
        </w:rPr>
        <w:tab/>
        <w:t>Подробно разяснение на отделните разпоредби на предложението</w:t>
      </w:r>
    </w:p>
    <w:p>
      <w:pPr>
        <w:pStyle w:val="Bullet0"/>
        <w:numPr>
          <w:ilvl w:val="0"/>
          <w:numId w:val="12"/>
        </w:numPr>
        <w:rPr>
          <w:noProof/>
        </w:rPr>
      </w:pPr>
      <w:r>
        <w:rPr>
          <w:noProof/>
        </w:rPr>
        <w:t>Актуализиране на позоваването за определяне на ставка съгласно механизма за финансова дисциплина.</w:t>
      </w:r>
    </w:p>
    <w:p>
      <w:pPr>
        <w:pBdr>
          <w:top w:val="nil"/>
          <w:left w:val="nil"/>
          <w:bottom w:val="nil"/>
          <w:right w:val="nil"/>
          <w:between w:val="nil"/>
          <w:bar w:val="nil"/>
        </w:pBdr>
        <w:spacing w:before="0" w:after="240"/>
        <w:rPr>
          <w:rFonts w:eastAsia="Arial Unicode MS"/>
          <w:noProof/>
        </w:rPr>
      </w:pPr>
      <w:r>
        <w:rPr>
          <w:noProof/>
        </w:rPr>
        <w:t xml:space="preserve">Разходите по линия на ЕФГЗ през дадена финансова година трябва да бъдат в рамките на максималния таван, определен в регламента относно многогодишната финансова рамка, приет от Съвета съгласно член 312, параграф 2 от ДФЕС. За тази цел в член 26 от Регламент (ЕС) № 1306/2013 се предвижда да бъде определена ставка на корекция съгласно механизма за финансова дисциплина. Понастоящем обаче съответните разпоредби се отнасят до Регламент (ЕС, Евратом) № 1311/2013, в който се определят само съответните тавани за периода 2014—2020 г. За да се гарантира спазването на тавана за финансиране на свързаните с пазара разходи и директните плащания и след 2020 г., правното позоваване на членове 16 и 26 следва да бъде изменено, за да се включи регламентът, който ще бъде приет от Съвета съгласно член 312, параграф 2 от ДФЕС за периода, започващ от финансовата 2021 година. </w:t>
      </w:r>
    </w:p>
    <w:p>
      <w:pPr>
        <w:pStyle w:val="Bullet0"/>
        <w:numPr>
          <w:ilvl w:val="0"/>
          <w:numId w:val="12"/>
        </w:numPr>
        <w:rPr>
          <w:noProof/>
        </w:rPr>
      </w:pPr>
      <w:r>
        <w:rPr>
          <w:noProof/>
        </w:rPr>
        <w:t xml:space="preserve">Промяна на основанието за съобщаване на решението за прехвърляне на средства от пакета за развитие на селските райони към пакета за директните плащания. </w:t>
      </w:r>
    </w:p>
    <w:p>
      <w:pPr>
        <w:pBdr>
          <w:top w:val="nil"/>
          <w:left w:val="nil"/>
          <w:bottom w:val="nil"/>
          <w:right w:val="nil"/>
          <w:between w:val="nil"/>
          <w:bar w:val="nil"/>
        </w:pBdr>
        <w:spacing w:before="0" w:after="240"/>
        <w:rPr>
          <w:noProof/>
        </w:rPr>
      </w:pPr>
      <w:r>
        <w:rPr>
          <w:noProof/>
        </w:rPr>
        <w:t xml:space="preserve">До 31 декември 2019 г. държавите членки трябва да съобщят процента от пакета за директни плащания, който предлагат да се прехвърли към пакета за развитие на селските райони за календарната 2020 г., (т.е. финансовата 2021 година). Скоро след това те ще трябва да съобщят процента от пакета за развитие на селските райони, който предлагат да се прехвърли към пакета за директни плащания за календарната 2020 г. Пакетите за директните плащания за календарната 2020 г. вече са определени в Регламент (ЕС) № 1307/2013. Възможно е обаче съответните пакети за развитие на селските райони за финансовата 2021 г. да не бъдат определени до края на 2019 г. </w:t>
      </w:r>
    </w:p>
    <w:p>
      <w:pPr>
        <w:pBdr>
          <w:top w:val="nil"/>
          <w:left w:val="nil"/>
          <w:bottom w:val="nil"/>
          <w:right w:val="nil"/>
          <w:between w:val="nil"/>
          <w:bar w:val="nil"/>
        </w:pBdr>
        <w:spacing w:before="0" w:after="240"/>
        <w:rPr>
          <w:noProof/>
        </w:rPr>
      </w:pPr>
      <w:r>
        <w:rPr>
          <w:noProof/>
        </w:rPr>
        <w:t xml:space="preserve">Поради това държавите членки не биха имали правно основание, въз основа на което да съобщят процента на средствата, които ще бъдат прехвърлени от пакета за развитие на селските райони към пакета за директни плащания, и по този начин член 2, параграф 3, буква б) от Регламент (ЕС) 2019/288 за изменение на Регламент (ЕС) № 1307/2013 би станал „недействителен“. За да се осигури непрекъснатост на възможността държавите членки да прехвърлят средства между двата стълба, за което съзаконодателите вече са взели решение чрез Регламент (ЕС) 2019/288, се предлага процентът за прехвърляне на средства да се замени с максимални абсолютни суми въз основа на настоящите максимални проценти, предвидени в член 14, параграф 2 от Регламент (ЕС) № 1307/2013, и пакета за развитие на селските райони, включен в предложението на Комисията COM (2018) 392. </w:t>
      </w:r>
    </w:p>
    <w:p>
      <w:pPr>
        <w:pStyle w:val="Bullet0"/>
        <w:numPr>
          <w:ilvl w:val="0"/>
          <w:numId w:val="12"/>
        </w:numPr>
        <w:rPr>
          <w:noProof/>
        </w:rPr>
      </w:pPr>
      <w:r>
        <w:rPr>
          <w:noProof/>
        </w:rPr>
        <w:t>Възможност за преразглеждане на решенията относно от доброволното обвързано с производството подпомагане.</w:t>
      </w:r>
    </w:p>
    <w:p>
      <w:pPr>
        <w:pBdr>
          <w:top w:val="nil"/>
          <w:left w:val="nil"/>
          <w:bottom w:val="nil"/>
          <w:right w:val="nil"/>
          <w:between w:val="nil"/>
          <w:bar w:val="nil"/>
        </w:pBdr>
        <w:spacing w:before="0" w:after="240"/>
        <w:rPr>
          <w:noProof/>
        </w:rPr>
      </w:pPr>
      <w:r>
        <w:rPr>
          <w:noProof/>
        </w:rPr>
        <w:t xml:space="preserve">Държавите членки имаха възможност да преразгледат до 1 август 2019 г. процента на националния си таван за директните плащания, който желаят да отпуснат за доброволното обвързано с производството подпомагане, както и да преразгледат подробните си решения за подпомагането (т.е. списъкът на мерките за подпомагане и пакетите за тях, целевото насочване на подпомагането и т.н.). Това преразглеждане, ако бъде извършено, ще се прилага от референтната 2020 година. </w:t>
      </w:r>
    </w:p>
    <w:p>
      <w:pPr>
        <w:pBdr>
          <w:top w:val="nil"/>
          <w:left w:val="nil"/>
          <w:bottom w:val="nil"/>
          <w:right w:val="nil"/>
          <w:between w:val="nil"/>
          <w:bar w:val="nil"/>
        </w:pBdr>
        <w:spacing w:before="0" w:after="240"/>
        <w:rPr>
          <w:noProof/>
        </w:rPr>
      </w:pPr>
      <w:r>
        <w:rPr>
          <w:noProof/>
        </w:rPr>
        <w:lastRenderedPageBreak/>
        <w:t xml:space="preserve">От друга страна те ще трябва да съобщят до 31 декември 2019 г. или скоро след това за прехвърлянето на средствата  между стълбовете, засягащо националните им тавани за директни плащания за календарната 2020 г. Поради това държавите членки, прилагащи гъвкавост между стълбовете,  не са знаели до 1 август 2019 г. (т.е. към момента на преразглеждането на доброволното обвързано с производството подпомагане) какви са техните окончателни национални тавани за директни плащания за съответната календарна година. Това може да доведе до несъответствия в решението за доброволното обвързано с производството подпомагане, както и до неспазване на бюджетния таван. Поради това на държавите членки следва да бъде дадена възможността да преразгледат решението си за доброволното обвързано с производството подпомагане и да съобщят за него в момента, в който вземат решение за гъвкавостта между стълбовете, т.е. до края на 2019 г. или скоро след това. Това второ преразглеждане на доброволното обвързано с производството подпомагане по отношение на календарната 2020 година не следва обаче да надхвърля необходимото, за да се постигне съответствие с решението относно гъвкавостта между стълбовете. </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2019/0253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1306/2013 по отношение на финансовата дисциплина, считано от финансовата 2021 година, и на Регламент (ЕС) № 1307/2013 по отношение на гъвкавостта между стълбовете, що се отнася до календарната 2020 година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2"/>
      </w:r>
      <w:r>
        <w:rPr>
          <w:noProof/>
        </w:rPr>
        <w:t>,</w:t>
      </w:r>
    </w:p>
    <w:p>
      <w:pPr>
        <w:rPr>
          <w:noProof/>
        </w:rPr>
      </w:pPr>
      <w:r>
        <w:rPr>
          <w:noProof/>
        </w:rPr>
        <w:t>като взеха предвид становището на Сметната палата,</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член 16 от Регламент (ЕС) № 1306/2013 на Европейския парламент и на Съвета</w:t>
      </w:r>
      <w:r>
        <w:rPr>
          <w:rStyle w:val="FootnoteReference"/>
          <w:noProof/>
        </w:rPr>
        <w:footnoteReference w:id="3"/>
      </w:r>
      <w:r>
        <w:rPr>
          <w:noProof/>
        </w:rPr>
        <w:t xml:space="preserve"> се предвижда, че годишният таван за разходите по Европейския фонд за гарантиране на земеделието (ЕФГЗ) следва да се състои от максималните суми, определени за него с Регламент (ЕС, Евратом) № 1311/2013 на Съвета</w:t>
      </w:r>
      <w:r>
        <w:rPr>
          <w:rStyle w:val="FootnoteReference"/>
          <w:noProof/>
        </w:rPr>
        <w:footnoteReference w:id="4"/>
      </w:r>
      <w:r>
        <w:rPr>
          <w:noProof/>
        </w:rPr>
        <w:t xml:space="preserve">. За да се гарантира спазването на годишните тавани, определени в Регламент (ЕС, Евратом) № 1311/2013, по силата на член 26 от Регламент (ЕС) № 1306/2013 следва при необходимост да бъде определяна ставка на корекция съгласно механизма за финансова дисциплина по отношение на финансирането на свързани с пазара разходи и директни плащания за периода 2014—2020 г. В Регламент (ЕС) № 1311/2013 не се предвиждат тавани за финансовите години след 2020 г. За да се гарантира, че таванът за финансирането на свързаните с пазара разходи и директните плащания ще бъде спазван и през финансовите години след 2020 г., в членове 16 и 26 от Регламент (ЕС) № 1306/2013 следва да се включи позоваване за тези финансови години на сумите, определени по ЕФГЗ в регламента, който ще бъде приет от Съвета съгласно член 312, параграф 2 от Договора за функционирането на Европейския съюз (ДФЕС) за годините 2021 — 2027. </w:t>
      </w:r>
    </w:p>
    <w:p>
      <w:pPr>
        <w:pStyle w:val="ManualConsidrant"/>
        <w:rPr>
          <w:noProof/>
        </w:rPr>
      </w:pPr>
      <w:r>
        <w:t>(2)</w:t>
      </w:r>
      <w:r>
        <w:tab/>
      </w:r>
      <w:r>
        <w:rPr>
          <w:noProof/>
        </w:rPr>
        <w:t xml:space="preserve">Гъвкавостта между стълбовете представлява възможност за прехвърляне на средства между пакетите за директните плащания и за развитие на селските райони. Съгласно </w:t>
      </w:r>
      <w:r>
        <w:rPr>
          <w:noProof/>
        </w:rPr>
        <w:lastRenderedPageBreak/>
        <w:t>член 14 от Регламент (ЕС) № 1307/2013 на Европейския парламент и на Съвета</w:t>
      </w:r>
      <w:r>
        <w:rPr>
          <w:rStyle w:val="FootnoteReference"/>
          <w:noProof/>
        </w:rPr>
        <w:footnoteReference w:id="5"/>
      </w:r>
      <w:r>
        <w:rPr>
          <w:noProof/>
        </w:rPr>
        <w:t xml:space="preserve"> държавите членки могат да използват тази гъвкавост по отношение на календарните години 2014—2019 г.  За да се гарантира, че държавите членки могат да запазят своята стратегия, в Регламент (ЕС) 2019/288 на Европейския парламент и на Съвета</w:t>
      </w:r>
      <w:r>
        <w:rPr>
          <w:rStyle w:val="FootnoteReference"/>
          <w:noProof/>
        </w:rPr>
        <w:footnoteReference w:id="6"/>
      </w:r>
      <w:r>
        <w:rPr>
          <w:noProof/>
        </w:rPr>
        <w:t xml:space="preserve"> възможността за използване на тази гъвкавост между стълбовете бе удължена, така че да включва и календарната 2020 г., т.е. финансовата 2021 г. В член 14 от Регламент (ЕС) № 1307/2013 понастоящем е предвидена възможност за прехвърляне на средства от пакета за развитие на селските райони към пакета за директни плащания като процент от сумата, отпусната за подпомагане, финансирано от Европейския земеделски фонд за развитие на селските райони (ЕЗФРСР) през финансовата 2021 г. съгласно законодателството на Съюза, прието след приемането от страна на Съвета на съответния регламент по силата на член 312, параграф 2 от ДФЕС. Тъй като съответното законодателство на Съюза няма да бъде прието до настъпването на момента, в който държавите членки трябва да съобщят за своето решение за прехвърляне на средства, е целесъобразно да се предвиди продължаване на възможността за използването на тази гъвкавост, както и да се определи максималният размер на средствата, които могат да бъдат прехвърлени. Максималният абсолютен размер за дадена държава членка се изчислява въз основа на максималните проценти, предвидени в член 14, параграф 2 от Регламент (ЕС) № 1307/2013, които следва да се прилагат към сумите, които ще бъдат разпределени за подпомагане за видове интервенции за развитие на селските райони съгласно предложението за Регламент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w:t>
      </w:r>
      <w:r>
        <w:rPr>
          <w:rStyle w:val="FootnoteReference"/>
          <w:noProof/>
        </w:rPr>
        <w:footnoteReference w:id="7"/>
      </w:r>
      <w:r>
        <w:rPr>
          <w:noProof/>
        </w:rPr>
        <w:t xml:space="preserve"> </w:t>
      </w:r>
    </w:p>
    <w:p>
      <w:pPr>
        <w:pStyle w:val="ManualConsidrant"/>
        <w:rPr>
          <w:noProof/>
        </w:rPr>
      </w:pPr>
      <w:r>
        <w:t>(3)</w:t>
      </w:r>
      <w:r>
        <w:tab/>
      </w:r>
      <w:r>
        <w:rPr>
          <w:noProof/>
        </w:rPr>
        <w:t xml:space="preserve">В съответствие с член 53, параграф 6 от Регламент (ЕС) № 1307/2013 държавите членки понастоящем имат възможността до 1 август 2019 г. да преразгледат процента на средствата от националния си таван за директните плащания, които разпределят за доброволното обвързано с производството подпомагане, както и да преразгледат подробните си решения относно подпомагането, започващо от 2020 г. Държавите членки следва да съобщават до 31 декември 2019 г. за своето решение за прехвърляне на средства от пакета за директните плащания към пакета за развитие на селските райони, ако са взели такова решение, а за решението за прехвърляне на средства от пакета за развитие на селските райони към пакета за директните плащания — скоро след това. Подобно решение обаче ще засегне техния национален таван за директните плащания за календарната 2020 г. За да се запази последователността между подробните решения относно подпомагането и бюджетния таван по доброволното обвързано с производството подпомагане, е целесъобразно на държавите членки да се предостави възможността да преразгледат, доколкото е необходимо, за да се съобразят с решението </w:t>
      </w:r>
      <w:r>
        <w:rPr>
          <w:noProof/>
        </w:rPr>
        <w:lastRenderedPageBreak/>
        <w:t xml:space="preserve">си относно гъвкавостта между стълбовете, процента, разпределен за доброволното обвързано с производството подпомагане, както и подробните решения относно подпомагането. Следователно съответният срок за уведомяване също следва да бъде скоро след 31 декември 2019 г. Тъй като това преразглеждане е ограничено дотолкова, доколкото е необходимо на държавите членки, за да се съобразят с решението си относно гъвкавостта между стълбовете, в своето уведомление държавите членки следва да изяснят връзката между преразглеждането и посоченото решение. </w:t>
      </w:r>
    </w:p>
    <w:p>
      <w:pPr>
        <w:pStyle w:val="ManualConsidrant"/>
        <w:rPr>
          <w:noProof/>
        </w:rPr>
      </w:pPr>
      <w:r>
        <w:t>(4)</w:t>
      </w:r>
      <w:r>
        <w:tab/>
      </w:r>
      <w:r>
        <w:rPr>
          <w:noProof/>
        </w:rPr>
        <w:t>Поради това Регламент (ЕС) № 1306/2013 и Регламент (ЕС) № 1307/2013 следва да бъдат съответно изменени.</w:t>
      </w:r>
    </w:p>
    <w:p>
      <w:pPr>
        <w:pStyle w:val="ManualConsidrant"/>
        <w:rPr>
          <w:noProof/>
        </w:rPr>
      </w:pPr>
      <w:r>
        <w:t>(5)</w:t>
      </w:r>
      <w:r>
        <w:tab/>
      </w:r>
      <w:r>
        <w:rPr>
          <w:noProof/>
        </w:rPr>
        <w:t xml:space="preserve">За да може измененията, предвидени в настоящия регламент, да започнат да се прилагат възможно най-скоро, настоящият регламент следва да влезе в сила в деня след деня на публикуването му в </w:t>
      </w:r>
      <w:r>
        <w:rPr>
          <w:i/>
          <w:iCs/>
          <w:noProof/>
        </w:rPr>
        <w:t>Официален вестник на Европейския съюз</w:t>
      </w:r>
      <w:r>
        <w:rPr>
          <w:noProof/>
        </w:rPr>
        <w:t>,</w:t>
      </w:r>
    </w:p>
    <w:p>
      <w:pPr>
        <w:pStyle w:val="Formuledadoption"/>
        <w:rPr>
          <w:noProof/>
        </w:rPr>
      </w:pPr>
      <w:r>
        <w:rPr>
          <w:noProof/>
        </w:rPr>
        <w:t>ПРИЕXA НАСТОЯЩИЯ РЕГЛАМЕНТ:</w:t>
      </w:r>
    </w:p>
    <w:p>
      <w:pPr>
        <w:pStyle w:val="Titrearticle"/>
        <w:rPr>
          <w:noProof/>
        </w:rPr>
      </w:pPr>
      <w:r>
        <w:rPr>
          <w:noProof/>
        </w:rPr>
        <w:t>Член 1</w:t>
      </w:r>
    </w:p>
    <w:p>
      <w:pPr>
        <w:jc w:val="center"/>
        <w:rPr>
          <w:noProof/>
        </w:rPr>
      </w:pPr>
      <w:r>
        <w:rPr>
          <w:noProof/>
        </w:rPr>
        <w:t>Изменения на Регламент (ЕС) № 1306/2013</w:t>
      </w:r>
    </w:p>
    <w:p>
      <w:pPr>
        <w:rPr>
          <w:noProof/>
        </w:rPr>
      </w:pPr>
      <w:r>
        <w:rPr>
          <w:noProof/>
        </w:rPr>
        <w:t>Регламент (ЕС) № 1306/2013 се изменя, както следва:</w:t>
      </w:r>
    </w:p>
    <w:p>
      <w:pPr>
        <w:pStyle w:val="Point0"/>
        <w:rPr>
          <w:noProof/>
        </w:rPr>
      </w:pPr>
      <w:r>
        <w:t>(1)</w:t>
      </w:r>
      <w:r>
        <w:tab/>
      </w:r>
      <w:r>
        <w:rPr>
          <w:noProof/>
        </w:rPr>
        <w:t xml:space="preserve">В член 16 параграф 1 се заменя със следното: </w:t>
      </w:r>
    </w:p>
    <w:p>
      <w:pPr>
        <w:ind w:left="709"/>
        <w:rPr>
          <w:noProof/>
        </w:rPr>
      </w:pPr>
      <w:r>
        <w:rPr>
          <w:noProof/>
        </w:rPr>
        <w:t>„1. Годишният таван на разходите по ЕФГЗ се състои от максималните суми, определени за него с Регламент (ЕС, Евратом) № 1311/2013 и с регламента, приет от Съвета за годините 2021—2027 по силата на член 312, параграф 2 от ДФЕС.“;</w:t>
      </w:r>
    </w:p>
    <w:p>
      <w:pPr>
        <w:pStyle w:val="Point0"/>
        <w:rPr>
          <w:noProof/>
        </w:rPr>
      </w:pPr>
      <w:r>
        <w:t>(2)</w:t>
      </w:r>
      <w:r>
        <w:tab/>
      </w:r>
      <w:r>
        <w:rPr>
          <w:noProof/>
        </w:rPr>
        <w:t>В член 26 параграф 1 се заменя със следното:</w:t>
      </w:r>
    </w:p>
    <w:p>
      <w:pPr>
        <w:ind w:left="709"/>
        <w:rPr>
          <w:noProof/>
        </w:rPr>
      </w:pPr>
      <w:r>
        <w:rPr>
          <w:noProof/>
        </w:rPr>
        <w:t>„1. За да се гарантира спазването на посочените в член 16 годишни тавани по отношение на финансирането на свързани с пазара разходи и директни плащания, се определя ставка на корекция на директните плащания („ставка на корекция“), когато прогнозите за финансирането на мерките в рамките на този подтаван за дадена финансова година показват, че приложимите годишни тавани ще бъдат надвишени.“.</w:t>
      </w:r>
    </w:p>
    <w:p>
      <w:pPr>
        <w:pStyle w:val="Titrearticle"/>
        <w:rPr>
          <w:noProof/>
        </w:rPr>
      </w:pPr>
      <w:r>
        <w:rPr>
          <w:noProof/>
        </w:rPr>
        <w:t>Член 2</w:t>
      </w:r>
    </w:p>
    <w:p>
      <w:pPr>
        <w:jc w:val="center"/>
        <w:rPr>
          <w:noProof/>
        </w:rPr>
      </w:pPr>
      <w:r>
        <w:rPr>
          <w:noProof/>
        </w:rPr>
        <w:t>Изменения на Регламент (ЕС) № 1307/2013</w:t>
      </w:r>
    </w:p>
    <w:p>
      <w:pPr>
        <w:rPr>
          <w:noProof/>
        </w:rPr>
      </w:pPr>
      <w:r>
        <w:rPr>
          <w:noProof/>
        </w:rPr>
        <w:t>Регламент (ЕС) № 1307/2013 се изменя, както следва:</w:t>
      </w:r>
    </w:p>
    <w:p>
      <w:pPr>
        <w:pStyle w:val="Point0"/>
        <w:rPr>
          <w:noProof/>
        </w:rPr>
      </w:pPr>
      <w:r>
        <w:t>(1)</w:t>
      </w:r>
      <w:r>
        <w:tab/>
      </w:r>
      <w:r>
        <w:rPr>
          <w:noProof/>
        </w:rPr>
        <w:t>в член 14, параграф 2 шестата алинея се заменя със следното:</w:t>
      </w:r>
    </w:p>
    <w:p>
      <w:pPr>
        <w:ind w:left="851"/>
        <w:rPr>
          <w:noProof/>
        </w:rPr>
      </w:pPr>
      <w:r>
        <w:rPr>
          <w:noProof/>
        </w:rPr>
        <w:t>„До [Службата за публикации: 7 дни след влизането в сила на настоящия регламент] държавите членки могат да решат да предоставят като директни плащания за календарната 2020 г. сума, непревишаваща определената в приложение VIa сума. В резултат на това съответната сума вече няма да е на разположение за предоставяне на подпомагане, финансирано по линия на ЕЗФРСР за финансовата 2021 г. Това решение се съобщава на Комисията до [Службата за публикации: 7 дни след влизането в сила на настоящия регламент] и в него се посочва сумата, която ще бъде прехвърлена.“;</w:t>
      </w:r>
    </w:p>
    <w:p>
      <w:pPr>
        <w:pStyle w:val="Point0"/>
        <w:rPr>
          <w:noProof/>
        </w:rPr>
      </w:pPr>
      <w:r>
        <w:t>(2)</w:t>
      </w:r>
      <w:r>
        <w:tab/>
      </w:r>
      <w:r>
        <w:rPr>
          <w:noProof/>
        </w:rPr>
        <w:t>в член 53 параграф 6 се заменя със следното:</w:t>
      </w:r>
    </w:p>
    <w:p>
      <w:pPr>
        <w:ind w:left="851"/>
        <w:rPr>
          <w:noProof/>
        </w:rPr>
      </w:pPr>
      <w:r>
        <w:rPr>
          <w:noProof/>
        </w:rPr>
        <w:t xml:space="preserve">„6. До 1 август на всяка година държавите членки могат да преразгледат своето решение съгласно настоящата глава. </w:t>
      </w:r>
    </w:p>
    <w:p>
      <w:pPr>
        <w:ind w:left="851"/>
        <w:rPr>
          <w:noProof/>
        </w:rPr>
      </w:pPr>
      <w:r>
        <w:rPr>
          <w:noProof/>
        </w:rPr>
        <w:lastRenderedPageBreak/>
        <w:t xml:space="preserve">До [Службата за публикации: 7 дни след влизането в сила на настоящия регламент] държавите членки могат също така да преразгледат своето решение съгласно настоящата глава дотолкова, доколкото е необходимо, за да се съобразят с решението относно гъвкавостта между стълбовете за календарната 2020 г., взето в съответствие с член 14. </w:t>
      </w:r>
    </w:p>
    <w:p>
      <w:pPr>
        <w:ind w:left="851"/>
        <w:rPr>
          <w:noProof/>
        </w:rPr>
      </w:pPr>
      <w:r>
        <w:rPr>
          <w:noProof/>
        </w:rPr>
        <w:t>Чрез преразглеждането съгласно първата и втората алинея държавите членки могат да решат следното, считано от следващата година:</w:t>
      </w:r>
    </w:p>
    <w:p>
      <w:pPr>
        <w:pStyle w:val="Point1"/>
        <w:rPr>
          <w:noProof/>
        </w:rPr>
      </w:pPr>
      <w:r>
        <w:rPr>
          <w:noProof/>
        </w:rPr>
        <w:t>а)</w:t>
      </w:r>
      <w:r>
        <w:rPr>
          <w:noProof/>
        </w:rPr>
        <w:tab/>
        <w:t>да не променят, да увеличат или да намалят процента, определен съгласно параграфи 1, 2 и 3, в рамките на установените в посочените разпоредби ограничения, когато е приложимо, или да не променят, или да намалят процента, определен съгласно параграф 4;</w:t>
      </w:r>
    </w:p>
    <w:p>
      <w:pPr>
        <w:pStyle w:val="Point1"/>
        <w:rPr>
          <w:noProof/>
        </w:rPr>
      </w:pPr>
      <w:r>
        <w:rPr>
          <w:noProof/>
        </w:rPr>
        <w:t>б)</w:t>
      </w:r>
      <w:r>
        <w:rPr>
          <w:noProof/>
        </w:rPr>
        <w:tab/>
        <w:t>да изменят условията за предоставяне на подпомагането;</w:t>
      </w:r>
    </w:p>
    <w:p>
      <w:pPr>
        <w:pStyle w:val="Point1"/>
        <w:rPr>
          <w:noProof/>
        </w:rPr>
      </w:pPr>
      <w:r>
        <w:rPr>
          <w:noProof/>
        </w:rPr>
        <w:t>в)</w:t>
      </w:r>
      <w:r>
        <w:rPr>
          <w:noProof/>
        </w:rPr>
        <w:tab/>
        <w:t>да преустановят предоставянето на подпомагане съгласно настоящата глава.</w:t>
      </w:r>
    </w:p>
    <w:p>
      <w:pPr>
        <w:ind w:left="851"/>
        <w:rPr>
          <w:noProof/>
        </w:rPr>
      </w:pPr>
      <w:r>
        <w:rPr>
          <w:noProof/>
        </w:rPr>
        <w:t xml:space="preserve">Държавите членки уведомяват Комисията за всяко решение, свързано с преразглеждане съгласно първата и втората алинея, до съответните дати, фигуриращи в посочените алинеи. В уведомлението за решението, свързано с преразглеждане съгласно втората алинея, се посочва връзката между преразглеждането и решението относно гъвкавостта между стълбовете за календарната 2020 г., взето в съответствие с член 14.“; </w:t>
      </w:r>
    </w:p>
    <w:p>
      <w:pPr>
        <w:pStyle w:val="Point0"/>
        <w:rPr>
          <w:noProof/>
        </w:rPr>
      </w:pPr>
      <w:r>
        <w:t>(3)</w:t>
      </w:r>
      <w:r>
        <w:tab/>
      </w:r>
      <w:r>
        <w:rPr>
          <w:noProof/>
        </w:rPr>
        <w:t>вмъква се приложение VIa, чийто текст се съдържа в приложението към настоящия регламент.</w:t>
      </w:r>
    </w:p>
    <w:p>
      <w:pPr>
        <w:pStyle w:val="Titrearticle"/>
        <w:rPr>
          <w:noProof/>
        </w:rPr>
      </w:pPr>
      <w:r>
        <w:rPr>
          <w:noProof/>
        </w:rPr>
        <w:t>Член 3</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spacing w:before="0" w:after="200" w:line="276" w:lineRule="auto"/>
        <w:jc w:val="left"/>
        <w:rPr>
          <w:i/>
          <w:noProof/>
        </w:rPr>
      </w:pPr>
      <w:r>
        <w:rPr>
          <w:noProof/>
        </w:rPr>
        <w:br w:type="page"/>
      </w: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b w:val="0"/>
          <w:noProof/>
        </w:rPr>
        <w:tab/>
        <w:t xml:space="preserve">Наименование на предложението/инициативата </w:t>
      </w:r>
    </w:p>
    <w:p>
      <w:pPr>
        <w:pStyle w:val="ManualHeading2"/>
        <w:rPr>
          <w:b w:val="0"/>
          <w:noProof/>
        </w:rPr>
      </w:pPr>
      <w:r>
        <w:rPr>
          <w:b w:val="0"/>
          <w:noProof/>
        </w:rPr>
        <w:tab/>
        <w:t>1.2.</w:t>
      </w:r>
      <w:r>
        <w:rPr>
          <w:b w:val="0"/>
          <w:noProof/>
        </w:rPr>
        <w:tab/>
        <w:t>Съответни области на политиката (</w:t>
      </w:r>
      <w:r>
        <w:rPr>
          <w:b w:val="0"/>
          <w:i/>
          <w:iCs/>
          <w:noProof/>
        </w:rPr>
        <w:t>програмен клъстер</w:t>
      </w:r>
      <w:r>
        <w:rPr>
          <w:b w:val="0"/>
          <w:noProof/>
        </w:rPr>
        <w:t>)</w:t>
      </w:r>
    </w:p>
    <w:p>
      <w:pPr>
        <w:pStyle w:val="ManualHeading2"/>
        <w:rPr>
          <w:b w:val="0"/>
          <w:noProof/>
        </w:rPr>
      </w:pPr>
      <w:r>
        <w:rPr>
          <w:b w:val="0"/>
          <w:noProof/>
        </w:rPr>
        <w:tab/>
        <w:t>1.3.</w:t>
      </w:r>
      <w:r>
        <w:rPr>
          <w:b w:val="0"/>
          <w:noProof/>
        </w:rPr>
        <w:tab/>
        <w:t xml:space="preserve">Естество на предложението/инициативата </w:t>
      </w:r>
    </w:p>
    <w:p>
      <w:pPr>
        <w:pStyle w:val="ManualHeading2"/>
        <w:rPr>
          <w:b w:val="0"/>
          <w:noProof/>
        </w:rPr>
      </w:pPr>
      <w:r>
        <w:rPr>
          <w:b w:val="0"/>
          <w:noProof/>
        </w:rPr>
        <w:tab/>
        <w:t>1.4.</w:t>
      </w:r>
      <w:r>
        <w:rPr>
          <w:b w:val="0"/>
          <w:noProof/>
        </w:rPr>
        <w:tab/>
        <w:t xml:space="preserve">Мотиви за предложението/инициативата </w:t>
      </w:r>
    </w:p>
    <w:p>
      <w:pPr>
        <w:pStyle w:val="ManualHeading2"/>
        <w:rPr>
          <w:b w:val="0"/>
          <w:noProof/>
        </w:rPr>
      </w:pPr>
      <w:r>
        <w:rPr>
          <w:b w:val="0"/>
          <w:noProof/>
        </w:rPr>
        <w:tab/>
        <w:t>1.5.</w:t>
      </w:r>
      <w:r>
        <w:rPr>
          <w:b w:val="0"/>
          <w:noProof/>
        </w:rPr>
        <w:tab/>
        <w:t xml:space="preserve">Срок на действие и финансово отражение </w:t>
      </w:r>
    </w:p>
    <w:p>
      <w:pPr>
        <w:pStyle w:val="ManualHeading2"/>
        <w:rPr>
          <w:b w:val="0"/>
          <w:noProof/>
        </w:rPr>
      </w:pPr>
      <w:r>
        <w:rPr>
          <w:b w:val="0"/>
          <w:noProof/>
        </w:rPr>
        <w:tab/>
        <w:t>1.6.</w:t>
      </w:r>
      <w:r>
        <w:rPr>
          <w:b w:val="0"/>
          <w:noProof/>
        </w:rPr>
        <w:tab/>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b w:val="0"/>
          <w:noProof/>
        </w:rPr>
        <w:tab/>
        <w:t>2.1.</w:t>
      </w:r>
      <w:r>
        <w:rPr>
          <w:b w:val="0"/>
          <w:noProof/>
        </w:rPr>
        <w:tab/>
        <w:t xml:space="preserve">Правила за наблюдение и докладване </w:t>
      </w:r>
    </w:p>
    <w:p>
      <w:pPr>
        <w:pStyle w:val="ManualHeading2"/>
        <w:rPr>
          <w:b w:val="0"/>
          <w:noProof/>
        </w:rPr>
      </w:pPr>
      <w:r>
        <w:rPr>
          <w:b w:val="0"/>
          <w:noProof/>
        </w:rPr>
        <w:tab/>
        <w:t>2.2.</w:t>
      </w:r>
      <w:r>
        <w:rPr>
          <w:b w:val="0"/>
          <w:noProof/>
        </w:rPr>
        <w:tab/>
        <w:t xml:space="preserve">Система за управление и контрол </w:t>
      </w:r>
    </w:p>
    <w:p>
      <w:pPr>
        <w:pStyle w:val="ManualHeading2"/>
        <w:rPr>
          <w:b w:val="0"/>
          <w:noProof/>
        </w:rPr>
      </w:pPr>
      <w:r>
        <w:rPr>
          <w:b w:val="0"/>
          <w:noProof/>
        </w:rPr>
        <w:tab/>
        <w:t>2.3.</w:t>
      </w:r>
      <w:r>
        <w:rPr>
          <w:b w:val="0"/>
          <w:noProof/>
        </w:rPr>
        <w:tab/>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b w:val="0"/>
          <w:noProof/>
        </w:rPr>
        <w:tab/>
        <w:t>3.1.</w:t>
      </w:r>
      <w:r>
        <w:rPr>
          <w:b w:val="0"/>
          <w:noProof/>
        </w:rPr>
        <w:tab/>
        <w:t xml:space="preserve">Съответни функции от многогодишната финансова рамка и разходни бюджетни редове </w:t>
      </w:r>
    </w:p>
    <w:p>
      <w:pPr>
        <w:pStyle w:val="ManualHeading2"/>
        <w:rPr>
          <w:noProof/>
        </w:rPr>
      </w:pPr>
      <w:r>
        <w:rPr>
          <w:b w:val="0"/>
          <w:noProof/>
        </w:rPr>
        <w:tab/>
        <w:t>3.2.</w:t>
      </w:r>
      <w:r>
        <w:rPr>
          <w:b w:val="0"/>
          <w:noProof/>
        </w:rPr>
        <w:tab/>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Очаквано отражение върху бюджетните кредити за административни разходи</w:t>
      </w:r>
    </w:p>
    <w:p>
      <w:pPr>
        <w:pStyle w:val="ManualHeading3"/>
        <w:rPr>
          <w:noProof/>
        </w:rPr>
      </w:pPr>
      <w:r>
        <w:rPr>
          <w:noProof/>
        </w:rPr>
        <w:tab/>
        <w:t>3.2.3.</w:t>
      </w:r>
      <w:r>
        <w:rPr>
          <w:noProof/>
        </w:rPr>
        <w:tab/>
        <w:t>Финансов принос от трети страни</w:t>
      </w:r>
    </w:p>
    <w:p>
      <w:pPr>
        <w:pStyle w:val="ManualHeading2"/>
        <w:jc w:val="left"/>
        <w:rPr>
          <w:b w:val="0"/>
          <w:noProof/>
        </w:rPr>
      </w:pPr>
      <w:r>
        <w:rPr>
          <w:b w:val="0"/>
          <w:noProof/>
        </w:rPr>
        <w:tab/>
        <w:t>3.3.</w:t>
      </w:r>
      <w:r>
        <w:rPr>
          <w:b w:val="0"/>
          <w:noProof/>
        </w:rPr>
        <w:tab/>
        <w:t>Очаквано отражение върху приходите</w:t>
      </w:r>
    </w:p>
    <w:p>
      <w:pPr>
        <w:spacing w:before="0" w:after="0"/>
        <w:jc w:val="left"/>
        <w:rPr>
          <w:noProof/>
        </w:rPr>
        <w:sectPr>
          <w:headerReference w:type="default" r:id="rId13"/>
          <w:footerReference w:type="default" r:id="rId14"/>
          <w:headerReference w:type="first" r:id="rId15"/>
          <w:footerReference w:type="first" r:id="rId16"/>
          <w:pgSz w:w="11907" w:h="16840"/>
          <w:pgMar w:top="709" w:right="992" w:bottom="851" w:left="993" w:header="709" w:footer="709" w:gutter="0"/>
          <w:pgNumType w:start="1"/>
          <w:cols w:space="720"/>
          <w:docGrid w:linePitch="326"/>
        </w:sectPr>
      </w:pP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Предложение за Регламент на Европейския парламент и на Съвета за определяне на някои преходни разпоредби за подпомагането от Европейския земеделски фонд за развитие на селските райони (ЕЗФРСР) и Европейския земеделски фонд за гарантиране на земеделието (ЕФГЗ) през 2021 г. и за изменение на регламенти (ЕС) № 228/2013, (ЕС) № 229/2013 и (ЕС) № 1308/2013 по отношение на ресурсите и тяхното разпределение през 2021 г., както и на регламенти (ЕС) № 1305/2013, (ЕС) № 1306/2013 и (ЕС) № 1307/2013 по отношение на ресурсите и прилагането им през 2021 г. </w:t>
      </w:r>
    </w:p>
    <w:p>
      <w:pPr>
        <w:pStyle w:val="Text1"/>
        <w:pBdr>
          <w:top w:val="single" w:sz="4" w:space="1" w:color="auto"/>
          <w:left w:val="single" w:sz="4" w:space="4" w:color="auto"/>
          <w:bottom w:val="single" w:sz="4" w:space="1" w:color="auto"/>
          <w:right w:val="single" w:sz="4" w:space="4" w:color="auto"/>
        </w:pBdr>
        <w:rPr>
          <w:noProof/>
        </w:rPr>
      </w:pPr>
      <w:r>
        <w:rPr>
          <w:noProof/>
        </w:rPr>
        <w:t>Б) Предложение за Регламент на Европейския парламент и на Съвета за изменение на Регламент (ЕС) № 1306/2013 по отношение на финансовата дисциплина, считано от финансовата 2021 година, и на Регламент (ЕС) № 1307/2013 по отношение на гъвкавостта между стълбовете, що се отнася до календарната 2020 година</w:t>
      </w:r>
    </w:p>
    <w:p>
      <w:pPr>
        <w:pStyle w:val="ManualHeading2"/>
        <w:rPr>
          <w:noProof/>
          <w:szCs w:val="24"/>
        </w:rPr>
      </w:pPr>
      <w:r>
        <w:t>1.2.</w:t>
      </w:r>
      <w:r>
        <w:tab/>
      </w:r>
      <w:r>
        <w:rPr>
          <w:noProof/>
        </w:rPr>
        <w:t>Съответни области на политиката (</w:t>
      </w:r>
      <w:r>
        <w:rPr>
          <w:i/>
          <w:iCs/>
          <w:noProof/>
        </w:rPr>
        <w:t>програмен клъстер</w:t>
      </w:r>
      <w:r>
        <w:rPr>
          <w:noProof/>
        </w:rPr>
        <w:t>)</w:t>
      </w:r>
    </w:p>
    <w:p>
      <w:pPr>
        <w:pStyle w:val="Text1"/>
        <w:pBdr>
          <w:top w:val="single" w:sz="4" w:space="1" w:color="auto"/>
          <w:left w:val="single" w:sz="4" w:space="4" w:color="auto"/>
          <w:bottom w:val="single" w:sz="4" w:space="1" w:color="auto"/>
          <w:right w:val="single" w:sz="4" w:space="4" w:color="auto"/>
        </w:pBdr>
        <w:rPr>
          <w:noProof/>
        </w:rPr>
      </w:pPr>
      <w:r>
        <w:rPr>
          <w:noProof/>
        </w:rPr>
        <w:t>Програмен клъстер 8 „Земеделие и морска политика“ в рамките на функция 3 от Многогодишната финансова рамка (МФР) за периода 2021—2027 г. — Природни ресурси и околна среда</w:t>
      </w:r>
    </w:p>
    <w:p>
      <w:pPr>
        <w:pStyle w:val="ManualHeading2"/>
        <w:rPr>
          <w:bCs/>
          <w:noProof/>
          <w:szCs w:val="24"/>
        </w:rPr>
      </w:pPr>
      <w:r>
        <w:t>1.3.</w:t>
      </w:r>
      <w:r>
        <w:tab/>
      </w:r>
      <w:r>
        <w:rPr>
          <w:noProof/>
        </w:rPr>
        <w:t xml:space="preserve">Предложението/инициативата се отнася до: </w:t>
      </w:r>
    </w:p>
    <w:p>
      <w:pPr>
        <w:pStyle w:val="Text1"/>
        <w:rPr>
          <w:b/>
          <w:noProof/>
          <w:sz w:val="22"/>
        </w:rPr>
      </w:pPr>
      <w:r>
        <w:rPr>
          <w:noProof/>
          <w:sz w:val="22"/>
        </w:rPr>
        <w:sym w:font="Wingdings" w:char="F0A8"/>
      </w:r>
      <w:r>
        <w:rPr>
          <w:noProof/>
        </w:rPr>
        <w:t xml:space="preserve"> </w:t>
      </w:r>
      <w:r>
        <w:rPr>
          <w:b/>
          <w:bCs/>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8"/>
      </w:r>
      <w:r>
        <w:rPr>
          <w:noProof/>
          <w:sz w:val="22"/>
        </w:rPr>
        <w:t xml:space="preserve"> </w:t>
      </w:r>
    </w:p>
    <w:p>
      <w:pPr>
        <w:pStyle w:val="Text1"/>
        <w:rPr>
          <w:noProof/>
          <w:sz w:val="22"/>
        </w:rPr>
      </w:pPr>
      <w:r>
        <w:rPr>
          <w:noProof/>
          <w:sz w:val="22"/>
        </w:rPr>
        <w:sym w:font="Wingdings" w:char="F078"/>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има за цел да гарантира непрекъснатост на някои от елементите на Общата селскостопанска политика (ОСП) за едногодишен преходен период в рамките на периода 2014—2020 г. до прилагането на правилата за стратегическите планове по ОСП в допълнение към предложението на Комисията (COM(2018) 392 final). В обяснителния меморандум към настоящите предложения са включени допълнителни разяснения, както и в т. 1.4.1 от законодателната финансова обосновка, придружаваща предложението на Комисията за периода след 2020 г. (COM(2018) 392 final).</w:t>
      </w:r>
    </w:p>
    <w:p>
      <w:pPr>
        <w:pStyle w:val="ManualHeading3"/>
        <w:rPr>
          <w:bCs/>
          <w:noProof/>
          <w:szCs w:val="24"/>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Вж. т. 1.4.1 от законодателната финансова обосновка към COM(2018) 392 final.</w:t>
      </w:r>
    </w:p>
    <w:p>
      <w:pPr>
        <w:pStyle w:val="ManualHeading3"/>
        <w:rPr>
          <w:bCs/>
          <w:noProof/>
          <w:szCs w:val="24"/>
        </w:rPr>
      </w:pPr>
      <w:r>
        <w:t>1.4.3.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t>1.4.4.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t>1.5.</w:t>
      </w:r>
      <w:r>
        <w:tab/>
      </w:r>
      <w:r>
        <w:rPr>
          <w:noProof/>
        </w:rPr>
        <w:t xml:space="preserve">Срок на действие и финансово отражение </w:t>
      </w:r>
    </w:p>
    <w:p>
      <w:pPr>
        <w:pStyle w:val="Text1"/>
        <w:rPr>
          <w:noProof/>
        </w:rPr>
      </w:pPr>
      <w:r>
        <w:rPr>
          <w:noProof/>
        </w:rPr>
        <w:sym w:font="Wingdings" w:char="F078"/>
      </w:r>
      <w:r>
        <w:rPr>
          <w:noProof/>
        </w:rPr>
        <w:t xml:space="preserve"> </w:t>
      </w:r>
      <w:r>
        <w:rPr>
          <w:b/>
          <w:bCs/>
          <w:noProof/>
        </w:rPr>
        <w:t>ограничен срок на действие</w:t>
      </w:r>
      <w:r>
        <w:rPr>
          <w:b/>
          <w:noProof/>
        </w:rPr>
        <w:t xml:space="preserve"> </w:t>
      </w:r>
    </w:p>
    <w:p>
      <w:pPr>
        <w:pStyle w:val="ListDash2"/>
        <w:rPr>
          <w:noProof/>
        </w:rPr>
      </w:pPr>
      <w:r>
        <w:rPr>
          <w:noProof/>
        </w:rPr>
        <w:sym w:font="Wingdings" w:char="F078"/>
      </w:r>
      <w:r>
        <w:rPr>
          <w:noProof/>
        </w:rPr>
        <w:t xml:space="preserve"> В сила от 1.1.2021 г. до 31.12.2021 г. </w:t>
      </w:r>
    </w:p>
    <w:p>
      <w:pPr>
        <w:pStyle w:val="ListDash2"/>
        <w:rPr>
          <w:noProof/>
        </w:rPr>
      </w:pPr>
      <w:r>
        <w:rPr>
          <w:noProof/>
        </w:rPr>
        <w:sym w:font="Wingdings" w:char="F078"/>
      </w:r>
      <w:r>
        <w:rPr>
          <w:noProof/>
        </w:rPr>
        <w:t xml:space="preserve"> Финансово отражение през 2021 г. за бюджетните кредити за поети задължения (2022 г. за директните плащания)   и за 2021 г. и след това за бюджетните кредити за плащания. </w:t>
      </w:r>
    </w:p>
    <w:p>
      <w:pPr>
        <w:pStyle w:val="Text1"/>
        <w:rPr>
          <w:noProof/>
        </w:rPr>
      </w:pPr>
      <w:r>
        <w:rPr>
          <w:noProof/>
        </w:rPr>
        <w:sym w:font="Wingdings" w:char="F0A8"/>
      </w:r>
      <w:r>
        <w:rPr>
          <w:noProof/>
        </w:rPr>
        <w:t xml:space="preserve"> </w:t>
      </w:r>
      <w:r>
        <w:rPr>
          <w:b/>
          <w:bCs/>
          <w:noProof/>
        </w:rPr>
        <w:t>неограничен срок на действие</w:t>
      </w:r>
    </w:p>
    <w:p>
      <w:pPr>
        <w:pStyle w:val="Point1"/>
        <w:ind w:left="1134"/>
        <w:rPr>
          <w:noProof/>
        </w:rPr>
      </w:pPr>
      <w:r>
        <w:rPr>
          <w:noProof/>
        </w:rPr>
        <w:tab/>
        <w:t>Осъществяване с период на започване на дейност от ГГГГ г. до ГГГГ г., 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9"/>
      </w:r>
      <w:r>
        <w:rPr>
          <w:rStyle w:val="FootnoteReference"/>
          <w:noProof/>
        </w:rPr>
        <w:t xml:space="preserve">  </w:t>
      </w:r>
    </w:p>
    <w:p>
      <w:pPr>
        <w:pStyle w:val="Text1"/>
        <w:rPr>
          <w:i/>
          <w:noProof/>
        </w:rPr>
      </w:pPr>
      <w:r>
        <w:rPr>
          <w:noProof/>
        </w:rPr>
        <w:sym w:font="Wingdings" w:char="F0A8"/>
      </w:r>
      <w:r>
        <w:rPr>
          <w:i/>
          <w:noProof/>
        </w:rPr>
        <w:t xml:space="preserve"> </w:t>
      </w:r>
      <w:r>
        <w:rPr>
          <w:b/>
          <w:bCs/>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от изпълнителните агенции. </w:t>
      </w:r>
    </w:p>
    <w:p>
      <w:pPr>
        <w:pStyle w:val="Text1"/>
        <w:rPr>
          <w:noProof/>
        </w:rPr>
      </w:pPr>
      <w:r>
        <w:rPr>
          <w:noProof/>
        </w:rPr>
        <w:sym w:font="Wingdings" w:char="F078"/>
      </w:r>
      <w:r>
        <w:rPr>
          <w:b/>
          <w:i/>
          <w:noProof/>
        </w:rPr>
        <w:t xml:space="preserve"> </w:t>
      </w:r>
      <w:r>
        <w:rPr>
          <w:b/>
          <w:bCs/>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bCs/>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действия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Няма съществена промяна в сравнение с настоящото поло, т.е. повечето разходи по ОСП ще бъдат управлявани чрез споделено управление с държавите членки. Една много малка част обаче ще остане под прякото управление на Комисията.</w:t>
      </w:r>
      <w:r>
        <w:t xml:space="preserve"> </w:t>
      </w: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наблюдение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Няма съществена промяна спрямо действащото законодателство.</w:t>
      </w:r>
    </w:p>
    <w:p>
      <w:pPr>
        <w:pStyle w:val="ManualHeading2"/>
        <w:rPr>
          <w:bCs/>
          <w:noProof/>
          <w:szCs w:val="24"/>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да се осигури гладкост и непрекъснатост при необходимия преход към стратегическите планове по ОСП, в настоящото предложение съществуващите начини на управление чрез споделено управление, както и начините за плащане и за осъществяване на контрол, се запазват по отношение на необходимия преходен период. То се основава на добре функциониращи системи, които вече са въведени от държавите членки.  </w:t>
      </w:r>
    </w:p>
    <w:p>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1" w:color="auto"/>
          <w:left w:val="single" w:sz="4" w:space="4" w:color="auto"/>
          <w:bottom w:val="single" w:sz="4" w:space="1" w:color="auto"/>
          <w:right w:val="single" w:sz="4" w:space="4" w:color="auto"/>
        </w:pBdr>
        <w:rPr>
          <w:noProof/>
        </w:rPr>
      </w:pPr>
      <w:r>
        <w:rPr>
          <w:noProof/>
        </w:rPr>
        <w:t>Трайният нисък процент грешки в рамките на ОСП през последните години показва, че установените от държавите членки системи за управление и контрол функционират правилно и осигуряват разумна увереност. Преходните разпоредби предвиждат запазване на настоящото положение, що се отнася до системите за контрол.</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проверките в предложението се запазва съществуващото положение.</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Не се предлагат промени по отношение на съществуващите мерки.</w:t>
      </w:r>
    </w:p>
    <w:p>
      <w:pPr>
        <w:spacing w:before="0" w:after="0"/>
        <w:jc w:val="left"/>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20"/>
          <w:docGrid w:linePitch="326"/>
        </w:sectPr>
      </w:pPr>
    </w:p>
    <w:p>
      <w:pPr>
        <w:pStyle w:val="ManualHeading1"/>
        <w:rPr>
          <w:noProof/>
        </w:rPr>
      </w:pPr>
      <w:r>
        <w:t>3.</w:t>
      </w:r>
      <w:r>
        <w:tab/>
      </w:r>
      <w:r>
        <w:rPr>
          <w:noProof/>
        </w:rPr>
        <w:t xml:space="preserve">ОЧАКВАНО ФИНАНСОВО ОТРАЖЕНИЕ НА ПРЕДЛОЖЕНИЕТО/ИНИЦИАТИВАТА </w:t>
      </w:r>
    </w:p>
    <w:p>
      <w:pPr>
        <w:pStyle w:val="Text1"/>
        <w:rPr>
          <w:noProof/>
        </w:rPr>
      </w:pPr>
      <w:r>
        <w:rPr>
          <w:noProof/>
        </w:rPr>
        <w:t xml:space="preserve">Сумите в преходното предложение, са съобразени със сумите, предложени за ОСП по функция 3 в предложението за многогодишната финансова рамка за периода 2021—2027 г. за съответните финансови години в COM (2018) 322 final/2. </w:t>
      </w:r>
    </w:p>
    <w:p>
      <w:pPr>
        <w:pStyle w:val="Text1"/>
        <w:rPr>
          <w:noProof/>
        </w:rPr>
      </w:pPr>
      <w:r>
        <w:rPr>
          <w:noProof/>
        </w:rPr>
        <w:t xml:space="preserve">Поради това за свързаните с пазара разходи, финансирани по ЕФГЗ, разпределените средства по Регламент (ЕС) № 1308/2013 ще бъдат коригирани до равнището, включено за същите сектори в предложението за подпомагане на стратегическите планове по ОСП (COM (2018) 392 final) за финансовата 2021 година. Средствата, разпределени за най-отдалечените региони и за островите в Егейско море съгласно регламенти (ЕС) № 228/2013 и (ЕС) № 229/2013, също се коригират до равнището, предложено за 2021 г. (вж. COM(2018) 394 final). </w:t>
      </w:r>
    </w:p>
    <w:p>
      <w:pPr>
        <w:pStyle w:val="Text1"/>
        <w:rPr>
          <w:noProof/>
        </w:rPr>
      </w:pPr>
      <w:r>
        <w:rPr>
          <w:noProof/>
        </w:rPr>
        <w:t xml:space="preserve">Предложените разпределени средства за директни плащания за календарната 2021 г., финансирани през финансовата 2022 година, са равни на разпределените средства, предложени за видове интервенции под формата на директни плащания за календарната 2021 г. в COM (2018) 392 final. </w:t>
      </w:r>
    </w:p>
    <w:p>
      <w:pPr>
        <w:pStyle w:val="Text1"/>
        <w:rPr>
          <w:noProof/>
        </w:rPr>
      </w:pPr>
      <w:r>
        <w:rPr>
          <w:noProof/>
        </w:rPr>
        <w:t xml:space="preserve">За да се гарантира непрекъснатост на подпомагането, предоставяно за развитие на селските райони, в предложението са добавени разпределени средства за 2021 г. Тяхната стойност е равна на сумите, предложени в COM (2018) 392 final за видовете интервенции в областта на развитието на селските райони за същата година.  В случай че държавите членки решат да не разширяват обхвата на своите програми за развитие на селските райони за периода 2014—2020 г., неизползваните разпределени средства за 2021 г. ще бъдат препрограмирани към разпределените средства за периода 2022—2025 г. за стратегическия план по ОСП. </w:t>
      </w:r>
    </w:p>
    <w:p>
      <w:pPr>
        <w:pStyle w:val="Text1"/>
        <w:rPr>
          <w:noProof/>
        </w:rPr>
      </w:pPr>
      <w:r>
        <w:rPr>
          <w:noProof/>
        </w:rPr>
        <w:t>Предлага се резервът за кризи в селскостопанския сектор, посочен в член 25 от Регламент (ЕС) № 1306/2013 като наличен за периода 2014—2020 г., да бъде запазен за преходния период.</w:t>
      </w:r>
    </w:p>
    <w:p>
      <w:pPr>
        <w:pStyle w:val="Text1"/>
        <w:rPr>
          <w:i/>
          <w:noProof/>
        </w:rPr>
      </w:pPr>
      <w:r>
        <w:rPr>
          <w:noProof/>
        </w:rPr>
        <w:t xml:space="preserve">Като цяло настоящото предложение няма финансово отражение по отношение на бюджетните кредити за поети задължения за периода 2021—2027 г. в сравнение с предложеното и описаното във финансовата обосновка, придружаваща предложението на Комисията за ОСП за периода след 2020 г (COM (2018) 392 final). По-долу е представено прогнозното потенциално отражение по отношение на бюджетните кредити за плащания, но то ще зависи от това дали държавите членки ще решат да удължат програмите за развитие на селските райони за периода 2014—2020 г. </w:t>
      </w:r>
    </w:p>
    <w:p>
      <w:pPr>
        <w:pStyle w:val="Text1"/>
        <w:rPr>
          <w:noProof/>
        </w:rPr>
      </w:pPr>
      <w:r>
        <w:rPr>
          <w:noProof/>
        </w:rPr>
        <w:t>Описаното по-долу финансово въздействие отразяват очакваните промени в сравнение с въздействието, описано в законодателната финансова обосновка, придружаваща предложението на Комисията за ОСП за периода след 2020 г. (COM (2018) 392 final).</w:t>
      </w:r>
    </w:p>
    <w:p>
      <w:pPr>
        <w:spacing w:before="0" w:after="200" w:line="276" w:lineRule="auto"/>
        <w:jc w:val="left"/>
        <w:rPr>
          <w:rFonts w:eastAsiaTheme="majorEastAsia"/>
          <w:b/>
          <w:bCs/>
          <w:noProof/>
          <w:szCs w:val="26"/>
        </w:rPr>
      </w:pPr>
      <w:r>
        <w:rPr>
          <w:noProof/>
        </w:rPr>
        <w:br w:type="page"/>
      </w:r>
    </w:p>
    <w:p>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2"/>
              </w:rPr>
              <w:br/>
            </w:r>
            <w:r>
              <w:rPr>
                <w:noProof/>
                <w:sz w:val="18"/>
              </w:rPr>
              <w:t>Вид разход</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 xml:space="preserve">Финансов принос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rPr>
                <w:noProof/>
                <w:sz w:val="20"/>
              </w:rPr>
            </w:pPr>
            <w:r>
              <w:rPr>
                <w:noProof/>
                <w:sz w:val="20"/>
              </w:rPr>
              <w:t xml:space="preserve"> </w:t>
            </w:r>
            <w:r>
              <w:rPr>
                <w:noProof/>
                <w:sz w:val="22"/>
              </w:rPr>
              <w:br/>
            </w:r>
            <w:r>
              <w:rPr>
                <w:noProof/>
                <w:sz w:val="20"/>
              </w:rPr>
              <w:t>Функция 3;</w:t>
            </w:r>
          </w:p>
          <w:p>
            <w:pPr>
              <w:rPr>
                <w:noProof/>
              </w:rPr>
            </w:pPr>
            <w:r>
              <w:rPr>
                <w:noProof/>
                <w:sz w:val="20"/>
              </w:rPr>
              <w:t xml:space="preserve">Природни ресурси и околна среда </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Многогод./едногод</w:t>
            </w:r>
            <w:r>
              <w:rPr>
                <w:rStyle w:val="FootnoteReference"/>
                <w:noProof/>
              </w:rPr>
              <w:footnoteReference w:id="10"/>
            </w:r>
            <w:r>
              <w:rPr>
                <w:noProof/>
              </w:rPr>
              <w:t>.</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18"/>
              </w:rPr>
              <w:t>от държави от ЕАСТ</w:t>
            </w:r>
            <w:r>
              <w:rPr>
                <w:rStyle w:val="FootnoteReference"/>
                <w:noProof/>
                <w:sz w:val="18"/>
              </w:rPr>
              <w:footnoteReference w:id="11"/>
            </w:r>
          </w:p>
          <w:p>
            <w:pPr>
              <w:spacing w:before="0" w:after="0"/>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18"/>
              </w:rPr>
              <w:t>от държави кандидатки</w:t>
            </w:r>
            <w:r>
              <w:rPr>
                <w:rStyle w:val="FootnoteReference"/>
                <w:noProof/>
                <w:sz w:val="18"/>
              </w:rPr>
              <w:footnoteReference w:id="12"/>
            </w:r>
          </w:p>
          <w:p>
            <w:pPr>
              <w:spacing w:before="0" w:after="0"/>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noProof/>
                <w:sz w:val="18"/>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16"/>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FF"/>
              </w:rPr>
            </w:pPr>
            <w:r>
              <w:rPr>
                <w:noProof/>
              </w:rPr>
              <w:t>3 г.</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FF"/>
              </w:rPr>
            </w:pPr>
            <w:r>
              <w:rPr>
                <w:noProof/>
                <w:sz w:val="22"/>
              </w:rPr>
              <w:t>Многогод.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НЕ</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НЕ</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НЕ</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НЕ</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В 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b/>
                <w:noProof/>
                <w:sz w:val="22"/>
              </w:rPr>
              <w:t>3 г.</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2"/>
              </w:rPr>
              <w:t>Природни ресурси и околна среда</w:t>
            </w:r>
          </w:p>
        </w:tc>
      </w:tr>
    </w:tbl>
    <w:p>
      <w:pPr>
        <w:rPr>
          <w:noProof/>
        </w:rPr>
      </w:pPr>
    </w:p>
    <w:p>
      <w:pPr>
        <w:rPr>
          <w:noProof/>
        </w:rPr>
      </w:pPr>
      <w:r>
        <w:rPr>
          <w:noProof/>
        </w:rPr>
        <w:t xml:space="preserve">По отношение на </w:t>
      </w:r>
      <w:r>
        <w:rPr>
          <w:b/>
          <w:bCs/>
          <w:noProof/>
        </w:rPr>
        <w:t>ЕФГЗ</w:t>
      </w:r>
      <w:r>
        <w:rPr>
          <w:noProof/>
        </w:rPr>
        <w:t xml:space="preserve"> предложението няма отражение върху общите разходи в сравнение с прогнозите, посочени във финансовата обосновка, придружаваща предложението на Комисията за ОСП за периода след 2020 г. (COM (2018) 392 final). Съгласно предложението за преходен период, с което се гарантира непрекъснатостта на някои от програмите за секторна помощ съгласно Регламент (ЕС) № 1308/2013 (т.е. плодове и зеленчуци, маслиново масло, пчеларство, вино и хмел) до интегрирането на тези програми в плана по ОСП, по време на преходния период предвидените поети задължения за секторните видове интервенции съгласно плана по ОСП ще се запазят като свързани с пазара разходи извън плана по ОСП. Същото се отнася и за директните плащания, при които предвидените в плана за ОСП поети задължения ще се запазят като директни плащания извън плана по ОСП по време на преходния период. Тези промени, както и финансирането на резерва за кризи, който се предлага да бъде запазен през преходния период, са неутрални по отношение на общите поети задължения в рамките на всяка година и за периода и следователно са съобразени с предложението на Комисията по отношение на подтавана за ЕФГЗ за периода 2021—2027 г. </w:t>
      </w:r>
    </w:p>
    <w:p>
      <w:pPr>
        <w:rPr>
          <w:noProof/>
        </w:rPr>
      </w:pPr>
      <w:r>
        <w:rPr>
          <w:noProof/>
        </w:rPr>
        <w:t xml:space="preserve">Що се отнася до </w:t>
      </w:r>
      <w:r>
        <w:rPr>
          <w:b/>
          <w:bCs/>
          <w:noProof/>
        </w:rPr>
        <w:t>ЕЗФРСР</w:t>
      </w:r>
      <w:r>
        <w:rPr>
          <w:noProof/>
        </w:rPr>
        <w:t xml:space="preserve">, предложението няма отражение върху бюджетните кредити за поети задължения за периода. Решението на държавите членки по отношение на удължаването на програмите за развитие на селските райони за периода 2014—2020 г. ще има значение за графика на поетите задължения, тъй като разпределените средства по ЕЗФРСР за 2021 г. следва да бъдат прехвърлени към средствата, разпределени по ЕЗФРСР за периода 2022—2025 г., при които не се изисква удължаване от държавите членки. </w:t>
      </w:r>
    </w:p>
    <w:p>
      <w:pPr>
        <w:rPr>
          <w:noProof/>
        </w:rPr>
      </w:pPr>
      <w:r>
        <w:rPr>
          <w:noProof/>
        </w:rPr>
        <w:t>В момента нетното въздействие върху графика на бюджетните кредити за плащания не може да бъде представено количествено, тъй като ще зависи от решенията на държавите членки, които могат да забавят или да ускорят извършването на плащанията спрямо графика, предвиден в законодателната финансова обосновка, придружаваща предложението на Комисията за ОСП за периода след 2020 г. (COM (2018) 392 final): удължаването на програмите за развитие на селските райони за периода 2014—2020 г. се очаква да ускори темпа на плащанията за съответните държави членки/програми, докато прехвърлянето на неусвоените средства за 2021 г. към средствата за периода 2022—2025 г. ще забави плащанията. Като цяло за периода бюджетните кредити за плащания остават непроменени.</w:t>
      </w:r>
    </w:p>
    <w:p>
      <w:pPr>
        <w:rPr>
          <w:noProof/>
          <w:sz w:val="1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 г.</w:t>
            </w:r>
          </w:p>
        </w:tc>
        <w:tc>
          <w:tcPr>
            <w:tcW w:w="909" w:type="dxa"/>
            <w:tcBorders>
              <w:top w:val="single" w:sz="4" w:space="0" w:color="auto"/>
              <w:left w:val="single" w:sz="4" w:space="0" w:color="auto"/>
              <w:bottom w:val="single" w:sz="4" w:space="0" w:color="auto"/>
              <w:right w:val="single" w:sz="4" w:space="0" w:color="auto"/>
            </w:tcBorders>
            <w:hideMark/>
          </w:tcPr>
          <w:p>
            <w:pPr>
              <w:jc w:val="center"/>
              <w:rPr>
                <w:b/>
                <w:i/>
                <w:noProof/>
                <w:sz w:val="20"/>
              </w:rPr>
            </w:pPr>
            <w:r>
              <w:rPr>
                <w:b/>
                <w:i/>
                <w:noProof/>
                <w:sz w:val="20"/>
              </w:rPr>
              <w:t>След 2027 г.</w:t>
            </w:r>
          </w:p>
        </w:tc>
        <w:tc>
          <w:tcPr>
            <w:tcW w:w="1289"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ОБЩО</w:t>
            </w:r>
          </w:p>
        </w:tc>
      </w:tr>
      <w:tr>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rPr>
                <w:b/>
                <w:noProof/>
              </w:rPr>
            </w:pPr>
            <w:r>
              <w:rPr>
                <w:b/>
                <w:noProof/>
                <w:sz w:val="20"/>
              </w:rPr>
              <w:t>МЕЖДИННА СУМА ЕФГЗ</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411"/>
          <w:jc w:val="center"/>
        </w:trPr>
        <w:tc>
          <w:tcPr>
            <w:tcW w:w="4103" w:type="dxa"/>
            <w:vMerge w:val="restart"/>
            <w:tcBorders>
              <w:top w:val="single" w:sz="4" w:space="0" w:color="auto"/>
              <w:left w:val="single" w:sz="4" w:space="0" w:color="auto"/>
              <w:bottom w:val="single" w:sz="4" w:space="0" w:color="auto"/>
              <w:right w:val="single" w:sz="4" w:space="0" w:color="auto"/>
            </w:tcBorders>
            <w:hideMark/>
          </w:tcPr>
          <w:p>
            <w:pPr>
              <w:rPr>
                <w:b/>
                <w:noProof/>
                <w:sz w:val="20"/>
              </w:rPr>
            </w:pPr>
            <w:r>
              <w:rPr>
                <w:b/>
                <w:noProof/>
                <w:sz w:val="20"/>
              </w:rPr>
              <w:t>МЕЖДИННА СУМА ЕЗФРСР</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jc w:val="left"/>
              <w:rPr>
                <w:b/>
                <w:i/>
                <w:noProof/>
              </w:rPr>
            </w:pPr>
            <w:r>
              <w:rPr>
                <w:b/>
                <w:noProof/>
                <w:sz w:val="22"/>
              </w:rPr>
              <w:t>ОБЩО бюджетни кредити за ОСП</w:t>
            </w:r>
            <w:r>
              <w:rPr>
                <w:b/>
                <w:i/>
                <w:noProof/>
                <w:sz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(5)=(1+3)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i/>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(6)=(2+4)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noProof/>
              </w:rPr>
            </w:pPr>
            <w:r>
              <w:rPr>
                <w:noProof/>
              </w:rPr>
              <w:t>7 г.</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2"/>
              </w:rPr>
              <w:t>„Административни разходи“</w:t>
            </w:r>
          </w:p>
        </w:tc>
      </w:tr>
    </w:tbl>
    <w:p>
      <w:pPr>
        <w:jc w:val="right"/>
        <w:rPr>
          <w:noProof/>
          <w:sz w:val="20"/>
        </w:rPr>
      </w:pPr>
    </w:p>
    <w:p>
      <w:pPr>
        <w:jc w:val="right"/>
        <w:rPr>
          <w:noProof/>
          <w:sz w:val="20"/>
        </w:rPr>
      </w:pPr>
      <w:r>
        <w:rPr>
          <w:noProof/>
          <w:sz w:val="20"/>
        </w:rPr>
        <w:t>В млн. евро (до третия знак след десетичната запетая)</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bottom w:val="single" w:sz="4" w:space="0" w:color="auto"/>
              <w:right w:val="single" w:sz="4" w:space="0" w:color="auto"/>
            </w:tcBorders>
            <w:vAlign w:val="center"/>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 г.</w:t>
            </w:r>
          </w:p>
        </w:tc>
        <w:tc>
          <w:tcPr>
            <w:tcW w:w="88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След 2027 г.</w:t>
            </w:r>
          </w:p>
        </w:tc>
        <w:tc>
          <w:tcPr>
            <w:tcW w:w="1291"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ОБЩО</w:t>
            </w:r>
          </w:p>
        </w:tc>
      </w:tr>
      <w:tr>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 xml:space="preserve">Човешки ресурси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 xml:space="preserve">Други административни разходи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tcBorders>
              <w:top w:val="single" w:sz="4" w:space="0" w:color="auto"/>
              <w:left w:val="single" w:sz="4" w:space="0" w:color="auto"/>
              <w:bottom w:val="single" w:sz="4" w:space="0" w:color="auto"/>
              <w:right w:val="single" w:sz="4" w:space="0" w:color="auto"/>
            </w:tcBorders>
            <w:vAlign w:val="center"/>
            <w:hideMark/>
          </w:tcPr>
          <w:p>
            <w:pPr>
              <w:spacing w:before="20" w:after="20"/>
              <w:rPr>
                <w:noProof/>
                <w:sz w:val="22"/>
              </w:rPr>
            </w:pPr>
            <w:r>
              <w:rPr>
                <w:noProof/>
                <w:sz w:val="18"/>
              </w:rPr>
              <w:t>(Общо поети задължения = Общо плащания)</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bl>
    <w:p>
      <w:pPr>
        <w:jc w:val="right"/>
        <w:rPr>
          <w:noProof/>
          <w:sz w:val="20"/>
        </w:rPr>
      </w:pPr>
    </w:p>
    <w:p>
      <w:pPr>
        <w:jc w:val="right"/>
        <w:rPr>
          <w:noProof/>
          <w:sz w:val="20"/>
        </w:rPr>
      </w:pPr>
    </w:p>
    <w:p>
      <w:pPr>
        <w:jc w:val="right"/>
        <w:rPr>
          <w:noProof/>
          <w:sz w:val="20"/>
        </w:rPr>
      </w:pPr>
    </w:p>
    <w:p>
      <w:pPr>
        <w:jc w:val="right"/>
        <w:rPr>
          <w:noProof/>
          <w:sz w:val="20"/>
        </w:rPr>
      </w:pPr>
      <w:r>
        <w:rPr>
          <w:noProof/>
          <w:sz w:val="20"/>
        </w:rPr>
        <w:t>В млн. евро (до третия знак след десетичната запетая)</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bottom w:val="single" w:sz="4" w:space="0" w:color="auto"/>
              <w:right w:val="nil"/>
            </w:tcBorders>
            <w:vAlign w:val="center"/>
          </w:tcPr>
          <w:p>
            <w:pPr>
              <w:jc w:val="center"/>
              <w:rPr>
                <w:noProof/>
                <w:highlight w:val="yellow"/>
              </w:rPr>
            </w:pPr>
          </w:p>
        </w:tc>
        <w:tc>
          <w:tcPr>
            <w:tcW w:w="1560" w:type="dxa"/>
            <w:tcBorders>
              <w:top w:val="nil"/>
              <w:left w:val="nil"/>
              <w:bottom w:val="single" w:sz="4" w:space="0" w:color="auto"/>
              <w:right w:val="nil"/>
            </w:tcBorders>
          </w:tcPr>
          <w:p>
            <w:pPr>
              <w:rPr>
                <w:noProof/>
                <w:sz w:val="20"/>
              </w:rPr>
            </w:pPr>
          </w:p>
        </w:tc>
        <w:tc>
          <w:tcPr>
            <w:tcW w:w="534" w:type="dxa"/>
            <w:tcBorders>
              <w:top w:val="nil"/>
              <w:left w:val="nil"/>
              <w:bottom w:val="single" w:sz="4" w:space="0" w:color="auto"/>
              <w:right w:val="single" w:sz="4" w:space="0" w:color="auto"/>
            </w:tcBorders>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 г.</w:t>
            </w:r>
          </w:p>
        </w:tc>
        <w:tc>
          <w:tcPr>
            <w:tcW w:w="87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След 2027 г.</w:t>
            </w:r>
          </w:p>
        </w:tc>
        <w:tc>
          <w:tcPr>
            <w:tcW w:w="1292"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ОБЩО</w:t>
            </w:r>
          </w:p>
        </w:tc>
      </w:tr>
      <w:tr>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Поети задължения</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60" w:after="6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r>
      <w:tr>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Плащания</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c>
          <w:tcPr>
            <w:tcW w:w="877" w:type="dxa"/>
            <w:tcBorders>
              <w:top w:val="single" w:sz="4" w:space="0" w:color="auto"/>
              <w:left w:val="single" w:sz="4" w:space="0" w:color="auto"/>
              <w:bottom w:val="single" w:sz="4" w:space="0" w:color="auto"/>
              <w:right w:val="single" w:sz="4" w:space="0" w:color="auto"/>
            </w:tcBorders>
          </w:tcPr>
          <w:p>
            <w:pPr>
              <w:spacing w:before="60" w:after="6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r>
    </w:tbl>
    <w:p>
      <w:pPr>
        <w:spacing w:before="0" w:after="0"/>
        <w:jc w:val="left"/>
        <w:rPr>
          <w:noProof/>
        </w:rPr>
        <w:sectPr>
          <w:headerReference w:type="default" r:id="rId21"/>
          <w:footerReference w:type="default" r:id="rId22"/>
          <w:headerReference w:type="first" r:id="rId23"/>
          <w:footerReference w:type="first" r:id="rId24"/>
          <w:pgSz w:w="16840" w:h="11907" w:orient="landscape"/>
          <w:pgMar w:top="1134" w:right="1418" w:bottom="1134" w:left="1418" w:header="709" w:footer="709" w:gutter="0"/>
          <w:cols w:space="720"/>
          <w:docGrid w:linePitch="326"/>
        </w:sectPr>
      </w:pPr>
    </w:p>
    <w:p>
      <w:pPr>
        <w:pStyle w:val="ManualHeading3"/>
        <w:rPr>
          <w:bCs/>
          <w:noProof/>
          <w:szCs w:val="24"/>
        </w:rPr>
      </w:pPr>
      <w:r>
        <w:t>3.2.2.</w:t>
      </w:r>
      <w:r>
        <w:tab/>
      </w:r>
      <w:r>
        <w:rPr>
          <w:noProof/>
        </w:rPr>
        <w:t>Резюме на очакваното отражение върху бюджетните кредити за административни разходи</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pStyle w:val="Point1"/>
        <w:ind w:firstLine="1"/>
        <w:rPr>
          <w:noProof/>
        </w:rPr>
      </w:pPr>
      <w:r>
        <w:rPr>
          <w:noProof/>
        </w:rPr>
        <w:t>С предложението не се изменя отражението, предвидено в законодателната финансова обосновка, придружаваща предложението на Комисията за ОСП за периода след 2020 г. (COM (2018) 392 final).</w:t>
      </w:r>
    </w:p>
    <w:p>
      <w:pPr>
        <w:rPr>
          <w:noProof/>
          <w:sz w:val="20"/>
        </w:rPr>
      </w:pPr>
      <w:r>
        <w:rPr>
          <w:noProof/>
          <w:sz w:val="20"/>
        </w:rPr>
        <w:t>В млн. евро (до третия знак след десетичната запетая)</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szCs w:val="16"/>
              </w:rPr>
              <w:t>Години</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2021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2022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2023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2024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2025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2026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2027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22"/>
              </w:rPr>
              <w:t>ФУНКЦИЯ 7</w:t>
            </w:r>
            <w:r>
              <w:rPr>
                <w:noProof/>
                <w:sz w:val="22"/>
              </w:rPr>
              <w:br/>
            </w:r>
            <w:r>
              <w:rPr>
                <w:b/>
                <w:bCs/>
                <w:noProof/>
              </w:rP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bCs/>
                <w:noProof/>
              </w:rPr>
              <w:t>Междинен сбор за ФУНКЦИЯ 7</w:t>
            </w:r>
            <w:r>
              <w:rPr>
                <w:noProof/>
                <w:sz w:val="22"/>
              </w:rPr>
              <w:br/>
            </w:r>
            <w:r>
              <w:rPr>
                <w:b/>
                <w:bCs/>
                <w:noProof/>
              </w:rP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bCs/>
                <w:noProof/>
              </w:rPr>
              <w:t xml:space="preserve">Извън </w:t>
            </w:r>
            <w:r>
              <w:rPr>
                <w:b/>
                <w:noProof/>
                <w:szCs w:val="24"/>
              </w:rPr>
              <w:t>ФУНКЦИЯ 7</w:t>
            </w:r>
            <w:r>
              <w:rPr>
                <w:rStyle w:val="FootnoteReference"/>
                <w:b/>
                <w:noProof/>
                <w:szCs w:val="24"/>
              </w:rPr>
              <w:footnoteReference w:id="13"/>
            </w:r>
            <w:r>
              <w:rPr>
                <w:noProof/>
                <w:szCs w:val="24"/>
              </w:rPr>
              <w:br/>
            </w:r>
            <w:r>
              <w:rPr>
                <w:b/>
                <w:bCs/>
                <w:noProof/>
                <w:szCs w:val="24"/>
              </w:rPr>
              <w:t>от</w:t>
            </w:r>
            <w:r>
              <w:rPr>
                <w:b/>
                <w:bCs/>
                <w:noProof/>
              </w:rPr>
              <w:t xml:space="preserve"> многогодишната финансова рамка</w:t>
            </w:r>
          </w:p>
          <w:p>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Cs w:val="24"/>
              </w:rPr>
            </w:pPr>
            <w:r>
              <w:rPr>
                <w:b/>
                <w:noProof/>
                <w:szCs w:val="24"/>
              </w:rPr>
              <w:t xml:space="preserve">Междинен сбор </w:t>
            </w:r>
            <w:r>
              <w:rPr>
                <w:noProof/>
                <w:szCs w:val="24"/>
              </w:rPr>
              <w:br/>
            </w:r>
            <w:r>
              <w:rPr>
                <w:b/>
                <w:noProof/>
                <w:szCs w:val="24"/>
              </w:rPr>
              <w:t>извън ФУНКЦИЯ 7</w:t>
            </w:r>
            <w:r>
              <w:rPr>
                <w:noProof/>
                <w:szCs w:val="24"/>
              </w:rPr>
              <w:br/>
            </w:r>
            <w:r>
              <w:rPr>
                <w:b/>
                <w:noProof/>
                <w:szCs w:val="24"/>
              </w:rP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Бюджетните кредити, необходими за човешки ресурси и други административни разходи,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0"/>
        <w:jc w:val="left"/>
        <w:rPr>
          <w:noProof/>
          <w:sz w:val="18"/>
        </w:rPr>
        <w:sectPr>
          <w:headerReference w:type="default" r:id="rId25"/>
          <w:footerReference w:type="default" r:id="rId26"/>
          <w:headerReference w:type="first" r:id="rId27"/>
          <w:footerReference w:type="first" r:id="rId28"/>
          <w:pgSz w:w="11907" w:h="16840"/>
          <w:pgMar w:top="1134" w:right="1418" w:bottom="1134" w:left="1418" w:header="709" w:footer="709" w:gutter="0"/>
          <w:cols w:space="720"/>
          <w:docGrid w:linePitch="326"/>
        </w:sectPr>
      </w:pP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 xml:space="preserve"> Предложението/инициативата не налага използване на човешки ресурси </w:t>
      </w:r>
    </w:p>
    <w:p>
      <w:pPr>
        <w:pStyle w:val="ListDash1"/>
        <w:rPr>
          <w:noProof/>
        </w:rPr>
      </w:pPr>
      <w:r>
        <w:rPr>
          <w:noProof/>
        </w:rPr>
        <w:sym w:font="Wingdings" w:char="F078"/>
      </w:r>
      <w:r>
        <w:rPr>
          <w:noProof/>
        </w:rPr>
        <w:t xml:space="preserve"> Предложението/инициативата налага използване на човешки ресурси съгласно обяснението по-долу:</w:t>
      </w:r>
    </w:p>
    <w:p>
      <w:pPr>
        <w:pStyle w:val="Point1"/>
        <w:ind w:left="1134" w:firstLine="1"/>
        <w:rPr>
          <w:noProof/>
        </w:rPr>
      </w:pPr>
      <w:r>
        <w:rPr>
          <w:noProof/>
        </w:rPr>
        <w:t>С предложението не се изменят изискванията, посочени в законодателната финансова обосновка, придружаваща предложението на Комисията за ОСП за периода след 2020 г. (COM (2018) 392 final).</w:t>
      </w:r>
    </w:p>
    <w:p>
      <w:pPr>
        <w:rPr>
          <w:noProof/>
        </w:rPr>
      </w:pPr>
    </w:p>
    <w:p>
      <w:pPr>
        <w:spacing w:after="60"/>
        <w:jc w:val="right"/>
        <w:rPr>
          <w:i/>
          <w:noProof/>
          <w:sz w:val="20"/>
        </w:rPr>
      </w:pPr>
      <w:r>
        <w:rPr>
          <w:i/>
          <w:noProof/>
          <w:sz w:val="20"/>
        </w:rPr>
        <w:t>Разчетните данни се посочват в еквиваленти на пълно работно време</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48"/>
        <w:gridCol w:w="2040"/>
        <w:gridCol w:w="807"/>
        <w:gridCol w:w="947"/>
        <w:gridCol w:w="807"/>
        <w:gridCol w:w="947"/>
        <w:gridCol w:w="947"/>
        <w:gridCol w:w="809"/>
        <w:gridCol w:w="935"/>
      </w:tblGrid>
      <w:tr>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40" w:after="40"/>
              <w:ind w:left="0"/>
              <w:jc w:val="center"/>
              <w:rPr>
                <w:i/>
                <w:noProof/>
                <w:sz w:val="16"/>
                <w:szCs w:val="16"/>
              </w:rPr>
            </w:pPr>
            <w:r>
              <w:rPr>
                <w:b/>
                <w:noProof/>
                <w:sz w:val="16"/>
                <w:szCs w:val="16"/>
              </w:rPr>
              <w:t>Години</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16"/>
                <w:szCs w:val="16"/>
              </w:rPr>
            </w:pPr>
            <w:r>
              <w:rPr>
                <w:b/>
                <w:noProof/>
                <w:sz w:val="20"/>
              </w:rPr>
              <w:t>2021 г.</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2022 г.</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2023 г.</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2024 г.</w:t>
            </w:r>
          </w:p>
        </w:tc>
        <w:tc>
          <w:tcPr>
            <w:tcW w:w="533"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 г.</w:t>
            </w:r>
          </w:p>
        </w:tc>
        <w:tc>
          <w:tcPr>
            <w:tcW w:w="468"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 г.</w:t>
            </w:r>
          </w:p>
        </w:tc>
        <w:tc>
          <w:tcPr>
            <w:tcW w:w="527"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 г.</w:t>
            </w:r>
          </w:p>
        </w:tc>
      </w:tr>
      <w:tr>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pPr>
              <w:jc w:val="left"/>
              <w:rPr>
                <w:noProof/>
                <w:sz w:val="16"/>
                <w:szCs w:val="16"/>
              </w:rPr>
            </w:pPr>
            <w:r>
              <w:rPr>
                <w:b/>
                <w:noProof/>
                <w:sz w:val="16"/>
              </w:rPr>
              <w:sym w:font="Wingdings" w:char="F09F"/>
            </w:r>
            <w:r>
              <w:rPr>
                <w:noProof/>
              </w:rPr>
              <w:t xml:space="preserve"> </w:t>
            </w:r>
            <w:r>
              <w:rPr>
                <w:b/>
                <w:bCs/>
                <w:noProof/>
              </w:rPr>
              <w:t>Длъжности в щатното разписание (длъжностни лица и срочно наети служители)</w:t>
            </w: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b/>
                <w:noProof/>
                <w:sz w:val="16"/>
                <w:szCs w:val="16"/>
              </w:rPr>
            </w:pPr>
            <w:r>
              <w:rPr>
                <w:noProof/>
                <w:sz w:val="16"/>
              </w:rPr>
              <w:t>Централа и представителства на Комисията</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Делегации</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Научни изследвания</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w:t>
            </w:r>
            <w:r>
              <w:rPr>
                <w:noProof/>
                <w:sz w:val="16"/>
              </w:rPr>
              <w:t>ЕПРВ) — ДНП , МП, КНЕ, ПНА и МЕД</w:t>
            </w:r>
            <w:r>
              <w:rPr>
                <w:rStyle w:val="FootnoteReference"/>
                <w:noProof/>
                <w:sz w:val="16"/>
              </w:rPr>
              <w:footnoteReference w:id="14"/>
            </w:r>
          </w:p>
          <w:p>
            <w:pPr>
              <w:pStyle w:val="Text1"/>
              <w:spacing w:before="0" w:after="0"/>
              <w:ind w:left="0"/>
              <w:jc w:val="left"/>
              <w:rPr>
                <w:noProof/>
                <w:sz w:val="16"/>
                <w:szCs w:val="16"/>
              </w:rPr>
            </w:pPr>
            <w:r>
              <w:rPr>
                <w:noProof/>
                <w:sz w:val="16"/>
                <w:szCs w:val="16"/>
              </w:rPr>
              <w:t>Функция 7</w:t>
            </w:r>
          </w:p>
        </w:tc>
      </w:tr>
      <w:tr>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szCs w:val="16"/>
              </w:rPr>
              <w:t>Финансирани от ФУНКЦИЯ 7 от многогодишната финансова рамка</w:t>
            </w:r>
            <w:r>
              <w:rPr>
                <w:b/>
                <w:noProof/>
                <w:sz w:val="16"/>
              </w:rPr>
              <w:t xml:space="preserve"> </w:t>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в централата</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noProof/>
                <w:sz w:val="16"/>
                <w:szCs w:val="16"/>
              </w:rPr>
            </w:pPr>
            <w:r>
              <w:rPr>
                <w:noProof/>
                <w:sz w:val="16"/>
              </w:rPr>
              <w:t xml:space="preserve">- в делегациите </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szCs w:val="16"/>
              </w:rPr>
              <w:t>Финансирани от финансовия пакет на програмата</w:t>
            </w:r>
            <w:r>
              <w:rPr>
                <w:b/>
                <w:noProof/>
                <w:sz w:val="16"/>
                <w:szCs w:val="16"/>
              </w:rPr>
              <w:t xml:space="preserve"> </w:t>
            </w:r>
            <w:r>
              <w:rPr>
                <w:rStyle w:val="FootnoteReference"/>
                <w:b/>
                <w:noProof/>
                <w:sz w:val="16"/>
              </w:rPr>
              <w:footnoteReference w:id="15"/>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в централата</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xml:space="preserve">- в делегациите </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noProof/>
                <w:sz w:val="16"/>
                <w:szCs w:val="16"/>
              </w:rPr>
              <w:t>Научни изследвания</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Други бюджетни редове (да се посочат)</w:t>
            </w: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b/>
                <w:noProof/>
                <w:sz w:val="16"/>
              </w:rPr>
              <w:t>ОБЩО</w:t>
            </w:r>
          </w:p>
        </w:tc>
        <w:tc>
          <w:tcPr>
            <w:tcW w:w="46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6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3"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68"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2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r>
    </w:tbl>
    <w:p>
      <w:pPr>
        <w:pStyle w:val="Text1"/>
        <w:ind w:left="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Borders>
              <w:top w:val="single" w:sz="2" w:space="0" w:color="auto"/>
              <w:left w:val="single" w:sz="2" w:space="0" w:color="auto"/>
              <w:bottom w:val="single" w:sz="2" w:space="0" w:color="auto"/>
              <w:right w:val="single" w:sz="2" w:space="0" w:color="auto"/>
            </w:tcBorders>
            <w:hideMark/>
          </w:tcPr>
          <w:p>
            <w:pPr>
              <w:rPr>
                <w:noProof/>
                <w:sz w:val="20"/>
              </w:rPr>
            </w:pPr>
            <w:r>
              <w:rPr>
                <w:noProof/>
                <w:sz w:val="20"/>
              </w:rPr>
              <w:t>Длъжностни лица и срочно наети служители</w:t>
            </w:r>
          </w:p>
        </w:tc>
        <w:tc>
          <w:tcPr>
            <w:tcW w:w="7392" w:type="dxa"/>
            <w:tcBorders>
              <w:top w:val="single" w:sz="2" w:space="0" w:color="auto"/>
              <w:left w:val="single" w:sz="2" w:space="0" w:color="auto"/>
              <w:bottom w:val="single" w:sz="2" w:space="0" w:color="auto"/>
              <w:right w:val="single" w:sz="2" w:space="0" w:color="auto"/>
            </w:tcBorders>
          </w:tcPr>
          <w:p>
            <w:pPr>
              <w:rPr>
                <w:noProof/>
                <w:sz w:val="20"/>
              </w:rPr>
            </w:pP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rPr>
                <w:noProof/>
                <w:sz w:val="20"/>
              </w:rPr>
            </w:pPr>
            <w:r>
              <w:rPr>
                <w:noProof/>
                <w:sz w:val="20"/>
              </w:rPr>
              <w:t>Външен персонал</w:t>
            </w:r>
          </w:p>
        </w:tc>
        <w:tc>
          <w:tcPr>
            <w:tcW w:w="7392" w:type="dxa"/>
            <w:tcBorders>
              <w:top w:val="single" w:sz="2" w:space="0" w:color="auto"/>
              <w:left w:val="single" w:sz="2" w:space="0" w:color="auto"/>
              <w:bottom w:val="single" w:sz="2" w:space="0" w:color="auto"/>
              <w:right w:val="single" w:sz="2" w:space="0" w:color="auto"/>
            </w:tcBorders>
          </w:tcPr>
          <w:p>
            <w:pPr>
              <w:rPr>
                <w:noProof/>
                <w:sz w:val="20"/>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bCs/>
          <w:noProof/>
          <w:szCs w:val="24"/>
        </w:rPr>
      </w:pPr>
      <w:r>
        <w:t>3.2.3.</w:t>
      </w:r>
      <w:r>
        <w:tab/>
      </w:r>
      <w:r>
        <w:rPr>
          <w:noProof/>
        </w:rPr>
        <w:t xml:space="preserve">Финансов принос от трети страни </w:t>
      </w:r>
    </w:p>
    <w:p>
      <w:pPr>
        <w:pStyle w:val="Text1"/>
        <w:rPr>
          <w:noProof/>
        </w:rPr>
      </w:pPr>
      <w:r>
        <w:rPr>
          <w:noProof/>
        </w:rPr>
        <w:t>Предложението/инициативата:</w:t>
      </w:r>
    </w:p>
    <w:p>
      <w:pPr>
        <w:pStyle w:val="ListDash1"/>
        <w:rPr>
          <w:noProof/>
        </w:rPr>
      </w:pPr>
      <w:r>
        <w:rPr>
          <w:noProof/>
        </w:rPr>
        <w:sym w:font="Wingdings" w:char="F078"/>
      </w:r>
      <w:r>
        <w:rPr>
          <w:noProof/>
        </w:rPr>
        <w:t xml:space="preserve"> не предвижда съфинансиране от трети страни</w:t>
      </w:r>
    </w:p>
    <w:p>
      <w:pPr>
        <w:pStyle w:val="ListDash1"/>
        <w:rPr>
          <w:noProof/>
        </w:rPr>
      </w:pPr>
      <w:r>
        <w:rPr>
          <w:noProof/>
        </w:rPr>
        <w:sym w:font="Wingdings" w:char="F0A8"/>
      </w:r>
      <w:r>
        <w:rPr>
          <w:noProof/>
        </w:rPr>
        <w:t xml:space="preserve"> 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Години</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noProof/>
                <w:sz w:val="20"/>
              </w:rPr>
            </w:pPr>
            <w:r>
              <w:rPr>
                <w:b/>
                <w:noProof/>
                <w:sz w:val="20"/>
              </w:rPr>
              <w:t>2021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2022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2023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2024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 г.</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ОБЩО</w:t>
            </w: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rPr>
                <w:noProof/>
              </w:rPr>
            </w:pPr>
            <w:r>
              <w:rPr>
                <w:noProof/>
                <w:sz w:val="20"/>
              </w:rPr>
              <w:t>Да се посочи съфинансиращият орган</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spacing w:before="60" w:after="60"/>
              <w:jc w:val="left"/>
              <w:rPr>
                <w:noProof/>
                <w:sz w:val="20"/>
              </w:rPr>
            </w:pPr>
            <w:r>
              <w:rPr>
                <w:noProof/>
                <w:sz w:val="20"/>
              </w:rPr>
              <w:t xml:space="preserve">ОБЩО съфинансирани бюджетни кредити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noProof/>
        </w:rPr>
        <w:sym w:font="Wingdings" w:char="F0A8"/>
      </w:r>
      <w:r>
        <w:rPr>
          <w:noProof/>
        </w:rPr>
        <w:t xml:space="preserve"> Предложението/инициативата няма финансово отражение върху приходите.</w:t>
      </w:r>
    </w:p>
    <w:p>
      <w:pPr>
        <w:pStyle w:val="ListDash1"/>
        <w:rPr>
          <w:noProof/>
        </w:rPr>
      </w:pPr>
      <w:r>
        <w:rPr>
          <w:noProof/>
        </w:rPr>
        <w:sym w:font="Wingdings" w:char="F0A8"/>
      </w:r>
      <w:r>
        <w:rPr>
          <w:noProof/>
        </w:rPr>
        <w:t xml:space="preserve"> Предложението/инициативата има следното финансово отражение:</w:t>
      </w:r>
    </w:p>
    <w:p>
      <w:pPr>
        <w:pStyle w:val="ListNumberLevel3"/>
        <w:tabs>
          <w:tab w:val="clear" w:pos="2126"/>
        </w:tabs>
        <w:rPr>
          <w:noProof/>
        </w:rPr>
      </w:pPr>
      <w:r>
        <w:rPr>
          <w:noProof/>
        </w:rPr>
        <w:sym w:font="Wingdings" w:char="F0A8"/>
      </w:r>
      <w:r>
        <w:rPr>
          <w:noProof/>
        </w:rPr>
        <w:t xml:space="preserve"> върху собствените ресурси </w:t>
      </w:r>
    </w:p>
    <w:p>
      <w:pPr>
        <w:pStyle w:val="ListNumberLevel3"/>
        <w:tabs>
          <w:tab w:val="clear" w:pos="2126"/>
        </w:tabs>
        <w:rPr>
          <w:noProof/>
        </w:rPr>
      </w:pPr>
      <w:r>
        <w:rPr>
          <w:noProof/>
        </w:rPr>
        <w:sym w:font="Wingdings" w:char="F078"/>
      </w:r>
      <w:r>
        <w:rPr>
          <w:noProof/>
        </w:rPr>
        <w:t xml:space="preserve"> върху разните приходи </w:t>
      </w:r>
    </w:p>
    <w:p>
      <w:pPr>
        <w:jc w:val="right"/>
        <w:rPr>
          <w:noProof/>
        </w:rPr>
      </w:pPr>
      <w:r>
        <w:rPr>
          <w:noProof/>
        </w:rPr>
        <w:t xml:space="preserve">      Моля, посочете дали приходите са записани по разходни бюджетни редове</w:t>
      </w:r>
      <w:r>
        <w:rPr>
          <w:noProof/>
        </w:rPr>
        <w:sym w:font="Wingdings" w:char="F0A8"/>
      </w:r>
      <w:r>
        <w:rPr>
          <w:noProof/>
        </w:rPr>
        <w:t>.</w:t>
      </w:r>
      <w:r>
        <w:rPr>
          <w:noProof/>
        </w:rPr>
        <w:tab/>
      </w:r>
    </w:p>
    <w:p>
      <w:pPr>
        <w:jc w:val="right"/>
        <w:rPr>
          <w:i/>
          <w:noProof/>
          <w:sz w:val="20"/>
        </w:rPr>
      </w:pPr>
      <w:r>
        <w:rPr>
          <w:noProof/>
        </w:rPr>
        <w:t>В млн. евро (до третия знак след десетичната запетая)</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80"/>
        <w:gridCol w:w="900"/>
        <w:gridCol w:w="900"/>
        <w:gridCol w:w="1080"/>
        <w:gridCol w:w="1080"/>
        <w:gridCol w:w="1080"/>
        <w:gridCol w:w="1080"/>
      </w:tblGrid>
      <w:tr>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Приходен бюджетен ред:</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noProof/>
                <w:sz w:val="18"/>
              </w:rPr>
              <w:t>Отражение на предложението/инициативата</w:t>
            </w:r>
            <w:r>
              <w:rPr>
                <w:rStyle w:val="FootnoteReference"/>
                <w:noProof/>
                <w:sz w:val="18"/>
              </w:rPr>
              <w:footnoteReference w:id="16"/>
            </w:r>
          </w:p>
        </w:tc>
      </w:tr>
      <w:tr>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b/>
                <w:noProof/>
                <w:sz w:val="20"/>
              </w:rPr>
              <w:t>2021 г.</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 г.</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2025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2026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2027 г.</w:t>
            </w:r>
          </w:p>
        </w:tc>
      </w:tr>
      <w:tr>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67 01 &amp; 67 02</w:t>
            </w:r>
            <w:r>
              <w:rPr>
                <w:rStyle w:val="FootnoteReference"/>
                <w:noProof/>
                <w:sz w:val="18"/>
              </w:rPr>
              <w:footnoteReference w:id="17"/>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Освен редовете, посочени в законодателната финансова обосновка, придружаваща предложението на Комисията за ОСП за периода след 2020 г. (COM (2018) 392 final), по време на преходния период ще бъде засегнат следния бюджетен ред</w:t>
      </w:r>
    </w:p>
    <w:p>
      <w:pPr>
        <w:pStyle w:val="Text1"/>
        <w:pBdr>
          <w:top w:val="single" w:sz="4" w:space="1" w:color="auto"/>
          <w:left w:val="single" w:sz="4" w:space="4" w:color="auto"/>
          <w:bottom w:val="single" w:sz="4" w:space="1" w:color="auto"/>
          <w:right w:val="single" w:sz="4" w:space="4" w:color="auto"/>
        </w:pBdr>
        <w:rPr>
          <w:noProof/>
        </w:rPr>
      </w:pPr>
      <w:r>
        <w:rPr>
          <w:noProof/>
        </w:rPr>
        <w:t>08 02 YY — Директни плащания извън рамките на плана по ОСП</w:t>
      </w:r>
      <w:r>
        <w:t xml:space="preserve"> </w:t>
      </w: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С [...], [...] г., стр. [...].</w:t>
      </w:r>
    </w:p>
  </w:footnote>
  <w:footnote w:id="2">
    <w:p>
      <w:pPr>
        <w:pStyle w:val="FootnoteText"/>
      </w:pPr>
      <w:r>
        <w:rPr>
          <w:rStyle w:val="FootnoteReference"/>
        </w:rPr>
        <w:footnoteRef/>
      </w:r>
      <w:r>
        <w:tab/>
        <w:t>ОВ С [...], [...] г., стр. [...].</w:t>
      </w:r>
    </w:p>
  </w:footnote>
  <w:footnote w:id="3">
    <w:p>
      <w:pPr>
        <w:pStyle w:val="FootnoteText"/>
      </w:pPr>
      <w:r>
        <w:rPr>
          <w:rStyle w:val="FootnoteReference"/>
        </w:rPr>
        <w:footnoteRef/>
      </w:r>
      <w:r>
        <w:tab/>
        <w:t>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 20.12.2013 г., стр. 549).</w:t>
      </w:r>
    </w:p>
  </w:footnote>
  <w:footnote w:id="4">
    <w:p>
      <w:pPr>
        <w:pStyle w:val="FootnoteText"/>
      </w:pPr>
      <w:r>
        <w:rPr>
          <w:rStyle w:val="FootnoteReference"/>
        </w:rPr>
        <w:footnoteRef/>
      </w:r>
      <w:r>
        <w:tab/>
        <w:t>Регламент (ЕС, Евратом) № 1311/2013 на Съвета от 2 декември 2013 г. за определяне на многогодишната финансова рамка за годините 2014—2020 (ОВ L 347, 20.12.2013 г., стр. 884).</w:t>
      </w:r>
    </w:p>
  </w:footnote>
  <w:footnote w:id="5">
    <w:p>
      <w:pPr>
        <w:pStyle w:val="FootnoteText"/>
      </w:pPr>
      <w:r>
        <w:rPr>
          <w:rStyle w:val="FootnoteReference"/>
        </w:rPr>
        <w:footnoteRef/>
      </w:r>
      <w:r>
        <w:tab/>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 20.12.2013 г., стр. 608).</w:t>
      </w:r>
    </w:p>
  </w:footnote>
  <w:footnote w:id="6">
    <w:p>
      <w:pPr>
        <w:pStyle w:val="FootnoteText"/>
      </w:pPr>
      <w:r>
        <w:rPr>
          <w:rStyle w:val="FootnoteReference"/>
        </w:rPr>
        <w:footnoteRef/>
      </w:r>
      <w:r>
        <w:tab/>
        <w:t>Регламент (ЕС) 2019/288 на Европейския парламент и на Съвета от 13 февруари 2019 г. за изменение на Регламент (ЕС) № 1305/2013 и Регламент (ЕС) № 1307/2013 по отношение на някои правила за директните плащания и подпомагането на развитието на селските райони за 2019 г. и 2020 г. (ОВ L 53, 22.2.2019 г., стр. 14).</w:t>
      </w:r>
    </w:p>
  </w:footnote>
  <w:footnote w:id="7">
    <w:p>
      <w:pPr>
        <w:pStyle w:val="FootnoteText"/>
      </w:pPr>
      <w:r>
        <w:rPr>
          <w:rStyle w:val="FootnoteReference"/>
        </w:rPr>
        <w:footnoteRef/>
      </w:r>
      <w:r>
        <w:tab/>
        <w:t>СОМ(2018) 392 final.</w:t>
      </w:r>
    </w:p>
  </w:footnote>
  <w:footnote w:id="8">
    <w:p>
      <w:pPr>
        <w:pStyle w:val="FootnoteText"/>
        <w:rPr>
          <w:szCs w:val="24"/>
        </w:rPr>
      </w:pPr>
      <w:r>
        <w:rPr>
          <w:rStyle w:val="FootnoteReference"/>
        </w:rPr>
        <w:footnoteRef/>
      </w:r>
      <w:r>
        <w:tab/>
        <w:t>Съгласно член 58, параграф 2, буква а) или б) от Финансовия регламент.</w:t>
      </w:r>
    </w:p>
  </w:footnote>
  <w:footnote w:id="9">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rPr>
          <w:t>https://myintracomm.ec.europa.eu/budgweb/EN/man/budgmanag/Pages/budgmanag.aspx</w:t>
        </w:r>
      </w:hyperlink>
      <w:r>
        <w:t xml:space="preserve"> </w:t>
      </w:r>
    </w:p>
  </w:footnote>
  <w:footnote w:id="10">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1">
    <w:p>
      <w:pPr>
        <w:pStyle w:val="FootnoteText"/>
        <w:rPr>
          <w:szCs w:val="24"/>
        </w:rPr>
      </w:pPr>
      <w:r>
        <w:rPr>
          <w:rStyle w:val="FootnoteReference"/>
        </w:rPr>
        <w:footnoteRef/>
      </w:r>
      <w:r>
        <w:tab/>
        <w:t xml:space="preserve">ЕАСТ: Европейска асоциация за свободна търговия. </w:t>
      </w:r>
    </w:p>
  </w:footnote>
  <w:footnote w:id="12">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13">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14">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5">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6">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 w:id="17">
    <w:p>
      <w:pPr>
        <w:pStyle w:val="FootnoteText"/>
      </w:pPr>
      <w:r>
        <w:rPr>
          <w:rStyle w:val="FootnoteReference"/>
        </w:rPr>
        <w:footnoteRef/>
      </w:r>
      <w:r>
        <w:tab/>
        <w:t xml:space="preserve">Въздействието върху приходите понастоящем не може да се определи количествено. В рамките на проектобюджета за 2021 г. ще бъде направена първоначална оценка.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2CF4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DED0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5C82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5AB77C"/>
    <w:lvl w:ilvl="0">
      <w:start w:val="1"/>
      <w:numFmt w:val="bullet"/>
      <w:pStyle w:val="ListBullet4"/>
      <w:lvlText w:val=""/>
      <w:lvlJc w:val="left"/>
      <w:pPr>
        <w:tabs>
          <w:tab w:val="num" w:pos="1351"/>
        </w:tabs>
        <w:ind w:left="1351" w:hanging="360"/>
      </w:pPr>
      <w:rPr>
        <w:rFonts w:ascii="Symbol" w:hAnsi="Symbol" w:hint="default"/>
      </w:rPr>
    </w:lvl>
  </w:abstractNum>
  <w:abstractNum w:abstractNumId="4">
    <w:nsid w:val="FFFFFF82"/>
    <w:multiLevelType w:val="singleLevel"/>
    <w:tmpl w:val="BE9ACC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4D873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83A3856"/>
    <w:lvl w:ilvl="0">
      <w:start w:val="1"/>
      <w:numFmt w:val="decimal"/>
      <w:pStyle w:val="ListNumber"/>
      <w:lvlText w:val="%1."/>
      <w:lvlJc w:val="left"/>
      <w:pPr>
        <w:tabs>
          <w:tab w:val="num" w:pos="360"/>
        </w:tabs>
        <w:ind w:left="360" w:hanging="360"/>
      </w:pPr>
    </w:lvl>
  </w:abstractNum>
  <w:abstractNum w:abstractNumId="7">
    <w:nsid w:val="FFFFFF89"/>
    <w:multiLevelType w:val="singleLevel"/>
    <w:tmpl w:val="304C4D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6">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4"/>
    <w:lvlOverride w:ilvl="0">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20"/>
  </w:num>
  <w:num w:numId="19">
    <w:abstractNumId w:val="12"/>
  </w:num>
  <w:num w:numId="20">
    <w:abstractNumId w:val="22"/>
  </w:num>
  <w:num w:numId="21">
    <w:abstractNumId w:val="11"/>
  </w:num>
  <w:num w:numId="22">
    <w:abstractNumId w:val="13"/>
  </w:num>
  <w:num w:numId="23">
    <w:abstractNumId w:val="9"/>
  </w:num>
  <w:num w:numId="24">
    <w:abstractNumId w:val="21"/>
  </w:num>
  <w:num w:numId="25">
    <w:abstractNumId w:val="8"/>
  </w:num>
  <w:num w:numId="26">
    <w:abstractNumId w:val="14"/>
  </w:num>
  <w:num w:numId="27">
    <w:abstractNumId w:val="18"/>
  </w:num>
  <w:num w:numId="28">
    <w:abstractNumId w:val="19"/>
  </w:num>
  <w:num w:numId="29">
    <w:abstractNumId w:val="10"/>
  </w:num>
  <w:num w:numId="30">
    <w:abstractNumId w:val="17"/>
  </w:num>
  <w:num w:numId="31">
    <w:abstractNumId w:val="23"/>
  </w:num>
  <w:num w:numId="32">
    <w:abstractNumId w:val="20"/>
  </w:num>
  <w:num w:numId="33">
    <w:abstractNumId w:val="12"/>
  </w:num>
  <w:num w:numId="34">
    <w:abstractNumId w:val="22"/>
  </w:num>
  <w:num w:numId="35">
    <w:abstractNumId w:val="11"/>
  </w:num>
  <w:num w:numId="36">
    <w:abstractNumId w:val="13"/>
  </w:num>
  <w:num w:numId="37">
    <w:abstractNumId w:val="9"/>
  </w:num>
  <w:num w:numId="38">
    <w:abstractNumId w:val="21"/>
  </w:num>
  <w:num w:numId="39">
    <w:abstractNumId w:val="8"/>
  </w:num>
  <w:num w:numId="40">
    <w:abstractNumId w:val="14"/>
  </w:num>
  <w:num w:numId="41">
    <w:abstractNumId w:val="18"/>
  </w:num>
  <w:num w:numId="42">
    <w:abstractNumId w:val="19"/>
  </w:num>
  <w:num w:numId="43">
    <w:abstractNumId w:val="10"/>
  </w:num>
  <w:num w:numId="44">
    <w:abstractNumId w:val="17"/>
  </w:num>
  <w:num w:numId="45">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11 08:00: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D037649-20D8-41A5-9CD6-44DD3D32361C"/>
    <w:docVar w:name="LW_COVERPAGE_TYPE" w:val="1"/>
    <w:docVar w:name="LW_CROSSREFERENCE" w:val="&lt;UNUSED&gt;"/>
    <w:docVar w:name="LW_DocType" w:val="COM"/>
    <w:docVar w:name="LW_EMISSION" w:val="31.10.2019"/>
    <w:docVar w:name="LW_EMISSION_ISODATE" w:val="2019-10-31"/>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53"/>
    <w:docVar w:name="LW_REF.II.NEW.CP_YEAR" w:val="2019"/>
    <w:docVar w:name="LW_REF.INST.NEW" w:val="COM"/>
    <w:docVar w:name="LW_REF.INST.NEW_ADOPTED" w:val="final"/>
    <w:docVar w:name="LW_REF.INST.NEW_TEXT" w:val="(2019) 5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6/2013 \u1087?\u1086? \u1086?\u1090?\u1085?\u1086?\u1096?\u1077?\u1085?\u1080?\u1077? \u1085?\u1072? \u1092?\u1080?\u1085?\u1072?\u1085?\u1089?\u1086?\u1074?\u1072?\u1090?\u1072? \u1076?\u1080?\u1089?\u1094?\u1080?\u1087?\u1083?\u1080?\u1085?\u1072?, \u1089?\u1095?\u1080?\u1090?\u1072?\u1085?\u1086? \u1086?\u1090? \u1092?\u1080?\u1085?\u1072?\u1085?\u1089?\u1086?\u1074?\u1072?\u1090?\u1072? 2021 \u1075?\u1086?\u1076?\u1080?\u1085?\u1072?, \u1080? \u1085?\u1072? \u1056?\u1077?\u1075?\u1083?\u1072?\u1084?\u1077?\u1085?\u1090? (\u1045?\u1057?) \u8470? 1307/2013 \u1087?\u1086? \u1086?\u1090?\u1085?\u1086?\u1096?\u1077?\u1085?\u1080?\u1077? \u1085?\u1072? \u1075?\u1098?\u1074?\u1082?\u1072?\u1074?\u1086?\u1089?\u1090?\u1090?\u1072? \u1084?\u1077?\u1078?\u1076?\u1091? \u1089?\u1090?\u1098?\u1083?\u1073?\u1086?\u1074?\u1077?\u1090?\u1077?, \u1097?\u1086? \u1089?\u1077? \u1086?\u1090?\u1085?\u1072?\u1089?\u1103? \u1076?\u1086? \u1082?\u1072?\u1083?\u1077?\u1085?\u1076?\u1072?\u1088?\u1085?\u1072?\u1090?\u1072? 2020 \u1075?\u1086?\u1076?\u1080?\u1085?\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ListDash1">
    <w:name w:val="List Dash 1"/>
    <w:basedOn w:val="Normal"/>
    <w:pPr>
      <w:numPr>
        <w:numId w:val="14"/>
      </w:numPr>
    </w:pPr>
    <w:rPr>
      <w:rFonts w:eastAsia="Times New Roman"/>
      <w:lang w:eastAsia="en-GB"/>
    </w:rPr>
  </w:style>
  <w:style w:type="paragraph" w:customStyle="1" w:styleId="ListDash2">
    <w:name w:val="List Dash 2"/>
    <w:basedOn w:val="Normal"/>
    <w:pPr>
      <w:numPr>
        <w:numId w:val="15"/>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Legislative">
    <w:name w:val="Legislative"/>
    <w:basedOn w:val="NormalCentered"/>
    <w:pPr>
      <w:jc w:val="both"/>
    </w:pPr>
    <w:rPr>
      <w:b/>
      <w:i/>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ListDash1">
    <w:name w:val="List Dash 1"/>
    <w:basedOn w:val="Normal"/>
    <w:pPr>
      <w:numPr>
        <w:numId w:val="14"/>
      </w:numPr>
    </w:pPr>
    <w:rPr>
      <w:rFonts w:eastAsia="Times New Roman"/>
      <w:lang w:eastAsia="en-GB"/>
    </w:rPr>
  </w:style>
  <w:style w:type="paragraph" w:customStyle="1" w:styleId="ListDash2">
    <w:name w:val="List Dash 2"/>
    <w:basedOn w:val="Normal"/>
    <w:pPr>
      <w:numPr>
        <w:numId w:val="15"/>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Legislative">
    <w:name w:val="Legislative"/>
    <w:basedOn w:val="NormalCentered"/>
    <w:pPr>
      <w:jc w:val="both"/>
    </w:pPr>
    <w:rPr>
      <w:b/>
      <w:i/>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95800">
      <w:bodyDiv w:val="1"/>
      <w:marLeft w:val="0"/>
      <w:marRight w:val="0"/>
      <w:marTop w:val="0"/>
      <w:marBottom w:val="0"/>
      <w:divBdr>
        <w:top w:val="none" w:sz="0" w:space="0" w:color="auto"/>
        <w:left w:val="none" w:sz="0" w:space="0" w:color="auto"/>
        <w:bottom w:val="none" w:sz="0" w:space="0" w:color="auto"/>
        <w:right w:val="none" w:sz="0" w:space="0" w:color="auto"/>
      </w:divBdr>
    </w:div>
    <w:div w:id="762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7EF7BB-AA0B-40BC-86E5-47DF0E48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20</Pages>
  <Words>5853</Words>
  <Characters>34069</Characters>
  <Application>Microsoft Office Word</Application>
  <DocSecurity>0</DocSecurity>
  <Lines>1135</Lines>
  <Paragraphs>424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2019-09-12T13:06:00Z</cp:lastPrinted>
  <dcterms:created xsi:type="dcterms:W3CDTF">2019-11-08T15:19:00Z</dcterms:created>
  <dcterms:modified xsi:type="dcterms:W3CDTF">2019-11-11T07:00:00Z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_DocHome">
    <vt:i4>400712390</vt:i4>
  </property>
  <property fmtid="{D5CDD505-2E9C-101B-9397-08002B2CF9AE}" pid="11" name="DQCStatus">
    <vt:lpwstr>Green (DQC version 03)</vt:lpwstr>
  </property>
</Properties>
</file>