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6002A4-08A7-48FF-801F-7F5646FA4184" style="width:450.7pt;height:365.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de transport aérien entre la Communauté européenne et ses États membres, d'une part, et le Canada, d'autre part (ci-après l’«accord»)</w:t>
      </w:r>
      <w:r>
        <w:rPr>
          <w:rStyle w:val="FootnoteReference"/>
          <w:noProof/>
        </w:rPr>
        <w:footnoteReference w:id="1"/>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L'accord de transport aérien entre la Communauté européenne et ses États membres, d'une part, et le Canada, d'autre part</w:t>
      </w:r>
    </w:p>
    <w:p>
      <w:pPr>
        <w:rPr>
          <w:rFonts w:eastAsia="Arial Unicode MS"/>
          <w:noProof/>
        </w:rPr>
      </w:pPr>
      <w:r>
        <w:rPr>
          <w:noProof/>
        </w:rPr>
        <w:t xml:space="preserve">L’accord représente un accord global qui remplace les dispositions pertinentes des accords bilatéraux existants conclus par les États membres avec le Canada. L’accord supprime toutes les restrictions existantes concernant les droits des transporteurs aériens de l’Union et des transporteurs aériens canadiens d’exploiter des services aériens entre des points situés dans l’Union européenne et des points situés au Canada. À cet égard, l’accord supprime les obstacles qui empêchent des transporteurs aériens de l’Union de bénéficier du droit d’établissement dans l’Union, notamment le droit d’accès non discriminatoire au marché, en relation avec la fourniture de services aériens à destination et au départ du Canada. </w:t>
      </w:r>
    </w:p>
    <w:p>
      <w:pPr>
        <w:rPr>
          <w:rFonts w:eastAsia="Arial Unicode MS"/>
          <w:noProof/>
        </w:rPr>
      </w:pPr>
      <w:r>
        <w:rPr>
          <w:noProof/>
        </w:rPr>
        <w:t xml:space="preserve">L'accord est entré en vigueur le 16 mai 2019. </w:t>
      </w:r>
    </w:p>
    <w:p>
      <w:pPr>
        <w:pStyle w:val="ManualHeading2"/>
        <w:rPr>
          <w:noProof/>
        </w:rPr>
      </w:pPr>
      <w:r>
        <w:t>2.2.</w:t>
      </w:r>
      <w:r>
        <w:tab/>
      </w:r>
      <w:r>
        <w:rPr>
          <w:noProof/>
        </w:rPr>
        <w:t>Le comité mixte</w:t>
      </w:r>
    </w:p>
    <w:p>
      <w:pPr>
        <w:rPr>
          <w:rFonts w:eastAsia="Arial Unicode MS"/>
          <w:noProof/>
        </w:rPr>
      </w:pPr>
      <w:r>
        <w:rPr>
          <w:noProof/>
        </w:rPr>
        <w:t xml:space="preserve">Le comité mixte est institué par l’article 17 de l’accord. Ses tâches principales consistent à promouvoir la coopération entre les parties et à examiner toute question liée à la mise en œuvre de l’accord, notamment: a) en examinant les conditions des marchés qui ont une incidence sur les services aériens visés par l’accord; b) en échangeant des informations, y compris des avis sur les modifications des législations et politiques nationales qui ont une incidence sur l’accord; c) en examinant les domaines susceptibles d'être inclus dans l’accord, y compris en recommandant d’éventuels amendements à ce dernier; d) en recommandant les conditions, procédures et modifications nécessaires pour que les nouveaux États membres deviennent parties à l’accord; et e) en débattant de questions liées à l’investissement, à la propriété et au contrôle et en confirmant quand les conditions de l’ouverture progressive des droits de trafic exposée à l’annexe 2 de l’accord sont remplies. Le comité mixte développe également la coopération et promeut les échanges au niveau des experts sur de nouvelles initiatives législatives ou réglementaires. </w:t>
      </w:r>
    </w:p>
    <w:p>
      <w:pPr>
        <w:rPr>
          <w:rFonts w:eastAsia="Arial Unicode MS"/>
          <w:noProof/>
        </w:rPr>
      </w:pPr>
      <w:r>
        <w:rPr>
          <w:noProof/>
        </w:rPr>
        <w:t xml:space="preserve">Le comité mixte adopte des décisions dans les cas expressément prévus par l’accord et toutes les décisions sont prises par consensus. Le comité mixte adopte par décision son règlement intérieur. </w:t>
      </w:r>
    </w:p>
    <w:p>
      <w:pPr>
        <w:pStyle w:val="ManualHeading2"/>
        <w:rPr>
          <w:noProof/>
        </w:rPr>
      </w:pPr>
      <w:r>
        <w:t>2.3.</w:t>
      </w:r>
      <w:r>
        <w:tab/>
      </w:r>
      <w:r>
        <w:rPr>
          <w:noProof/>
        </w:rPr>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lastRenderedPageBreak/>
        <w:t>L’acte envisagé a pour objet l’adoption, conformément à l’article 17, paragraphe 8, de l’accord, du règlement intérieur qui sous-tend l'organisation du comité mixte afin de permettre la mise en œuvre de l’accord.</w:t>
      </w:r>
    </w:p>
    <w:p>
      <w:pPr>
        <w:pStyle w:val="ManualHeading1"/>
        <w:rPr>
          <w:rFonts w:eastAsia="Arial Unicode MS"/>
          <w:noProof/>
        </w:rPr>
      </w:pPr>
      <w:r>
        <w:t>3.</w:t>
      </w:r>
      <w:r>
        <w:tab/>
      </w:r>
      <w:r>
        <w:rPr>
          <w:noProof/>
        </w:rPr>
        <w:t>Position à prendre au nom de l'Union</w:t>
      </w:r>
    </w:p>
    <w:p>
      <w:pPr>
        <w:rPr>
          <w:noProof/>
        </w:rPr>
      </w:pPr>
      <w:r>
        <w:rPr>
          <w:noProof/>
        </w:rPr>
        <w:t>La position à prendre au nom de l’Union devrait viser l’adoption du règlement intérieur du comité mixte Canada/UE. Elle devrait se fonder sur le projet de décision du comité mixte.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i/>
          <w:noProof/>
        </w:rPr>
      </w:pPr>
      <w:r>
        <w:rPr>
          <w:noProof/>
        </w:rPr>
        <w:t xml:space="preserve">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t>4.1.2.</w:t>
      </w:r>
      <w:r>
        <w:tab/>
      </w:r>
      <w:r>
        <w:rPr>
          <w:noProof/>
        </w:rPr>
        <w:t>Application en l’espèce</w:t>
      </w:r>
    </w:p>
    <w:p>
      <w:pPr>
        <w:rPr>
          <w:noProof/>
        </w:rPr>
      </w:pPr>
      <w:r>
        <w:rPr>
          <w:noProof/>
        </w:rPr>
        <w:t>Le comité mixte est une instance créée par un accord, à savoir l’accord de transport aérien entre la Communauté européenne et ses États membres, d'une part, et le Canada, d'autre part.</w:t>
      </w:r>
    </w:p>
    <w:p>
      <w:pPr>
        <w:rPr>
          <w:noProof/>
        </w:rPr>
      </w:pPr>
      <w:r>
        <w:rPr>
          <w:noProof/>
        </w:rPr>
        <w:t xml:space="preserve">L’acte que le comité mixte est appelé à adopter est un acte ayant des effets juridiques, puisqu’il impose aux parties des obligations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t>5.</w:t>
      </w:r>
      <w:r>
        <w:tab/>
      </w:r>
      <w:r>
        <w:rPr>
          <w:noProof/>
        </w:rPr>
        <w:t>Publication de l’acte envisagé</w:t>
      </w:r>
    </w:p>
    <w:p>
      <w:pPr>
        <w:rPr>
          <w:noProof/>
        </w:rPr>
      </w:pPr>
      <w:r>
        <w:rPr>
          <w:noProof/>
        </w:rPr>
        <w:t>Étant donné que le comité mixte adoptera son règlement intérieur, il y a lieu de le publier au Journal officiel de l’Union européenne après son adoption.</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au sein du comité mixte institué par l’accord de transport aérien entre la Communauté européenne et ses États membres, d'une part, et le Canada,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transport aérien entre la Communauté européenne et ses États membres, d'une part, et le Canada, d'autre part (l’«accord») a été conclu par l’Union au moyen de la décision (UE) 2019/702</w:t>
      </w:r>
      <w:r>
        <w:rPr>
          <w:rStyle w:val="FootnoteReference"/>
          <w:noProof/>
        </w:rPr>
        <w:footnoteReference w:id="2"/>
      </w:r>
      <w:r>
        <w:rPr>
          <w:noProof/>
        </w:rPr>
        <w:t xml:space="preserve"> du Conseil et est entré en vigueur le 16 mai 2019. </w:t>
      </w:r>
    </w:p>
    <w:p>
      <w:pPr>
        <w:pStyle w:val="ManualConsidrant"/>
        <w:rPr>
          <w:noProof/>
        </w:rPr>
      </w:pPr>
      <w:r>
        <w:t>(2)</w:t>
      </w:r>
      <w:r>
        <w:tab/>
      </w:r>
      <w:r>
        <w:rPr>
          <w:noProof/>
        </w:rPr>
        <w:t>L'accord institue, en son article 17, un comité mixte chargé de veiller au bon fonctionnement et à la mise en œuvre appropriée de l'accord.</w:t>
      </w:r>
    </w:p>
    <w:p>
      <w:pPr>
        <w:pStyle w:val="ManualConsidrant"/>
        <w:rPr>
          <w:noProof/>
        </w:rPr>
      </w:pPr>
      <w:r>
        <w:t>(3)</w:t>
      </w:r>
      <w:r>
        <w:tab/>
      </w:r>
      <w:r>
        <w:rPr>
          <w:noProof/>
        </w:rPr>
        <w:t>L'article 17, paragraphe 8, de l'accord prévoit que le comité mixte adopte son règlement intérieur.</w:t>
      </w:r>
    </w:p>
    <w:p>
      <w:pPr>
        <w:pStyle w:val="ManualConsidrant"/>
        <w:rPr>
          <w:noProof/>
        </w:rPr>
      </w:pPr>
      <w:r>
        <w:t>(4)</w:t>
      </w:r>
      <w:r>
        <w:tab/>
      </w:r>
      <w:r>
        <w:rPr>
          <w:noProof/>
        </w:rPr>
        <w:t>Afin de garantir la mise en œuvre effective de l'accord, il convient d'adopter le règlement intérieur du comité mixte.</w:t>
      </w:r>
    </w:p>
    <w:p>
      <w:pPr>
        <w:pStyle w:val="ManualConsidrant"/>
        <w:rPr>
          <w:noProof/>
        </w:rPr>
      </w:pPr>
      <w:r>
        <w:t>(5)</w:t>
      </w:r>
      <w:r>
        <w:tab/>
      </w:r>
      <w:r>
        <w:rPr>
          <w:noProof/>
        </w:rPr>
        <w:t>Il convient, dès lors, que la position de l'Union au sein du comité mixte soit fondée sur le projet de décision ci-joint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17 de l’accord de transport aérien entre la Communauté européenne et ses États membres, d'une part, et le Canada, d'autre part, en ce qui concerne l’adoption du règlement intérieur du comité mixte, est fondée sur le projet de décision du comité mixte joint à la présente décision.</w:t>
      </w:r>
    </w:p>
    <w:p>
      <w:pPr>
        <w:pStyle w:val="Titrearticle"/>
        <w:rPr>
          <w:noProof/>
        </w:rPr>
      </w:pPr>
      <w:r>
        <w:rPr>
          <w:noProof/>
        </w:rPr>
        <w:lastRenderedPageBreak/>
        <w:t>Article 2</w:t>
      </w:r>
    </w:p>
    <w:p>
      <w:pPr>
        <w:pStyle w:val="Titrearticle"/>
        <w:jc w:val="both"/>
        <w:rPr>
          <w:noProof/>
        </w:rPr>
      </w:pPr>
      <w:r>
        <w:rPr>
          <w:i w:val="0"/>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Décision (UE) 2019/702 du Conseil du 15 avril 2019 concernant la conclusion, au nom de l'Union, de l'accord de transport aérien entre la Communauté européenne et ses États membres, d'une part, et le Canada, d'autre part. </w:t>
      </w:r>
      <w:r>
        <w:rPr>
          <w:rStyle w:val="Emphasis"/>
        </w:rPr>
        <w:t>JO L 120 du 8.5.2019, p. 1.</w:t>
      </w:r>
    </w:p>
  </w:footnote>
  <w:footnote w:id="2">
    <w:p>
      <w:pPr>
        <w:pStyle w:val="FootnoteText"/>
      </w:pPr>
      <w:r>
        <w:rPr>
          <w:rStyle w:val="FootnoteReference"/>
        </w:rPr>
        <w:footnoteRef/>
      </w:r>
      <w:r>
        <w:tab/>
        <w:t>JO L 120 du 8.5.2019,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7 11:08: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6002A4-08A7-48FF-801F-7F5646FA4184"/>
    <w:docVar w:name="LW_COVERPAGE_TYPE" w:val="1"/>
    <w:docVar w:name="LW_CROSSREFERENCE" w:val="&lt;UNUSED&gt;"/>
    <w:docVar w:name="LW_DocType" w:val="COM"/>
    <w:docVar w:name="LW_EMISSION" w:val="14.11.2019"/>
    <w:docVar w:name="LW_EMISSION_ISODATE" w:val="2019-11-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0"/>
    <w:docVar w:name="LW_REF.II.NEW.CP_YEAR" w:val="2019"/>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au sein du comité mixte institué par l\u8217?accord de transport aérien entre la Communauté européenne et ses États membres, d'une part, et le Canada,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3404157F-7AED-4C22-9EFE-B08674DA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1211</Words>
  <Characters>6520</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2019-10-24T12:32:00Z</dcterms:created>
  <dcterms:modified xsi:type="dcterms:W3CDTF">2019-11-07T10:08:00Z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