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CD289B-597A-44CF-9CB3-C91C8BB9ABC5" style="width:450.7pt;height:365.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за въздушен транспорт между Канада и Европейската общност и нейните държави членки (наричано по-нататък „споразумението“)</w:t>
      </w:r>
      <w:r>
        <w:rPr>
          <w:rStyle w:val="FootnoteReference"/>
          <w:noProof/>
        </w:rPr>
        <w:footnoteReference w:id="1"/>
      </w:r>
      <w:r>
        <w:rPr>
          <w:noProof/>
        </w:rPr>
        <w:t>.</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въздушен транспорт между Канада и Европейската общност и нейните държави членки</w:t>
      </w:r>
    </w:p>
    <w:p>
      <w:pPr>
        <w:rPr>
          <w:rFonts w:eastAsia="Arial Unicode MS"/>
          <w:noProof/>
        </w:rPr>
      </w:pPr>
      <w:r>
        <w:rPr>
          <w:noProof/>
        </w:rPr>
        <w:t xml:space="preserve">Споразумението представлява всеобхватно споразумение, което заменя съответните разпоредби на съществуващите двустранни споразумения, сключени от държавите членки с Канада. Със споразумението се премахват всички съществуващи ограничения върху правата както на въздушните превозвачи от Съюза, така и на канадските въздушни превозвачи да извършват дейност между точки в Европейския съюз и точки в Канада. В това отношение със споразумението се премахват пречките пред възможността въздушните превозвачи от Съюза да се ползват от правото на установяване в рамките на Съюза, включително правото на недискриминационен достъп до пазара във връзка с предоставянето на въздухоплавателни услуги към и от Канада. </w:t>
      </w:r>
    </w:p>
    <w:p>
      <w:pPr>
        <w:rPr>
          <w:rFonts w:eastAsia="Arial Unicode MS"/>
          <w:noProof/>
        </w:rPr>
      </w:pPr>
      <w:r>
        <w:rPr>
          <w:noProof/>
        </w:rPr>
        <w:t xml:space="preserve">Споразумението влезе в сила на 16 май 2019 г. </w:t>
      </w:r>
    </w:p>
    <w:p>
      <w:pPr>
        <w:pStyle w:val="ManualHeading2"/>
        <w:rPr>
          <w:noProof/>
        </w:rPr>
      </w:pPr>
      <w:r>
        <w:t>2.2.</w:t>
      </w:r>
      <w:r>
        <w:tab/>
      </w:r>
      <w:r>
        <w:rPr>
          <w:noProof/>
        </w:rPr>
        <w:t>Съвместен комитет</w:t>
      </w:r>
    </w:p>
    <w:p>
      <w:pPr>
        <w:rPr>
          <w:rFonts w:eastAsia="Arial Unicode MS"/>
          <w:noProof/>
        </w:rPr>
      </w:pPr>
      <w:r>
        <w:rPr>
          <w:noProof/>
        </w:rPr>
        <w:t xml:space="preserve">Съвместният комитет е създаден съгласно член 17 от споразумението. Неговите основни задачи са да насърчава сътрудничеството между страните и да разглежда всички въпроси, свързани с функционирането или прилагането на настоящото споразумение, включително, но не само: а) преглед на пазарните условия, които оказват въздействие върху въздухоплавателните услуги по настоящото споразумение; б) обмен на информация, включително консултации относно промени в националното законодателство и политики, които засягат споразумението; в) обсъждане на потенциалните области за по-нататъшно развитие на споразумението, включително препоръки за изменения в него; г) отправяне на препоръки за условия, процедури и изменения, необходими за да могат новите държави членки да станат страни по споразумението; и д) обсъждане на въпроси, свързани с инвестициите, собствеността и контрола, и потвърждаване, когато са изпълнени условията за постепенно отваряне на правата за въздушни превози, както е посочено в приложение 2 към споразумението. Съвместният комитет също така развива сътрудничеството и насърчава експертния обмен по нови законодателни или регулаторни инициативи. </w:t>
      </w:r>
    </w:p>
    <w:p>
      <w:pPr>
        <w:rPr>
          <w:rFonts w:eastAsia="Arial Unicode MS"/>
          <w:noProof/>
        </w:rPr>
      </w:pPr>
      <w:r>
        <w:rPr>
          <w:noProof/>
        </w:rPr>
        <w:t xml:space="preserve">Той приема решения, когато това е изрично предвидено в споразумението, и всички решения се вземат с консенсус. Съвместният комитет приема с решение свой собствен процедурен правилник. </w:t>
      </w:r>
    </w:p>
    <w:p>
      <w:pPr>
        <w:pStyle w:val="ManualHeading2"/>
        <w:rPr>
          <w:noProof/>
        </w:rPr>
      </w:pPr>
      <w:r>
        <w:lastRenderedPageBreak/>
        <w:t>2.3.</w:t>
      </w:r>
      <w:r>
        <w:tab/>
      </w:r>
      <w:r>
        <w:rPr>
          <w:noProof/>
        </w:rPr>
        <w:t>Предвиденият акт на съвместния комитет</w:t>
      </w:r>
    </w:p>
    <w:p>
      <w:pPr>
        <w:rPr>
          <w:rFonts w:eastAsia="Arial Unicode MS"/>
          <w:noProof/>
        </w:rPr>
      </w:pPr>
      <w:r>
        <w:rPr>
          <w:noProof/>
        </w:rPr>
        <w:t xml:space="preserve">На първото си заседание съвместният комитет следва да приеме решение относно приемането на своя процедурен правилник (наричан по-нататък „предвиденият акт“). </w:t>
      </w:r>
    </w:p>
    <w:p>
      <w:pPr>
        <w:rPr>
          <w:rFonts w:eastAsia="Arial Unicode MS"/>
          <w:noProof/>
        </w:rPr>
      </w:pPr>
      <w:r>
        <w:rPr>
          <w:noProof/>
        </w:rPr>
        <w:t>Целта на предвидения акт е, в съответствие с член 17, параграф 8 от споразумението, да бъдат приети процедурният правилник за организацията на съвместния комитет, за да се даде възможност за прилагане на споразумението.</w:t>
      </w:r>
    </w:p>
    <w:p>
      <w:pPr>
        <w:pStyle w:val="ManualHeading1"/>
        <w:rPr>
          <w:rFonts w:eastAsia="Arial Unicode MS"/>
          <w:noProof/>
        </w:rPr>
      </w:pPr>
      <w:r>
        <w:t>3.</w:t>
      </w:r>
      <w:r>
        <w:tab/>
      </w:r>
      <w:r>
        <w:rPr>
          <w:noProof/>
        </w:rPr>
        <w:t>Позиция, която да трябва да се заеме от името на Съюза</w:t>
      </w:r>
    </w:p>
    <w:p>
      <w:pPr>
        <w:rPr>
          <w:noProof/>
        </w:rPr>
      </w:pPr>
      <w:r>
        <w:rPr>
          <w:noProof/>
        </w:rPr>
        <w:t>Позицията, която да се заеме от името на Съюза, следва да има за цел приемането на процедурния правилник на съвместния комитет Канада—ЕС. Позицията следва да се основава на проекта на решение на съвместния комитет.</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i/>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t>4.1.2.</w:t>
      </w:r>
      <w:r>
        <w:tab/>
      </w:r>
      <w:r>
        <w:rPr>
          <w:noProof/>
        </w:rPr>
        <w:t>Приложение в конкретния случай</w:t>
      </w:r>
    </w:p>
    <w:p>
      <w:pPr>
        <w:rPr>
          <w:noProof/>
        </w:rPr>
      </w:pPr>
      <w:r>
        <w:rPr>
          <w:noProof/>
        </w:rPr>
        <w:t>Съвместният комитет е орган, създаден със споразумение, а именно Споразумението за въздушен транспорт между Канада и Европейската общност и нейните държави членки.</w:t>
      </w:r>
    </w:p>
    <w:p>
      <w:pPr>
        <w:rPr>
          <w:noProof/>
        </w:rPr>
      </w:pPr>
      <w:r>
        <w:rPr>
          <w:noProof/>
        </w:rPr>
        <w:t>Актът, който съвместният комитет има за задача да приеме, е</w:t>
      </w:r>
      <w:r>
        <w:rPr>
          <w:noProof/>
          <w:color w:val="FF0000"/>
        </w:rPr>
        <w:t xml:space="preserve"> </w:t>
      </w:r>
      <w:r>
        <w:rPr>
          <w:noProof/>
        </w:rPr>
        <w:t xml:space="preserve">акт с правно действие, тъй като налага на страните задължения по силата на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Предвид горепосоченото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въздушния транспорт.</w:t>
      </w:r>
    </w:p>
    <w:p>
      <w:pPr>
        <w:rPr>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Тъй като с акта на съвместния комитет ще се определи неговият процедурен правилник, целесъобразно е след приемането му той да се публикува в Официален вестник на Европейския съюз.</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със Споразумението за въздушен транспорт между Канада и Европейската общност и нейните държави членки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въздушен транспорт между Канада и Европейската общност и нейните държави членки (наричано по-нататък „споразумението“) беше сключено от Съюза с Решение (ЕС) 2019/702 на Съвета</w:t>
      </w:r>
      <w:r>
        <w:rPr>
          <w:rStyle w:val="FootnoteReference"/>
          <w:noProof/>
        </w:rPr>
        <w:footnoteReference w:id="2"/>
      </w:r>
      <w:r>
        <w:rPr>
          <w:noProof/>
        </w:rPr>
        <w:t xml:space="preserve"> и влезе в сила на 16 май 2019 г. </w:t>
      </w:r>
    </w:p>
    <w:p>
      <w:pPr>
        <w:pStyle w:val="ManualConsidrant"/>
        <w:rPr>
          <w:noProof/>
        </w:rPr>
      </w:pPr>
      <w:r>
        <w:t>(2)</w:t>
      </w:r>
      <w:r>
        <w:tab/>
      </w:r>
      <w:r>
        <w:rPr>
          <w:noProof/>
        </w:rPr>
        <w:t>С член 17 от споразумението се създава съвместен комитет, който гарантира правилното действие и прилагане на споразумението.</w:t>
      </w:r>
    </w:p>
    <w:p>
      <w:pPr>
        <w:pStyle w:val="ManualConsidrant"/>
        <w:rPr>
          <w:noProof/>
        </w:rPr>
      </w:pPr>
      <w:r>
        <w:t>(3)</w:t>
      </w:r>
      <w:r>
        <w:tab/>
      </w:r>
      <w:r>
        <w:rPr>
          <w:noProof/>
        </w:rPr>
        <w:t>В член 17, параграф 8 от споразумението се предвижда, че съвместният комитет трябва да приеме свой процедурен правилник.</w:t>
      </w:r>
    </w:p>
    <w:p>
      <w:pPr>
        <w:pStyle w:val="ManualConsidrant"/>
        <w:rPr>
          <w:noProof/>
        </w:rPr>
      </w:pPr>
      <w:r>
        <w:t>(4)</w:t>
      </w:r>
      <w:r>
        <w:tab/>
      </w:r>
      <w:r>
        <w:rPr>
          <w:noProof/>
        </w:rPr>
        <w:t>С цел да се гарантира ефективното прилагане на споразумението, процедурният правилник на съвместния комитет следва да бъде приет.</w:t>
      </w:r>
    </w:p>
    <w:p>
      <w:pPr>
        <w:pStyle w:val="ManualConsidrant"/>
        <w:rPr>
          <w:noProof/>
        </w:rPr>
      </w:pPr>
      <w:r>
        <w:t>(5)</w:t>
      </w:r>
      <w:r>
        <w:tab/>
      </w:r>
      <w:r>
        <w:rPr>
          <w:noProof/>
        </w:rPr>
        <w:t>Следователно позицията на Съюза в рамките на съвместния комитет следва да се основава на приложения проект на решение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първото заседание на съвместния комитет, създаден с член 17 от Споразумението за въздушен транспорт между Канада и Европейската общност и нейните държави членки, във връзка с приемането на процедурния правилник на съвместния комитет, се основава на проекта на решение на съвместния комитет, приложен към настоящото решение.</w:t>
      </w:r>
    </w:p>
    <w:p>
      <w:pPr>
        <w:pStyle w:val="Titrearticle"/>
        <w:rPr>
          <w:noProof/>
        </w:rPr>
      </w:pPr>
      <w:r>
        <w:rPr>
          <w:noProof/>
        </w:rPr>
        <w:lastRenderedPageBreak/>
        <w:t>Член 2</w:t>
      </w:r>
    </w:p>
    <w:p>
      <w:pPr>
        <w:pStyle w:val="Titrearticle"/>
        <w:jc w:val="both"/>
        <w:rPr>
          <w:noProof/>
        </w:rPr>
      </w:pPr>
      <w:r>
        <w:rPr>
          <w:i w:val="0"/>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Решение (ЕС) 2019/702 на Съвета от 15 април 2019 година относно сключването, от името на Съюза, на Споразумението за въздушен транспорт между Европейската общност и нейните държави членки, от една страна, и Канада, от друга страна </w:t>
      </w:r>
      <w:r>
        <w:rPr>
          <w:rStyle w:val="Emphasis"/>
        </w:rPr>
        <w:t>ОВ L 120, 8.5.2019 г., стр. 1—2.</w:t>
      </w:r>
    </w:p>
  </w:footnote>
  <w:footnote w:id="2">
    <w:p>
      <w:pPr>
        <w:pStyle w:val="FootnoteText"/>
      </w:pPr>
      <w:r>
        <w:rPr>
          <w:rStyle w:val="FootnoteReference"/>
        </w:rPr>
        <w:footnoteRef/>
      </w:r>
      <w:r>
        <w:tab/>
        <w:t>ОВ L 120, 8.5.2019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7 11:06: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CD289B-597A-44CF-9CB3-C91C8BB9ABC5"/>
    <w:docVar w:name="LW_COVERPAGE_TYPE" w:val="1"/>
    <w:docVar w:name="LW_CROSSREFERENCE" w:val="&lt;UNUSED&gt;"/>
    <w:docVar w:name="LW_DocType" w:val="COM"/>
    <w:docVar w:name="LW_EMISSION" w:val="14.11.2019"/>
    <w:docVar w:name="LW_EMISSION_ISODATE" w:val="2019-11-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0"/>
    <w:docVar w:name="LW_REF.II.NEW.CP_YEAR" w:val="2019"/>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74?\u1084?\u1077?\u1089?\u1090?\u1085?\u1080?\u1103? \u1082?\u1086?\u1084?\u1080?\u1090?\u1077?\u1090?, \u1089?\u1098?\u1079?\u1076?\u1072?\u1076?\u1077?\u1085? \u1089?\u1098?\u1089? \u1057?\u1087?\u1086?\u1088?\u1072?\u1079?\u1091?\u1084?\u1077?\u1085?\u1080?\u1077?\u1090?\u1086? \u1079?\u1072? \u1074?\u1098?\u1079?\u1076?\u1091?\u1096?\u1077?\u1085? \u1090?\u1088?\u1072?\u1085?\u1089?\u1087?\u1086?\u1088?\u1090? \u1084?\u1077?\u1078?\u1076?\u1091? \u1050?\u1072?\u1085?\u1072?\u1076?\u1072? \u1080? \u1045?\u1074?\u1088?\u1086?\u1087?\u1077?\u1081?\u1089?\u1082?\u1072?\u1090?\u1072? \u1086?\u1073?\u1097?\u1085?\u1086?\u1089?\u1090? \u1080? \u1085?\u1077?\u1081?\u1085?\u1080?\u1090?\u1077? \u1076?\u1098?\u1088?\u1078?\u1072?\u1074?\u1080? \u1095?\u1083?\u1077?\u1085?\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D95C35C-7331-4384-86E4-489B3473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1113</Words>
  <Characters>6590</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2019-11-04T13:30:00Z</dcterms:created>
  <dcterms:modified xsi:type="dcterms:W3CDTF">2019-11-07T10:06:00Z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