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7B031265-51EF-4BF9-BF67-B36627A88A9E" style="width:450.9pt;height:406.8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Съгласно член 6, параграф 2 от Акта за присъединяване, Хърватия се задължава да се присъедини към споразуменията, сключени или подписани от Съюза и държавите членки с трети държави. Сред тези споразумения е Споразумението за въздушен транспорт между Съединените американски щати, Европейския съюз и неговите държави членки, Исландия и Норвегия („четиристранното споразумение“), с което се разширява обхватът на Споразумението за въздушен транспорт между Съединените американски щати и Европейската общност и нейните държави членки („СВТ между ЕС и САЩ“), така че да включи тези държави.</w:t>
      </w:r>
    </w:p>
    <w:p>
      <w:pPr>
        <w:rPr>
          <w:noProof/>
        </w:rPr>
      </w:pPr>
      <w:r>
        <w:rPr>
          <w:noProof/>
        </w:rPr>
        <w:t>В тази разпоредба освен това се предвижда, че присъединяването на Хърватия към тези споразумения се договаря чрез сключване на протокол към споразуменията между Съвета, действащ с единодушие от името на държавите членки, и съответните трети държави. Освен това Комисията договаря тези протоколи от името на държавите членки.</w:t>
      </w:r>
    </w:p>
    <w:p>
      <w:pPr>
        <w:rPr>
          <w:noProof/>
        </w:rPr>
      </w:pPr>
      <w:r>
        <w:rPr>
          <w:noProof/>
        </w:rPr>
        <w:t>Комисията съответно договори Протокол за изменение на четиристранното споразумение, за да се осигури присъединяването на Хърватия към него.</w:t>
      </w:r>
    </w:p>
    <w:p>
      <w:pPr>
        <w:rPr>
          <w:noProof/>
        </w:rPr>
      </w:pPr>
      <w:r>
        <w:rPr>
          <w:noProof/>
        </w:rPr>
        <w:t>Целта на настоящото предложение е Съветът да вземе решение въз основа на член 218, параграф 6, буква а) от Договора за функционирането на Европейския съюз и член 6, параграф 2 от Акта за присъединяване, за сключването на Протокола от името на Съюза и на държавите членки след неговото подписване.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Общ контекст</w:t>
      </w:r>
    </w:p>
    <w:p>
      <w:pPr>
        <w:rPr>
          <w:noProof/>
        </w:rPr>
      </w:pPr>
      <w:r>
        <w:rPr>
          <w:noProof/>
        </w:rPr>
        <w:t>Задължението на Хърватия съгласно член 6, параграф 2 от Акта за присъединяване се отнася също така до СВТ между ЕС и САЩ и Допълнително споразумение между Европейския съюз и неговите държави членки, Исландия и Норвегия, с което се уреждат отношенията между тези страни по четиристранното споразумение.</w:t>
      </w:r>
    </w:p>
    <w:p>
      <w:pPr>
        <w:rPr>
          <w:noProof/>
        </w:rPr>
      </w:pPr>
      <w:r>
        <w:rPr>
          <w:noProof/>
        </w:rPr>
        <w:t xml:space="preserve">Комисията съответно договори протоколи също и за изменение на тези споразумения, за да се осигури присъединяването на Хърватия към тях. Предложенията за решения на Съвета относно подписването и временното прилагане, както и за сключването на тези протоколи, са представени едновременно с настоящото предложение, а също и предложението за решение на Съвета относно подписването и временното прилагане на Протокола за изменение на четиристранното споразумение. </w:t>
      </w:r>
    </w:p>
    <w:p>
      <w:pPr>
        <w:rPr>
          <w:noProof/>
        </w:rPr>
      </w:pP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 действащите разпоредби в тази област на политиката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>СВП между ЕС и САЩ беше първото всеобхватно споразумение за въздушен транспорт с ключов партньор на Съюза. То е най-важното споразумение за въздушен транспорт в света, осигуряващо над 80 милиона места годишно, и съответно представлява крайъгълен камък на външната политика на ЕС в областта на въздухоплаването. Значението му нарасна с разширяването му към Исландия и Норвегия чрез четиристранното споразумение. Протоколът ще даде възможност на Хърватия да се възползва от това споразумение.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със съществуващите разпоредби в областта на предложението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 xml:space="preserve">Протоколът дава възможност на Хърватия да изпълни задължението си по член 6, параграф 2 от Акта за присъединяване да се присъедини към четиристранното споразумение. 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Правно основание</w:t>
      </w:r>
    </w:p>
    <w:p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</w:rPr>
        <w:t xml:space="preserve">Член 100, параграф 2 във връзка с член 218, параграф 6, буква а) от ДФЕС и член 6, параграф 2, втора алинея от Акта за присъединяване.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 xml:space="preserve">Субсидиарност (при неизключителна компетентност) </w:t>
      </w:r>
    </w:p>
    <w:p>
      <w:pPr>
        <w:pStyle w:val="Text1"/>
        <w:spacing w:before="100" w:beforeAutospacing="1" w:after="100" w:afterAutospacing="1"/>
        <w:ind w:left="0"/>
        <w:rPr>
          <w:noProof/>
        </w:rPr>
      </w:pPr>
      <w:r>
        <w:rPr>
          <w:noProof/>
        </w:rPr>
        <w:t xml:space="preserve"> Протоколът дава възможност на Хърватия да се възползва от четиристранното споразумение, създава равноправни и еднакви условия за достъп до пазара и служи като основа за нови договорености за регулаторно сътрудничество и сближаване в области от съществено значение за безопасното, сигурно и ефективно осъществяване на въздухоплавателни услуги. Тези договорености могат да бъдат постигнати само на равнището на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  <w:color w:val="000000"/>
          <w:szCs w:val="24"/>
        </w:rPr>
      </w:pPr>
      <w:r>
        <w:rPr>
          <w:noProof/>
        </w:rPr>
        <w:t xml:space="preserve">Протоколът е ограничен до разглеждания въпрос, а именно присъединяване на Хърватия към четиристранното споразумение, и не засяга други въпроси.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  <w:szCs w:val="24"/>
        </w:rPr>
      </w:pPr>
      <w:r>
        <w:rPr>
          <w:noProof/>
        </w:rPr>
        <w:t>Международно споразумение.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  <w:u w:color="000000"/>
          <w:bdr w:val="nil"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Предложението няма отражение върху бюджета на Съюза.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spacing w:before="100" w:beforeAutospacing="1" w:after="100" w:afterAutospacing="1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 xml:space="preserve">Обобщение на предложеното споразумение 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Протоколът се състои от основна част, в която се предвижда присъединяването на Хърватия към четиристранното споразумение и последващите му изменения, както и съвместна декларация за заверяване на допълнителни езикови версии.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2019/0261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 от името на Европейския съюз и неговите държави членки на Протокола за изменение на Споразумението за въздушен транспорт между Съединените американски щати, от една страна, и Европейския съюз и неговите държави членки, от друга страна, Исландия, от трета страна, и Кралство Норвегия, от четвърта страна, подписано на 16 и 21 юни 2011 г., за да се вземе предвид присъединяването към Европейския съюз на Република Хърватия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100, параграф 2 във връзка с член 218, параграф 6, буква а) от него,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 на Хърватия, и по-специално член 6, параграф 2, втора алинея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съгласно Решение [   ] на Съвета Протоколът за изменение на Споразумението за въздушен транспорт между Съединените американски щати, от една страна, и Европейския съюз и неговите държави членки, от друга страна, Исландия, от трета страна, и Кралство Норвегия, от четвърта страна, подписан на 16 и 21 юни 2011 г., за да се вземе предвид присъединяването към Европейския съюз на Република Хърватия („Протоколът“) беше подписан на [   ], при условие че бъде сключен на по-късна дата.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Протоколът следва да бъде одобрен от името на Съюза и неговите държави членки,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spacing w:before="120"/>
        <w:outlineLvl w:val="0"/>
        <w:rPr>
          <w:noProof/>
        </w:rPr>
      </w:pPr>
      <w:r>
        <w:rPr>
          <w:noProof/>
        </w:rPr>
        <w:t>Член 1</w:t>
      </w:r>
      <w:r>
        <w:rPr>
          <w:noProof/>
        </w:rPr>
        <w:br/>
      </w:r>
    </w:p>
    <w:p>
      <w:pPr>
        <w:rPr>
          <w:noProof/>
        </w:rPr>
      </w:pPr>
      <w:r>
        <w:rPr>
          <w:noProof/>
        </w:rPr>
        <w:t>Протоколът за изменение на Споразумението за въздушен транспорт между Съединените американски щати, от една страна, и Европейския съюз и неговите държави членки, от друга страна, Исландия, от трета страна, и Кралство Норвегия, от четвърта страна, подписан на 16 и 21 юни 2011 г., за да се вземе предвид присъединяването към Европейския съюз на Република Хърватия („Протоколът“) се одобрява от името на Съюза и неговите държави членки.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lastRenderedPageBreak/>
        <w:t xml:space="preserve">Член 2 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осъществи от името на Съюза и неговите държави членки размяната на дипломатически ноти, предвидена в член 5 от Протокола, за да бъде изразено съгласието на Съюза и неговите държави членки за обвързването им с Протокола.</w:t>
      </w:r>
    </w:p>
    <w:p>
      <w:pPr>
        <w:pStyle w:val="Titrearticle"/>
        <w:spacing w:after="0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E0A61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73A0F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454E4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85AB6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81CBA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19069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98E2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1AA0E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1-07 10:22:4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B031265-51EF-4BF9-BF67-B36627A88A9E"/>
    <w:docVar w:name="LW_COVERPAGE_TYPE" w:val="1"/>
    <w:docVar w:name="LW_CROSSREFERENCE" w:val="&lt;UNUSED&gt;"/>
    <w:docVar w:name="LW_DocType" w:val="COM"/>
    <w:docVar w:name="LW_EMISSION" w:val="14.11.2019"/>
    <w:docVar w:name="LW_EMISSION_ISODATE" w:val="2019-11-14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61"/>
    <w:docVar w:name="LW_REF.II.NEW.CP_YEAR" w:val="2019"/>
    <w:docVar w:name="LW_REF.INST.NEW" w:val="COM"/>
    <w:docVar w:name="LW_REF.INST.NEW_ADOPTED" w:val="final"/>
    <w:docVar w:name="LW_REF.INST.NEW_TEXT" w:val="(2019) 58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5?\u1072? \u1055?\u1088?\u1086?\u1090?\u1086?\u1082?\u1086?\u1083?\u1072? \u1079?\u1072? \u1080?\u1079?\u1084?\u1077?\u1085?\u1077?\u1085?\u1080?\u1077? \u1085?\u1072? \u1057?\u1087?\u1086?\u1088?\u1072?\u1079?\u1091?\u1084?\u1077?\u1085?\u1080?\u1077?\u1090?\u1086? \u1079?\u1072? \u1074?\u1098?\u1079?\u1076?\u1091?\u1096?\u1077?\u1085? \u1090?\u1088?\u1072?\u1085?\u1089?\u1087?\u1086?\u1088?\u1090? \u1084?\u1077?\u1078?\u1076?\u1091? \u1057?\u1098?\u1077?\u1076?\u1080?\u1085?\u1077?\u1085?\u1080?\u1090?\u1077? \u1072?\u1084?\u1077?\u1088?\u1080?\u1082?\u1072?\u1085?\u1089?\u1082?\u1080? \u1097?\u1072?\u1090?\u1080?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, \u1048?\u1089?\u1083?\u1072?\u1085?\u1076?\u1080?\u1103?, \u1086?\u1090? \u1090?\u1088?\u1077?\u1090?\u1072? \u1089?\u1090?\u1088?\u1072?\u1085?\u1072?, \u1080? \u1050?\u1088?\u1072?\u1083?\u1089?\u1090?\u1074?\u1086? \u1053?\u1086?\u1088?\u1074?\u1077?\u1075?\u1080?\u1103?, \u1086?\u1090? \u1095?\u1077?\u1090?\u1074?\u1098?\u1088?\u1090?\u1072? \u1089?\u1090?\u1088?\u1072?\u1085?\u1072?, \u1087?\u1086?\u1076?\u1087?\u1080?\u1089?\u1072?\u1085?\u1086? \u1085?\u1072? 16 \u1080? 21 \u1102?\u1085?\u1080? 2011 \u1075?., \u1079?\u1072? \u1076?\u1072? \u1089?\u1077? \u1074?\u1079?\u1077?\u1084?\u1077? \u1087?\u1088?\u1077?\u1076?\u1074?\u1080?\u1076? \u1087?\u1088?\u1080?\u1089?\u1098?\u1077?\u1076?\u1080?\u1085?\u1103?\u1074?\u1072?\u1085?\u1077?\u1090?\u1086? \u1082?\u1098?\u1084? \u1045?\u1074?\u1088?\u1086?\u1087?\u1077?\u1081?\u1089?\u1082?\u1080?\u1103? \u1089?\u1098?\u1102?\u1079? \u1085?\u1072? \u1056?\u1077?\u1087?\u1091?\u1073?\u1083?\u1080?\u1082?\u1072? \u1061?\u1098?\u1088?\u1074?\u1072?\u1090?\u1080?\u1103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9767-A788-4221-B964-0B8135B1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1030</Words>
  <Characters>6057</Characters>
  <Application>Microsoft Office Word</Application>
  <DocSecurity>0</DocSecurity>
  <Lines>137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WES PDFC Administrator</cp:lastModifiedBy>
  <cp:revision>19</cp:revision>
  <cp:lastPrinted>2019-05-17T14:13:00Z</cp:lastPrinted>
  <dcterms:created xsi:type="dcterms:W3CDTF">2019-10-04T12:23:00Z</dcterms:created>
  <dcterms:modified xsi:type="dcterms:W3CDTF">2019-11-07T09:22:00Z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