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01C7723-8775-439E-8118-710567E057FC" style="width:450.75pt;height:379.5pt">
            <v:imagedata r:id="rId9" o:title=""/>
          </v:shape>
        </w:pict>
      </w:r>
    </w:p>
    <w:p>
      <w:pPr>
        <w:rPr>
          <w:noProof/>
          <w:highlight w:val="yellow"/>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p>
    <w:p>
      <w:pPr>
        <w:pBdr>
          <w:top w:val="nil"/>
          <w:left w:val="nil"/>
          <w:bottom w:val="nil"/>
          <w:right w:val="nil"/>
          <w:between w:val="nil"/>
          <w:bar w:val="nil"/>
        </w:pBdr>
        <w:spacing w:before="0" w:after="240"/>
        <w:rPr>
          <w:rFonts w:eastAsia="Arial Unicode MS"/>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 xml:space="preserve">с оглед на отстраняването на наблюдаваното значително отклонение от плана за корекции за постигане на средносрочната бюджетна цел </w:t>
      </w:r>
      <w:r>
        <w:rPr>
          <w:noProof/>
        </w:rPr>
        <w:br/>
      </w:r>
      <w:r>
        <w:rPr>
          <w:noProof/>
        </w:rPr>
        <w:br/>
        <w:t>в Румъния</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10, параграф 2, втора алинея от него,</w:t>
      </w:r>
    </w:p>
    <w:p>
      <w:pPr>
        <w:tabs>
          <w:tab w:val="num" w:pos="709"/>
        </w:tabs>
        <w:rPr>
          <w:noProof/>
        </w:rPr>
      </w:pPr>
      <w:r>
        <w:rPr>
          <w:noProof/>
        </w:rPr>
        <w:t>като взе предвид препоръката на Европейската комисия,</w:t>
      </w:r>
    </w:p>
    <w:p>
      <w:pPr>
        <w:tabs>
          <w:tab w:val="num" w:pos="709"/>
        </w:tabs>
        <w:rPr>
          <w:noProof/>
        </w:rPr>
      </w:pPr>
      <w:r>
        <w:rPr>
          <w:noProof/>
        </w:rPr>
        <w:t>като има предвид, че:</w:t>
      </w:r>
    </w:p>
    <w:p>
      <w:pPr>
        <w:pStyle w:val="Point0"/>
        <w:rPr>
          <w:noProof/>
        </w:rPr>
      </w:pPr>
      <w:r>
        <w:rPr>
          <w:noProof/>
        </w:rPr>
        <w:t>(1)</w:t>
      </w:r>
      <w:r>
        <w:rPr>
          <w:noProof/>
        </w:rPr>
        <w:tab/>
        <w:t>В съответствие с член 121 от Договора държавите членки насърчават стабилните публични финанси в средносрочен план чрез координиране на икономическите политики и многостранно наблюдение, за да се избегне възникването на прекомерен държавен дефицит.</w:t>
      </w:r>
    </w:p>
    <w:p>
      <w:pPr>
        <w:pStyle w:val="Point0"/>
        <w:rPr>
          <w:noProof/>
        </w:rPr>
      </w:pPr>
      <w:r>
        <w:rPr>
          <w:noProof/>
        </w:rPr>
        <w:t>(2)</w:t>
      </w:r>
      <w:r>
        <w:rPr>
          <w:noProof/>
        </w:rPr>
        <w:tab/>
        <w:t>Пактът за стабилност и растеж се основава на целта за осигуряване на стабилни публични финанси като средство за укрепване на предпоставките за ценова стабилност и висок и устойчив растеж, водещ до създаване на трудова заетост.</w:t>
      </w:r>
    </w:p>
    <w:p>
      <w:pPr>
        <w:pStyle w:val="Point0"/>
        <w:rPr>
          <w:noProof/>
        </w:rPr>
      </w:pPr>
      <w:r>
        <w:rPr>
          <w:noProof/>
        </w:rPr>
        <w:t>(3)</w:t>
      </w:r>
      <w:r>
        <w:rPr>
          <w:noProof/>
        </w:rPr>
        <w:tab/>
        <w:t>През юни 2017 г. и юни 2018 г. Съветът констатира в съответствие с член 121, параграф 4 от Договора, че съответно през 2016 г. и 2017 г. в Румъния е наблюдавано значително отклонение от средносрочната бюджетна цел или от плана за корекции за постигането ѝ. С оглед на установените значителни отклонения Съветът отправи препоръки на 16 юни 2017 г.</w:t>
      </w:r>
      <w:r>
        <w:rPr>
          <w:rStyle w:val="FootnoteReference"/>
          <w:noProof/>
        </w:rPr>
        <w:footnoteReference w:id="2"/>
      </w:r>
      <w:r>
        <w:rPr>
          <w:noProof/>
        </w:rPr>
        <w:t xml:space="preserve"> и на 22 юни 2018 г.</w:t>
      </w:r>
      <w:r>
        <w:rPr>
          <w:rStyle w:val="FootnoteReference"/>
          <w:noProof/>
        </w:rPr>
        <w:footnoteReference w:id="3"/>
      </w:r>
      <w:r>
        <w:rPr>
          <w:noProof/>
        </w:rPr>
        <w:t xml:space="preserve"> за това Румъния да предприеме необходимите мерки на политиката, за да преодолее тези отклонения. Впоследствие Съветът констатира, че Румъния не е предприела ефективни действия в отговор на тези препоръки и отправи преразгледани препоръки съответно на 5 декември 2017 г.</w:t>
      </w:r>
      <w:r>
        <w:rPr>
          <w:rStyle w:val="FootnoteReference"/>
          <w:noProof/>
        </w:rPr>
        <w:footnoteReference w:id="4"/>
      </w:r>
      <w:r>
        <w:rPr>
          <w:noProof/>
        </w:rPr>
        <w:t xml:space="preserve"> и на 4 декември 2018 г.</w:t>
      </w:r>
      <w:r>
        <w:rPr>
          <w:rStyle w:val="FootnoteReference"/>
          <w:noProof/>
        </w:rPr>
        <w:footnoteReference w:id="5"/>
      </w:r>
      <w:r>
        <w:rPr>
          <w:noProof/>
        </w:rPr>
        <w:t xml:space="preserve"> След това Съветът констатира, че Румъния не е предприела ефективни действия в отговор и на тези препоръки.</w:t>
      </w:r>
    </w:p>
    <w:p>
      <w:pPr>
        <w:pStyle w:val="Point0"/>
        <w:rPr>
          <w:noProof/>
        </w:rPr>
      </w:pPr>
      <w:r>
        <w:rPr>
          <w:noProof/>
        </w:rPr>
        <w:lastRenderedPageBreak/>
        <w:t>(4)</w:t>
      </w:r>
      <w:r>
        <w:rPr>
          <w:noProof/>
        </w:rPr>
        <w:tab/>
        <w:t>На 14 юни 2019 г. Съветът реши, че през 2018 г. в Румъния отново се е наблюдавало значително отклонение от плана за корекции за постигане на средносрочната бюджетна цел, и отправи препоръка за това Румъния да предприеме необходимите мерки, за да гарантира, че номиналният темп на растеж на нетните първични държавни разходи</w:t>
      </w:r>
      <w:r>
        <w:rPr>
          <w:rStyle w:val="FootnoteReference"/>
          <w:noProof/>
        </w:rPr>
        <w:footnoteReference w:id="6"/>
      </w:r>
      <w:r>
        <w:rPr>
          <w:noProof/>
        </w:rPr>
        <w:t xml:space="preserve"> не надвишава 4,5 % през 2019 г. и 5,1 % през 2020 г., което съответства на годишна корекция на структурното салдо в размер на 1 % от брутния вътрешен продукт (БВП) през 2019 г. и на 0,75 % от БВП през 2020 г.</w:t>
      </w:r>
      <w:r>
        <w:rPr>
          <w:rStyle w:val="FootnoteReference"/>
          <w:noProof/>
        </w:rPr>
        <w:footnoteReference w:id="7"/>
      </w:r>
      <w:r>
        <w:rPr>
          <w:noProof/>
        </w:rPr>
        <w:t xml:space="preserve"> Също така той препоръча на Румъния да използва всички извънредни приходи за намаляване на дефицита, а мерките за бюджетна консолидация следва да осигурят трайно подобрение на структурното салдо по консолидирания държавен бюджет по начин, който благоприятства икономическия растеж. Съветът определи краен срок до 15 октомври 2019 г., в който Румъния да докладва относно действията, предприети в отговор на посочената препоръка.</w:t>
      </w:r>
    </w:p>
    <w:p>
      <w:pPr>
        <w:pStyle w:val="Point0"/>
        <w:rPr>
          <w:noProof/>
        </w:rPr>
      </w:pPr>
      <w:r>
        <w:rPr>
          <w:noProof/>
        </w:rPr>
        <w:t>(5)</w:t>
      </w:r>
      <w:r>
        <w:rPr>
          <w:noProof/>
        </w:rPr>
        <w:tab/>
        <w:t>На 9 юли 2019 г. Съветът препоръча на Румъния през 2019 г. и 2020 г. да гарантира, че спазва препоръката на Съвета от 14 юни 2019 г., с оглед на това да се отстрани значителното отклонение от плана за корекции за постигане на средносрочната бюджетна цел</w:t>
      </w:r>
      <w:r>
        <w:rPr>
          <w:rStyle w:val="FootnoteReference"/>
          <w:noProof/>
        </w:rPr>
        <w:footnoteReference w:id="8"/>
      </w:r>
      <w:r>
        <w:rPr>
          <w:noProof/>
        </w:rPr>
        <w:t>.</w:t>
      </w:r>
    </w:p>
    <w:p>
      <w:pPr>
        <w:pStyle w:val="Point0"/>
        <w:rPr>
          <w:noProof/>
        </w:rPr>
      </w:pPr>
      <w:r>
        <w:rPr>
          <w:noProof/>
        </w:rPr>
        <w:t>(6)</w:t>
      </w:r>
      <w:r>
        <w:rPr>
          <w:noProof/>
        </w:rPr>
        <w:tab/>
        <w:t>На 25 септември 2019 г. Комисията проведе мисия за засилено наблюдение в Румъния с цел да извърши мониторинг на място съгласно член 11, параграф 2 от Регламент (ЕО) № 1466/97. След като изпрати предварителните си заключения на румънските органи за коментар, Комисията докладва констатациите си на Съвета на [20 ноември] 2019 г. Тези заключения бяха оповестени публично.</w:t>
      </w:r>
    </w:p>
    <w:p>
      <w:pPr>
        <w:pStyle w:val="Point0"/>
        <w:rPr>
          <w:noProof/>
        </w:rPr>
      </w:pPr>
      <w:r>
        <w:rPr>
          <w:noProof/>
        </w:rPr>
        <w:t>(7)</w:t>
      </w:r>
      <w:r>
        <w:rPr>
          <w:noProof/>
        </w:rPr>
        <w:tab/>
        <w:t>На 15 октомври 2019 г. румънските органи предоставиха доклада относно ефективните действия в отговор на препоръката на Съвета от 14 юни 2019 г. Като се има предвид информацията, предоставена от органите в този доклад, и цялостната оценка въз основа на прогнозата на Комисията от есента на 2019 г., на 20 ноември 2019 г. Съветът стигна до заключението, че Румъния не е предприела ефективни действия в отговор на препоръката на Съвета от 14 юни 2019 г.</w:t>
      </w:r>
    </w:p>
    <w:p>
      <w:pPr>
        <w:pStyle w:val="Point0"/>
        <w:rPr>
          <w:noProof/>
        </w:rPr>
      </w:pPr>
      <w:r>
        <w:rPr>
          <w:noProof/>
        </w:rPr>
        <w:t>(8)</w:t>
      </w:r>
      <w:r>
        <w:rPr>
          <w:noProof/>
        </w:rPr>
        <w:tab/>
        <w:t>С оглед на липсата на ефективни действия от страна на Румъния и на натрупаното голямо отклонение от препоръчания план за корекции за постигане на средносрочната бюджетна цел, е целесъобразно към Румъния да се отправи преразгледана препоръка относно подходящите мерки, които да бъдат предприети по член 121, параграф 4 от Договора.</w:t>
      </w:r>
    </w:p>
    <w:p>
      <w:pPr>
        <w:pStyle w:val="Point0"/>
        <w:rPr>
          <w:noProof/>
        </w:rPr>
      </w:pPr>
      <w:r>
        <w:rPr>
          <w:noProof/>
        </w:rPr>
        <w:t>(9)</w:t>
      </w:r>
      <w:r>
        <w:rPr>
          <w:noProof/>
        </w:rPr>
        <w:tab/>
        <w:t xml:space="preserve">Въз основа на прогнозата на Комисията от есента на 2019 г. се очаква структурното салдо на Румъния да се влоши с 0,8 % от БВП през 2019 г. и с още 0,8 % от БВП през 2020 г. В резултат на това се прогнозира структурният дефицит да бъде 2,5 % от БВП и 3,4 % от БВП съответно през 2019 г. и 2020 г., </w:t>
      </w:r>
      <w:r>
        <w:rPr>
          <w:noProof/>
        </w:rPr>
        <w:lastRenderedPageBreak/>
        <w:t>което е далеч от средносрочната бюджетна цел за структурен дефицит от 1,0 % от БВП.</w:t>
      </w:r>
    </w:p>
    <w:p>
      <w:pPr>
        <w:pStyle w:val="Point0"/>
        <w:rPr>
          <w:noProof/>
        </w:rPr>
      </w:pPr>
      <w:r>
        <w:rPr>
          <w:noProof/>
        </w:rPr>
        <w:t>(10)</w:t>
      </w:r>
      <w:r>
        <w:rPr>
          <w:noProof/>
        </w:rPr>
        <w:tab/>
        <w:t>Годишната корекция на структурното салдо от 0,75 % от БВП за 2020 г., препоръчана от Съвета на 14 юни 2019 г., следва да бъде придружена от допълнително усилие, за да може да се коригират натрупаните отклонения и Румъния да бъде върната към подходящ план за корекции след отклоненията в миналото. Допълнително подобрение от 0,25% от БВП изглежда целесъобразно предвид мащаба на натрупаните отклонения от препоръчания план за корекции за постигане на средносрочната бюджетна цел. То ще ускори корекцията обратно в посока към средносрочната бюджетна цел, без да се излага на риск икономическият растеж.</w:t>
      </w:r>
    </w:p>
    <w:p>
      <w:pPr>
        <w:pStyle w:val="Point0"/>
        <w:rPr>
          <w:noProof/>
        </w:rPr>
      </w:pPr>
      <w:r>
        <w:rPr>
          <w:noProof/>
        </w:rPr>
        <w:t>(11)</w:t>
      </w:r>
      <w:r>
        <w:rPr>
          <w:noProof/>
        </w:rPr>
        <w:tab/>
        <w:t>Съгласно прогнозата на Комисията от есента на 2019 г. бюджетният дефицит ще възлиза на 3,6 % през 2019 г. и 4,4 % през 2020 г., което е над референтната стойност от 3 % от БВП по Договора. Изискваната корекция на структурното салдо също изглежда подходяща, за да се гарантира, че през 2020 г. Румъния спазва референтната стойност от 3 % от БВП по Договора.</w:t>
      </w:r>
    </w:p>
    <w:p>
      <w:pPr>
        <w:pStyle w:val="Point0"/>
        <w:rPr>
          <w:noProof/>
        </w:rPr>
      </w:pPr>
      <w:r>
        <w:rPr>
          <w:noProof/>
        </w:rPr>
        <w:t>(12)</w:t>
      </w:r>
      <w:r>
        <w:rPr>
          <w:noProof/>
        </w:rPr>
        <w:tab/>
        <w:t>Въз основа на прогнозата на Комисията от есента на 2019 г. изискваното подобрение на структурното салдо с 1,0% от БВП през 2020 г. съответства на номинален темп на растеж на нетните първични държавни разходи, който не надвишава 4,4%.</w:t>
      </w:r>
    </w:p>
    <w:p>
      <w:pPr>
        <w:pStyle w:val="Point0"/>
        <w:rPr>
          <w:noProof/>
        </w:rPr>
      </w:pPr>
      <w:r>
        <w:rPr>
          <w:noProof/>
        </w:rPr>
        <w:t>(13)</w:t>
      </w:r>
      <w:r>
        <w:rPr>
          <w:noProof/>
        </w:rPr>
        <w:tab/>
        <w:t>Според прогнозата на Комисията от есента на 2019 г. се очаква влошаване на структурното салдо с 0,8 % от БВП през 2020 г. Поради това структурно подобрение от 1,0 % от БВП съответства на необходимост да се предприемат мерки с общ структурен резултат от 1,8% от БВП в сравнение с настоящия основен сценарий съгласно прогнозата на Комисията от есента на 2019 г.</w:t>
      </w:r>
    </w:p>
    <w:p>
      <w:pPr>
        <w:pStyle w:val="Point0"/>
        <w:rPr>
          <w:noProof/>
        </w:rPr>
      </w:pPr>
      <w:r>
        <w:rPr>
          <w:noProof/>
        </w:rPr>
        <w:t>(14)</w:t>
      </w:r>
      <w:r>
        <w:rPr>
          <w:noProof/>
        </w:rPr>
        <w:tab/>
        <w:t>Непредприемането на действия, свързани с предишните препоръки за коригиране на наблюдаваното значително отклонение, и рискът от превишаване на референтната стойност по Договора налагат спешни действия за връщането на фискалната политика на Румъния към предпазлив подход.</w:t>
      </w:r>
    </w:p>
    <w:p>
      <w:pPr>
        <w:pStyle w:val="Point0"/>
        <w:rPr>
          <w:noProof/>
        </w:rPr>
      </w:pPr>
      <w:r>
        <w:rPr>
          <w:noProof/>
        </w:rPr>
        <w:t>(15)</w:t>
      </w:r>
      <w:r>
        <w:rPr>
          <w:noProof/>
        </w:rPr>
        <w:tab/>
        <w:t xml:space="preserve">За да се постигнат препоръчаните бюджетни цели, е от решаващо значение Румъния да приеме и строго да прилага необходимите мерки, както и да следи отблизо промените в текущите разходи. </w:t>
      </w:r>
    </w:p>
    <w:p>
      <w:pPr>
        <w:pStyle w:val="Point0"/>
        <w:rPr>
          <w:noProof/>
        </w:rPr>
      </w:pPr>
      <w:r>
        <w:rPr>
          <w:noProof/>
        </w:rPr>
        <w:t>(16)</w:t>
      </w:r>
      <w:r>
        <w:rPr>
          <w:noProof/>
        </w:rPr>
        <w:tab/>
        <w:t>Изискванията, заложени в настоящата препоръка, отменят съответните елементи, определени в препоръката на Съвета от 14 юни 2019 г.</w:t>
      </w:r>
    </w:p>
    <w:p>
      <w:pPr>
        <w:pStyle w:val="Point0"/>
        <w:rPr>
          <w:noProof/>
        </w:rPr>
      </w:pPr>
      <w:r>
        <w:rPr>
          <w:noProof/>
        </w:rPr>
        <w:t>(17)</w:t>
      </w:r>
      <w:r>
        <w:rPr>
          <w:noProof/>
        </w:rPr>
        <w:tab/>
        <w:t>Румъния следва да докладва на Съвета относно мерките, предприети в отговор на настоящата препоръка, в срок до 15 април 2020 г., евентуално като част от своята програма за конвергенция, подадена съгласно член 7 от Регламент (ЕО) № 1466/97.</w:t>
      </w:r>
    </w:p>
    <w:p>
      <w:pPr>
        <w:pStyle w:val="Point0"/>
        <w:rPr>
          <w:noProof/>
        </w:rPr>
      </w:pPr>
      <w:r>
        <w:rPr>
          <w:noProof/>
        </w:rPr>
        <w:t>(18)</w:t>
      </w:r>
      <w:r>
        <w:rPr>
          <w:noProof/>
        </w:rPr>
        <w:tab/>
        <w:t>Целесъобразно е настоящата препоръка да се оповести публично,</w:t>
      </w:r>
    </w:p>
    <w:p>
      <w:pPr>
        <w:pStyle w:val="Formuledadoption"/>
        <w:spacing w:before="240"/>
        <w:rPr>
          <w:noProof/>
        </w:rPr>
      </w:pPr>
      <w:r>
        <w:rPr>
          <w:noProof/>
        </w:rPr>
        <w:t>ПРЕПОРЪЧВА НА РУМЪНИЯ:</w:t>
      </w:r>
    </w:p>
    <w:p>
      <w:pPr>
        <w:pStyle w:val="Point0"/>
        <w:rPr>
          <w:noProof/>
        </w:rPr>
      </w:pPr>
      <w:r>
        <w:rPr>
          <w:noProof/>
        </w:rPr>
        <w:t>(1)</w:t>
      </w:r>
      <w:r>
        <w:rPr>
          <w:noProof/>
        </w:rPr>
        <w:tab/>
        <w:t xml:space="preserve">Да предприеме необходимите мерки, за да гарантира, че номиналният темп на растеж на нетните първични държавни разходи не надвишава 4,4% през 2020 г., което съответства на годишна корекция на структурното салдо от 1,0% от БВП, като по този начин държавата членка се придържа към подходящ план за корекции за постигане на средносрочната бюджетна цел. </w:t>
      </w:r>
    </w:p>
    <w:p>
      <w:pPr>
        <w:pStyle w:val="Point0"/>
        <w:rPr>
          <w:noProof/>
        </w:rPr>
      </w:pPr>
      <w:r>
        <w:rPr>
          <w:noProof/>
        </w:rPr>
        <w:lastRenderedPageBreak/>
        <w:t>(2)</w:t>
      </w:r>
      <w:r>
        <w:rPr>
          <w:noProof/>
        </w:rPr>
        <w:tab/>
        <w:t>Да използва всички извънредни приходи за намаляване на дефицита; Да предприеме мерки за бюджетна консолидация, гарантиращи трайно подобрение на структурното салдо по консолидирания държавен бюджет по начин, който благоприятства икономическия растеж;</w:t>
      </w:r>
    </w:p>
    <w:p>
      <w:pPr>
        <w:pStyle w:val="Point0"/>
        <w:rPr>
          <w:noProof/>
        </w:rPr>
      </w:pPr>
      <w:r>
        <w:rPr>
          <w:noProof/>
        </w:rPr>
        <w:t>(3)</w:t>
      </w:r>
      <w:r>
        <w:rPr>
          <w:noProof/>
        </w:rPr>
        <w:tab/>
        <w:t>Да докладва на Съвета до 15 април 2020 г. за предприетите действия в отговор на настоящата препоръка. За да бъдат спазени изискванията на необходимия план за корекции, в доклада следва да се предоставят достатъчно конкретни и надеждно представени мерки, включително бюджетното отражение на всяка от тях, както и актуализирани и подробни бюджетни прогнози за 2020 г.</w:t>
      </w:r>
    </w:p>
    <w:p>
      <w:pPr>
        <w:ind w:left="130" w:firstLine="720"/>
        <w:rPr>
          <w:noProof/>
        </w:rPr>
      </w:pPr>
      <w:r>
        <w:rPr>
          <w:noProof/>
        </w:rPr>
        <w:t>Адресат на настоящата препоръка е Румъния.</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1"/>
      <w:footerReference w:type="first" r:id="rId12"/>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851" w:hanging="851"/>
      </w:pPr>
      <w:r>
        <w:rPr>
          <w:rStyle w:val="FootnoteReference"/>
        </w:rPr>
        <w:footnoteRef/>
      </w:r>
      <w:r>
        <w:tab/>
        <w:t>ОВ L 209, 2.8.1997 г., стр. 1.</w:t>
      </w:r>
    </w:p>
  </w:footnote>
  <w:footnote w:id="2">
    <w:p>
      <w:pPr>
        <w:pStyle w:val="FootnoteText"/>
        <w:ind w:left="851" w:hanging="851"/>
      </w:pPr>
      <w:r>
        <w:rPr>
          <w:rStyle w:val="FootnoteReference"/>
        </w:rPr>
        <w:footnoteRef/>
      </w:r>
      <w:r>
        <w:tab/>
        <w:t>ОВ C 216, 6.7.2017 г., стр. 1.</w:t>
      </w:r>
    </w:p>
  </w:footnote>
  <w:footnote w:id="3">
    <w:p>
      <w:pPr>
        <w:pStyle w:val="FootnoteText"/>
        <w:ind w:left="851" w:hanging="851"/>
      </w:pPr>
      <w:r>
        <w:rPr>
          <w:rStyle w:val="FootnoteReference"/>
        </w:rPr>
        <w:footnoteRef/>
      </w:r>
      <w:r>
        <w:tab/>
        <w:t>ОВ C 223, 27.6.2018г., стр. 3.</w:t>
      </w:r>
    </w:p>
  </w:footnote>
  <w:footnote w:id="4">
    <w:p>
      <w:pPr>
        <w:pStyle w:val="FootnoteText"/>
        <w:ind w:left="851" w:hanging="851"/>
      </w:pPr>
      <w:r>
        <w:rPr>
          <w:rStyle w:val="FootnoteReference"/>
        </w:rPr>
        <w:footnoteRef/>
      </w:r>
      <w:r>
        <w:tab/>
        <w:t>ОВ C 439, 20.12.2017 г., стр. 1.</w:t>
      </w:r>
    </w:p>
  </w:footnote>
  <w:footnote w:id="5">
    <w:p>
      <w:pPr>
        <w:pStyle w:val="FootnoteText"/>
        <w:ind w:left="851" w:hanging="851"/>
      </w:pPr>
      <w:r>
        <w:rPr>
          <w:rStyle w:val="FootnoteReference"/>
        </w:rPr>
        <w:footnoteRef/>
      </w:r>
      <w:r>
        <w:tab/>
        <w:t>ОВ C 460, 21.12.2018 г., стр. 1.</w:t>
      </w:r>
    </w:p>
  </w:footnote>
  <w:footnote w:id="6">
    <w:p>
      <w:pPr>
        <w:pStyle w:val="FootnoteText"/>
        <w:ind w:left="851" w:hanging="851"/>
      </w:pPr>
      <w:r>
        <w:rPr>
          <w:rStyle w:val="FootnoteReference"/>
        </w:rPr>
        <w:footnoteRef/>
      </w:r>
      <w:r>
        <w:tab/>
        <w:t>Нетните първични държавни разходи включват общите държавни разходи без разходите за лихви, разходите по програми на Съюза, които изцяло се покриват от приходи от средства на Съюза, и недискреционни промени в разходите за обезщетения при безработица. Бруто образуването на основен капитал, финансирано от държавата, се изглажда за 4-годишен период. Дискреционните мерки по отношение на приходите и предвиденото по закон увеличаване на приходите са взети предвид. Еднократните мерки по отношение както на приходите, така и на разходите, са нетирани.</w:t>
      </w:r>
    </w:p>
  </w:footnote>
  <w:footnote w:id="7">
    <w:p>
      <w:pPr>
        <w:pStyle w:val="FootnoteText"/>
        <w:ind w:left="851" w:hanging="851"/>
      </w:pPr>
      <w:r>
        <w:rPr>
          <w:rStyle w:val="FootnoteReference"/>
        </w:rPr>
        <w:footnoteRef/>
      </w:r>
      <w:r>
        <w:tab/>
        <w:t>ОВ C 210, 21.6.2019 г., стр. 1.</w:t>
      </w:r>
    </w:p>
  </w:footnote>
  <w:footnote w:id="8">
    <w:p>
      <w:pPr>
        <w:pStyle w:val="FootnoteText"/>
        <w:ind w:left="851" w:hanging="851"/>
      </w:pPr>
      <w:r>
        <w:rPr>
          <w:rStyle w:val="FootnoteReference"/>
        </w:rPr>
        <w:footnoteRef/>
      </w:r>
      <w:r>
        <w:tab/>
        <w:t>ОВ C 301, 5.9.2019 г., стр. 135.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786C32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3C805D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D7097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784C9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96CE9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1C2BD2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2CCE8CC"/>
    <w:lvl w:ilvl="0">
      <w:start w:val="1"/>
      <w:numFmt w:val="decimal"/>
      <w:pStyle w:val="ListNumber"/>
      <w:lvlText w:val="%1."/>
      <w:lvlJc w:val="left"/>
      <w:pPr>
        <w:tabs>
          <w:tab w:val="num" w:pos="360"/>
        </w:tabs>
        <w:ind w:left="360" w:hanging="360"/>
      </w:pPr>
    </w:lvl>
  </w:abstractNum>
  <w:abstractNum w:abstractNumId="7">
    <w:nsid w:val="FFFFFF89"/>
    <w:multiLevelType w:val="singleLevel"/>
    <w:tmpl w:val="7BFE1C1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1-22 12:33:2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01C7723-8775-439E-8118-710567E057FC"/>
    <w:docVar w:name="LW_COVERPAGE_TYPE" w:val="1"/>
    <w:docVar w:name="LW_CROSSREFERENCE" w:val="{SWD(2019) 932 final}"/>
    <w:docVar w:name="LW_DocType" w:val="COM"/>
    <w:docVar w:name="LW_EMISSION" w:val="20.11.2019"/>
    <w:docVar w:name="LW_EMISSION_ISODATE" w:val="2019-11-20"/>
    <w:docVar w:name="LW_EMISSION_LOCATION" w:val="BRX"/>
    <w:docVar w:name="LW_EMISSION_PREFIX" w:val="\u1041?\u1088?\u1102?\u1082?\u1089?\u1077?\u1083?, "/>
    <w:docVar w:name="LW_EMISSION_SUFFIX" w:val=" \u1075?."/>
    <w:docVar w:name="LW_ID_DOCMODEL" w:val="SG-002"/>
    <w:docVar w:name="LW_ID_DOCSIGNATURE" w:val="SG-002"/>
    <w:docVar w:name="LW_ID_DOCSTRUCTURE" w:val="COM/PL/ORG/NOEEA"/>
    <w:docVar w:name="LW_ID_DOCTYPE" w:val="SG-002"/>
    <w:docVar w:name="LW_ID_STATUT" w:val="SG-00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9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 w:val="\u1055?\u1088?\u1077?\u1087?\u1086?\u1088?\u1098?\u1082?\u1072? \u1079?\u1072?"/>
    <w:docVar w:name="LW_STATUT.CP" w:val="\u1055?\u1088?\u1077?\u1087?\u1086?\u1088?\u1098?\u1082?\u1072? \u1079?\u1072?"/>
    <w:docVar w:name="LW_SUPERTITRE" w:val="&lt;UNUSED&gt;"/>
    <w:docVar w:name="LW_TITRE.OBJ" w:val="\u1089? \u1086?\u1075?\u1083?\u1077?\u1076? \u1085?\u1072? \u1086?\u1090?\u1089?\u1090?\u1088?\u1072?\u1085?\u1103?\u1074?\u1072?\u1085?\u1077?\u1090?\u1086? \u1085?\u1072? \u1085?\u1072?\u1073?\u1083?\u1102?\u1076?\u1072?\u1074?\u1072?\u1085?\u1086?\u1090?\u1086? \u1079?\u1085?\u1072?\u1095?\u1080?\u1090?\u1077?\u1083?\u1085?\u1086? \u1086?\u1090?\u1082?\u1083?\u1086?\u1085?\u1077?\u1085?\u1080?\u1077? \u1086?\u1090? \u1087?\u1083?\u1072?\u1085?\u1072? \u1079?\u1072? \u1082?\u1086?\u1088?\u1077?\u1082?\u1094?\u1080?\u1080? \u1079?\u1072? \u1087?\u1086?\u1089?\u1090?\u1080?\u1075?\u1072?\u1085?\u1077? \u1085?\u1072? \u1089?\u1088?\u1077?\u1076?\u1085?\u1086?\u1089?\u1088?\u1086?\u1095?\u1085?\u1072?\u1090?\u1072? \u1073?\u1102?\u1076?\u1078?\u1077?\u1090?\u1085?\u1072? \u1094?\u1077?\u1083? _x000b__x000b_\u1074? \u1056?\u1091?\u1084?\u1098?\u1085?\u1080?\u1103?"/>
    <w:docVar w:name="LW_TITRE.OBJ.CP" w:val="\u1089? \u1086?\u1075?\u1083?\u1077?\u1076? \u1085?\u1072? \u1086?\u1090?\u1089?\u1090?\u1088?\u1072?\u1085?\u1103?\u1074?\u1072?\u1085?\u1077?\u1090?\u1086? \u1085?\u1072? \u1085?\u1072?\u1073?\u1083?\u1102?\u1076?\u1072?\u1074?\u1072?\u1085?\u1086?\u1090?\u1086? \u1079?\u1085?\u1072?\u1095?\u1080?\u1090?\u1077?\u1083?\u1085?\u1086? \u1086?\u1090?\u1082?\u1083?\u1086?\u1085?\u1077?\u1085?\u1080?\u1077? \u1086?\u1090? \u1087?\u1083?\u1072?\u1085?\u1072? \u1079?\u1072? \u1082?\u1086?\u1088?\u1077?\u1082?\u1094?\u1080?\u1080? \u1079?\u1072? \u1087?\u1086?\u1089?\u1090?\u1080?\u1075?\u1072?\u1085?\u1077? \u1085?\u1072? \u1089?\u1088?\u1077?\u1076?\u1085?\u1086?\u1089?\u1088?\u1086?\u1095?\u1085?\u1072?\u1090?\u1072? \u1073?\u1102?\u1076?\u1078?\u1077?\u1090?\u1085?\u1072? \u1094?\u1077?\u1083? _x000b__x000b_\u1074? \u1056?\u1091?\u1084?\u1098?\u1085?\u1080?\u1103?"/>
    <w:docVar w:name="LW_TYPE.DOC" w:val="\u1055?\u1056?\u1045?\u1055?\u1054?\u1056?\u1066?\u1050?\u1040? \u1053?\u1040? \u1057?\u1066?\u1042?\u1045?\u1058?\u1040?"/>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27CF3-FF82-4D5A-B0D8-65BCCF163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1322</Words>
  <Characters>6930</Characters>
  <Application>Microsoft Office Word</Application>
  <DocSecurity>0</DocSecurity>
  <Lines>135</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20</cp:revision>
  <cp:lastPrinted>2018-10-29T15:56:00Z</cp:lastPrinted>
  <dcterms:created xsi:type="dcterms:W3CDTF">2019-11-21T08:07:00Z</dcterms:created>
  <dcterms:modified xsi:type="dcterms:W3CDTF">2019-11-22T11:33:00Z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5.84.2.0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SG-002</vt:lpwstr>
  </property>
  <property fmtid="{D5CDD505-2E9C-101B-9397-08002B2CF9AE}" pid="9" name="Level of sensitivity">
    <vt:lpwstr>Standard treatment</vt:lpwstr>
  </property>
  <property fmtid="{D5CDD505-2E9C-101B-9397-08002B2CF9AE}" pid="10" name="DQCStatus">
    <vt:lpwstr>Green (DQC version 03)</vt:lpwstr>
  </property>
</Properties>
</file>