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837EAA6-697C-424E-9531-0A635179E32E" style="width:450.8pt;height:38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lastRenderedPageBreak/>
        <w:t>ANNEXE</w:t>
      </w:r>
    </w:p>
    <w:p>
      <w:pPr>
        <w:jc w:val="center"/>
        <w:rPr>
          <w:b/>
          <w:noProof/>
        </w:rPr>
      </w:pPr>
      <w:r>
        <w:rPr>
          <w:b/>
          <w:noProof/>
        </w:rPr>
        <w:t>PROJET DE</w:t>
      </w:r>
    </w:p>
    <w:p>
      <w:pPr>
        <w:jc w:val="center"/>
        <w:rPr>
          <w:b/>
          <w:caps/>
          <w:noProof/>
        </w:rPr>
      </w:pPr>
      <w:r>
        <w:rPr>
          <w:b/>
          <w:noProof/>
        </w:rPr>
        <w:t>DÉCISION Nº ../… DU COMITÉ D'ASSOCIATION UE-MOLDAVIE DANS SA CONFIGURATION «COMMERCE»</w:t>
      </w:r>
    </w:p>
    <w:p>
      <w:pPr>
        <w:jc w:val="center"/>
        <w:rPr>
          <w:b/>
          <w:noProof/>
        </w:rPr>
      </w:pPr>
      <w:r>
        <w:rPr>
          <w:b/>
          <w:noProof/>
        </w:rPr>
        <w:t>du … 20...</w:t>
      </w:r>
    </w:p>
    <w:p>
      <w:pPr>
        <w:spacing w:after="360"/>
        <w:jc w:val="center"/>
        <w:rPr>
          <w:b/>
          <w:noProof/>
        </w:rPr>
      </w:pPr>
      <w:r>
        <w:rPr>
          <w:b/>
          <w:noProof/>
        </w:rPr>
        <w:t>actualisant l’annexe XV de l’accord</w:t>
      </w:r>
    </w:p>
    <w:p>
      <w:pPr>
        <w:rPr>
          <w:rFonts w:eastAsia="Times New Roman"/>
          <w:noProof/>
          <w:szCs w:val="24"/>
        </w:rPr>
      </w:pPr>
      <w:r>
        <w:rPr>
          <w:noProof/>
        </w:rPr>
        <w:t xml:space="preserve">LE COMITÉ D'ASSOCIATION DANS SA CONFIGURATION «COMMERCE», </w:t>
      </w:r>
    </w:p>
    <w:p>
      <w:pPr>
        <w:rPr>
          <w:rFonts w:eastAsia="Times New Roman"/>
          <w:noProof/>
          <w:szCs w:val="24"/>
        </w:rPr>
      </w:pPr>
      <w:r>
        <w:rPr>
          <w:noProof/>
        </w:rPr>
        <w:t>vu l’accord d’association entre l’Union européenne et la Communauté européenne de l’énergie atomique et leurs États membres, d’une part, et la République de Moldavie, d’autre part, signé à Bruxelles le 27 juin 2014, et notamment son article 147, paragraphes 4 et 5, son article 148, paragraphe 5, et son article 438, paragraphe 3,</w:t>
      </w:r>
    </w:p>
    <w:p>
      <w:pPr>
        <w:rPr>
          <w:rFonts w:eastAsia="Times New Roman"/>
          <w:noProof/>
          <w:szCs w:val="24"/>
        </w:rPr>
      </w:pPr>
      <w:r>
        <w:rPr>
          <w:noProof/>
        </w:rPr>
        <w:t>considérant ce qui suit:</w:t>
      </w:r>
    </w:p>
    <w:p>
      <w:pPr>
        <w:pStyle w:val="ManualNumPar1"/>
        <w:rPr>
          <w:noProof/>
        </w:rPr>
      </w:pPr>
      <w:r>
        <w:rPr>
          <w:noProof/>
        </w:rPr>
        <w:t>1)</w:t>
      </w:r>
      <w:r>
        <w:rPr>
          <w:noProof/>
        </w:rPr>
        <w:tab/>
        <w:t>L’accord d’association entre l’Union européenne et la Communauté européenne de l’énergie atomique et leurs États membres, d’une part, et la République de Moldavie, d’autre part (ci-après l’«accord»), est entré en vigueur le 1</w:t>
      </w:r>
      <w:r>
        <w:rPr>
          <w:noProof/>
          <w:vertAlign w:val="superscript"/>
        </w:rPr>
        <w:t>er</w:t>
      </w:r>
      <w:r>
        <w:rPr>
          <w:noProof/>
        </w:rPr>
        <w:t xml:space="preserve"> juillet 2016. </w:t>
      </w:r>
    </w:p>
    <w:p>
      <w:pPr>
        <w:pStyle w:val="ManualNumPar1"/>
        <w:rPr>
          <w:noProof/>
        </w:rPr>
      </w:pPr>
      <w:r>
        <w:rPr>
          <w:noProof/>
        </w:rPr>
        <w:t>2)</w:t>
      </w:r>
      <w:r>
        <w:rPr>
          <w:noProof/>
        </w:rPr>
        <w:tab/>
        <w:t xml:space="preserve">À la suite de consultations, conformément à l’article 147 de l’accord, la République de Moldavie et l’Union européenne ont convenu, sur une base de réciprocité, d’augmenter le volume de certains produits soumis à des contingents tarifaires annuels à droit nul. </w:t>
      </w:r>
    </w:p>
    <w:p>
      <w:pPr>
        <w:pStyle w:val="ManualNumPar1"/>
        <w:rPr>
          <w:noProof/>
        </w:rPr>
      </w:pPr>
      <w:r>
        <w:rPr>
          <w:noProof/>
        </w:rPr>
        <w:t>3)</w:t>
      </w:r>
      <w:r>
        <w:rPr>
          <w:noProof/>
        </w:rPr>
        <w:tab/>
        <w:t xml:space="preserve">L’Union européenne a accepté d’augmenter le volume des contingents tarifaires («QRT») pour les biens originaires de la République de Moldavie pour les raisins de table et les prunes, et d’introduire un nouveau contingent tarifaire pour les cerises. La République de Moldavie a accepté d’augmenter progressivement le volume des contingents tarifaires pour les biens originaires de l’Union européenne pour les produits suivants inclus dans le calendrier des concessions (République de Moldavie): Porcins («QRT 1»), volailles («QRT 2»), produits laitiers («QRT 3») et sucre («QRT 5»). </w:t>
      </w:r>
    </w:p>
    <w:p>
      <w:pPr>
        <w:pStyle w:val="ManualNumPar1"/>
        <w:rPr>
          <w:noProof/>
        </w:rPr>
      </w:pPr>
      <w:r>
        <w:rPr>
          <w:noProof/>
        </w:rPr>
        <w:t>4)</w:t>
      </w:r>
      <w:r>
        <w:rPr>
          <w:noProof/>
        </w:rPr>
        <w:tab/>
        <w:t xml:space="preserve">À la suite d’une demande formulée par la République de Moldavie conformément à l’article 148 de cet accord, l’Union européenne a accepté d’augmenter le volume de déclenchement pour le blé (farine et agglomérés sous forme de pellets), l’orge (farine et agglomérés sous forme de pellets), le maïs (farine et pellets) et la céréale transformée. </w:t>
      </w:r>
    </w:p>
    <w:p>
      <w:pPr>
        <w:pStyle w:val="ManualNumPar1"/>
        <w:rPr>
          <w:noProof/>
        </w:rPr>
      </w:pPr>
      <w:r>
        <w:rPr>
          <w:noProof/>
        </w:rPr>
        <w:t>5)</w:t>
      </w:r>
      <w:r>
        <w:rPr>
          <w:noProof/>
        </w:rPr>
        <w:tab/>
        <w:t>Par sa décision nº 3/2014 du 16 décembre 2014, le conseil d’association a délégué au comité d’association dans sa configuration «Commerce» le pouvoir d’actualiser ou de modifier certaines annexes liées au commerce.</w:t>
      </w:r>
    </w:p>
    <w:p>
      <w:pPr>
        <w:rPr>
          <w:noProof/>
        </w:rPr>
      </w:pPr>
      <w:r>
        <w:rPr>
          <w:noProof/>
        </w:rPr>
        <w:t>DÉCIDE:</w:t>
      </w:r>
    </w:p>
    <w:p>
      <w:pPr>
        <w:pStyle w:val="Titrearticle"/>
        <w:rPr>
          <w:noProof/>
        </w:rPr>
      </w:pPr>
      <w:r>
        <w:rPr>
          <w:noProof/>
        </w:rPr>
        <w:t>Article premier</w:t>
      </w:r>
    </w:p>
    <w:p>
      <w:pPr>
        <w:pStyle w:val="NumPar1"/>
        <w:numPr>
          <w:ilvl w:val="0"/>
          <w:numId w:val="7"/>
        </w:numPr>
        <w:rPr>
          <w:noProof/>
        </w:rPr>
      </w:pPr>
      <w:r>
        <w:rPr>
          <w:noProof/>
        </w:rPr>
        <w:t xml:space="preserve">L’annexe XV-A de l'accord est remplacé par l'annexe 1 de la présente décision. </w:t>
      </w:r>
    </w:p>
    <w:p>
      <w:pPr>
        <w:pStyle w:val="NumPar1"/>
        <w:rPr>
          <w:noProof/>
        </w:rPr>
      </w:pPr>
      <w:r>
        <w:rPr>
          <w:noProof/>
        </w:rPr>
        <w:t xml:space="preserve">À l’annexe XV-B, dans la liste des produits soumis à un prix d’entrée, la ligne avec le code NC 2012 0809 29 00 et la description du produit «Cerises, fraîches (à l’excl. des cerises acides)» est supprimée. </w:t>
      </w:r>
    </w:p>
    <w:p>
      <w:pPr>
        <w:pStyle w:val="NumPar1"/>
        <w:rPr>
          <w:noProof/>
        </w:rPr>
      </w:pPr>
      <w:r>
        <w:rPr>
          <w:noProof/>
        </w:rPr>
        <w:t xml:space="preserve">À l’annexe XV-C, les volumes de déclenchement pour les catégories de produits suivantes sont modifiés comme suit: </w:t>
      </w:r>
    </w:p>
    <w:p>
      <w:pPr>
        <w:pStyle w:val="Point1"/>
        <w:rPr>
          <w:noProof/>
        </w:rPr>
      </w:pPr>
      <w:r>
        <w:rPr>
          <w:noProof/>
        </w:rPr>
        <w:t>a)</w:t>
      </w:r>
      <w:r>
        <w:rPr>
          <w:noProof/>
        </w:rPr>
        <w:tab/>
        <w:t>Pour la catégorie de produit 6. Froment (blé), farine et agglomérés sous forme de pellets, dans la colonne intitulée «Volume de déclenchement (en tonnes)», le montant de «75 000» est remplacé par le montant «150 000»;</w:t>
      </w:r>
    </w:p>
    <w:p>
      <w:pPr>
        <w:pStyle w:val="Point1"/>
        <w:rPr>
          <w:noProof/>
        </w:rPr>
      </w:pPr>
      <w:r>
        <w:rPr>
          <w:noProof/>
        </w:rPr>
        <w:t>b)</w:t>
      </w:r>
      <w:r>
        <w:rPr>
          <w:noProof/>
        </w:rPr>
        <w:tab/>
        <w:t>Pour la catégorie de produit 7. Orge (blé), farine et agglomérés sous forme de pellets, dans la colonne intitulée «Volume de déclenchement (en tonnes)», le montant de «70 000» est remplacé par le montant «100 000»;</w:t>
      </w:r>
    </w:p>
    <w:p>
      <w:pPr>
        <w:pStyle w:val="Point1"/>
        <w:rPr>
          <w:noProof/>
        </w:rPr>
      </w:pPr>
      <w:r>
        <w:rPr>
          <w:noProof/>
        </w:rPr>
        <w:t>c)</w:t>
      </w:r>
      <w:r>
        <w:rPr>
          <w:noProof/>
        </w:rPr>
        <w:tab/>
        <w:t>Pour la catégorie de produits 8. Maïs (blé), farine et agglomérés sous forme de pellets, dans la colonne intitulée «Volume de déclenchement (en tonnes)», le montant de «130 000» est remplacé par le montant «250 000»; et</w:t>
      </w:r>
    </w:p>
    <w:p>
      <w:pPr>
        <w:pStyle w:val="Point1"/>
        <w:rPr>
          <w:noProof/>
        </w:rPr>
      </w:pPr>
      <w:r>
        <w:rPr>
          <w:noProof/>
        </w:rPr>
        <w:t>d)</w:t>
      </w:r>
      <w:r>
        <w:rPr>
          <w:noProof/>
        </w:rPr>
        <w:tab/>
        <w:t>Pour la catégorie de produit 10. Céréale transformée, dans la colonne intitulée «Volume de déclenchement (en tonnes)», le montant de «2 500» est remplacé par le montant «5 000»;</w:t>
      </w:r>
    </w:p>
    <w:p>
      <w:pPr>
        <w:pStyle w:val="NumPar1"/>
        <w:rPr>
          <w:noProof/>
        </w:rPr>
      </w:pPr>
      <w:r>
        <w:rPr>
          <w:noProof/>
        </w:rPr>
        <w:t xml:space="preserve">À l’annexe XV-D, le calendrier des concessions (République de Moldavie), la quatrième colonne intitulé «Catégorie» est modifiée comme suit: </w:t>
      </w:r>
    </w:p>
    <w:p>
      <w:pPr>
        <w:pStyle w:val="Point1"/>
        <w:rPr>
          <w:noProof/>
        </w:rPr>
      </w:pPr>
      <w:r>
        <w:rPr>
          <w:noProof/>
        </w:rPr>
        <w:t>a)</w:t>
      </w:r>
      <w:r>
        <w:rPr>
          <w:noProof/>
        </w:rPr>
        <w:tab/>
        <w:t xml:space="preserve">Toutes les références à «TRQ 1 (4 000 t)» sont remplacées par «TRQ 1 (4 500 t; pour l’année 2021: 5 000 t; et à partir de l’année 2022: 5 500 t)»; </w:t>
      </w:r>
    </w:p>
    <w:p>
      <w:pPr>
        <w:pStyle w:val="Point1"/>
        <w:rPr>
          <w:noProof/>
        </w:rPr>
      </w:pPr>
      <w:r>
        <w:rPr>
          <w:noProof/>
        </w:rPr>
        <w:t>b)</w:t>
      </w:r>
      <w:r>
        <w:rPr>
          <w:noProof/>
        </w:rPr>
        <w:tab/>
        <w:t xml:space="preserve">Toutes les références à «TRQ 2 (4 000 t)» sont remplacées par «TRQ 2 (5 000 t; pour l’année 2021: 5 500 t; et à partir de l’année 2022: 6 000 t)»; </w:t>
      </w:r>
    </w:p>
    <w:p>
      <w:pPr>
        <w:pStyle w:val="Point1"/>
        <w:rPr>
          <w:noProof/>
        </w:rPr>
      </w:pPr>
      <w:r>
        <w:rPr>
          <w:noProof/>
        </w:rPr>
        <w:t>c)</w:t>
      </w:r>
      <w:r>
        <w:rPr>
          <w:noProof/>
        </w:rPr>
        <w:tab/>
        <w:t xml:space="preserve">Toutes les références à «TRQ 3 (1 000 t)» sont remplacées par «TRQ 3 (1 500 t; et à partir de l’année 2021: 2 000 t)»; </w:t>
      </w:r>
    </w:p>
    <w:p>
      <w:pPr>
        <w:pStyle w:val="Point1"/>
        <w:rPr>
          <w:rFonts w:eastAsia="Times New Roman"/>
          <w:noProof/>
          <w:szCs w:val="24"/>
        </w:rPr>
      </w:pPr>
      <w:r>
        <w:rPr>
          <w:noProof/>
        </w:rPr>
        <w:t>d)</w:t>
      </w:r>
      <w:r>
        <w:rPr>
          <w:noProof/>
        </w:rPr>
        <w:tab/>
        <w:t>Toutes les références à «TRQ 5 (5 400 t)» sont remplacées par «TRQ 5 (7 000 t; pour l’année 2021: 8 000 t; et à partir de l’année 2022: 9 000 t)».</w:t>
      </w:r>
    </w:p>
    <w:p>
      <w:pPr>
        <w:pStyle w:val="Titrearticle"/>
        <w:rPr>
          <w:rFonts w:eastAsia="Times New Roman"/>
          <w:i w:val="0"/>
          <w:noProof/>
          <w:szCs w:val="24"/>
        </w:rPr>
      </w:pPr>
      <w:r>
        <w:rPr>
          <w:noProof/>
        </w:rPr>
        <w:t>Article 2</w:t>
      </w:r>
    </w:p>
    <w:p>
      <w:pPr>
        <w:spacing w:after="360"/>
        <w:rPr>
          <w:rFonts w:eastAsia="Times New Roman"/>
          <w:noProof/>
          <w:szCs w:val="24"/>
        </w:rPr>
      </w:pPr>
      <w:r>
        <w:rPr>
          <w:noProof/>
        </w:rPr>
        <w:t>La présente décision entre en vigueur le jour de son adoption.</w:t>
      </w:r>
    </w:p>
    <w:p>
      <w:pPr>
        <w:rPr>
          <w:rFonts w:eastAsia="Times New Roman"/>
          <w:noProof/>
          <w:szCs w:val="24"/>
        </w:rPr>
      </w:pPr>
      <w:r>
        <w:rPr>
          <w:noProof/>
        </w:rPr>
        <w:t xml:space="preserve">Fait à..., le....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rPr>
                <w:i/>
                <w:noProof/>
              </w:rPr>
            </w:pPr>
            <w:r>
              <w:rPr>
                <w:i/>
                <w:noProof/>
              </w:rPr>
              <w:t xml:space="preserve">Par le comité d'association dans sa configuration «Commerce» </w:t>
            </w: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Le/a président(e)</w:t>
            </w:r>
          </w:p>
        </w:tc>
      </w:tr>
    </w:tbl>
    <w:p>
      <w:pPr>
        <w:jc w:val="left"/>
        <w:rPr>
          <w:i/>
          <w:noProof/>
        </w:rPr>
        <w:sectPr>
          <w:footerReference w:type="default" r:id="rId15"/>
          <w:footerReference w:type="first" r:id="rId16"/>
          <w:pgSz w:w="11907" w:h="16839"/>
          <w:pgMar w:top="1134" w:right="1418" w:bottom="1134" w:left="1418" w:header="720" w:footer="720" w:gutter="0"/>
          <w:cols w:space="720"/>
          <w:docGrid w:linePitch="326"/>
        </w:sectPr>
      </w:pPr>
    </w:p>
    <w:p>
      <w:pPr>
        <w:spacing w:after="360"/>
        <w:jc w:val="right"/>
        <w:rPr>
          <w:rFonts w:eastAsia="Times New Roman"/>
          <w:b/>
          <w:noProof/>
          <w:szCs w:val="24"/>
          <w:u w:val="single"/>
        </w:rPr>
      </w:pPr>
      <w:r>
        <w:rPr>
          <w:b/>
          <w:noProof/>
          <w:u w:val="single"/>
        </w:rPr>
        <w:t>Annexe 1</w:t>
      </w:r>
    </w:p>
    <w:p>
      <w:pPr>
        <w:spacing w:after="360"/>
        <w:jc w:val="center"/>
        <w:rPr>
          <w:b/>
          <w:caps/>
          <w:noProof/>
        </w:rPr>
      </w:pPr>
      <w:r>
        <w:rPr>
          <w:b/>
          <w:caps/>
          <w:noProof/>
        </w:rPr>
        <w:t xml:space="preserve">Actualisation de l’annexe XV-A de l’accord d’association </w:t>
      </w:r>
    </w:p>
    <w:p>
      <w:pPr>
        <w:rPr>
          <w:rFonts w:eastAsia="Times New Roman"/>
          <w:noProof/>
          <w:szCs w:val="24"/>
        </w:rPr>
      </w:pPr>
      <w:r>
        <w:rPr>
          <w:noProof/>
        </w:rPr>
        <w:t xml:space="preserve">Le texte de l’annexe XV-A est remplacé par le texte suivant: </w:t>
      </w:r>
    </w:p>
    <w:p>
      <w:pPr>
        <w:spacing w:after="360"/>
        <w:jc w:val="center"/>
        <w:rPr>
          <w:b/>
          <w:caps/>
          <w:strike/>
          <w:noProof/>
          <w:szCs w:val="24"/>
        </w:rPr>
      </w:pPr>
      <w:r>
        <w:rPr>
          <w:b/>
          <w:caps/>
          <w:noProof/>
        </w:rPr>
        <w:t>Annexe XV-A</w:t>
      </w:r>
    </w:p>
    <w:p>
      <w:pPr>
        <w:spacing w:after="360"/>
        <w:jc w:val="center"/>
        <w:rPr>
          <w:b/>
          <w:caps/>
          <w:noProof/>
          <w:szCs w:val="24"/>
        </w:rPr>
      </w:pPr>
      <w:r>
        <w:rPr>
          <w:b/>
          <w:caps/>
          <w:noProof/>
        </w:rPr>
        <w:t>produits soumis à des contingents tarifaires annuels en franchise de droits (UNION)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4111"/>
        <w:gridCol w:w="1276"/>
        <w:gridCol w:w="1417"/>
      </w:tblGrid>
      <w:tr>
        <w:trPr>
          <w:tblHeader/>
        </w:trPr>
        <w:tc>
          <w:tcPr>
            <w:tcW w:w="959" w:type="dxa"/>
          </w:tcPr>
          <w:p>
            <w:pPr>
              <w:spacing w:before="40" w:after="40"/>
              <w:jc w:val="center"/>
              <w:rPr>
                <w:b/>
                <w:noProof/>
                <w:szCs w:val="24"/>
              </w:rPr>
            </w:pPr>
            <w:r>
              <w:rPr>
                <w:b/>
                <w:noProof/>
              </w:rPr>
              <w:t>Nº d'ordre</w:t>
            </w:r>
          </w:p>
        </w:tc>
        <w:tc>
          <w:tcPr>
            <w:tcW w:w="1417" w:type="dxa"/>
          </w:tcPr>
          <w:p>
            <w:pPr>
              <w:spacing w:before="40" w:after="40"/>
              <w:jc w:val="center"/>
              <w:rPr>
                <w:b/>
                <w:noProof/>
                <w:szCs w:val="24"/>
              </w:rPr>
            </w:pPr>
            <w:r>
              <w:rPr>
                <w:b/>
                <w:noProof/>
              </w:rPr>
              <w:t>Code NC</w:t>
            </w:r>
          </w:p>
          <w:p>
            <w:pPr>
              <w:spacing w:before="40" w:after="40"/>
              <w:jc w:val="center"/>
              <w:rPr>
                <w:b/>
                <w:noProof/>
                <w:szCs w:val="24"/>
              </w:rPr>
            </w:pPr>
            <w:r>
              <w:rPr>
                <w:b/>
                <w:noProof/>
              </w:rPr>
              <w:t>2012</w:t>
            </w:r>
          </w:p>
        </w:tc>
        <w:tc>
          <w:tcPr>
            <w:tcW w:w="4111" w:type="dxa"/>
          </w:tcPr>
          <w:p>
            <w:pPr>
              <w:spacing w:before="40" w:after="40"/>
              <w:jc w:val="center"/>
              <w:rPr>
                <w:b/>
                <w:noProof/>
                <w:szCs w:val="24"/>
              </w:rPr>
            </w:pPr>
            <w:r>
              <w:rPr>
                <w:b/>
                <w:noProof/>
              </w:rPr>
              <w:t>Description du produit</w:t>
            </w:r>
          </w:p>
        </w:tc>
        <w:tc>
          <w:tcPr>
            <w:tcW w:w="1276" w:type="dxa"/>
          </w:tcPr>
          <w:p>
            <w:pPr>
              <w:spacing w:before="40" w:after="40"/>
              <w:jc w:val="center"/>
              <w:rPr>
                <w:b/>
                <w:noProof/>
                <w:szCs w:val="24"/>
              </w:rPr>
            </w:pPr>
            <w:r>
              <w:rPr>
                <w:b/>
                <w:noProof/>
              </w:rPr>
              <w:t>Volume (en tonnes)</w:t>
            </w:r>
          </w:p>
        </w:tc>
        <w:tc>
          <w:tcPr>
            <w:tcW w:w="1417" w:type="dxa"/>
          </w:tcPr>
          <w:p>
            <w:pPr>
              <w:spacing w:before="40" w:after="40"/>
              <w:jc w:val="center"/>
              <w:rPr>
                <w:b/>
                <w:noProof/>
                <w:szCs w:val="24"/>
              </w:rPr>
            </w:pPr>
            <w:r>
              <w:rPr>
                <w:b/>
                <w:noProof/>
              </w:rPr>
              <w:t>Taux de droit</w:t>
            </w:r>
          </w:p>
        </w:tc>
      </w:tr>
      <w:tr>
        <w:tc>
          <w:tcPr>
            <w:tcW w:w="959" w:type="dxa"/>
          </w:tcPr>
          <w:p>
            <w:pPr>
              <w:spacing w:before="40" w:after="40"/>
              <w:rPr>
                <w:noProof/>
                <w:szCs w:val="24"/>
              </w:rPr>
            </w:pPr>
            <w:r>
              <w:rPr>
                <w:noProof/>
              </w:rPr>
              <w:t>1</w:t>
            </w:r>
          </w:p>
        </w:tc>
        <w:tc>
          <w:tcPr>
            <w:tcW w:w="1417" w:type="dxa"/>
          </w:tcPr>
          <w:p>
            <w:pPr>
              <w:spacing w:before="40" w:after="40"/>
              <w:rPr>
                <w:noProof/>
                <w:szCs w:val="24"/>
              </w:rPr>
            </w:pPr>
            <w:r>
              <w:rPr>
                <w:noProof/>
              </w:rPr>
              <w:t>0702 00 00</w:t>
            </w:r>
          </w:p>
        </w:tc>
        <w:tc>
          <w:tcPr>
            <w:tcW w:w="4111" w:type="dxa"/>
          </w:tcPr>
          <w:p>
            <w:pPr>
              <w:spacing w:before="40" w:after="40"/>
              <w:rPr>
                <w:noProof/>
                <w:szCs w:val="24"/>
              </w:rPr>
            </w:pPr>
            <w:r>
              <w:rPr>
                <w:noProof/>
              </w:rPr>
              <w:t>Tomates, à l'état frais ou réfrigéré</w:t>
            </w:r>
          </w:p>
        </w:tc>
        <w:tc>
          <w:tcPr>
            <w:tcW w:w="1276" w:type="dxa"/>
          </w:tcPr>
          <w:p>
            <w:pPr>
              <w:spacing w:before="40" w:after="40"/>
              <w:rPr>
                <w:noProof/>
                <w:szCs w:val="24"/>
              </w:rPr>
            </w:pPr>
            <w:r>
              <w:rPr>
                <w:noProof/>
              </w:rPr>
              <w:t>2 000</w:t>
            </w:r>
          </w:p>
        </w:tc>
        <w:tc>
          <w:tcPr>
            <w:tcW w:w="1417" w:type="dxa"/>
          </w:tcPr>
          <w:p>
            <w:pPr>
              <w:spacing w:before="40" w:after="40"/>
              <w:rPr>
                <w:noProof/>
                <w:szCs w:val="24"/>
              </w:rPr>
            </w:pPr>
            <w:r>
              <w:rPr>
                <w:noProof/>
              </w:rPr>
              <w:t>droit nul</w:t>
            </w:r>
          </w:p>
        </w:tc>
      </w:tr>
      <w:tr>
        <w:tc>
          <w:tcPr>
            <w:tcW w:w="959" w:type="dxa"/>
          </w:tcPr>
          <w:p>
            <w:pPr>
              <w:spacing w:before="40" w:after="40"/>
              <w:rPr>
                <w:noProof/>
                <w:szCs w:val="24"/>
              </w:rPr>
            </w:pPr>
            <w:r>
              <w:rPr>
                <w:noProof/>
              </w:rPr>
              <w:t>2</w:t>
            </w:r>
          </w:p>
        </w:tc>
        <w:tc>
          <w:tcPr>
            <w:tcW w:w="1417" w:type="dxa"/>
          </w:tcPr>
          <w:p>
            <w:pPr>
              <w:spacing w:before="40" w:after="40"/>
              <w:rPr>
                <w:noProof/>
                <w:szCs w:val="24"/>
              </w:rPr>
            </w:pPr>
            <w:r>
              <w:rPr>
                <w:noProof/>
              </w:rPr>
              <w:t>0703 20 00</w:t>
            </w:r>
          </w:p>
        </w:tc>
        <w:tc>
          <w:tcPr>
            <w:tcW w:w="4111" w:type="dxa"/>
          </w:tcPr>
          <w:p>
            <w:pPr>
              <w:spacing w:before="40" w:after="40"/>
              <w:rPr>
                <w:noProof/>
                <w:szCs w:val="24"/>
              </w:rPr>
            </w:pPr>
            <w:r>
              <w:rPr>
                <w:noProof/>
              </w:rPr>
              <w:t xml:space="preserve">Aulx, à l’état frais ou réfrigéré </w:t>
            </w:r>
          </w:p>
        </w:tc>
        <w:tc>
          <w:tcPr>
            <w:tcW w:w="1276" w:type="dxa"/>
          </w:tcPr>
          <w:p>
            <w:pPr>
              <w:spacing w:before="40" w:after="40"/>
              <w:rPr>
                <w:noProof/>
                <w:szCs w:val="24"/>
              </w:rPr>
            </w:pPr>
            <w:r>
              <w:rPr>
                <w:noProof/>
              </w:rPr>
              <w:t>220</w:t>
            </w:r>
          </w:p>
        </w:tc>
        <w:tc>
          <w:tcPr>
            <w:tcW w:w="1417" w:type="dxa"/>
          </w:tcPr>
          <w:p>
            <w:pPr>
              <w:spacing w:before="40" w:after="40"/>
              <w:rPr>
                <w:noProof/>
                <w:szCs w:val="24"/>
              </w:rPr>
            </w:pPr>
            <w:r>
              <w:rPr>
                <w:noProof/>
              </w:rPr>
              <w:t>droit nul</w:t>
            </w:r>
          </w:p>
        </w:tc>
      </w:tr>
      <w:tr>
        <w:tc>
          <w:tcPr>
            <w:tcW w:w="959" w:type="dxa"/>
          </w:tcPr>
          <w:p>
            <w:pPr>
              <w:spacing w:before="40" w:after="40"/>
              <w:rPr>
                <w:noProof/>
                <w:szCs w:val="24"/>
              </w:rPr>
            </w:pPr>
            <w:r>
              <w:rPr>
                <w:noProof/>
              </w:rPr>
              <w:t>3</w:t>
            </w:r>
          </w:p>
        </w:tc>
        <w:tc>
          <w:tcPr>
            <w:tcW w:w="1417" w:type="dxa"/>
          </w:tcPr>
          <w:p>
            <w:pPr>
              <w:spacing w:before="40" w:after="40"/>
              <w:rPr>
                <w:noProof/>
                <w:szCs w:val="24"/>
              </w:rPr>
            </w:pPr>
            <w:r>
              <w:rPr>
                <w:noProof/>
              </w:rPr>
              <w:t>0806 10 10</w:t>
            </w:r>
          </w:p>
        </w:tc>
        <w:tc>
          <w:tcPr>
            <w:tcW w:w="4111" w:type="dxa"/>
          </w:tcPr>
          <w:p>
            <w:pPr>
              <w:spacing w:before="40" w:after="40"/>
              <w:rPr>
                <w:noProof/>
                <w:szCs w:val="24"/>
              </w:rPr>
            </w:pPr>
            <w:r>
              <w:rPr>
                <w:noProof/>
              </w:rPr>
              <w:t>Raisins de table, frais</w:t>
            </w:r>
          </w:p>
        </w:tc>
        <w:tc>
          <w:tcPr>
            <w:tcW w:w="1276" w:type="dxa"/>
          </w:tcPr>
          <w:p>
            <w:pPr>
              <w:spacing w:before="40" w:after="40"/>
              <w:rPr>
                <w:noProof/>
                <w:szCs w:val="24"/>
              </w:rPr>
            </w:pPr>
            <w:r>
              <w:rPr>
                <w:noProof/>
              </w:rPr>
              <w:t>20 000</w:t>
            </w:r>
          </w:p>
        </w:tc>
        <w:tc>
          <w:tcPr>
            <w:tcW w:w="1417" w:type="dxa"/>
          </w:tcPr>
          <w:p>
            <w:pPr>
              <w:spacing w:before="40" w:after="40"/>
              <w:rPr>
                <w:noProof/>
                <w:szCs w:val="24"/>
              </w:rPr>
            </w:pPr>
            <w:r>
              <w:rPr>
                <w:noProof/>
              </w:rPr>
              <w:t>droit nul</w:t>
            </w:r>
          </w:p>
        </w:tc>
      </w:tr>
      <w:tr>
        <w:tc>
          <w:tcPr>
            <w:tcW w:w="959" w:type="dxa"/>
          </w:tcPr>
          <w:p>
            <w:pPr>
              <w:spacing w:before="40" w:after="40"/>
              <w:rPr>
                <w:noProof/>
                <w:szCs w:val="24"/>
              </w:rPr>
            </w:pPr>
            <w:r>
              <w:rPr>
                <w:noProof/>
              </w:rPr>
              <w:t>4</w:t>
            </w:r>
          </w:p>
        </w:tc>
        <w:tc>
          <w:tcPr>
            <w:tcW w:w="1417" w:type="dxa"/>
          </w:tcPr>
          <w:p>
            <w:pPr>
              <w:spacing w:before="40" w:after="40"/>
              <w:rPr>
                <w:noProof/>
                <w:szCs w:val="24"/>
              </w:rPr>
            </w:pPr>
            <w:r>
              <w:rPr>
                <w:noProof/>
              </w:rPr>
              <w:t>0808 10 80</w:t>
            </w:r>
          </w:p>
        </w:tc>
        <w:tc>
          <w:tcPr>
            <w:tcW w:w="4111" w:type="dxa"/>
          </w:tcPr>
          <w:p>
            <w:pPr>
              <w:spacing w:before="40" w:after="40"/>
              <w:rPr>
                <w:noProof/>
                <w:szCs w:val="24"/>
              </w:rPr>
            </w:pPr>
            <w:r>
              <w:rPr>
                <w:noProof/>
              </w:rPr>
              <w:t>Pommes, fraîches (à l'excl. des pommes à cidre, présentées en vrac, du 16 septembre au 15 décembre)</w:t>
            </w:r>
          </w:p>
        </w:tc>
        <w:tc>
          <w:tcPr>
            <w:tcW w:w="1276" w:type="dxa"/>
          </w:tcPr>
          <w:p>
            <w:pPr>
              <w:spacing w:before="40" w:after="40"/>
              <w:rPr>
                <w:noProof/>
                <w:szCs w:val="24"/>
              </w:rPr>
            </w:pPr>
            <w:r>
              <w:rPr>
                <w:noProof/>
              </w:rPr>
              <w:t>40 000</w:t>
            </w:r>
          </w:p>
        </w:tc>
        <w:tc>
          <w:tcPr>
            <w:tcW w:w="1417" w:type="dxa"/>
          </w:tcPr>
          <w:p>
            <w:pPr>
              <w:spacing w:before="40" w:after="40"/>
              <w:rPr>
                <w:noProof/>
                <w:szCs w:val="24"/>
              </w:rPr>
            </w:pPr>
            <w:r>
              <w:rPr>
                <w:noProof/>
              </w:rPr>
              <w:t>droit nul</w:t>
            </w:r>
          </w:p>
        </w:tc>
      </w:tr>
      <w:tr>
        <w:tc>
          <w:tcPr>
            <w:tcW w:w="959" w:type="dxa"/>
          </w:tcPr>
          <w:p>
            <w:pPr>
              <w:spacing w:before="40" w:after="40"/>
              <w:rPr>
                <w:noProof/>
                <w:szCs w:val="24"/>
              </w:rPr>
            </w:pPr>
            <w:r>
              <w:rPr>
                <w:noProof/>
              </w:rPr>
              <w:t>5</w:t>
            </w:r>
          </w:p>
        </w:tc>
        <w:tc>
          <w:tcPr>
            <w:tcW w:w="1417" w:type="dxa"/>
          </w:tcPr>
          <w:p>
            <w:pPr>
              <w:spacing w:before="40" w:after="40"/>
              <w:rPr>
                <w:noProof/>
                <w:szCs w:val="24"/>
              </w:rPr>
            </w:pPr>
            <w:r>
              <w:rPr>
                <w:noProof/>
              </w:rPr>
              <w:t>0809 29 00</w:t>
            </w:r>
          </w:p>
        </w:tc>
        <w:tc>
          <w:tcPr>
            <w:tcW w:w="4111" w:type="dxa"/>
          </w:tcPr>
          <w:p>
            <w:pPr>
              <w:spacing w:before="40" w:after="40"/>
              <w:rPr>
                <w:noProof/>
                <w:szCs w:val="24"/>
              </w:rPr>
            </w:pPr>
            <w:r>
              <w:rPr>
                <w:noProof/>
              </w:rPr>
              <w:t>Cerises, fraîches (à l'excl. des cerises acides)</w:t>
            </w:r>
          </w:p>
        </w:tc>
        <w:tc>
          <w:tcPr>
            <w:tcW w:w="1276" w:type="dxa"/>
          </w:tcPr>
          <w:p>
            <w:pPr>
              <w:spacing w:before="40" w:after="40"/>
              <w:rPr>
                <w:noProof/>
                <w:szCs w:val="24"/>
              </w:rPr>
            </w:pPr>
            <w:r>
              <w:rPr>
                <w:noProof/>
              </w:rPr>
              <w:t>1 500</w:t>
            </w:r>
          </w:p>
        </w:tc>
        <w:tc>
          <w:tcPr>
            <w:tcW w:w="1417" w:type="dxa"/>
          </w:tcPr>
          <w:p>
            <w:pPr>
              <w:spacing w:before="40" w:after="40"/>
              <w:rPr>
                <w:noProof/>
                <w:szCs w:val="24"/>
              </w:rPr>
            </w:pPr>
            <w:r>
              <w:rPr>
                <w:noProof/>
              </w:rPr>
              <w:t>droit nul</w:t>
            </w:r>
          </w:p>
        </w:tc>
      </w:tr>
      <w:tr>
        <w:tc>
          <w:tcPr>
            <w:tcW w:w="959" w:type="dxa"/>
          </w:tcPr>
          <w:p>
            <w:pPr>
              <w:spacing w:before="40" w:after="40"/>
              <w:rPr>
                <w:noProof/>
                <w:szCs w:val="24"/>
              </w:rPr>
            </w:pPr>
            <w:r>
              <w:rPr>
                <w:noProof/>
              </w:rPr>
              <w:t>6</w:t>
            </w:r>
          </w:p>
        </w:tc>
        <w:tc>
          <w:tcPr>
            <w:tcW w:w="1417" w:type="dxa"/>
          </w:tcPr>
          <w:p>
            <w:pPr>
              <w:spacing w:before="40" w:after="40"/>
              <w:rPr>
                <w:noProof/>
                <w:szCs w:val="24"/>
              </w:rPr>
            </w:pPr>
            <w:r>
              <w:rPr>
                <w:noProof/>
              </w:rPr>
              <w:t>0809 40 05</w:t>
            </w:r>
          </w:p>
        </w:tc>
        <w:tc>
          <w:tcPr>
            <w:tcW w:w="4111" w:type="dxa"/>
          </w:tcPr>
          <w:p>
            <w:pPr>
              <w:spacing w:before="40" w:after="40"/>
              <w:rPr>
                <w:noProof/>
                <w:szCs w:val="24"/>
              </w:rPr>
            </w:pPr>
            <w:r>
              <w:rPr>
                <w:noProof/>
              </w:rPr>
              <w:t>Prunes, fraîches</w:t>
            </w:r>
          </w:p>
        </w:tc>
        <w:tc>
          <w:tcPr>
            <w:tcW w:w="1276" w:type="dxa"/>
          </w:tcPr>
          <w:p>
            <w:pPr>
              <w:spacing w:before="40" w:after="40"/>
              <w:rPr>
                <w:noProof/>
                <w:szCs w:val="24"/>
              </w:rPr>
            </w:pPr>
            <w:r>
              <w:rPr>
                <w:noProof/>
              </w:rPr>
              <w:t>15 000</w:t>
            </w:r>
          </w:p>
        </w:tc>
        <w:tc>
          <w:tcPr>
            <w:tcW w:w="1417" w:type="dxa"/>
          </w:tcPr>
          <w:p>
            <w:pPr>
              <w:spacing w:before="40" w:after="40"/>
              <w:rPr>
                <w:noProof/>
                <w:szCs w:val="24"/>
              </w:rPr>
            </w:pPr>
            <w:r>
              <w:rPr>
                <w:noProof/>
              </w:rPr>
              <w:t>droit nul</w:t>
            </w:r>
          </w:p>
        </w:tc>
      </w:tr>
      <w:tr>
        <w:tc>
          <w:tcPr>
            <w:tcW w:w="959" w:type="dxa"/>
          </w:tcPr>
          <w:p>
            <w:pPr>
              <w:spacing w:before="40" w:after="40"/>
              <w:rPr>
                <w:noProof/>
                <w:szCs w:val="24"/>
              </w:rPr>
            </w:pPr>
            <w:r>
              <w:rPr>
                <w:noProof/>
              </w:rPr>
              <w:t>7</w:t>
            </w:r>
          </w:p>
        </w:tc>
        <w:tc>
          <w:tcPr>
            <w:tcW w:w="1417" w:type="dxa"/>
          </w:tcPr>
          <w:p>
            <w:pPr>
              <w:spacing w:before="40" w:after="40"/>
              <w:rPr>
                <w:noProof/>
                <w:szCs w:val="24"/>
              </w:rPr>
            </w:pPr>
            <w:r>
              <w:rPr>
                <w:noProof/>
              </w:rPr>
              <w:t>2009 61 10</w:t>
            </w:r>
          </w:p>
        </w:tc>
        <w:tc>
          <w:tcPr>
            <w:tcW w:w="4111" w:type="dxa"/>
          </w:tcPr>
          <w:p>
            <w:pPr>
              <w:spacing w:before="40" w:after="40"/>
              <w:rPr>
                <w:noProof/>
                <w:szCs w:val="24"/>
              </w:rPr>
            </w:pPr>
            <w:r>
              <w:rPr>
                <w:noProof/>
              </w:rPr>
              <w:t>Jus de raisin — y.c. les moûts de raisin -, non fermentés, sans addition d'alcool, avec ou sans addition de sucre ou d'autres édulcorants, d'une valeur Brix &lt;= 30 à 20 °C et d'une valeur &gt; 18 EUR par 100 kg poids net</w:t>
            </w:r>
          </w:p>
        </w:tc>
        <w:tc>
          <w:tcPr>
            <w:tcW w:w="1276" w:type="dxa"/>
          </w:tcPr>
          <w:p>
            <w:pPr>
              <w:spacing w:before="40" w:after="40"/>
              <w:rPr>
                <w:noProof/>
                <w:szCs w:val="24"/>
              </w:rPr>
            </w:pPr>
            <w:r>
              <w:rPr>
                <w:noProof/>
              </w:rPr>
              <w:t>500</w:t>
            </w:r>
          </w:p>
        </w:tc>
        <w:tc>
          <w:tcPr>
            <w:tcW w:w="1417" w:type="dxa"/>
          </w:tcPr>
          <w:p>
            <w:pPr>
              <w:spacing w:before="40" w:after="40"/>
              <w:rPr>
                <w:noProof/>
                <w:szCs w:val="24"/>
              </w:rPr>
            </w:pPr>
            <w:r>
              <w:rPr>
                <w:noProof/>
              </w:rPr>
              <w:t>droit nul</w:t>
            </w:r>
          </w:p>
        </w:tc>
      </w:tr>
    </w:tbl>
    <w:p>
      <w:pPr>
        <w:rPr>
          <w:b/>
          <w:caps/>
          <w:strike/>
          <w:noProof/>
          <w:szCs w:val="24"/>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4111"/>
        <w:gridCol w:w="1276"/>
        <w:gridCol w:w="1417"/>
      </w:tblGrid>
      <w:tr>
        <w:trPr>
          <w:tblHeader/>
        </w:trPr>
        <w:tc>
          <w:tcPr>
            <w:tcW w:w="959" w:type="dxa"/>
          </w:tcPr>
          <w:p>
            <w:pPr>
              <w:spacing w:before="40" w:after="40"/>
              <w:jc w:val="center"/>
              <w:rPr>
                <w:b/>
                <w:noProof/>
                <w:szCs w:val="24"/>
              </w:rPr>
            </w:pPr>
            <w:r>
              <w:rPr>
                <w:b/>
                <w:noProof/>
              </w:rPr>
              <w:t>Nº d'ordre</w:t>
            </w:r>
          </w:p>
        </w:tc>
        <w:tc>
          <w:tcPr>
            <w:tcW w:w="1417" w:type="dxa"/>
          </w:tcPr>
          <w:p>
            <w:pPr>
              <w:spacing w:before="40" w:after="40"/>
              <w:jc w:val="center"/>
              <w:rPr>
                <w:b/>
                <w:noProof/>
                <w:szCs w:val="24"/>
              </w:rPr>
            </w:pPr>
            <w:r>
              <w:rPr>
                <w:b/>
                <w:noProof/>
              </w:rPr>
              <w:t>Code NC</w:t>
            </w:r>
          </w:p>
          <w:p>
            <w:pPr>
              <w:spacing w:before="40" w:after="40"/>
              <w:jc w:val="center"/>
              <w:rPr>
                <w:b/>
                <w:noProof/>
                <w:szCs w:val="24"/>
              </w:rPr>
            </w:pPr>
            <w:r>
              <w:rPr>
                <w:b/>
                <w:noProof/>
              </w:rPr>
              <w:t>2012</w:t>
            </w:r>
          </w:p>
        </w:tc>
        <w:tc>
          <w:tcPr>
            <w:tcW w:w="4111" w:type="dxa"/>
          </w:tcPr>
          <w:p>
            <w:pPr>
              <w:spacing w:before="40" w:after="40"/>
              <w:jc w:val="center"/>
              <w:rPr>
                <w:b/>
                <w:noProof/>
                <w:szCs w:val="24"/>
              </w:rPr>
            </w:pPr>
            <w:r>
              <w:rPr>
                <w:b/>
                <w:noProof/>
              </w:rPr>
              <w:t>Description du produit</w:t>
            </w:r>
          </w:p>
        </w:tc>
        <w:tc>
          <w:tcPr>
            <w:tcW w:w="1276" w:type="dxa"/>
          </w:tcPr>
          <w:p>
            <w:pPr>
              <w:spacing w:before="40" w:after="40"/>
              <w:jc w:val="center"/>
              <w:rPr>
                <w:b/>
                <w:noProof/>
                <w:szCs w:val="24"/>
              </w:rPr>
            </w:pPr>
            <w:r>
              <w:rPr>
                <w:b/>
                <w:noProof/>
              </w:rPr>
              <w:t>Volume (en tonnes)</w:t>
            </w:r>
          </w:p>
        </w:tc>
        <w:tc>
          <w:tcPr>
            <w:tcW w:w="1417" w:type="dxa"/>
          </w:tcPr>
          <w:p>
            <w:pPr>
              <w:spacing w:before="40" w:after="40"/>
              <w:jc w:val="center"/>
              <w:rPr>
                <w:b/>
                <w:noProof/>
                <w:szCs w:val="24"/>
              </w:rPr>
            </w:pPr>
            <w:r>
              <w:rPr>
                <w:b/>
                <w:noProof/>
              </w:rPr>
              <w:t>Taux de droit</w:t>
            </w:r>
          </w:p>
        </w:tc>
      </w:tr>
      <w:tr>
        <w:tc>
          <w:tcPr>
            <w:tcW w:w="959" w:type="dxa"/>
            <w:vMerge w:val="restart"/>
          </w:tcPr>
          <w:p>
            <w:pPr>
              <w:spacing w:before="40" w:after="40"/>
              <w:rPr>
                <w:noProof/>
                <w:szCs w:val="24"/>
              </w:rPr>
            </w:pPr>
          </w:p>
        </w:tc>
        <w:tc>
          <w:tcPr>
            <w:tcW w:w="1417" w:type="dxa"/>
          </w:tcPr>
          <w:p>
            <w:pPr>
              <w:spacing w:before="40" w:after="40"/>
              <w:rPr>
                <w:noProof/>
                <w:szCs w:val="24"/>
              </w:rPr>
            </w:pPr>
            <w:r>
              <w:rPr>
                <w:noProof/>
              </w:rPr>
              <w:t>2009 69 19</w:t>
            </w:r>
          </w:p>
        </w:tc>
        <w:tc>
          <w:tcPr>
            <w:tcW w:w="4111" w:type="dxa"/>
          </w:tcPr>
          <w:p>
            <w:pPr>
              <w:spacing w:before="40" w:after="40"/>
              <w:rPr>
                <w:noProof/>
                <w:szCs w:val="24"/>
              </w:rPr>
            </w:pPr>
            <w:r>
              <w:rPr>
                <w:noProof/>
              </w:rPr>
              <w:t>Jus de raisin — y.c. les moûts de raisin -, non fermentés, sans addition d'alcool, avec ou sans addition de sucre ou d'autres édulcorants, d'une valeur Brix &gt; 67 à 20 °C et d'une valeur &gt; 22 EUR par 100 kg poids net</w:t>
            </w:r>
          </w:p>
        </w:tc>
        <w:tc>
          <w:tcPr>
            <w:tcW w:w="1276" w:type="dxa"/>
            <w:vMerge w:val="restart"/>
          </w:tcPr>
          <w:p>
            <w:pPr>
              <w:spacing w:before="40" w:after="40"/>
              <w:rPr>
                <w:noProof/>
                <w:szCs w:val="24"/>
              </w:rPr>
            </w:pPr>
          </w:p>
        </w:tc>
        <w:tc>
          <w:tcPr>
            <w:tcW w:w="1417" w:type="dxa"/>
            <w:vMerge w:val="restart"/>
          </w:tcPr>
          <w:p>
            <w:pPr>
              <w:spacing w:before="40" w:after="40"/>
              <w:rPr>
                <w:noProof/>
                <w:szCs w:val="24"/>
              </w:rPr>
            </w:pPr>
          </w:p>
        </w:tc>
      </w:tr>
      <w:tr>
        <w:tc>
          <w:tcPr>
            <w:tcW w:w="959" w:type="dxa"/>
            <w:vMerge/>
          </w:tcPr>
          <w:p>
            <w:pPr>
              <w:spacing w:before="40" w:after="40"/>
              <w:rPr>
                <w:noProof/>
                <w:szCs w:val="24"/>
              </w:rPr>
            </w:pPr>
          </w:p>
        </w:tc>
        <w:tc>
          <w:tcPr>
            <w:tcW w:w="1417" w:type="dxa"/>
          </w:tcPr>
          <w:p>
            <w:pPr>
              <w:spacing w:before="40" w:after="40"/>
              <w:rPr>
                <w:noProof/>
                <w:szCs w:val="24"/>
              </w:rPr>
            </w:pPr>
            <w:r>
              <w:rPr>
                <w:noProof/>
              </w:rPr>
              <w:t>2009 69 51</w:t>
            </w:r>
          </w:p>
        </w:tc>
        <w:tc>
          <w:tcPr>
            <w:tcW w:w="4111" w:type="dxa"/>
          </w:tcPr>
          <w:p>
            <w:pPr>
              <w:spacing w:before="40" w:after="40"/>
              <w:rPr>
                <w:noProof/>
                <w:szCs w:val="24"/>
              </w:rPr>
            </w:pPr>
            <w:r>
              <w:rPr>
                <w:noProof/>
              </w:rPr>
              <w:t>Jus de raisin — y compris les moûts de raisin -, non fermentés, sans addition d'alcool, avec ou sans addition de sucre ou d'autres édulcorants, d'une valeur Brix &gt; 30 mais &lt;= 67 à 20 °C et d'une valeur &gt; 18 EUR par 100 kg poids net, concentrés</w:t>
            </w:r>
          </w:p>
        </w:tc>
        <w:tc>
          <w:tcPr>
            <w:tcW w:w="1276" w:type="dxa"/>
            <w:vMerge/>
          </w:tcPr>
          <w:p>
            <w:pPr>
              <w:spacing w:before="40" w:after="40"/>
              <w:rPr>
                <w:noProof/>
                <w:szCs w:val="24"/>
              </w:rPr>
            </w:pPr>
          </w:p>
        </w:tc>
        <w:tc>
          <w:tcPr>
            <w:tcW w:w="1417" w:type="dxa"/>
            <w:vMerge/>
          </w:tcPr>
          <w:p>
            <w:pPr>
              <w:spacing w:before="40" w:after="40"/>
              <w:rPr>
                <w:noProof/>
                <w:szCs w:val="24"/>
              </w:rPr>
            </w:pPr>
          </w:p>
        </w:tc>
      </w:tr>
      <w:tr>
        <w:tc>
          <w:tcPr>
            <w:tcW w:w="959" w:type="dxa"/>
            <w:vMerge/>
          </w:tcPr>
          <w:p>
            <w:pPr>
              <w:spacing w:before="40" w:after="40"/>
              <w:rPr>
                <w:noProof/>
                <w:szCs w:val="24"/>
              </w:rPr>
            </w:pPr>
          </w:p>
        </w:tc>
        <w:tc>
          <w:tcPr>
            <w:tcW w:w="1417" w:type="dxa"/>
          </w:tcPr>
          <w:p>
            <w:pPr>
              <w:spacing w:before="40" w:after="40"/>
              <w:rPr>
                <w:noProof/>
                <w:szCs w:val="24"/>
              </w:rPr>
            </w:pPr>
            <w:r>
              <w:rPr>
                <w:noProof/>
              </w:rPr>
              <w:t>2009 69 59</w:t>
            </w:r>
          </w:p>
        </w:tc>
        <w:tc>
          <w:tcPr>
            <w:tcW w:w="4111" w:type="dxa"/>
          </w:tcPr>
          <w:p>
            <w:pPr>
              <w:spacing w:before="40" w:after="40"/>
              <w:rPr>
                <w:noProof/>
                <w:szCs w:val="24"/>
              </w:rPr>
            </w:pPr>
            <w:r>
              <w:rPr>
                <w:noProof/>
              </w:rPr>
              <w:t>Jus de raisin — y compris les moûts de raisin -, non fermentés, sans addition d'alcool, avec ou sans addition de sucre ou d'autres édulcorants, d'une valeur Brix &gt; 30 mais &lt;=  67 à 20 °C et d'une valeur &gt; 18 EUR par 100 kg poids net (à l'exclusion des jus concentrés)</w:t>
            </w:r>
          </w:p>
        </w:tc>
        <w:tc>
          <w:tcPr>
            <w:tcW w:w="1276" w:type="dxa"/>
            <w:vMerge/>
          </w:tcPr>
          <w:p>
            <w:pPr>
              <w:spacing w:before="40" w:after="40"/>
              <w:rPr>
                <w:noProof/>
                <w:szCs w:val="24"/>
              </w:rPr>
            </w:pPr>
          </w:p>
        </w:tc>
        <w:tc>
          <w:tcPr>
            <w:tcW w:w="1417" w:type="dxa"/>
            <w:vMerge/>
          </w:tcPr>
          <w:p>
            <w:pPr>
              <w:spacing w:before="40" w:after="40"/>
              <w:rPr>
                <w:noProof/>
                <w:szCs w:val="24"/>
              </w:rPr>
            </w:pPr>
          </w:p>
        </w:tc>
      </w:tr>
    </w:tbl>
    <w:p>
      <w:pPr>
        <w:spacing w:before="0" w:after="200" w:line="276" w:lineRule="auto"/>
        <w:jc w:val="left"/>
        <w:rPr>
          <w:b/>
          <w:caps/>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9E7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0E2E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72F0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40BB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6A47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F441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08D6F4"/>
    <w:lvl w:ilvl="0">
      <w:start w:val="1"/>
      <w:numFmt w:val="decimal"/>
      <w:pStyle w:val="ListNumber"/>
      <w:lvlText w:val="%1."/>
      <w:lvlJc w:val="left"/>
      <w:pPr>
        <w:tabs>
          <w:tab w:val="num" w:pos="360"/>
        </w:tabs>
        <w:ind w:left="360" w:hanging="360"/>
      </w:pPr>
    </w:lvl>
  </w:abstractNum>
  <w:abstractNum w:abstractNumId="7">
    <w:nsid w:val="FFFFFF89"/>
    <w:multiLevelType w:val="singleLevel"/>
    <w:tmpl w:val="CA1E60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5 10:10: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8837EAA6-697C-424E-9531-0A635179E32E"/>
    <w:docVar w:name="LW_COVERPAGE_TYPE" w:val="1"/>
    <w:docVar w:name="LW_CROSSREFERENCE" w:val="&lt;UNUSED&gt;"/>
    <w:docVar w:name="LW_DocType" w:val="ANNEX"/>
    <w:docVar w:name="LW_EMISSION" w:val="27.11.2019"/>
    <w:docVar w:name="LW_EMISSION_ISODATE" w:val="2019-11-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d\u8217?association dans sa configuration «Commerce»"/>
    <w:docVar w:name="LW_OBJETACTEPRINCIPAL.CP" w:val="relative à la position à prendre, au nom de l\u8217?Union européenne, au sein du comité d\u8217?association dans sa configuration «Commerce»"/>
    <w:docVar w:name="LW_PART_NBR" w:val="1"/>
    <w:docVar w:name="LW_PART_NBR_TOTAL" w:val="1"/>
    <w:docVar w:name="LW_REF.INST.NEW" w:val="COM"/>
    <w:docVar w:name="LW_REF.INST.NEW_ADOPTED" w:val="final"/>
    <w:docVar w:name="LW_REF.INST.NEW_TEXT" w:val="(2019) 6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rPr>
      <w:rFonts w:eastAsia="Calibri"/>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rPr>
      <w:rFonts w:eastAsia="Calibri"/>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1080</Words>
  <Characters>5163</Characters>
  <Application>Microsoft Office Word</Application>
  <DocSecurity>0</DocSecurity>
  <Lines>184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cp:lastPrinted>2019-09-23T15:47:00Z</cp:lastPrinted>
  <dcterms:created xsi:type="dcterms:W3CDTF">2019-11-08T16:16:00Z</dcterms:created>
  <dcterms:modified xsi:type="dcterms:W3CDTF">2019-11-25T09:10:00Z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