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7C92D3A-D3DA-40F1-B3F4-CD3C9C44BF98" style="width:450.4pt;height:383.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rPr>
      </w:pPr>
      <w:bookmarkStart w:id="0" w:name="_GoBack"/>
      <w:bookmarkEnd w:id="0"/>
      <w:r>
        <w:rPr>
          <w:noProof/>
        </w:rPr>
        <w:lastRenderedPageBreak/>
        <w:t>ATTACHMENT</w:t>
      </w:r>
    </w:p>
    <w:p>
      <w:pPr>
        <w:jc w:val="center"/>
        <w:rPr>
          <w:b/>
          <w:noProof/>
        </w:rPr>
      </w:pPr>
      <w:r>
        <w:rPr>
          <w:b/>
          <w:noProof/>
        </w:rPr>
        <w:t>DRAFT</w:t>
      </w:r>
    </w:p>
    <w:p>
      <w:pPr>
        <w:jc w:val="center"/>
        <w:rPr>
          <w:b/>
          <w:caps/>
          <w:noProof/>
        </w:rPr>
      </w:pPr>
      <w:r>
        <w:rPr>
          <w:b/>
          <w:noProof/>
        </w:rPr>
        <w:t xml:space="preserve">DECISION No ../… OF THE EU-MOLDOVA ASSOCIATION COMMITTEE IN </w:t>
      </w:r>
      <w:r>
        <w:rPr>
          <w:b/>
          <w:caps/>
          <w:noProof/>
        </w:rPr>
        <w:t>trade CONFIGURATION</w:t>
      </w:r>
    </w:p>
    <w:p>
      <w:pPr>
        <w:jc w:val="center"/>
        <w:rPr>
          <w:b/>
          <w:noProof/>
        </w:rPr>
      </w:pPr>
      <w:r>
        <w:rPr>
          <w:b/>
          <w:noProof/>
        </w:rPr>
        <w:t>of … 20...</w:t>
      </w:r>
    </w:p>
    <w:p>
      <w:pPr>
        <w:spacing w:after="360"/>
        <w:jc w:val="center"/>
        <w:rPr>
          <w:b/>
          <w:noProof/>
        </w:rPr>
      </w:pPr>
      <w:r>
        <w:rPr>
          <w:b/>
          <w:noProof/>
        </w:rPr>
        <w:t>updating Annex XV to the Agreement</w:t>
      </w:r>
    </w:p>
    <w:p>
      <w:pPr>
        <w:rPr>
          <w:rFonts w:eastAsia="Times New Roman"/>
          <w:noProof/>
          <w:szCs w:val="24"/>
        </w:rPr>
      </w:pPr>
      <w:r>
        <w:rPr>
          <w:rFonts w:eastAsia="Times New Roman"/>
          <w:noProof/>
          <w:szCs w:val="24"/>
        </w:rPr>
        <w:t xml:space="preserve">THE ASSOCIATION COMMITTEE IN TRADE CONFIGURATION, </w:t>
      </w:r>
    </w:p>
    <w:p>
      <w:pPr>
        <w:rPr>
          <w:rFonts w:eastAsia="Times New Roman"/>
          <w:noProof/>
          <w:szCs w:val="24"/>
        </w:rPr>
      </w:pPr>
      <w:r>
        <w:rPr>
          <w:rFonts w:eastAsia="Times New Roman"/>
          <w:noProof/>
          <w:szCs w:val="24"/>
        </w:rPr>
        <w:t>Having regard to the Association Agreement between the European Union and the European Atomic Energy Community and their Member States, of the one part, and the Republic of Moldova, of the other part, signed in Brussels on 27 June 2014, and in particular Article 147(4) and (5), Article 148(5) and Article 438(3) thereof,</w:t>
      </w:r>
    </w:p>
    <w:p>
      <w:pPr>
        <w:rPr>
          <w:rFonts w:eastAsia="Times New Roman"/>
          <w:noProof/>
          <w:szCs w:val="24"/>
        </w:rPr>
      </w:pPr>
      <w:r>
        <w:rPr>
          <w:rFonts w:eastAsia="Times New Roman"/>
          <w:noProof/>
          <w:szCs w:val="24"/>
        </w:rPr>
        <w:t>Whereas:</w:t>
      </w:r>
    </w:p>
    <w:p>
      <w:pPr>
        <w:pStyle w:val="ManualNumPar1"/>
        <w:rPr>
          <w:noProof/>
        </w:rPr>
      </w:pPr>
      <w:r>
        <w:rPr>
          <w:noProof/>
        </w:rPr>
        <w:t>(1)</w:t>
      </w:r>
      <w:r>
        <w:rPr>
          <w:noProof/>
        </w:rPr>
        <w:tab/>
        <w:t xml:space="preserve">The Association Agreement between the European Union and the European Atomic Energy Community and their Member States of the one part, and the Republic of Moldova, of the other part ('the Agreement'), entered into force on 1 July 2016. </w:t>
      </w:r>
    </w:p>
    <w:p>
      <w:pPr>
        <w:pStyle w:val="ManualNumPar1"/>
        <w:rPr>
          <w:noProof/>
        </w:rPr>
      </w:pPr>
      <w:r>
        <w:rPr>
          <w:noProof/>
        </w:rPr>
        <w:t>(2)</w:t>
      </w:r>
      <w:r>
        <w:rPr>
          <w:noProof/>
        </w:rPr>
        <w:tab/>
        <w:t xml:space="preserve">Following consultations, in accordance with Article 147 of the Agreement, the Republic of Moldova and the European Union have agreed, on a reciprocal basis, to increase the volume of some products subject to annual duty-free tariff rate quotas. </w:t>
      </w:r>
    </w:p>
    <w:p>
      <w:pPr>
        <w:pStyle w:val="ManualNumPar1"/>
        <w:rPr>
          <w:noProof/>
        </w:rPr>
      </w:pPr>
      <w:r>
        <w:rPr>
          <w:noProof/>
        </w:rPr>
        <w:t>(3)</w:t>
      </w:r>
      <w:r>
        <w:rPr>
          <w:noProof/>
        </w:rPr>
        <w:tab/>
        <w:t xml:space="preserve">The European Union accepted to increase the volume of the tariff rate quotas </w:t>
      </w:r>
      <w:r>
        <w:rPr>
          <w:noProof/>
          <w:szCs w:val="24"/>
        </w:rPr>
        <w:t>(“TRQ”)</w:t>
      </w:r>
      <w:r>
        <w:rPr>
          <w:noProof/>
        </w:rPr>
        <w:t xml:space="preserve"> for goods originating in the Republic of Moldova for </w:t>
      </w:r>
      <w:r>
        <w:rPr>
          <w:noProof/>
          <w:szCs w:val="24"/>
        </w:rPr>
        <w:t xml:space="preserve">table grapes and plums, and to introduce a new tariff rate quota for cherries. The Republic of Moldova accepted to gradually increase the volume of the tariff rate quotas for goods originating in the European Union for the following products included in the Schedule of Concessions (Republic of Moldova): pork (“TRQ 1”), poultry (“TRQ 2”), dairy (“TRQ 3”) and sugar (“TRQ 5”). </w:t>
      </w:r>
    </w:p>
    <w:p>
      <w:pPr>
        <w:pStyle w:val="ManualNumPar1"/>
        <w:rPr>
          <w:noProof/>
        </w:rPr>
      </w:pPr>
      <w:r>
        <w:rPr>
          <w:noProof/>
        </w:rPr>
        <w:t>(4)</w:t>
      </w:r>
      <w:r>
        <w:rPr>
          <w:noProof/>
        </w:rPr>
        <w:tab/>
        <w:t xml:space="preserve">Following a request made by the Republic of Moldova in accordance with Article 148 of this Agreement, the European Union has accepted to increase the trigger volume for wheat (flour and pellets), barley (flour and pellets), maize (flour and pellets) and cereal processed. </w:t>
      </w:r>
    </w:p>
    <w:p>
      <w:pPr>
        <w:pStyle w:val="ManualNumPar1"/>
        <w:rPr>
          <w:noProof/>
        </w:rPr>
      </w:pPr>
      <w:r>
        <w:rPr>
          <w:noProof/>
        </w:rPr>
        <w:t>(5)</w:t>
      </w:r>
      <w:r>
        <w:rPr>
          <w:noProof/>
        </w:rPr>
        <w:tab/>
        <w:t>The Association Council, by Decision No 3/2014 of 16 December 2014, has delegated to the Association Committee in Trade configuration its powers to update or amend certain trade-related annexes.</w:t>
      </w:r>
    </w:p>
    <w:p>
      <w:pPr>
        <w:rPr>
          <w:noProof/>
        </w:rPr>
      </w:pPr>
      <w:r>
        <w:rPr>
          <w:noProof/>
        </w:rPr>
        <w:t>HAS DECIDED AS FOLLOWS:</w:t>
      </w:r>
    </w:p>
    <w:p>
      <w:pPr>
        <w:pStyle w:val="Titrearticle"/>
        <w:rPr>
          <w:noProof/>
        </w:rPr>
      </w:pPr>
      <w:r>
        <w:rPr>
          <w:noProof/>
        </w:rPr>
        <w:t>Article 1</w:t>
      </w:r>
    </w:p>
    <w:p>
      <w:pPr>
        <w:pStyle w:val="NumPar1"/>
        <w:numPr>
          <w:ilvl w:val="0"/>
          <w:numId w:val="7"/>
        </w:numPr>
        <w:rPr>
          <w:noProof/>
        </w:rPr>
      </w:pPr>
      <w:r>
        <w:rPr>
          <w:noProof/>
        </w:rPr>
        <w:t xml:space="preserve">Annex XV-A to the Agreement shall be replaced by Annex 1 to this Decision. </w:t>
      </w:r>
    </w:p>
    <w:p>
      <w:pPr>
        <w:pStyle w:val="NumPar1"/>
        <w:rPr>
          <w:noProof/>
        </w:rPr>
      </w:pPr>
      <w:r>
        <w:rPr>
          <w:noProof/>
        </w:rPr>
        <w:t xml:space="preserve">In Annex XV-B, in the list of products subject to entry price, the line with CN code 2012 0809 29 00 and product description “Cherries (excl. sour cherries), fresh” shall be deleted. </w:t>
      </w:r>
    </w:p>
    <w:p>
      <w:pPr>
        <w:pStyle w:val="NumPar1"/>
        <w:rPr>
          <w:noProof/>
        </w:rPr>
      </w:pPr>
      <w:r>
        <w:rPr>
          <w:noProof/>
        </w:rPr>
        <w:t xml:space="preserve">In Annex XV-C, the trigger volumes for the following product categories shall be amended as follows: </w:t>
      </w:r>
    </w:p>
    <w:p>
      <w:pPr>
        <w:pStyle w:val="Point1letter"/>
        <w:numPr>
          <w:ilvl w:val="3"/>
          <w:numId w:val="8"/>
        </w:numPr>
        <w:rPr>
          <w:noProof/>
        </w:rPr>
      </w:pPr>
      <w:r>
        <w:rPr>
          <w:noProof/>
        </w:rPr>
        <w:t>For the product category 6. Wheat, flour and pellets, in the column with title “Trigger volume (tonnes)”, the amount of “75 000” shall be replaced by the amount “150 000”;</w:t>
      </w:r>
    </w:p>
    <w:p>
      <w:pPr>
        <w:pStyle w:val="Point1letter"/>
        <w:rPr>
          <w:noProof/>
        </w:rPr>
      </w:pPr>
      <w:r>
        <w:rPr>
          <w:noProof/>
        </w:rPr>
        <w:t>For the product category 7. Barley, flour and pellets, in the column with title “Trigger volume (tonnes)”, the amount of “70 000” shall be replaced by the amount “100 000”;</w:t>
      </w:r>
    </w:p>
    <w:p>
      <w:pPr>
        <w:pStyle w:val="Point1letter"/>
        <w:rPr>
          <w:noProof/>
        </w:rPr>
      </w:pPr>
      <w:r>
        <w:rPr>
          <w:noProof/>
        </w:rPr>
        <w:t>For the product category 8. Maize, flour and pellets, in the column with title “Trigger volume (tonnes)”, the amount of “130 000” shall be replaced by the amount “250 000”; and</w:t>
      </w:r>
    </w:p>
    <w:p>
      <w:pPr>
        <w:pStyle w:val="Point1letter"/>
        <w:rPr>
          <w:noProof/>
        </w:rPr>
      </w:pPr>
      <w:r>
        <w:rPr>
          <w:noProof/>
        </w:rPr>
        <w:t>For the product category 10. Cereal processed, in the column with title “Trigger volume (tonnes)”, the amount of “2 500” shall be replaced by the amount “5 000”.</w:t>
      </w:r>
    </w:p>
    <w:p>
      <w:pPr>
        <w:pStyle w:val="NumPar1"/>
        <w:rPr>
          <w:noProof/>
        </w:rPr>
      </w:pPr>
      <w:r>
        <w:rPr>
          <w:noProof/>
        </w:rPr>
        <w:t xml:space="preserve">In Annex XV-D, the Schedule of Concessions (Republic of Moldova), the fourth column with title “Category” shall be amended as follows: </w:t>
      </w:r>
    </w:p>
    <w:p>
      <w:pPr>
        <w:pStyle w:val="Point1letter"/>
        <w:numPr>
          <w:ilvl w:val="3"/>
          <w:numId w:val="6"/>
        </w:numPr>
        <w:rPr>
          <w:noProof/>
        </w:rPr>
      </w:pPr>
      <w:r>
        <w:rPr>
          <w:rFonts w:eastAsia="Times New Roman"/>
          <w:noProof/>
          <w:szCs w:val="24"/>
        </w:rPr>
        <w:t xml:space="preserve">All </w:t>
      </w:r>
      <w:r>
        <w:rPr>
          <w:noProof/>
        </w:rPr>
        <w:t xml:space="preserve">references to “TRQ 1 (4 000 t)” shall be replaced by “TRQ 1 (4 500 t; for the year 2021: 5 000 t; and as of the year 2022: 5 500 t)”; </w:t>
      </w:r>
    </w:p>
    <w:p>
      <w:pPr>
        <w:pStyle w:val="Point1letter"/>
        <w:numPr>
          <w:ilvl w:val="3"/>
          <w:numId w:val="6"/>
        </w:numPr>
        <w:rPr>
          <w:noProof/>
        </w:rPr>
      </w:pPr>
      <w:r>
        <w:rPr>
          <w:noProof/>
        </w:rPr>
        <w:t xml:space="preserve">All references to “TRQ 2 (4 000 t)” shall be replaced by “TRQ 2 (5 000 t; for the year 2021: 5 500 t; and as of the year 2022: 6 000 t)”; </w:t>
      </w:r>
    </w:p>
    <w:p>
      <w:pPr>
        <w:pStyle w:val="Point1letter"/>
        <w:numPr>
          <w:ilvl w:val="3"/>
          <w:numId w:val="6"/>
        </w:numPr>
        <w:rPr>
          <w:noProof/>
        </w:rPr>
      </w:pPr>
      <w:r>
        <w:rPr>
          <w:noProof/>
        </w:rPr>
        <w:t xml:space="preserve">All references to “TRQ 3 (1 000 t)” shall be replaced by “TRQ 3 (1 500 t; and as of the year 2021: 2 000 t)”; </w:t>
      </w:r>
    </w:p>
    <w:p>
      <w:pPr>
        <w:pStyle w:val="Point1letter"/>
        <w:numPr>
          <w:ilvl w:val="3"/>
          <w:numId w:val="6"/>
        </w:numPr>
        <w:rPr>
          <w:rFonts w:eastAsia="Times New Roman"/>
          <w:noProof/>
          <w:szCs w:val="24"/>
        </w:rPr>
      </w:pPr>
      <w:r>
        <w:rPr>
          <w:noProof/>
        </w:rPr>
        <w:t>All references to “TRQ 5 (5 400 t)” shall be replaced by “TRQ 5 (7 000 t; for the year 2021: 8</w:t>
      </w:r>
      <w:r>
        <w:rPr>
          <w:rFonts w:eastAsia="Times New Roman"/>
          <w:noProof/>
          <w:szCs w:val="24"/>
        </w:rPr>
        <w:t xml:space="preserve"> 000 t; and as of the year 2022: 9 000 t)”.</w:t>
      </w:r>
    </w:p>
    <w:p>
      <w:pPr>
        <w:pStyle w:val="Titrearticle"/>
        <w:rPr>
          <w:rFonts w:eastAsia="Times New Roman"/>
          <w:i w:val="0"/>
          <w:noProof/>
          <w:szCs w:val="24"/>
        </w:rPr>
      </w:pPr>
      <w:r>
        <w:rPr>
          <w:noProof/>
        </w:rPr>
        <w:t>Article</w:t>
      </w:r>
      <w:r>
        <w:rPr>
          <w:rFonts w:eastAsia="Times New Roman"/>
          <w:i w:val="0"/>
          <w:noProof/>
          <w:szCs w:val="24"/>
        </w:rPr>
        <w:t xml:space="preserve"> 2</w:t>
      </w:r>
    </w:p>
    <w:p>
      <w:pPr>
        <w:spacing w:after="360"/>
        <w:rPr>
          <w:rFonts w:eastAsia="Times New Roman"/>
          <w:noProof/>
          <w:szCs w:val="24"/>
        </w:rPr>
      </w:pPr>
      <w:r>
        <w:rPr>
          <w:rFonts w:eastAsia="Times New Roman"/>
          <w:noProof/>
          <w:szCs w:val="24"/>
        </w:rPr>
        <w:t>This Decision shall enter into force on the day of its adoption.</w:t>
      </w:r>
    </w:p>
    <w:p>
      <w:pPr>
        <w:rPr>
          <w:rFonts w:eastAsia="Times New Roman"/>
          <w:noProof/>
          <w:szCs w:val="24"/>
        </w:rPr>
      </w:pPr>
      <w:r>
        <w:rPr>
          <w:rFonts w:eastAsia="Times New Roman"/>
          <w:noProof/>
          <w:szCs w:val="24"/>
        </w:rPr>
        <w:t xml:space="preserve">Done at …,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rPr>
                <w:i/>
                <w:noProof/>
              </w:rPr>
            </w:pPr>
            <w:r>
              <w:rPr>
                <w:i/>
                <w:noProof/>
              </w:rPr>
              <w:t xml:space="preserve">For the Association Committee in Trade configuration </w:t>
            </w: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left"/>
        <w:rPr>
          <w:i/>
          <w:noProof/>
        </w:rPr>
        <w:sectPr>
          <w:footerReference w:type="default" r:id="rId15"/>
          <w:footerReference w:type="first" r:id="rId16"/>
          <w:pgSz w:w="11907" w:h="16839"/>
          <w:pgMar w:top="1134" w:right="1418" w:bottom="1134" w:left="1418" w:header="720" w:footer="720" w:gutter="0"/>
          <w:cols w:space="720"/>
          <w:docGrid w:linePitch="326"/>
        </w:sectPr>
      </w:pPr>
    </w:p>
    <w:p>
      <w:pPr>
        <w:spacing w:after="360"/>
        <w:jc w:val="right"/>
        <w:rPr>
          <w:rFonts w:eastAsia="Times New Roman"/>
          <w:b/>
          <w:noProof/>
          <w:szCs w:val="24"/>
          <w:u w:val="single"/>
        </w:rPr>
      </w:pPr>
      <w:r>
        <w:rPr>
          <w:rFonts w:eastAsia="Times New Roman"/>
          <w:b/>
          <w:noProof/>
          <w:szCs w:val="24"/>
          <w:u w:val="single"/>
        </w:rPr>
        <w:t>Annex 1</w:t>
      </w:r>
    </w:p>
    <w:p>
      <w:pPr>
        <w:spacing w:after="360"/>
        <w:jc w:val="center"/>
        <w:rPr>
          <w:b/>
          <w:caps/>
          <w:noProof/>
        </w:rPr>
      </w:pPr>
      <w:r>
        <w:rPr>
          <w:b/>
          <w:caps/>
          <w:noProof/>
        </w:rPr>
        <w:t xml:space="preserve">UPDATE of Annex XV-A to the Association Agreement </w:t>
      </w:r>
    </w:p>
    <w:p>
      <w:pPr>
        <w:rPr>
          <w:rFonts w:eastAsia="Times New Roman"/>
          <w:noProof/>
          <w:szCs w:val="24"/>
        </w:rPr>
      </w:pPr>
      <w:r>
        <w:rPr>
          <w:rFonts w:eastAsia="Times New Roman"/>
          <w:noProof/>
          <w:szCs w:val="24"/>
        </w:rPr>
        <w:t xml:space="preserve">The text of Annex XV-A shall be replaced by the following text: </w:t>
      </w:r>
    </w:p>
    <w:p>
      <w:pPr>
        <w:spacing w:after="360"/>
        <w:jc w:val="center"/>
        <w:rPr>
          <w:b/>
          <w:caps/>
          <w:strike/>
          <w:noProof/>
          <w:szCs w:val="24"/>
        </w:rPr>
      </w:pPr>
      <w:r>
        <w:rPr>
          <w:b/>
          <w:caps/>
          <w:noProof/>
          <w:szCs w:val="24"/>
        </w:rPr>
        <w:t>Annex XV</w:t>
      </w:r>
      <w:r>
        <w:rPr>
          <w:b/>
          <w:caps/>
          <w:noProof/>
          <w:szCs w:val="24"/>
        </w:rPr>
        <w:noBreakHyphen/>
        <w:t>A</w:t>
      </w:r>
    </w:p>
    <w:p>
      <w:pPr>
        <w:spacing w:after="360"/>
        <w:jc w:val="center"/>
        <w:rPr>
          <w:b/>
          <w:caps/>
          <w:noProof/>
          <w:szCs w:val="24"/>
        </w:rPr>
      </w:pPr>
      <w:r>
        <w:rPr>
          <w:b/>
          <w:caps/>
          <w:noProof/>
          <w:szCs w:val="24"/>
        </w:rPr>
        <w:t>products subject to annual duty</w:t>
      </w:r>
      <w:r>
        <w:rPr>
          <w:b/>
          <w:caps/>
          <w:noProof/>
          <w:szCs w:val="24"/>
        </w:rPr>
        <w:noBreakHyphen/>
        <w:t>free tariff</w:t>
      </w:r>
      <w:r>
        <w:rPr>
          <w:b/>
          <w:caps/>
          <w:noProof/>
          <w:szCs w:val="24"/>
        </w:rPr>
        <w:noBreakHyphen/>
        <w:t>rate quotas (UNION)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4111"/>
        <w:gridCol w:w="1276"/>
        <w:gridCol w:w="1417"/>
      </w:tblGrid>
      <w:tr>
        <w:trPr>
          <w:tblHeader/>
        </w:trPr>
        <w:tc>
          <w:tcPr>
            <w:tcW w:w="959" w:type="dxa"/>
          </w:tcPr>
          <w:p>
            <w:pPr>
              <w:spacing w:before="40" w:after="40"/>
              <w:jc w:val="center"/>
              <w:rPr>
                <w:b/>
                <w:noProof/>
                <w:szCs w:val="24"/>
                <w:lang w:eastAsia="en-GB"/>
              </w:rPr>
            </w:pPr>
            <w:r>
              <w:rPr>
                <w:b/>
                <w:noProof/>
                <w:szCs w:val="24"/>
                <w:lang w:eastAsia="en-GB"/>
              </w:rPr>
              <w:t>Order No</w:t>
            </w:r>
          </w:p>
        </w:tc>
        <w:tc>
          <w:tcPr>
            <w:tcW w:w="1417" w:type="dxa"/>
          </w:tcPr>
          <w:p>
            <w:pPr>
              <w:spacing w:before="40" w:after="40"/>
              <w:jc w:val="center"/>
              <w:rPr>
                <w:b/>
                <w:noProof/>
                <w:szCs w:val="24"/>
                <w:lang w:eastAsia="en-GB"/>
              </w:rPr>
            </w:pPr>
            <w:r>
              <w:rPr>
                <w:b/>
                <w:noProof/>
                <w:szCs w:val="24"/>
                <w:lang w:eastAsia="en-GB"/>
              </w:rPr>
              <w:t>CN code</w:t>
            </w:r>
          </w:p>
          <w:p>
            <w:pPr>
              <w:spacing w:before="40" w:after="40"/>
              <w:jc w:val="center"/>
              <w:rPr>
                <w:b/>
                <w:noProof/>
                <w:szCs w:val="24"/>
                <w:lang w:eastAsia="en-GB"/>
              </w:rPr>
            </w:pPr>
            <w:r>
              <w:rPr>
                <w:b/>
                <w:noProof/>
                <w:szCs w:val="24"/>
                <w:lang w:eastAsia="en-GB"/>
              </w:rPr>
              <w:t>2012</w:t>
            </w:r>
          </w:p>
        </w:tc>
        <w:tc>
          <w:tcPr>
            <w:tcW w:w="4111" w:type="dxa"/>
          </w:tcPr>
          <w:p>
            <w:pPr>
              <w:spacing w:before="40" w:after="40"/>
              <w:jc w:val="center"/>
              <w:rPr>
                <w:b/>
                <w:noProof/>
                <w:szCs w:val="24"/>
                <w:lang w:eastAsia="en-GB"/>
              </w:rPr>
            </w:pPr>
            <w:r>
              <w:rPr>
                <w:b/>
                <w:noProof/>
                <w:szCs w:val="24"/>
                <w:lang w:eastAsia="en-GB"/>
              </w:rPr>
              <w:t>Product description</w:t>
            </w:r>
          </w:p>
        </w:tc>
        <w:tc>
          <w:tcPr>
            <w:tcW w:w="1276" w:type="dxa"/>
          </w:tcPr>
          <w:p>
            <w:pPr>
              <w:spacing w:before="40" w:after="40"/>
              <w:jc w:val="center"/>
              <w:rPr>
                <w:b/>
                <w:noProof/>
                <w:szCs w:val="24"/>
                <w:lang w:eastAsia="en-GB"/>
              </w:rPr>
            </w:pPr>
            <w:r>
              <w:rPr>
                <w:b/>
                <w:noProof/>
                <w:szCs w:val="24"/>
                <w:lang w:eastAsia="en-GB"/>
              </w:rPr>
              <w:t>Volume (tonnes)</w:t>
            </w:r>
          </w:p>
        </w:tc>
        <w:tc>
          <w:tcPr>
            <w:tcW w:w="1417" w:type="dxa"/>
          </w:tcPr>
          <w:p>
            <w:pPr>
              <w:spacing w:before="40" w:after="40"/>
              <w:jc w:val="center"/>
              <w:rPr>
                <w:b/>
                <w:noProof/>
                <w:szCs w:val="24"/>
                <w:lang w:eastAsia="en-GB"/>
              </w:rPr>
            </w:pPr>
            <w:r>
              <w:rPr>
                <w:b/>
                <w:noProof/>
                <w:szCs w:val="24"/>
                <w:lang w:eastAsia="en-GB"/>
              </w:rPr>
              <w:t>Rate of duty</w:t>
            </w:r>
          </w:p>
        </w:tc>
      </w:tr>
      <w:tr>
        <w:tc>
          <w:tcPr>
            <w:tcW w:w="959" w:type="dxa"/>
          </w:tcPr>
          <w:p>
            <w:pPr>
              <w:spacing w:before="40" w:after="40"/>
              <w:rPr>
                <w:noProof/>
                <w:szCs w:val="24"/>
                <w:lang w:eastAsia="en-GB"/>
              </w:rPr>
            </w:pPr>
            <w:r>
              <w:rPr>
                <w:noProof/>
                <w:szCs w:val="24"/>
                <w:lang w:eastAsia="en-GB"/>
              </w:rPr>
              <w:t>1</w:t>
            </w:r>
          </w:p>
        </w:tc>
        <w:tc>
          <w:tcPr>
            <w:tcW w:w="1417" w:type="dxa"/>
          </w:tcPr>
          <w:p>
            <w:pPr>
              <w:spacing w:before="40" w:after="40"/>
              <w:rPr>
                <w:noProof/>
                <w:szCs w:val="24"/>
                <w:lang w:eastAsia="en-GB"/>
              </w:rPr>
            </w:pPr>
            <w:r>
              <w:rPr>
                <w:noProof/>
                <w:szCs w:val="24"/>
                <w:lang w:eastAsia="en-GB"/>
              </w:rPr>
              <w:t>07020000</w:t>
            </w:r>
          </w:p>
        </w:tc>
        <w:tc>
          <w:tcPr>
            <w:tcW w:w="4111" w:type="dxa"/>
          </w:tcPr>
          <w:p>
            <w:pPr>
              <w:spacing w:before="40" w:after="40"/>
              <w:rPr>
                <w:noProof/>
                <w:szCs w:val="24"/>
                <w:lang w:eastAsia="en-GB"/>
              </w:rPr>
            </w:pPr>
            <w:r>
              <w:rPr>
                <w:noProof/>
                <w:szCs w:val="24"/>
                <w:lang w:eastAsia="en-GB"/>
              </w:rPr>
              <w:t>Tomatoes, fresh or chilled</w:t>
            </w:r>
          </w:p>
        </w:tc>
        <w:tc>
          <w:tcPr>
            <w:tcW w:w="1276" w:type="dxa"/>
          </w:tcPr>
          <w:p>
            <w:pPr>
              <w:spacing w:before="40" w:after="40"/>
              <w:rPr>
                <w:noProof/>
                <w:szCs w:val="24"/>
                <w:lang w:eastAsia="en-GB"/>
              </w:rPr>
            </w:pPr>
            <w:r>
              <w:rPr>
                <w:noProof/>
                <w:szCs w:val="24"/>
                <w:lang w:eastAsia="en-GB"/>
              </w:rPr>
              <w:t>2 000</w:t>
            </w:r>
          </w:p>
        </w:tc>
        <w:tc>
          <w:tcPr>
            <w:tcW w:w="1417" w:type="dxa"/>
          </w:tcPr>
          <w:p>
            <w:pPr>
              <w:spacing w:before="40" w:after="40"/>
              <w:rPr>
                <w:noProof/>
                <w:szCs w:val="24"/>
                <w:lang w:eastAsia="en-GB"/>
              </w:rPr>
            </w:pPr>
            <w:r>
              <w:rPr>
                <w:noProof/>
                <w:szCs w:val="24"/>
                <w:lang w:eastAsia="en-GB"/>
              </w:rPr>
              <w:t>free</w:t>
            </w:r>
          </w:p>
        </w:tc>
      </w:tr>
      <w:tr>
        <w:tc>
          <w:tcPr>
            <w:tcW w:w="959" w:type="dxa"/>
          </w:tcPr>
          <w:p>
            <w:pPr>
              <w:spacing w:before="40" w:after="40"/>
              <w:rPr>
                <w:noProof/>
                <w:szCs w:val="24"/>
                <w:lang w:eastAsia="en-GB"/>
              </w:rPr>
            </w:pPr>
            <w:r>
              <w:rPr>
                <w:noProof/>
                <w:szCs w:val="24"/>
                <w:lang w:eastAsia="en-GB"/>
              </w:rPr>
              <w:t>2</w:t>
            </w:r>
          </w:p>
        </w:tc>
        <w:tc>
          <w:tcPr>
            <w:tcW w:w="1417" w:type="dxa"/>
          </w:tcPr>
          <w:p>
            <w:pPr>
              <w:spacing w:before="40" w:after="40"/>
              <w:rPr>
                <w:noProof/>
                <w:szCs w:val="24"/>
                <w:lang w:eastAsia="en-GB"/>
              </w:rPr>
            </w:pPr>
            <w:r>
              <w:rPr>
                <w:noProof/>
                <w:szCs w:val="24"/>
                <w:lang w:eastAsia="en-GB"/>
              </w:rPr>
              <w:t>07032000</w:t>
            </w:r>
          </w:p>
        </w:tc>
        <w:tc>
          <w:tcPr>
            <w:tcW w:w="4111" w:type="dxa"/>
          </w:tcPr>
          <w:p>
            <w:pPr>
              <w:spacing w:before="40" w:after="40"/>
              <w:rPr>
                <w:noProof/>
                <w:szCs w:val="24"/>
                <w:lang w:eastAsia="en-GB"/>
              </w:rPr>
            </w:pPr>
            <w:r>
              <w:rPr>
                <w:noProof/>
                <w:szCs w:val="24"/>
                <w:lang w:eastAsia="en-GB"/>
              </w:rPr>
              <w:t xml:space="preserve">Garlic, fresh or chilled </w:t>
            </w:r>
          </w:p>
        </w:tc>
        <w:tc>
          <w:tcPr>
            <w:tcW w:w="1276" w:type="dxa"/>
          </w:tcPr>
          <w:p>
            <w:pPr>
              <w:spacing w:before="40" w:after="40"/>
              <w:rPr>
                <w:noProof/>
                <w:szCs w:val="24"/>
                <w:lang w:eastAsia="en-GB"/>
              </w:rPr>
            </w:pPr>
            <w:r>
              <w:rPr>
                <w:noProof/>
                <w:szCs w:val="24"/>
                <w:lang w:eastAsia="en-GB"/>
              </w:rPr>
              <w:t>220</w:t>
            </w:r>
          </w:p>
        </w:tc>
        <w:tc>
          <w:tcPr>
            <w:tcW w:w="1417" w:type="dxa"/>
          </w:tcPr>
          <w:p>
            <w:pPr>
              <w:spacing w:before="40" w:after="40"/>
              <w:rPr>
                <w:noProof/>
                <w:szCs w:val="24"/>
                <w:lang w:eastAsia="en-GB"/>
              </w:rPr>
            </w:pPr>
            <w:r>
              <w:rPr>
                <w:noProof/>
                <w:szCs w:val="24"/>
                <w:lang w:eastAsia="en-GB"/>
              </w:rPr>
              <w:t>free</w:t>
            </w:r>
          </w:p>
        </w:tc>
      </w:tr>
      <w:tr>
        <w:tc>
          <w:tcPr>
            <w:tcW w:w="959" w:type="dxa"/>
          </w:tcPr>
          <w:p>
            <w:pPr>
              <w:spacing w:before="40" w:after="40"/>
              <w:rPr>
                <w:noProof/>
                <w:szCs w:val="24"/>
                <w:lang w:eastAsia="en-GB"/>
              </w:rPr>
            </w:pPr>
            <w:r>
              <w:rPr>
                <w:noProof/>
                <w:szCs w:val="24"/>
                <w:lang w:eastAsia="en-GB"/>
              </w:rPr>
              <w:t>3</w:t>
            </w:r>
          </w:p>
        </w:tc>
        <w:tc>
          <w:tcPr>
            <w:tcW w:w="1417" w:type="dxa"/>
          </w:tcPr>
          <w:p>
            <w:pPr>
              <w:spacing w:before="40" w:after="40"/>
              <w:rPr>
                <w:noProof/>
                <w:szCs w:val="24"/>
                <w:lang w:eastAsia="en-GB"/>
              </w:rPr>
            </w:pPr>
            <w:r>
              <w:rPr>
                <w:noProof/>
                <w:szCs w:val="24"/>
                <w:lang w:eastAsia="en-GB"/>
              </w:rPr>
              <w:t>08061010</w:t>
            </w:r>
          </w:p>
        </w:tc>
        <w:tc>
          <w:tcPr>
            <w:tcW w:w="4111" w:type="dxa"/>
          </w:tcPr>
          <w:p>
            <w:pPr>
              <w:spacing w:before="40" w:after="40"/>
              <w:rPr>
                <w:noProof/>
                <w:szCs w:val="24"/>
                <w:lang w:eastAsia="en-GB"/>
              </w:rPr>
            </w:pPr>
            <w:r>
              <w:rPr>
                <w:noProof/>
                <w:szCs w:val="24"/>
                <w:lang w:eastAsia="en-GB"/>
              </w:rPr>
              <w:t>Table grapes, fresh</w:t>
            </w:r>
          </w:p>
        </w:tc>
        <w:tc>
          <w:tcPr>
            <w:tcW w:w="1276" w:type="dxa"/>
          </w:tcPr>
          <w:p>
            <w:pPr>
              <w:spacing w:before="40" w:after="40"/>
              <w:rPr>
                <w:noProof/>
                <w:szCs w:val="24"/>
                <w:lang w:eastAsia="en-GB"/>
              </w:rPr>
            </w:pPr>
            <w:r>
              <w:rPr>
                <w:noProof/>
                <w:szCs w:val="24"/>
                <w:lang w:eastAsia="en-GB"/>
              </w:rPr>
              <w:t>20 000</w:t>
            </w:r>
          </w:p>
        </w:tc>
        <w:tc>
          <w:tcPr>
            <w:tcW w:w="1417" w:type="dxa"/>
          </w:tcPr>
          <w:p>
            <w:pPr>
              <w:spacing w:before="40" w:after="40"/>
              <w:rPr>
                <w:noProof/>
                <w:szCs w:val="24"/>
                <w:lang w:eastAsia="en-GB"/>
              </w:rPr>
            </w:pPr>
            <w:r>
              <w:rPr>
                <w:noProof/>
                <w:szCs w:val="24"/>
                <w:lang w:eastAsia="en-GB"/>
              </w:rPr>
              <w:t>free</w:t>
            </w:r>
          </w:p>
        </w:tc>
      </w:tr>
      <w:tr>
        <w:tc>
          <w:tcPr>
            <w:tcW w:w="959" w:type="dxa"/>
          </w:tcPr>
          <w:p>
            <w:pPr>
              <w:spacing w:before="40" w:after="40"/>
              <w:rPr>
                <w:noProof/>
                <w:szCs w:val="24"/>
                <w:lang w:eastAsia="en-GB"/>
              </w:rPr>
            </w:pPr>
            <w:r>
              <w:rPr>
                <w:noProof/>
                <w:szCs w:val="24"/>
                <w:lang w:eastAsia="en-GB"/>
              </w:rPr>
              <w:t>4</w:t>
            </w:r>
          </w:p>
        </w:tc>
        <w:tc>
          <w:tcPr>
            <w:tcW w:w="1417" w:type="dxa"/>
          </w:tcPr>
          <w:p>
            <w:pPr>
              <w:spacing w:before="40" w:after="40"/>
              <w:rPr>
                <w:noProof/>
                <w:szCs w:val="24"/>
                <w:lang w:eastAsia="en-GB"/>
              </w:rPr>
            </w:pPr>
            <w:r>
              <w:rPr>
                <w:noProof/>
                <w:szCs w:val="24"/>
                <w:lang w:eastAsia="en-GB"/>
              </w:rPr>
              <w:t>08081080</w:t>
            </w:r>
          </w:p>
        </w:tc>
        <w:tc>
          <w:tcPr>
            <w:tcW w:w="4111" w:type="dxa"/>
          </w:tcPr>
          <w:p>
            <w:pPr>
              <w:spacing w:before="40" w:after="40"/>
              <w:rPr>
                <w:noProof/>
                <w:szCs w:val="24"/>
                <w:lang w:eastAsia="en-GB"/>
              </w:rPr>
            </w:pPr>
            <w:r>
              <w:rPr>
                <w:noProof/>
                <w:szCs w:val="24"/>
                <w:lang w:eastAsia="en-GB"/>
              </w:rPr>
              <w:t>Apples, fresh (excl. cider apples, in bulk, from 16 September to 15 December)</w:t>
            </w:r>
          </w:p>
        </w:tc>
        <w:tc>
          <w:tcPr>
            <w:tcW w:w="1276" w:type="dxa"/>
          </w:tcPr>
          <w:p>
            <w:pPr>
              <w:spacing w:before="40" w:after="40"/>
              <w:rPr>
                <w:noProof/>
                <w:szCs w:val="24"/>
                <w:lang w:eastAsia="en-GB"/>
              </w:rPr>
            </w:pPr>
            <w:r>
              <w:rPr>
                <w:noProof/>
                <w:szCs w:val="24"/>
                <w:lang w:eastAsia="en-GB"/>
              </w:rPr>
              <w:t>40 000</w:t>
            </w:r>
          </w:p>
        </w:tc>
        <w:tc>
          <w:tcPr>
            <w:tcW w:w="1417" w:type="dxa"/>
          </w:tcPr>
          <w:p>
            <w:pPr>
              <w:spacing w:before="40" w:after="40"/>
              <w:rPr>
                <w:noProof/>
                <w:szCs w:val="24"/>
                <w:lang w:eastAsia="en-GB"/>
              </w:rPr>
            </w:pPr>
            <w:r>
              <w:rPr>
                <w:noProof/>
                <w:szCs w:val="24"/>
                <w:lang w:eastAsia="en-GB"/>
              </w:rPr>
              <w:t>free</w:t>
            </w:r>
          </w:p>
        </w:tc>
      </w:tr>
      <w:tr>
        <w:tc>
          <w:tcPr>
            <w:tcW w:w="959" w:type="dxa"/>
          </w:tcPr>
          <w:p>
            <w:pPr>
              <w:spacing w:before="40" w:after="40"/>
              <w:rPr>
                <w:noProof/>
                <w:szCs w:val="24"/>
                <w:lang w:eastAsia="en-GB"/>
              </w:rPr>
            </w:pPr>
            <w:r>
              <w:rPr>
                <w:noProof/>
                <w:szCs w:val="24"/>
                <w:lang w:eastAsia="en-GB"/>
              </w:rPr>
              <w:t>5</w:t>
            </w:r>
          </w:p>
        </w:tc>
        <w:tc>
          <w:tcPr>
            <w:tcW w:w="1417" w:type="dxa"/>
          </w:tcPr>
          <w:p>
            <w:pPr>
              <w:spacing w:before="40" w:after="40"/>
              <w:rPr>
                <w:noProof/>
                <w:szCs w:val="24"/>
                <w:lang w:eastAsia="en-GB"/>
              </w:rPr>
            </w:pPr>
            <w:r>
              <w:rPr>
                <w:noProof/>
                <w:szCs w:val="24"/>
                <w:lang w:eastAsia="en-GB"/>
              </w:rPr>
              <w:t>08092900</w:t>
            </w:r>
          </w:p>
        </w:tc>
        <w:tc>
          <w:tcPr>
            <w:tcW w:w="4111" w:type="dxa"/>
          </w:tcPr>
          <w:p>
            <w:pPr>
              <w:spacing w:before="40" w:after="40"/>
              <w:rPr>
                <w:noProof/>
                <w:szCs w:val="24"/>
                <w:lang w:eastAsia="en-GB"/>
              </w:rPr>
            </w:pPr>
            <w:r>
              <w:rPr>
                <w:noProof/>
                <w:szCs w:val="24"/>
                <w:lang w:eastAsia="en-GB"/>
              </w:rPr>
              <w:t>Cherries (excl. sour cherries), fresh</w:t>
            </w:r>
          </w:p>
        </w:tc>
        <w:tc>
          <w:tcPr>
            <w:tcW w:w="1276" w:type="dxa"/>
          </w:tcPr>
          <w:p>
            <w:pPr>
              <w:spacing w:before="40" w:after="40"/>
              <w:rPr>
                <w:noProof/>
                <w:szCs w:val="24"/>
                <w:lang w:eastAsia="en-GB"/>
              </w:rPr>
            </w:pPr>
            <w:r>
              <w:rPr>
                <w:noProof/>
                <w:szCs w:val="24"/>
                <w:lang w:eastAsia="en-GB"/>
              </w:rPr>
              <w:t>1 500</w:t>
            </w:r>
          </w:p>
        </w:tc>
        <w:tc>
          <w:tcPr>
            <w:tcW w:w="1417" w:type="dxa"/>
          </w:tcPr>
          <w:p>
            <w:pPr>
              <w:spacing w:before="40" w:after="40"/>
              <w:rPr>
                <w:noProof/>
                <w:szCs w:val="24"/>
                <w:lang w:eastAsia="en-GB"/>
              </w:rPr>
            </w:pPr>
            <w:r>
              <w:rPr>
                <w:noProof/>
                <w:szCs w:val="24"/>
                <w:lang w:eastAsia="en-GB"/>
              </w:rPr>
              <w:t>free</w:t>
            </w:r>
          </w:p>
        </w:tc>
      </w:tr>
      <w:tr>
        <w:tc>
          <w:tcPr>
            <w:tcW w:w="959" w:type="dxa"/>
          </w:tcPr>
          <w:p>
            <w:pPr>
              <w:spacing w:before="40" w:after="40"/>
              <w:rPr>
                <w:noProof/>
                <w:szCs w:val="24"/>
                <w:lang w:eastAsia="en-GB"/>
              </w:rPr>
            </w:pPr>
            <w:r>
              <w:rPr>
                <w:noProof/>
                <w:szCs w:val="24"/>
                <w:lang w:eastAsia="en-GB"/>
              </w:rPr>
              <w:t>6</w:t>
            </w:r>
          </w:p>
        </w:tc>
        <w:tc>
          <w:tcPr>
            <w:tcW w:w="1417" w:type="dxa"/>
          </w:tcPr>
          <w:p>
            <w:pPr>
              <w:spacing w:before="40" w:after="40"/>
              <w:rPr>
                <w:noProof/>
                <w:szCs w:val="24"/>
                <w:lang w:eastAsia="en-GB"/>
              </w:rPr>
            </w:pPr>
            <w:r>
              <w:rPr>
                <w:noProof/>
                <w:szCs w:val="24"/>
                <w:lang w:eastAsia="en-GB"/>
              </w:rPr>
              <w:t>08094005</w:t>
            </w:r>
          </w:p>
        </w:tc>
        <w:tc>
          <w:tcPr>
            <w:tcW w:w="4111" w:type="dxa"/>
          </w:tcPr>
          <w:p>
            <w:pPr>
              <w:spacing w:before="40" w:after="40"/>
              <w:rPr>
                <w:noProof/>
                <w:szCs w:val="24"/>
                <w:lang w:eastAsia="en-GB"/>
              </w:rPr>
            </w:pPr>
            <w:r>
              <w:rPr>
                <w:noProof/>
                <w:szCs w:val="24"/>
                <w:lang w:eastAsia="en-GB"/>
              </w:rPr>
              <w:t>Plums, fresh</w:t>
            </w:r>
          </w:p>
        </w:tc>
        <w:tc>
          <w:tcPr>
            <w:tcW w:w="1276" w:type="dxa"/>
          </w:tcPr>
          <w:p>
            <w:pPr>
              <w:spacing w:before="40" w:after="40"/>
              <w:rPr>
                <w:noProof/>
                <w:szCs w:val="24"/>
                <w:lang w:eastAsia="en-GB"/>
              </w:rPr>
            </w:pPr>
            <w:r>
              <w:rPr>
                <w:noProof/>
                <w:szCs w:val="24"/>
                <w:lang w:eastAsia="en-GB"/>
              </w:rPr>
              <w:t>15 000</w:t>
            </w:r>
          </w:p>
        </w:tc>
        <w:tc>
          <w:tcPr>
            <w:tcW w:w="1417" w:type="dxa"/>
          </w:tcPr>
          <w:p>
            <w:pPr>
              <w:spacing w:before="40" w:after="40"/>
              <w:rPr>
                <w:noProof/>
                <w:szCs w:val="24"/>
                <w:lang w:eastAsia="en-GB"/>
              </w:rPr>
            </w:pPr>
            <w:r>
              <w:rPr>
                <w:noProof/>
                <w:szCs w:val="24"/>
                <w:lang w:eastAsia="en-GB"/>
              </w:rPr>
              <w:t>free</w:t>
            </w:r>
          </w:p>
        </w:tc>
      </w:tr>
      <w:tr>
        <w:tc>
          <w:tcPr>
            <w:tcW w:w="959" w:type="dxa"/>
          </w:tcPr>
          <w:p>
            <w:pPr>
              <w:spacing w:before="40" w:after="40"/>
              <w:rPr>
                <w:noProof/>
                <w:szCs w:val="24"/>
                <w:lang w:eastAsia="en-GB"/>
              </w:rPr>
            </w:pPr>
            <w:r>
              <w:rPr>
                <w:noProof/>
                <w:szCs w:val="24"/>
                <w:lang w:eastAsia="en-GB"/>
              </w:rPr>
              <w:t>7</w:t>
            </w:r>
          </w:p>
        </w:tc>
        <w:tc>
          <w:tcPr>
            <w:tcW w:w="1417" w:type="dxa"/>
          </w:tcPr>
          <w:p>
            <w:pPr>
              <w:spacing w:before="40" w:after="40"/>
              <w:rPr>
                <w:noProof/>
                <w:szCs w:val="24"/>
                <w:lang w:eastAsia="en-GB"/>
              </w:rPr>
            </w:pPr>
            <w:r>
              <w:rPr>
                <w:noProof/>
                <w:szCs w:val="24"/>
                <w:lang w:eastAsia="en-GB"/>
              </w:rPr>
              <w:t>20096110</w:t>
            </w:r>
          </w:p>
        </w:tc>
        <w:tc>
          <w:tcPr>
            <w:tcW w:w="4111" w:type="dxa"/>
          </w:tcPr>
          <w:p>
            <w:pPr>
              <w:spacing w:before="40" w:after="40"/>
              <w:rPr>
                <w:noProof/>
                <w:szCs w:val="24"/>
                <w:lang w:eastAsia="en-GB"/>
              </w:rPr>
            </w:pPr>
            <w:r>
              <w:rPr>
                <w:noProof/>
                <w:szCs w:val="24"/>
                <w:lang w:eastAsia="en-GB"/>
              </w:rPr>
              <w:t>Grape juice, incl. grape must, unfermented, Brix value &lt;= 30 at 20°C, value of &gt; EUR 18 per 100 kg, whether or not containing added sugar or other sweetening matter (excl. containing spirit)</w:t>
            </w:r>
          </w:p>
        </w:tc>
        <w:tc>
          <w:tcPr>
            <w:tcW w:w="1276" w:type="dxa"/>
          </w:tcPr>
          <w:p>
            <w:pPr>
              <w:spacing w:before="40" w:after="40"/>
              <w:rPr>
                <w:noProof/>
                <w:szCs w:val="24"/>
                <w:lang w:eastAsia="en-GB"/>
              </w:rPr>
            </w:pPr>
            <w:r>
              <w:rPr>
                <w:noProof/>
                <w:szCs w:val="24"/>
                <w:lang w:eastAsia="en-GB"/>
              </w:rPr>
              <w:t>500</w:t>
            </w:r>
          </w:p>
        </w:tc>
        <w:tc>
          <w:tcPr>
            <w:tcW w:w="1417" w:type="dxa"/>
          </w:tcPr>
          <w:p>
            <w:pPr>
              <w:spacing w:before="40" w:after="40"/>
              <w:rPr>
                <w:noProof/>
                <w:szCs w:val="24"/>
                <w:lang w:eastAsia="en-GB"/>
              </w:rPr>
            </w:pPr>
            <w:r>
              <w:rPr>
                <w:noProof/>
                <w:szCs w:val="24"/>
                <w:lang w:eastAsia="en-GB"/>
              </w:rPr>
              <w:t>free</w:t>
            </w:r>
          </w:p>
        </w:tc>
      </w:tr>
    </w:tbl>
    <w:p>
      <w:pPr>
        <w:rPr>
          <w:b/>
          <w:caps/>
          <w:strike/>
          <w:noProof/>
          <w:szCs w:val="24"/>
        </w:rPr>
      </w:pPr>
      <w:r>
        <w:rPr>
          <w:b/>
          <w:caps/>
          <w:strike/>
          <w:noProof/>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4111"/>
        <w:gridCol w:w="1276"/>
        <w:gridCol w:w="1417"/>
      </w:tblGrid>
      <w:tr>
        <w:trPr>
          <w:tblHeader/>
        </w:trPr>
        <w:tc>
          <w:tcPr>
            <w:tcW w:w="959" w:type="dxa"/>
          </w:tcPr>
          <w:p>
            <w:pPr>
              <w:spacing w:before="40" w:after="40"/>
              <w:jc w:val="center"/>
              <w:rPr>
                <w:b/>
                <w:noProof/>
                <w:szCs w:val="24"/>
                <w:lang w:eastAsia="en-GB"/>
              </w:rPr>
            </w:pPr>
            <w:r>
              <w:rPr>
                <w:b/>
                <w:noProof/>
                <w:szCs w:val="24"/>
                <w:lang w:eastAsia="en-GB"/>
              </w:rPr>
              <w:t>Order No</w:t>
            </w:r>
          </w:p>
        </w:tc>
        <w:tc>
          <w:tcPr>
            <w:tcW w:w="1417" w:type="dxa"/>
          </w:tcPr>
          <w:p>
            <w:pPr>
              <w:spacing w:before="40" w:after="40"/>
              <w:jc w:val="center"/>
              <w:rPr>
                <w:b/>
                <w:noProof/>
                <w:szCs w:val="24"/>
                <w:lang w:eastAsia="en-GB"/>
              </w:rPr>
            </w:pPr>
            <w:r>
              <w:rPr>
                <w:b/>
                <w:noProof/>
                <w:szCs w:val="24"/>
                <w:lang w:eastAsia="en-GB"/>
              </w:rPr>
              <w:t>CN code</w:t>
            </w:r>
          </w:p>
          <w:p>
            <w:pPr>
              <w:spacing w:before="40" w:after="40"/>
              <w:jc w:val="center"/>
              <w:rPr>
                <w:b/>
                <w:noProof/>
                <w:szCs w:val="24"/>
                <w:lang w:eastAsia="en-GB"/>
              </w:rPr>
            </w:pPr>
            <w:r>
              <w:rPr>
                <w:b/>
                <w:noProof/>
                <w:szCs w:val="24"/>
                <w:lang w:eastAsia="en-GB"/>
              </w:rPr>
              <w:t>2012</w:t>
            </w:r>
          </w:p>
        </w:tc>
        <w:tc>
          <w:tcPr>
            <w:tcW w:w="4111" w:type="dxa"/>
          </w:tcPr>
          <w:p>
            <w:pPr>
              <w:spacing w:before="40" w:after="40"/>
              <w:jc w:val="center"/>
              <w:rPr>
                <w:b/>
                <w:noProof/>
                <w:szCs w:val="24"/>
                <w:lang w:eastAsia="en-GB"/>
              </w:rPr>
            </w:pPr>
            <w:r>
              <w:rPr>
                <w:b/>
                <w:noProof/>
                <w:szCs w:val="24"/>
                <w:lang w:eastAsia="en-GB"/>
              </w:rPr>
              <w:t>Product description</w:t>
            </w:r>
          </w:p>
        </w:tc>
        <w:tc>
          <w:tcPr>
            <w:tcW w:w="1276" w:type="dxa"/>
          </w:tcPr>
          <w:p>
            <w:pPr>
              <w:spacing w:before="40" w:after="40"/>
              <w:jc w:val="center"/>
              <w:rPr>
                <w:b/>
                <w:noProof/>
                <w:szCs w:val="24"/>
                <w:lang w:eastAsia="en-GB"/>
              </w:rPr>
            </w:pPr>
            <w:r>
              <w:rPr>
                <w:b/>
                <w:noProof/>
                <w:szCs w:val="24"/>
                <w:lang w:eastAsia="en-GB"/>
              </w:rPr>
              <w:t>Volume (tonnes)</w:t>
            </w:r>
          </w:p>
        </w:tc>
        <w:tc>
          <w:tcPr>
            <w:tcW w:w="1417" w:type="dxa"/>
          </w:tcPr>
          <w:p>
            <w:pPr>
              <w:spacing w:before="40" w:after="40"/>
              <w:jc w:val="center"/>
              <w:rPr>
                <w:b/>
                <w:noProof/>
                <w:szCs w:val="24"/>
                <w:lang w:eastAsia="en-GB"/>
              </w:rPr>
            </w:pPr>
            <w:r>
              <w:rPr>
                <w:b/>
                <w:noProof/>
                <w:szCs w:val="24"/>
                <w:lang w:eastAsia="en-GB"/>
              </w:rPr>
              <w:t>Rate of duty</w:t>
            </w:r>
          </w:p>
        </w:tc>
      </w:tr>
      <w:tr>
        <w:tc>
          <w:tcPr>
            <w:tcW w:w="959" w:type="dxa"/>
            <w:vMerge w:val="restart"/>
          </w:tcPr>
          <w:p>
            <w:pPr>
              <w:spacing w:before="40" w:after="40"/>
              <w:rPr>
                <w:noProof/>
                <w:szCs w:val="24"/>
                <w:lang w:eastAsia="en-GB"/>
              </w:rPr>
            </w:pPr>
          </w:p>
        </w:tc>
        <w:tc>
          <w:tcPr>
            <w:tcW w:w="1417" w:type="dxa"/>
          </w:tcPr>
          <w:p>
            <w:pPr>
              <w:spacing w:before="40" w:after="40"/>
              <w:rPr>
                <w:noProof/>
                <w:szCs w:val="24"/>
                <w:lang w:eastAsia="en-GB"/>
              </w:rPr>
            </w:pPr>
            <w:r>
              <w:rPr>
                <w:noProof/>
                <w:szCs w:val="24"/>
                <w:lang w:eastAsia="en-GB"/>
              </w:rPr>
              <w:t>20096919</w:t>
            </w:r>
          </w:p>
        </w:tc>
        <w:tc>
          <w:tcPr>
            <w:tcW w:w="4111" w:type="dxa"/>
          </w:tcPr>
          <w:p>
            <w:pPr>
              <w:spacing w:before="40" w:after="40"/>
              <w:rPr>
                <w:noProof/>
                <w:szCs w:val="24"/>
                <w:lang w:eastAsia="en-GB"/>
              </w:rPr>
            </w:pPr>
            <w:r>
              <w:rPr>
                <w:noProof/>
                <w:szCs w:val="24"/>
                <w:lang w:eastAsia="en-GB"/>
              </w:rPr>
              <w:t>Grape juice, incl. grape must, unfermented, Brix value &gt; 67 at 20°C, value of &gt; EUR 22 per 100 kg, whether or not containing added sugar or other sweetening matter (excl. containing spirit)</w:t>
            </w:r>
          </w:p>
        </w:tc>
        <w:tc>
          <w:tcPr>
            <w:tcW w:w="1276" w:type="dxa"/>
            <w:vMerge w:val="restart"/>
          </w:tcPr>
          <w:p>
            <w:pPr>
              <w:spacing w:before="40" w:after="40"/>
              <w:rPr>
                <w:noProof/>
                <w:szCs w:val="24"/>
                <w:lang w:eastAsia="en-GB"/>
              </w:rPr>
            </w:pPr>
          </w:p>
        </w:tc>
        <w:tc>
          <w:tcPr>
            <w:tcW w:w="1417" w:type="dxa"/>
            <w:vMerge w:val="restart"/>
          </w:tcPr>
          <w:p>
            <w:pPr>
              <w:spacing w:before="40" w:after="40"/>
              <w:rPr>
                <w:noProof/>
                <w:szCs w:val="24"/>
                <w:lang w:eastAsia="en-GB"/>
              </w:rPr>
            </w:pPr>
          </w:p>
        </w:tc>
      </w:tr>
      <w:tr>
        <w:tc>
          <w:tcPr>
            <w:tcW w:w="959" w:type="dxa"/>
            <w:vMerge/>
          </w:tcPr>
          <w:p>
            <w:pPr>
              <w:spacing w:before="40" w:after="40"/>
              <w:rPr>
                <w:noProof/>
                <w:szCs w:val="24"/>
                <w:lang w:eastAsia="en-GB"/>
              </w:rPr>
            </w:pPr>
          </w:p>
        </w:tc>
        <w:tc>
          <w:tcPr>
            <w:tcW w:w="1417" w:type="dxa"/>
          </w:tcPr>
          <w:p>
            <w:pPr>
              <w:spacing w:before="40" w:after="40"/>
              <w:rPr>
                <w:noProof/>
                <w:szCs w:val="24"/>
                <w:lang w:eastAsia="en-GB"/>
              </w:rPr>
            </w:pPr>
            <w:r>
              <w:rPr>
                <w:noProof/>
                <w:szCs w:val="24"/>
                <w:lang w:eastAsia="en-GB"/>
              </w:rPr>
              <w:t>20096951</w:t>
            </w:r>
          </w:p>
        </w:tc>
        <w:tc>
          <w:tcPr>
            <w:tcW w:w="4111" w:type="dxa"/>
          </w:tcPr>
          <w:p>
            <w:pPr>
              <w:spacing w:before="40" w:after="40"/>
              <w:rPr>
                <w:noProof/>
                <w:szCs w:val="24"/>
                <w:lang w:eastAsia="en-GB"/>
              </w:rPr>
            </w:pPr>
            <w:r>
              <w:rPr>
                <w:noProof/>
                <w:szCs w:val="24"/>
                <w:lang w:eastAsia="en-GB"/>
              </w:rPr>
              <w:t>Concentrated grape juice, incl. grape must, unfermented, Brix value &gt; 30 but &lt;= 67 at 20°C, value of &gt; EUR 18 per 100 kg, whether or not containing added sugar or other sweetening matter (excl. containing spirit)</w:t>
            </w:r>
          </w:p>
        </w:tc>
        <w:tc>
          <w:tcPr>
            <w:tcW w:w="1276" w:type="dxa"/>
            <w:vMerge/>
          </w:tcPr>
          <w:p>
            <w:pPr>
              <w:spacing w:before="40" w:after="40"/>
              <w:rPr>
                <w:noProof/>
                <w:szCs w:val="24"/>
                <w:lang w:eastAsia="en-GB"/>
              </w:rPr>
            </w:pPr>
          </w:p>
        </w:tc>
        <w:tc>
          <w:tcPr>
            <w:tcW w:w="1417" w:type="dxa"/>
            <w:vMerge/>
          </w:tcPr>
          <w:p>
            <w:pPr>
              <w:spacing w:before="40" w:after="40"/>
              <w:rPr>
                <w:noProof/>
                <w:szCs w:val="24"/>
                <w:lang w:eastAsia="en-GB"/>
              </w:rPr>
            </w:pPr>
          </w:p>
        </w:tc>
      </w:tr>
      <w:tr>
        <w:tc>
          <w:tcPr>
            <w:tcW w:w="959" w:type="dxa"/>
            <w:vMerge/>
          </w:tcPr>
          <w:p>
            <w:pPr>
              <w:spacing w:before="40" w:after="40"/>
              <w:rPr>
                <w:noProof/>
                <w:szCs w:val="24"/>
                <w:lang w:eastAsia="en-GB"/>
              </w:rPr>
            </w:pPr>
          </w:p>
        </w:tc>
        <w:tc>
          <w:tcPr>
            <w:tcW w:w="1417" w:type="dxa"/>
          </w:tcPr>
          <w:p>
            <w:pPr>
              <w:spacing w:before="40" w:after="40"/>
              <w:rPr>
                <w:noProof/>
                <w:szCs w:val="24"/>
                <w:lang w:eastAsia="en-GB"/>
              </w:rPr>
            </w:pPr>
            <w:r>
              <w:rPr>
                <w:noProof/>
                <w:szCs w:val="24"/>
                <w:lang w:eastAsia="en-GB"/>
              </w:rPr>
              <w:t>20096959</w:t>
            </w:r>
          </w:p>
        </w:tc>
        <w:tc>
          <w:tcPr>
            <w:tcW w:w="4111" w:type="dxa"/>
          </w:tcPr>
          <w:p>
            <w:pPr>
              <w:spacing w:before="40" w:after="40"/>
              <w:rPr>
                <w:noProof/>
                <w:szCs w:val="24"/>
                <w:lang w:eastAsia="en-GB"/>
              </w:rPr>
            </w:pPr>
            <w:r>
              <w:rPr>
                <w:noProof/>
                <w:szCs w:val="24"/>
                <w:lang w:eastAsia="en-GB"/>
              </w:rPr>
              <w:t>Grape juice, incl. grape must, unfermented, Brix value &gt; 30 but &lt;= 67 at 20°C, value of &gt; EUR 18 per 100 kg, whether or not containing added sugar or other sweetening matter (excl. concentrated or containing spirit)</w:t>
            </w:r>
          </w:p>
        </w:tc>
        <w:tc>
          <w:tcPr>
            <w:tcW w:w="1276" w:type="dxa"/>
            <w:vMerge/>
          </w:tcPr>
          <w:p>
            <w:pPr>
              <w:spacing w:before="40" w:after="40"/>
              <w:rPr>
                <w:noProof/>
                <w:szCs w:val="24"/>
                <w:lang w:eastAsia="en-GB"/>
              </w:rPr>
            </w:pPr>
          </w:p>
        </w:tc>
        <w:tc>
          <w:tcPr>
            <w:tcW w:w="1417" w:type="dxa"/>
            <w:vMerge/>
          </w:tcPr>
          <w:p>
            <w:pPr>
              <w:spacing w:before="40" w:after="40"/>
              <w:rPr>
                <w:noProof/>
                <w:szCs w:val="24"/>
                <w:lang w:eastAsia="en-GB"/>
              </w:rPr>
            </w:pPr>
          </w:p>
        </w:tc>
      </w:tr>
    </w:tbl>
    <w:p>
      <w:pPr>
        <w:spacing w:before="0" w:after="200" w:line="276" w:lineRule="auto"/>
        <w:jc w:val="left"/>
        <w:rPr>
          <w:b/>
          <w:caps/>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0E2E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72F0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40BB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6A47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F441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08D6F4"/>
    <w:lvl w:ilvl="0">
      <w:start w:val="1"/>
      <w:numFmt w:val="decimal"/>
      <w:pStyle w:val="ListNumber"/>
      <w:lvlText w:val="%1."/>
      <w:lvlJc w:val="left"/>
      <w:pPr>
        <w:tabs>
          <w:tab w:val="num" w:pos="360"/>
        </w:tabs>
        <w:ind w:left="360" w:hanging="360"/>
      </w:pPr>
    </w:lvl>
  </w:abstractNum>
  <w:abstractNum w:abstractNumId="7">
    <w:nsid w:val="FFFFFF89"/>
    <w:multiLevelType w:val="singleLevel"/>
    <w:tmpl w:val="CA1E60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5 10:08: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7C92D3A-D3DA-40F1-B3F4-CD3C9C44BF98"/>
    <w:docVar w:name="LW_COVERPAGE_TYPE" w:val="1"/>
    <w:docVar w:name="LW_CROSSREFERENCE" w:val="&lt;UNUSED&gt;"/>
    <w:docVar w:name="LW_DocType" w:val="ANNEX"/>
    <w:docVar w:name="LW_EMISSION" w:val="27.11.2019"/>
    <w:docVar w:name="LW_EMISSION_ISODATE" w:val="2019-1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Association Committee in Trade configuration"/>
    <w:docVar w:name="LW_OBJETACTEPRINCIPAL.CP" w:val="on the position to be taken on behalf of the European Union in the Association Committee in Trade configuration"/>
    <w:docVar w:name="LW_PART_NBR" w:val="1"/>
    <w:docVar w:name="LW_PART_NBR_TOTAL" w:val="1"/>
    <w:docVar w:name="LW_REF.INST.NEW" w:val="COM"/>
    <w:docVar w:name="LW_REF.INST.NEW_ADOPTED" w:val="final"/>
    <w:docVar w:name="LW_REF.INST.NEW_TEXT" w:val="(2019)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rFonts w:eastAsia="Calibri"/>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rFonts w:eastAsia="Calibri"/>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958</Words>
  <Characters>4516</Characters>
  <Application>Microsoft Office Word</Application>
  <DocSecurity>0</DocSecurity>
  <Lines>173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cp:lastPrinted>2019-09-23T15:47:00Z</cp:lastPrinted>
  <dcterms:created xsi:type="dcterms:W3CDTF">2019-10-28T15:05:00Z</dcterms:created>
  <dcterms:modified xsi:type="dcterms:W3CDTF">2019-11-25T09:08:00Z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