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FFAA63A-4F46-4442-B78E-335143693EBD" style="width:450.75pt;height:406.2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widowControl w:val="0"/>
        <w:spacing w:after="0" w:line="360" w:lineRule="auto"/>
        <w:jc w:val="center"/>
        <w:rPr>
          <w:rFonts w:ascii="Times New Roman" w:eastAsia="Calibri" w:hAnsi="Times New Roman" w:cs="Times New Roman"/>
          <w:b/>
          <w:noProof/>
          <w:sz w:val="24"/>
          <w:szCs w:val="20"/>
        </w:rPr>
      </w:pPr>
      <w:bookmarkStart w:id="1" w:name="_GoBack"/>
      <w:bookmarkEnd w:id="1"/>
      <w:r>
        <w:rPr>
          <w:rFonts w:ascii="Times New Roman" w:hAnsi="Times New Roman"/>
          <w:b/>
          <w:noProof/>
          <w:szCs w:val="20"/>
        </w:rPr>
        <w:lastRenderedPageBreak/>
        <w:t>ANNEXE I</w:t>
      </w:r>
    </w:p>
    <w:p>
      <w:pPr>
        <w:widowControl w:val="0"/>
        <w:spacing w:after="0" w:line="360" w:lineRule="auto"/>
        <w:jc w:val="center"/>
        <w:rPr>
          <w:rFonts w:ascii="Times New Roman" w:eastAsia="Calibri" w:hAnsi="Times New Roman" w:cs="Times New Roman"/>
          <w:b/>
          <w:noProof/>
          <w:sz w:val="24"/>
          <w:szCs w:val="20"/>
        </w:rPr>
      </w:pPr>
      <w:r>
        <w:rPr>
          <w:rFonts w:ascii="Times New Roman" w:hAnsi="Times New Roman"/>
          <w:b/>
          <w:noProof/>
          <w:szCs w:val="20"/>
        </w:rPr>
        <w:t>ACTUALISATION 2019 DES RÉMUNÉRATIONS ET DES PENSIONS DES FONCTIONNAIRES ET AUTRES AGENTS DE L’UE AINSI QUE DES COEFFICIENTS CORRECTEURS DONT SONT AFFECTÉES CES RÉMUNÉRATIONS ET PENSIONS</w:t>
      </w:r>
    </w:p>
    <w:p>
      <w:pPr>
        <w:widowControl w:val="0"/>
        <w:spacing w:after="0" w:line="360" w:lineRule="auto"/>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1.1. Tableau des montants des traitements mensuels de base pour chaque grade et chaque échelon dans les groupes de fonctions AD et AST visés à l’article 66 du statut, applicables à partir du 1</w:t>
      </w:r>
      <w:r>
        <w:rPr>
          <w:rFonts w:ascii="Times New Roman" w:hAnsi="Times New Roman"/>
          <w:noProof/>
          <w:szCs w:val="20"/>
          <w:vertAlign w:val="superscript"/>
        </w:rPr>
        <w:t>er</w:t>
      </w:r>
      <w:r>
        <w:rPr>
          <w:rFonts w:ascii="Times New Roman" w:hAnsi="Times New Roman"/>
          <w:noProof/>
          <w:szCs w:val="20"/>
        </w:rPr>
        <w:t xml:space="preserve"> juillet 2019:</w:t>
      </w:r>
    </w:p>
    <w:tbl>
      <w:tblPr>
        <w:tblW w:w="7300" w:type="dxa"/>
        <w:tblInd w:w="103" w:type="dxa"/>
        <w:tblLook w:val="04A0" w:firstRow="1" w:lastRow="0" w:firstColumn="1" w:lastColumn="0" w:noHBand="0" w:noVBand="1"/>
      </w:tblPr>
      <w:tblGrid>
        <w:gridCol w:w="1220"/>
        <w:gridCol w:w="1180"/>
        <w:gridCol w:w="1180"/>
        <w:gridCol w:w="1180"/>
        <w:gridCol w:w="1180"/>
        <w:gridCol w:w="1360"/>
      </w:tblGrid>
      <w:tr>
        <w:trPr>
          <w:trHeight w:val="50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20"/>
                <w:szCs w:val="20"/>
              </w:rPr>
            </w:pPr>
            <w:r>
              <w:rPr>
                <w:rFonts w:ascii="Arial Narrow" w:hAnsi="Arial Narrow"/>
                <w:noProof/>
                <w:sz w:val="20"/>
                <w:szCs w:val="20"/>
              </w:rPr>
              <w:t>1.7.2019</w:t>
            </w:r>
          </w:p>
        </w:tc>
        <w:tc>
          <w:tcPr>
            <w:tcW w:w="6080"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ÉCHELON</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GRADE</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3</w:t>
            </w:r>
          </w:p>
        </w:tc>
        <w:tc>
          <w:tcPr>
            <w:tcW w:w="1180"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4</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16</w:t>
            </w:r>
          </w:p>
        </w:tc>
        <w:tc>
          <w:tcPr>
            <w:tcW w:w="1180" w:type="dxa"/>
            <w:tcBorders>
              <w:top w:val="single" w:sz="4" w:space="0" w:color="auto"/>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18 994,33</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19 792,50</w:t>
            </w:r>
          </w:p>
        </w:tc>
        <w:tc>
          <w:tcPr>
            <w:tcW w:w="1180" w:type="dxa"/>
            <w:tcBorders>
              <w:top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20 624,20</w:t>
            </w:r>
          </w:p>
        </w:tc>
        <w:tc>
          <w:tcPr>
            <w:tcW w:w="1180" w:type="dxa"/>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rPr>
            </w:pPr>
          </w:p>
        </w:tc>
        <w:tc>
          <w:tcPr>
            <w:tcW w:w="1360" w:type="dxa"/>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20"/>
                <w:szCs w:val="20"/>
              </w:rPr>
            </w:pP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16 787,82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17 493,27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18 228,35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18 735,49</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18 994,33</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14 837,60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15 461,11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16 110,80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16 559,04</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16 787,82</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13 113,98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13 665,04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14 239,26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14 635,43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14 837,60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11 590,57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12 077,61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12 585,13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12 935,26</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13 113,98</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11</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10 244,12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10 674,58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11 123,14</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11 432,61</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11 590,57</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9 054,10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9 434,55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9 831,02</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10 104,52</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10 244,12</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8 002,30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8 338,57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8 688,98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8 930,71</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9 054,10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7 072,70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7 369,90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7 679,59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7 893,26</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8 002,30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6 251,08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6 513,76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6 787,48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6 976,32</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7 072,70</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5 524,91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5 757,08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5 998,99</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6 165,90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6 251,08</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5</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4 883,11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5 088,30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5 302,11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5 449,63</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5 524,91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4</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4 315,85</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4 497,20</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4 686,18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4 816,55</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4 883,11</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3</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3 814,47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3 974,78</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4 141,81</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4 257,02</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4 315,85</w:t>
            </w:r>
          </w:p>
        </w:tc>
      </w:tr>
      <w:tr>
        <w:trPr>
          <w:trHeight w:val="255"/>
        </w:trPr>
        <w:tc>
          <w:tcPr>
            <w:tcW w:w="122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w:t>
            </w:r>
          </w:p>
        </w:tc>
        <w:tc>
          <w:tcPr>
            <w:tcW w:w="1180" w:type="dxa"/>
            <w:tcBorders>
              <w:lef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3 371,37</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3 513,03</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3 660,66</w:t>
            </w:r>
          </w:p>
        </w:tc>
        <w:tc>
          <w:tcPr>
            <w:tcW w:w="1180" w:type="dxa"/>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3 762,50</w:t>
            </w:r>
          </w:p>
        </w:tc>
        <w:tc>
          <w:tcPr>
            <w:tcW w:w="1360" w:type="dxa"/>
            <w:tcBorders>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3 814,47</w:t>
            </w:r>
          </w:p>
        </w:tc>
      </w:tr>
      <w:tr>
        <w:trPr>
          <w:trHeight w:val="25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w:t>
            </w:r>
          </w:p>
        </w:tc>
        <w:tc>
          <w:tcPr>
            <w:tcW w:w="1180"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2 979,73</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3 104,93</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3 235,40</w:t>
            </w:r>
          </w:p>
        </w:tc>
        <w:tc>
          <w:tcPr>
            <w:tcW w:w="1180"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3 325,43</w:t>
            </w:r>
          </w:p>
        </w:tc>
        <w:tc>
          <w:tcPr>
            <w:tcW w:w="1360"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3 371,37</w:t>
            </w:r>
          </w:p>
        </w:tc>
      </w:tr>
    </w:tbl>
    <w:p>
      <w:pPr>
        <w:spacing w:before="120" w:after="120" w:line="240" w:lineRule="auto"/>
        <w:jc w:val="both"/>
        <w:rPr>
          <w:rFonts w:ascii="Times New Roman" w:eastAsia="Calibri" w:hAnsi="Times New Roman" w:cs="Times New Roman"/>
          <w:noProof/>
          <w:sz w:val="24"/>
          <w:szCs w:val="20"/>
        </w:rPr>
      </w:pPr>
    </w:p>
    <w:p>
      <w:pPr>
        <w:spacing w:before="120" w:after="120" w:line="24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2. Tableau des montants des traitements mensuels de base pour chaque grade et chaque échelon dans le groupe de fonctions AST/SC visés à l’article 66 du statut, applicables à partir du 1</w:t>
      </w:r>
      <w:r>
        <w:rPr>
          <w:rFonts w:ascii="Times New Roman" w:hAnsi="Times New Roman"/>
          <w:noProof/>
          <w:szCs w:val="20"/>
          <w:vertAlign w:val="superscript"/>
        </w:rPr>
        <w:t>er</w:t>
      </w:r>
      <w:r>
        <w:rPr>
          <w:rFonts w:ascii="Times New Roman" w:hAnsi="Times New Roman"/>
          <w:noProof/>
          <w:szCs w:val="20"/>
        </w:rPr>
        <w:t xml:space="preserve"> juillet 2019:</w:t>
      </w:r>
    </w:p>
    <w:tbl>
      <w:tblPr>
        <w:tblW w:w="6155" w:type="dxa"/>
        <w:tblInd w:w="103" w:type="dxa"/>
        <w:tblLook w:val="04A0" w:firstRow="1" w:lastRow="0" w:firstColumn="1" w:lastColumn="0" w:noHBand="0" w:noVBand="1"/>
      </w:tblPr>
      <w:tblGrid>
        <w:gridCol w:w="1180"/>
        <w:gridCol w:w="995"/>
        <w:gridCol w:w="995"/>
        <w:gridCol w:w="995"/>
        <w:gridCol w:w="995"/>
        <w:gridCol w:w="995"/>
      </w:tblGrid>
      <w:tr>
        <w:trPr>
          <w:trHeight w:val="28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Narrow" w:eastAsia="Times New Roman" w:hAnsi="Arial Narrow" w:cs="Arial"/>
                <w:noProof/>
                <w:sz w:val="20"/>
                <w:szCs w:val="20"/>
              </w:rPr>
            </w:pPr>
            <w:r>
              <w:rPr>
                <w:rFonts w:ascii="Arial Narrow" w:hAnsi="Arial Narrow"/>
                <w:noProof/>
                <w:sz w:val="20"/>
                <w:szCs w:val="20"/>
              </w:rPr>
              <w:t>1.7.2019</w:t>
            </w:r>
          </w:p>
        </w:tc>
        <w:tc>
          <w:tcPr>
            <w:tcW w:w="4975" w:type="dxa"/>
            <w:gridSpan w:val="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ÉCHELON</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GRADE</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3</w:t>
            </w:r>
          </w:p>
        </w:tc>
        <w:tc>
          <w:tcPr>
            <w:tcW w:w="995" w:type="dxa"/>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4</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5</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w:t>
            </w:r>
          </w:p>
        </w:tc>
        <w:tc>
          <w:tcPr>
            <w:tcW w:w="995" w:type="dxa"/>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4 844,35</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5 047,92</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5 260,04</w:t>
            </w:r>
          </w:p>
        </w:tc>
        <w:tc>
          <w:tcPr>
            <w:tcW w:w="995" w:type="dxa"/>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5 406,37</w:t>
            </w:r>
          </w:p>
        </w:tc>
        <w:tc>
          <w:tcPr>
            <w:tcW w:w="995" w:type="dxa"/>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5 481,07</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5</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4 281,60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4 461,52</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4 649,65</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4 778,33</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4 844,35</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4</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3 784,23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3 943,23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4 108,94</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4 223,26</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4 281,60</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3</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3 344,61</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3 485,15</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3 631,63</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3 732,64</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3 784,23</w:t>
            </w:r>
          </w:p>
        </w:tc>
      </w:tr>
      <w:tr>
        <w:trPr>
          <w:trHeight w:val="255"/>
        </w:trPr>
        <w:tc>
          <w:tcPr>
            <w:tcW w:w="11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w:t>
            </w:r>
          </w:p>
        </w:tc>
        <w:tc>
          <w:tcPr>
            <w:tcW w:w="995" w:type="dxa"/>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2 956,07</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3 080,30</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3 209,75</w:t>
            </w:r>
          </w:p>
        </w:tc>
        <w:tc>
          <w:tcPr>
            <w:tcW w:w="995" w:type="dxa"/>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3 299,04</w:t>
            </w:r>
          </w:p>
        </w:tc>
        <w:tc>
          <w:tcPr>
            <w:tcW w:w="995" w:type="dxa"/>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3 344,61</w:t>
            </w:r>
          </w:p>
        </w:tc>
      </w:tr>
      <w:tr>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w:t>
            </w:r>
          </w:p>
        </w:tc>
        <w:tc>
          <w:tcPr>
            <w:tcW w:w="995" w:type="dxa"/>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2 612,68</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2 722,47</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2 836,88</w:t>
            </w:r>
          </w:p>
        </w:tc>
        <w:tc>
          <w:tcPr>
            <w:tcW w:w="995" w:type="dxa"/>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2 915,78</w:t>
            </w:r>
          </w:p>
        </w:tc>
        <w:tc>
          <w:tcPr>
            <w:tcW w:w="995" w:type="dxa"/>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2 956,07</w:t>
            </w:r>
          </w:p>
        </w:tc>
      </w:tr>
    </w:tbl>
    <w:p>
      <w:pPr>
        <w:spacing w:before="120" w:after="120" w:line="240" w:lineRule="auto"/>
        <w:jc w:val="both"/>
        <w:rPr>
          <w:rFonts w:ascii="Times New Roman" w:eastAsia="Calibri" w:hAnsi="Times New Roman" w:cs="Times New Roman"/>
          <w:noProof/>
          <w:sz w:val="24"/>
          <w:szCs w:val="20"/>
        </w:rPr>
      </w:pPr>
    </w:p>
    <w:p>
      <w:pPr>
        <w:spacing w:before="120" w:after="120" w:line="240" w:lineRule="auto"/>
        <w:jc w:val="both"/>
        <w:rPr>
          <w:rFonts w:ascii="Times New Roman" w:eastAsia="Calibri" w:hAnsi="Times New Roman" w:cs="Times New Roman"/>
          <w:noProof/>
          <w:sz w:val="24"/>
          <w:szCs w:val="20"/>
        </w:rPr>
      </w:pPr>
    </w:p>
    <w:p>
      <w:pPr>
        <w:spacing w:before="120" w:after="120" w:line="360" w:lineRule="auto"/>
        <w:jc w:val="both"/>
        <w:rPr>
          <w:rFonts w:ascii="Times New Roman" w:eastAsia="Calibri" w:hAnsi="Times New Roman" w:cs="Times New Roman"/>
          <w:noProof/>
          <w:sz w:val="24"/>
          <w:szCs w:val="20"/>
        </w:rPr>
      </w:pPr>
      <w:r>
        <w:rPr>
          <w:rFonts w:ascii="Times New Roman" w:hAnsi="Times New Roman"/>
          <w:noProof/>
          <w:szCs w:val="20"/>
        </w:rPr>
        <w:t>3. Tableau des coefficients correcteurs applicables aux rémunérations et aux pensions des fonctionnaires et autres agents de l’Union européenne visés à l’article 64 du statut contenant:</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les coefficients correcteurs applicables, à partir du 1</w:t>
      </w:r>
      <w:r>
        <w:rPr>
          <w:rFonts w:ascii="Times New Roman" w:hAnsi="Times New Roman"/>
          <w:noProof/>
          <w:szCs w:val="20"/>
          <w:vertAlign w:val="superscript"/>
        </w:rPr>
        <w:t>er</w:t>
      </w:r>
      <w:r>
        <w:rPr>
          <w:rFonts w:ascii="Times New Roman" w:hAnsi="Times New Roman"/>
          <w:noProof/>
          <w:szCs w:val="20"/>
        </w:rPr>
        <w:t xml:space="preserve"> juillet 2019, à la rémunération des fonctionnaires et autres agents visés à l’article 64 du statut (indiqués dans la colonne 2 du tableau ci-après);</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les coefficients correcteurs applicables, à partir du 1</w:t>
      </w:r>
      <w:r>
        <w:rPr>
          <w:rFonts w:ascii="Times New Roman" w:hAnsi="Times New Roman"/>
          <w:noProof/>
          <w:szCs w:val="20"/>
          <w:vertAlign w:val="superscript"/>
        </w:rPr>
        <w:t>er</w:t>
      </w:r>
      <w:r>
        <w:rPr>
          <w:rFonts w:ascii="Times New Roman" w:hAnsi="Times New Roman"/>
          <w:noProof/>
          <w:szCs w:val="20"/>
        </w:rPr>
        <w:t xml:space="preserve"> janvier 2020, aux transferts effectués par les fonctionnaires et autres agents, en vertu de l’article 17, paragraphe 3, de l’annexe VII du statut (indiqués dans la colonne 3 du tableau ci-après);</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les coefficients correcteurs applicables, à partir du 1</w:t>
      </w:r>
      <w:r>
        <w:rPr>
          <w:rFonts w:ascii="Times New Roman" w:hAnsi="Times New Roman"/>
          <w:noProof/>
          <w:szCs w:val="20"/>
          <w:vertAlign w:val="superscript"/>
        </w:rPr>
        <w:t>er</w:t>
      </w:r>
      <w:r>
        <w:rPr>
          <w:rFonts w:ascii="Times New Roman" w:hAnsi="Times New Roman"/>
          <w:noProof/>
          <w:szCs w:val="20"/>
        </w:rPr>
        <w:t xml:space="preserve"> juillet 2019, aux pensions, en vertu de l’article 20, paragraphe 1, de l’annexe XIII du statut (indiqués dans la colonne 4 du tableau ci-après);</w:t>
      </w:r>
    </w:p>
    <w:tbl>
      <w:tblPr>
        <w:tblW w:w="5901" w:type="dxa"/>
        <w:tblInd w:w="93" w:type="dxa"/>
        <w:tblLook w:val="04A0" w:firstRow="1" w:lastRow="0" w:firstColumn="1" w:lastColumn="0" w:noHBand="0" w:noVBand="1"/>
      </w:tblPr>
      <w:tblGrid>
        <w:gridCol w:w="1540"/>
        <w:gridCol w:w="1561"/>
        <w:gridCol w:w="1400"/>
        <w:gridCol w:w="1400"/>
      </w:tblGrid>
      <w:tr>
        <w:trPr>
          <w:trHeight w:val="255"/>
        </w:trPr>
        <w:tc>
          <w:tcPr>
            <w:tcW w:w="154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szCs w:val="16"/>
              </w:rPr>
              <w:t>1</w:t>
            </w:r>
          </w:p>
        </w:tc>
        <w:tc>
          <w:tcPr>
            <w:tcW w:w="156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szCs w:val="16"/>
              </w:rPr>
              <w:t>2</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szCs w:val="16"/>
              </w:rPr>
              <w:t>3</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szCs w:val="16"/>
              </w:rPr>
              <w:t>4</w:t>
            </w:r>
          </w:p>
        </w:tc>
      </w:tr>
      <w:tr>
        <w:trPr>
          <w:trHeight w:val="255"/>
        </w:trPr>
        <w:tc>
          <w:tcPr>
            <w:tcW w:w="154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1561" w:type="dxa"/>
            <w:tcBorders>
              <w:top w:val="single" w:sz="4" w:space="0" w:color="auto"/>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hAnsi="Arial"/>
                <w:b/>
                <w:bCs/>
                <w:noProof/>
                <w:sz w:val="20"/>
                <w:szCs w:val="20"/>
              </w:rPr>
              <w:t>Rémunération</w:t>
            </w:r>
          </w:p>
        </w:tc>
        <w:tc>
          <w:tcPr>
            <w:tcW w:w="1400" w:type="dxa"/>
            <w:tcBorders>
              <w:top w:val="single" w:sz="4" w:space="0" w:color="auto"/>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hAnsi="Arial"/>
                <w:b/>
                <w:bCs/>
                <w:noProof/>
                <w:sz w:val="20"/>
                <w:szCs w:val="20"/>
              </w:rPr>
              <w:t>Transfert</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hAnsi="Arial"/>
                <w:b/>
                <w:bCs/>
                <w:noProof/>
                <w:sz w:val="20"/>
                <w:szCs w:val="20"/>
              </w:rPr>
              <w:t>Pension</w:t>
            </w:r>
          </w:p>
        </w:tc>
      </w:tr>
      <w:tr>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hAnsi="Arial"/>
                <w:b/>
                <w:bCs/>
                <w:noProof/>
                <w:sz w:val="20"/>
                <w:szCs w:val="20"/>
              </w:rPr>
              <w:t>Pays/Lieu</w:t>
            </w:r>
          </w:p>
        </w:tc>
        <w:tc>
          <w:tcPr>
            <w:tcW w:w="156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1.7.2019</w:t>
            </w:r>
          </w:p>
        </w:tc>
        <w:tc>
          <w:tcPr>
            <w:tcW w:w="14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1.1.2020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1.7.2019</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Bulgarie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57,5</w:t>
            </w:r>
          </w:p>
        </w:tc>
        <w:tc>
          <w:tcPr>
            <w:tcW w:w="1400" w:type="dxa"/>
            <w:tcBorders>
              <w:top w:val="single" w:sz="4" w:space="0" w:color="auto"/>
              <w:left w:val="nil"/>
              <w:bottom w:val="nil"/>
              <w:right w:val="nil"/>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55,7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Rép. tchèque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85,5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74,0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Danemark</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129,3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132,2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132,2</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Allemagne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99,4</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100,5</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100,5</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Bonn</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95,1</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Karlsruhe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96,5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Munich</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110,3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Estonie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83,3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86,0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Irlande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119,2</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123,3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123,3</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Grèce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81,8</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79,0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Espagne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91,6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89,2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France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117,7</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110,0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110,0</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Croatie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75,9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67,3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Italie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95,2</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95,5</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Varèse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90,0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Chypre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78,9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82,4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Lettonie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78,6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73,1</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Lituanie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75,1</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67,7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Hongrie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75,3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64,0</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Malte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92,0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95,3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Pays-Bas</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111,5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111,3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111,3</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Autriche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106,0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108,2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108,2</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Pologne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71,1</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60,8</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Portugal</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88,6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86,7</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Roumanie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65,3</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55,9</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Slovénie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84,6</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82,2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Slovaquie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79,0</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69,2</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Finlande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118,1</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120,3</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120,3</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Suède</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120,5</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110,5</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110,5</w:t>
            </w:r>
          </w:p>
        </w:tc>
      </w:tr>
      <w:tr>
        <w:trPr>
          <w:trHeight w:val="255"/>
        </w:trPr>
        <w:tc>
          <w:tcPr>
            <w:tcW w:w="154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Royaume-Uni</w:t>
            </w:r>
          </w:p>
        </w:tc>
        <w:tc>
          <w:tcPr>
            <w:tcW w:w="1561" w:type="dxa"/>
            <w:tcBorders>
              <w:top w:val="nil"/>
              <w:left w:val="single" w:sz="4" w:space="0" w:color="auto"/>
              <w:bottom w:val="nil"/>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132,9</w:t>
            </w:r>
          </w:p>
        </w:tc>
        <w:tc>
          <w:tcPr>
            <w:tcW w:w="1400" w:type="dxa"/>
            <w:tcBorders>
              <w:top w:val="nil"/>
              <w:left w:val="nil"/>
              <w:bottom w:val="nil"/>
              <w:right w:val="nil"/>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121,4</w:t>
            </w:r>
          </w:p>
        </w:tc>
        <w:tc>
          <w:tcPr>
            <w:tcW w:w="140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121,4</w:t>
            </w:r>
          </w:p>
        </w:tc>
      </w:tr>
      <w:tr>
        <w:trPr>
          <w:trHeight w:val="255"/>
        </w:trPr>
        <w:tc>
          <w:tcPr>
            <w:tcW w:w="1540" w:type="dxa"/>
            <w:tcBorders>
              <w:top w:val="nil"/>
              <w:left w:val="single" w:sz="4" w:space="0" w:color="auto"/>
              <w:bottom w:val="single" w:sz="4" w:space="0" w:color="auto"/>
              <w:right w:val="nil"/>
            </w:tcBorders>
            <w:shd w:val="clear" w:color="auto" w:fill="auto"/>
            <w:noWrap/>
            <w:vAlign w:val="bottom"/>
            <w:hideMark/>
          </w:tcPr>
          <w:p>
            <w:pPr>
              <w:spacing w:after="0" w:line="240" w:lineRule="auto"/>
              <w:jc w:val="right"/>
              <w:rPr>
                <w:rFonts w:ascii="Arial" w:eastAsia="Times New Roman" w:hAnsi="Arial" w:cs="Arial"/>
                <w:noProof/>
                <w:sz w:val="20"/>
                <w:szCs w:val="20"/>
              </w:rPr>
            </w:pPr>
            <w:r>
              <w:rPr>
                <w:rFonts w:ascii="Arial" w:hAnsi="Arial"/>
                <w:noProof/>
                <w:sz w:val="20"/>
                <w:szCs w:val="20"/>
              </w:rPr>
              <w:t>Culham</w:t>
            </w:r>
          </w:p>
        </w:tc>
        <w:tc>
          <w:tcPr>
            <w:tcW w:w="1561"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center"/>
              <w:rPr>
                <w:rFonts w:ascii="Arial" w:eastAsia="Times New Roman" w:hAnsi="Arial" w:cs="Arial"/>
                <w:noProof/>
                <w:sz w:val="20"/>
                <w:szCs w:val="20"/>
              </w:rPr>
            </w:pPr>
            <w:r>
              <w:rPr>
                <w:rFonts w:ascii="Arial" w:hAnsi="Arial"/>
                <w:noProof/>
                <w:sz w:val="20"/>
                <w:szCs w:val="20"/>
              </w:rPr>
              <w:t>102,0</w:t>
            </w:r>
          </w:p>
        </w:tc>
        <w:tc>
          <w:tcPr>
            <w:tcW w:w="1400" w:type="dxa"/>
            <w:tcBorders>
              <w:top w:val="nil"/>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 </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bl>
    <w:p>
      <w:pPr>
        <w:spacing w:after="0" w:line="360" w:lineRule="auto"/>
        <w:jc w:val="center"/>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p>
    <w:p>
      <w:pPr>
        <w:spacing w:before="120" w:after="120" w:line="24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4.1. Montant de l’allocation de congé parental visée à l’article 42 </w:t>
      </w:r>
      <w:r>
        <w:rPr>
          <w:rFonts w:ascii="Times New Roman" w:hAnsi="Times New Roman"/>
          <w:i/>
          <w:iCs/>
          <w:noProof/>
          <w:szCs w:val="20"/>
        </w:rPr>
        <w:t>bis</w:t>
      </w:r>
      <w:r>
        <w:rPr>
          <w:rFonts w:ascii="Times New Roman" w:hAnsi="Times New Roman"/>
          <w:noProof/>
          <w:szCs w:val="20"/>
        </w:rPr>
        <w:t>, deuxième alinéa,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2019 - 1 023,56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4.2. Montant de l’allocation de congé parental visée à l’article 42 </w:t>
      </w:r>
      <w:r>
        <w:rPr>
          <w:rFonts w:ascii="Times New Roman" w:hAnsi="Times New Roman"/>
          <w:i/>
          <w:iCs/>
          <w:noProof/>
          <w:szCs w:val="20"/>
        </w:rPr>
        <w:t>bis</w:t>
      </w:r>
      <w:r>
        <w:rPr>
          <w:rFonts w:ascii="Times New Roman" w:hAnsi="Times New Roman"/>
          <w:noProof/>
          <w:szCs w:val="20"/>
        </w:rPr>
        <w:t>, troisième alinéa,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2019 - 1 364,75 EUR.</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5.1. Montant de base de l’allocation de foyer visée à l'article 1</w:t>
      </w:r>
      <w:r>
        <w:rPr>
          <w:rFonts w:ascii="Times New Roman" w:hAnsi="Times New Roman"/>
          <w:noProof/>
          <w:szCs w:val="20"/>
          <w:vertAlign w:val="superscript"/>
        </w:rPr>
        <w:t>er</w:t>
      </w:r>
      <w:r>
        <w:rPr>
          <w:rFonts w:ascii="Times New Roman" w:hAnsi="Times New Roman"/>
          <w:noProof/>
          <w:szCs w:val="20"/>
        </w:rPr>
        <w:t>, paragraphe 1,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2019 - 191,44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5.2. Montant de l’allocation pour enfant à charge visée à l'article 2, paragraphe 1,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2019 - 418,31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5.3. Montant de l’allocation scolaire visée à l'article 3, paragraphe 1,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2019 - 283,82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5.4. Montant de l’allocation scolaire visée à l'article 3, paragraphe 2,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2019 - 102,18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5.5. Montant minimal de l'indemnité de dépaysement visée à l'article 69 du statut et à l'article 4, paragraphe 1, deuxième alinéa,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2019 - 567,38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5.6. Montant de l'indemnité de dépaysement visée à l'article 134 du régime applicable aux autres agents de l'Union européenne, applicable à partir du 1</w:t>
      </w:r>
      <w:r>
        <w:rPr>
          <w:rFonts w:ascii="Times New Roman" w:hAnsi="Times New Roman"/>
          <w:noProof/>
          <w:szCs w:val="20"/>
          <w:vertAlign w:val="superscript"/>
        </w:rPr>
        <w:t>er</w:t>
      </w:r>
      <w:r>
        <w:rPr>
          <w:rFonts w:ascii="Times New Roman" w:hAnsi="Times New Roman"/>
          <w:noProof/>
          <w:szCs w:val="20"/>
        </w:rPr>
        <w:t xml:space="preserve"> juillet 2019 - 407,88 EUR.</w:t>
      </w:r>
    </w:p>
    <w:p>
      <w:pPr>
        <w:spacing w:after="0" w:line="360" w:lineRule="auto"/>
        <w:jc w:val="both"/>
        <w:rPr>
          <w:rFonts w:ascii="Times New Roman" w:eastAsia="Calibri" w:hAnsi="Times New Roman" w:cs="Times New Roman"/>
          <w:i/>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6.1. Montant de l’indemnité kilométrique visée à l'article 7, paragraphe 2,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34"/>
        <w:gridCol w:w="104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 et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0,2110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201 et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0,3518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1 001 et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0,2110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2 001 et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0,0703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3 001 et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0,0340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4 001 et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 EUR par kilomètre pour les distances supérieures à</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10 000 km.</w:t>
            </w:r>
          </w:p>
        </w:tc>
      </w:tr>
    </w:tbl>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6.2. Montant forfaitaire supplémentaire ajouté à l’indemnité kilométrique visé à l'article 7, paragraphe 2,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 </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- 105,51 EUR si la distance géographique entre les lieux visés au paragraphe 1 est comprise entre 600 et 1 200 km,</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- 211,02 EUR si la distance géographique entre les lieux visés au paragraphe 1 est supérieure à 1 200 km</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7.1. Montant de l’indemnité kilométrique visée à l'article 8, paragraphe 2,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janvier 2020:</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34"/>
        <w:gridCol w:w="104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 et 200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0,4255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201 et 1 000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0,7091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1 001 et 2 000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0,4255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2 001 et 3 000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0,1417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3 001 et 4 000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0,0684 EUR par kilomètre pour la tranche de distance entre:</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4 001 et 10 000 km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0 EUR par kilomètre pour les distances supérieures à</w:t>
            </w:r>
          </w:p>
        </w:tc>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rPr>
              <w:t xml:space="preserve">10 000 km.  </w:t>
            </w:r>
          </w:p>
        </w:tc>
      </w:tr>
    </w:tbl>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7.2. Montant forfaitaire supplémentaire ajouté à l’indemnité kilométrique visé à l'article 8, paragraphe 2,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janvier 2020:</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- 212,72 EUR si la distance géographique entre le lieu d'affectation et le lieu d'origine est comprise entre 600 et 1 200 km,</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- 425,41 EUR si la distance géographique entre le lieu d'affectation et le lieu d'origine est supérieure à 1 200 km.</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8. Montant de l’indemnité journalière visée à l'article 10, paragraphe 1, de l'annexe VII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rPr>
        <w:t>-</w:t>
      </w:r>
      <w:r>
        <w:rPr>
          <w:rFonts w:ascii="Times New Roman" w:hAnsi="Times New Roman"/>
          <w:noProof/>
        </w:rPr>
        <w:tab/>
        <w:t>43,97 EUR pour un fonctionnaire ayant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rPr>
        <w:t>-</w:t>
      </w:r>
      <w:r>
        <w:rPr>
          <w:rFonts w:ascii="Times New Roman" w:hAnsi="Times New Roman"/>
          <w:noProof/>
        </w:rPr>
        <w:tab/>
        <w:t>35,46 EUR pour un fonctionnaire n'ayant pas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rPr>
        <w:t>9. Montant de la limite inférieure pour l'indemnité d'installation visée à l'article 24, paragraphe 3, du régime applicable aux autres agents, applicable à partir du 1</w:t>
      </w:r>
      <w:r>
        <w:rPr>
          <w:rFonts w:ascii="Times New Roman" w:hAnsi="Times New Roman"/>
          <w:noProof/>
          <w:vertAlign w:val="superscript"/>
        </w:rPr>
        <w:t>er</w:t>
      </w:r>
      <w:r>
        <w:rPr>
          <w:rFonts w:ascii="Times New Roman" w:hAnsi="Times New Roman"/>
          <w:noProof/>
        </w:rPr>
        <w:t xml:space="preserve"> juillet 2019:</w:t>
      </w:r>
      <w:r>
        <w:rPr>
          <w:rFonts w:ascii="Times New Roman" w:hAnsi="Times New Roman"/>
          <w:noProof/>
          <w:szCs w:val="20"/>
        </w:rPr>
        <w:t xml:space="preserve"> </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rPr>
        <w:t>-</w:t>
      </w:r>
      <w:r>
        <w:rPr>
          <w:rFonts w:ascii="Times New Roman" w:hAnsi="Times New Roman"/>
          <w:noProof/>
        </w:rPr>
        <w:tab/>
        <w:t>1 251,74 EUR pour un agent ayant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rPr>
        <w:t>-</w:t>
      </w:r>
      <w:r>
        <w:rPr>
          <w:rFonts w:ascii="Times New Roman" w:hAnsi="Times New Roman"/>
          <w:noProof/>
        </w:rPr>
        <w:tab/>
        <w:t>744,28 EUR pour un agent n'ayant pas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10.1. Montant des limites inférieure et supérieure pour l'allocation de chômage visées à l'article 28 </w:t>
      </w:r>
      <w:r>
        <w:rPr>
          <w:rFonts w:ascii="Times New Roman" w:hAnsi="Times New Roman"/>
          <w:i/>
          <w:iCs/>
          <w:noProof/>
          <w:szCs w:val="20"/>
        </w:rPr>
        <w:t>bis</w:t>
      </w:r>
      <w:r>
        <w:rPr>
          <w:rFonts w:ascii="Times New Roman" w:hAnsi="Times New Roman"/>
          <w:noProof/>
          <w:szCs w:val="20"/>
        </w:rPr>
        <w:t>, paragraphe 3, deuxième alinéa, du régime applicable aux autres agents, applicable à partir du 1</w:t>
      </w:r>
      <w:r>
        <w:rPr>
          <w:rFonts w:ascii="Times New Roman" w:hAnsi="Times New Roman"/>
          <w:noProof/>
          <w:szCs w:val="20"/>
          <w:vertAlign w:val="superscript"/>
        </w:rPr>
        <w:t>er</w:t>
      </w:r>
      <w:r>
        <w:rPr>
          <w:rFonts w:ascii="Times New Roman" w:hAnsi="Times New Roman"/>
          <w:noProof/>
          <w:szCs w:val="20"/>
        </w:rPr>
        <w:t xml:space="preserve"> juillet 2019:</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- 1 501,22 EUR (limite inférieure),</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xml:space="preserve">- 3 002,43 EUR (limite supérieure). </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10.2. Montant de l’abattement forfaitaire visé à l’article 28 </w:t>
      </w:r>
      <w:r>
        <w:rPr>
          <w:rFonts w:ascii="Times New Roman" w:hAnsi="Times New Roman"/>
          <w:i/>
          <w:iCs/>
          <w:noProof/>
          <w:szCs w:val="20"/>
        </w:rPr>
        <w:t>bis</w:t>
      </w:r>
      <w:r>
        <w:rPr>
          <w:rFonts w:ascii="Times New Roman" w:hAnsi="Times New Roman"/>
          <w:noProof/>
          <w:szCs w:val="20"/>
        </w:rPr>
        <w:t>, paragraphe 7, du régime applicable aux autres agents, applicable à partir du 1</w:t>
      </w:r>
      <w:r>
        <w:rPr>
          <w:rFonts w:ascii="Times New Roman" w:hAnsi="Times New Roman"/>
          <w:noProof/>
          <w:szCs w:val="20"/>
          <w:vertAlign w:val="superscript"/>
        </w:rPr>
        <w:t>er</w:t>
      </w:r>
      <w:r>
        <w:rPr>
          <w:rFonts w:ascii="Times New Roman" w:hAnsi="Times New Roman"/>
          <w:noProof/>
          <w:szCs w:val="20"/>
        </w:rPr>
        <w:t xml:space="preserve"> juillet 2019 - 1 364,75 EUR.</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11. Tableau contenant le barème des traitements de base prévu à l'article 93, du régime applicable aux autres agents, applicable à partir du 1</w:t>
      </w:r>
      <w:r>
        <w:rPr>
          <w:rFonts w:ascii="Times New Roman" w:hAnsi="Times New Roman"/>
          <w:noProof/>
          <w:szCs w:val="20"/>
          <w:vertAlign w:val="superscript"/>
        </w:rPr>
        <w:t>er</w:t>
      </w:r>
      <w:r>
        <w:rPr>
          <w:rFonts w:ascii="Times New Roman" w:hAnsi="Times New Roman"/>
          <w:noProof/>
          <w:szCs w:val="20"/>
        </w:rPr>
        <w:t xml:space="preserve"> juillet 2019:</w:t>
      </w:r>
    </w:p>
    <w:tbl>
      <w:tblPr>
        <w:tblW w:w="5000" w:type="pct"/>
        <w:tblLayout w:type="fixed"/>
        <w:tblLook w:val="04A0" w:firstRow="1" w:lastRow="0" w:firstColumn="1" w:lastColumn="0" w:noHBand="0" w:noVBand="1"/>
      </w:tblPr>
      <w:tblGrid>
        <w:gridCol w:w="1068"/>
        <w:gridCol w:w="1198"/>
        <w:gridCol w:w="1001"/>
        <w:gridCol w:w="104"/>
        <w:gridCol w:w="899"/>
        <w:gridCol w:w="87"/>
        <w:gridCol w:w="916"/>
        <w:gridCol w:w="71"/>
        <w:gridCol w:w="933"/>
        <w:gridCol w:w="52"/>
        <w:gridCol w:w="951"/>
        <w:gridCol w:w="35"/>
        <w:gridCol w:w="968"/>
        <w:gridCol w:w="19"/>
        <w:gridCol w:w="986"/>
      </w:tblGrid>
      <w:tr>
        <w:trPr>
          <w:trHeight w:val="315"/>
        </w:trPr>
        <w:tc>
          <w:tcPr>
            <w:tcW w:w="575" w:type="pct"/>
            <w:vMerge w:val="restart"/>
            <w:tcBorders>
              <w:top w:val="single" w:sz="4" w:space="0" w:color="auto"/>
              <w:left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16"/>
                <w:szCs w:val="16"/>
              </w:rPr>
            </w:pPr>
            <w:r>
              <w:rPr>
                <w:rFonts w:ascii="Arial Narrow" w:hAnsi="Arial Narrow"/>
                <w:noProof/>
                <w:sz w:val="16"/>
                <w:szCs w:val="16"/>
              </w:rPr>
              <w:t>GROUPE DE FONCTIONS</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Cs w:val="24"/>
              </w:rPr>
            </w:pPr>
            <w:r>
              <w:rPr>
                <w:rFonts w:ascii="Arial Narrow" w:hAnsi="Arial Narrow"/>
                <w:noProof/>
              </w:rPr>
              <w:t>1.7.2019</w:t>
            </w:r>
          </w:p>
        </w:tc>
        <w:tc>
          <w:tcPr>
            <w:tcW w:w="3780" w:type="pct"/>
            <w:gridSpan w:val="13"/>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sz w:val="20"/>
                <w:szCs w:val="20"/>
              </w:rPr>
              <w:t>ÉCHELON</w:t>
            </w:r>
          </w:p>
        </w:tc>
      </w:tr>
      <w:tr>
        <w:trPr>
          <w:trHeight w:val="255"/>
        </w:trPr>
        <w:tc>
          <w:tcPr>
            <w:tcW w:w="575" w:type="pct"/>
            <w:vMerge/>
            <w:tcBorders>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Narrow" w:eastAsia="Times New Roman" w:hAnsi="Arial Narrow" w:cs="Arial"/>
                <w:noProof/>
                <w:sz w:val="20"/>
                <w:szCs w:val="20"/>
              </w:rPr>
            </w:pPr>
          </w:p>
        </w:tc>
        <w:tc>
          <w:tcPr>
            <w:tcW w:w="64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GRADE</w:t>
            </w:r>
          </w:p>
        </w:tc>
        <w:tc>
          <w:tcPr>
            <w:tcW w:w="59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szCs w:val="18"/>
              </w:rPr>
              <w:t>1</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szCs w:val="18"/>
              </w:rPr>
              <w:t>2</w:t>
            </w:r>
          </w:p>
        </w:tc>
        <w:tc>
          <w:tcPr>
            <w:tcW w:w="531"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szCs w:val="18"/>
              </w:rPr>
              <w:t>3</w:t>
            </w:r>
          </w:p>
        </w:tc>
        <w:tc>
          <w:tcPr>
            <w:tcW w:w="530"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szCs w:val="18"/>
              </w:rPr>
              <w:t>4</w:t>
            </w:r>
          </w:p>
        </w:tc>
        <w:tc>
          <w:tcPr>
            <w:tcW w:w="531"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szCs w:val="18"/>
              </w:rPr>
              <w:t>5</w:t>
            </w:r>
          </w:p>
        </w:tc>
        <w:tc>
          <w:tcPr>
            <w:tcW w:w="531"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szCs w:val="18"/>
              </w:rPr>
              <w:t>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szCs w:val="18"/>
              </w:rPr>
              <w:t>7</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IV</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18</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6 547,83</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6 683,99</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6 822,98</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6 964,87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7 109,72</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7 257,57</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7 408,48</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17</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5 787,14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5 907,48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6 030,33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6 155,74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6 283,75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6 414,42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6 547,83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5 114,82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5 221,17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5 329,76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5 440,60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5 553,75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5 669,25</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5 787,14</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4 520,60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4 614,61</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4 710,58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4 808,54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4 908,54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5 010,61</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5 114,82</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14</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3 995,43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4 078,52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4 163,34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4 249,92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4 338,32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4 428,50</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4 520,60</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13</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3 531,26</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3 604,70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3 679,65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3 756,19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3 834,29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3 914,03</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3 995,43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III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12</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4 520,54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4 614,54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4 710,51</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4 808,45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4 908,44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5 010,51</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5 114,71</w:t>
            </w:r>
          </w:p>
        </w:tc>
      </w:tr>
      <w:tr>
        <w:trPr>
          <w:trHeight w:val="270"/>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11</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3 995,40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4 078,47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4 163,28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4 249,85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4 338,23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4 428,44</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4 520,54</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3 531,25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3 604,68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3 679,63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3 756,16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3 834,26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3 914,00</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3 995,40</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3 121,03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3 185,93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3 252,18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3 319,82</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3 388,86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3 459,31</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3 531,25</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2 758,47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2 815,83</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2 874,39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2 934,15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2 995,18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3 057,46</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3 121,03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II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3 120,96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3 185,88</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3 252,14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3 319,76</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3 388,84</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3 459,31</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3 531,26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2 758,34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2 815,70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2 874,27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2 934,05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2 995,07</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3 057,37</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3 120,96</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5</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2 437,84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2 488,53</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2 540,30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2 593,15</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2 647,06</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2 702,13</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2 758,34</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4</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2 154,58</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2 199,39</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2 245,14</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2 291,85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2 339,50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2 388,17</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2 437,84</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I</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3</w:t>
            </w:r>
          </w:p>
        </w:tc>
        <w:tc>
          <w:tcPr>
            <w:tcW w:w="539" w:type="pct"/>
            <w:tcBorders>
              <w:top w:val="single" w:sz="4" w:space="0" w:color="auto"/>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2 654,27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2 709,35</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2 765,60</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2 822,99</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2 881,57</w:t>
            </w:r>
          </w:p>
        </w:tc>
        <w:tc>
          <w:tcPr>
            <w:tcW w:w="540" w:type="pct"/>
            <w:gridSpan w:val="2"/>
            <w:tcBorders>
              <w:top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2 941,37</w:t>
            </w:r>
          </w:p>
        </w:tc>
        <w:tc>
          <w:tcPr>
            <w:tcW w:w="541" w:type="pct"/>
            <w:gridSpan w:val="2"/>
            <w:tcBorders>
              <w:top w:val="single" w:sz="4" w:space="0" w:color="auto"/>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3 002,43</w:t>
            </w:r>
          </w:p>
        </w:tc>
      </w:tr>
      <w:tr>
        <w:trPr>
          <w:trHeight w:val="255"/>
        </w:trPr>
        <w:tc>
          <w:tcPr>
            <w:tcW w:w="57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w:t>
            </w:r>
          </w:p>
        </w:tc>
        <w:tc>
          <w:tcPr>
            <w:tcW w:w="539" w:type="pct"/>
            <w:tcBorders>
              <w:left w:val="single" w:sz="4" w:space="0" w:color="auto"/>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2 346,48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2 395,18</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2 444,90</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2 495,64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2 547,44</w:t>
            </w:r>
          </w:p>
        </w:tc>
        <w:tc>
          <w:tcPr>
            <w:tcW w:w="540" w:type="pct"/>
            <w:gridSpan w:val="2"/>
            <w:tcBorders>
              <w:bottom w:val="nil"/>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2 600,32</w:t>
            </w:r>
          </w:p>
        </w:tc>
        <w:tc>
          <w:tcPr>
            <w:tcW w:w="541" w:type="pct"/>
            <w:gridSpan w:val="2"/>
            <w:tcBorders>
              <w:bottom w:val="nil"/>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2 654,27</w:t>
            </w:r>
          </w:p>
        </w:tc>
      </w:tr>
      <w:tr>
        <w:trPr>
          <w:trHeight w:val="25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6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w:t>
            </w:r>
          </w:p>
        </w:tc>
        <w:tc>
          <w:tcPr>
            <w:tcW w:w="539" w:type="pct"/>
            <w:tcBorders>
              <w:left w:val="single" w:sz="4" w:space="0" w:color="auto"/>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2 074,40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2 117,47</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2 161,40</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2 206,26</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2 252,05</w:t>
            </w:r>
          </w:p>
        </w:tc>
        <w:tc>
          <w:tcPr>
            <w:tcW w:w="540" w:type="pct"/>
            <w:gridSpan w:val="2"/>
            <w:tcBorders>
              <w:bottom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2 298,79</w:t>
            </w:r>
          </w:p>
        </w:tc>
        <w:tc>
          <w:tcPr>
            <w:tcW w:w="541" w:type="pct"/>
            <w:gridSpan w:val="2"/>
            <w:tcBorders>
              <w:bottom w:val="single" w:sz="4" w:space="0" w:color="auto"/>
              <w:right w:val="single" w:sz="4" w:space="0" w:color="auto"/>
            </w:tcBorders>
            <w:shd w:val="clear" w:color="auto" w:fill="FFFFFF" w:themeFill="background1"/>
            <w:noWrap/>
            <w:vAlign w:val="bottom"/>
            <w:hideMark/>
          </w:tcPr>
          <w:p>
            <w:pPr>
              <w:spacing w:after="0" w:line="240" w:lineRule="auto"/>
              <w:jc w:val="right"/>
              <w:rPr>
                <w:rFonts w:ascii="Arial" w:eastAsia="Times New Roman" w:hAnsi="Arial" w:cs="Arial"/>
                <w:noProof/>
                <w:sz w:val="20"/>
                <w:szCs w:val="18"/>
              </w:rPr>
            </w:pPr>
            <w:r>
              <w:rPr>
                <w:rFonts w:ascii="Arial" w:hAnsi="Arial"/>
                <w:noProof/>
                <w:sz w:val="20"/>
                <w:szCs w:val="18"/>
              </w:rPr>
              <w:t>2 346,48</w:t>
            </w:r>
          </w:p>
        </w:tc>
      </w:tr>
    </w:tbl>
    <w:p>
      <w:pPr>
        <w:spacing w:before="120" w:after="120" w:line="240" w:lineRule="auto"/>
        <w:jc w:val="both"/>
        <w:rPr>
          <w:rFonts w:ascii="Times New Roman" w:eastAsia="Calibri" w:hAnsi="Times New Roman" w:cs="Times New Roman"/>
          <w:noProof/>
          <w:sz w:val="24"/>
          <w:szCs w:val="20"/>
        </w:rPr>
      </w:pPr>
    </w:p>
    <w:p>
      <w:pPr>
        <w:spacing w:before="120" w:after="120" w:line="24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12. Montant de la limite inférieure pour l'indemnité d'installation visée à l'article 94 du régime applicable aux autres agents, applicable à partir du 1</w:t>
      </w:r>
      <w:r>
        <w:rPr>
          <w:rFonts w:ascii="Times New Roman" w:hAnsi="Times New Roman"/>
          <w:noProof/>
          <w:szCs w:val="20"/>
          <w:vertAlign w:val="superscript"/>
        </w:rPr>
        <w:t>er</w:t>
      </w:r>
      <w:r>
        <w:rPr>
          <w:rFonts w:ascii="Times New Roman" w:hAnsi="Times New Roman"/>
          <w:noProof/>
          <w:szCs w:val="20"/>
        </w:rPr>
        <w:t xml:space="preserve"> juillet 2019: </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rPr>
        <w:t>-</w:t>
      </w:r>
      <w:r>
        <w:rPr>
          <w:rFonts w:ascii="Times New Roman" w:hAnsi="Times New Roman"/>
          <w:noProof/>
        </w:rPr>
        <w:tab/>
        <w:t>941,53 EUR pour un agent ayant droit à l’allocation de foyer,</w:t>
      </w:r>
    </w:p>
    <w:p>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rPr>
        <w:t>-</w:t>
      </w:r>
      <w:r>
        <w:rPr>
          <w:rFonts w:ascii="Times New Roman" w:hAnsi="Times New Roman"/>
          <w:noProof/>
        </w:rPr>
        <w:tab/>
        <w:t>558,22 EUR pour un agent n'ayant pas droit à l'allocation de foyer.</w:t>
      </w:r>
    </w:p>
    <w:p>
      <w:pPr>
        <w:spacing w:after="0" w:line="360" w:lineRule="auto"/>
        <w:jc w:val="both"/>
        <w:rPr>
          <w:rFonts w:ascii="Times New Roman" w:eastAsia="Calibri" w:hAnsi="Times New Roman" w:cs="Times New Roman"/>
          <w:i/>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13.1. Montant des limites inférieure et supérieure pour l'allocation de chômage visées à l'article 96, paragraphe 3, deuxième alinéa, du régime applicable aux autres agents, applicable à partir du 1</w:t>
      </w:r>
      <w:r>
        <w:rPr>
          <w:rFonts w:ascii="Times New Roman" w:hAnsi="Times New Roman"/>
          <w:noProof/>
          <w:szCs w:val="20"/>
          <w:vertAlign w:val="superscript"/>
        </w:rPr>
        <w:t>er</w:t>
      </w:r>
      <w:r>
        <w:rPr>
          <w:rFonts w:ascii="Times New Roman" w:hAnsi="Times New Roman"/>
          <w:noProof/>
          <w:szCs w:val="20"/>
        </w:rPr>
        <w:t xml:space="preserve"> juillet 2019:</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- 1 125,91 EUR (limite inférieure),</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- 2 251,80 EUR (limite supérieure).</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13.2 Montant de l’abattement forfaitaire visé à l’article 96, paragraphe 7, du régime applicable aux autres agents - 1 023,56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13.3 Montant des limites inférieure et supérieure pour l'allocation de chômage visées à l'article 136 du régime applicable aux autres agents, applicable à partir du 1</w:t>
      </w:r>
      <w:r>
        <w:rPr>
          <w:rFonts w:ascii="Times New Roman" w:hAnsi="Times New Roman"/>
          <w:noProof/>
          <w:szCs w:val="20"/>
          <w:vertAlign w:val="superscript"/>
        </w:rPr>
        <w:t>er</w:t>
      </w:r>
      <w:r>
        <w:rPr>
          <w:rFonts w:ascii="Times New Roman" w:hAnsi="Times New Roman"/>
          <w:noProof/>
          <w:szCs w:val="20"/>
        </w:rPr>
        <w:t xml:space="preserve"> juillet 2019:</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- 990,55 EUR (limite inférieure),</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- 2 330,72 EUR (limite supérieure).</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14. Montant des indemnités pour service par tours prévues à l'article 1</w:t>
      </w:r>
      <w:r>
        <w:rPr>
          <w:rFonts w:ascii="Times New Roman" w:hAnsi="Times New Roman"/>
          <w:noProof/>
          <w:szCs w:val="20"/>
          <w:vertAlign w:val="superscript"/>
        </w:rPr>
        <w:t>er</w:t>
      </w:r>
      <w:r>
        <w:rPr>
          <w:rFonts w:ascii="Times New Roman" w:hAnsi="Times New Roman"/>
          <w:noProof/>
          <w:szCs w:val="20"/>
        </w:rPr>
        <w:t>, paragraphe 1, premier alinéa, du règlement (CECA, CEE, Euratom) nº 300/76 Conseil</w:t>
      </w:r>
      <w:r>
        <w:rPr>
          <w:rFonts w:ascii="Times New Roman" w:eastAsia="Calibri" w:hAnsi="Times New Roman" w:cs="Times New Roman"/>
          <w:noProof/>
          <w:szCs w:val="20"/>
          <w:vertAlign w:val="superscript"/>
        </w:rPr>
        <w:footnoteReference w:id="1"/>
      </w:r>
      <w:r>
        <w:rPr>
          <w:rFonts w:ascii="Times New Roman" w:hAnsi="Times New Roman"/>
          <w:noProof/>
          <w:szCs w:val="20"/>
        </w:rPr>
        <w:t>:</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xml:space="preserve">- 429,05 EUR, </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xml:space="preserve">- 647,59 EUR, </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- 708,05 EUR,</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- 965,31 EUR.</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15. Coefficient applicable, à partir du 1</w:t>
      </w:r>
      <w:r>
        <w:rPr>
          <w:rFonts w:ascii="Times New Roman" w:hAnsi="Times New Roman"/>
          <w:noProof/>
          <w:szCs w:val="20"/>
          <w:vertAlign w:val="superscript"/>
        </w:rPr>
        <w:t>er</w:t>
      </w:r>
      <w:r>
        <w:rPr>
          <w:rFonts w:ascii="Times New Roman" w:hAnsi="Times New Roman"/>
          <w:noProof/>
          <w:szCs w:val="20"/>
        </w:rPr>
        <w:t xml:space="preserve"> juillet 2019 aux montants visés à l'article 4 du règlement (CEE, Euratom, CECA) n° 260/68 du Conseil</w:t>
      </w:r>
      <w:r>
        <w:rPr>
          <w:rFonts w:ascii="Times New Roman" w:eastAsia="Calibri" w:hAnsi="Times New Roman" w:cs="Times New Roman"/>
          <w:noProof/>
          <w:szCs w:val="20"/>
          <w:vertAlign w:val="superscript"/>
        </w:rPr>
        <w:footnoteReference w:id="2"/>
      </w:r>
      <w:r>
        <w:rPr>
          <w:rFonts w:ascii="Times New Roman" w:hAnsi="Times New Roman"/>
          <w:noProof/>
          <w:szCs w:val="20"/>
        </w:rPr>
        <w:t xml:space="preserve"> - 6,1934.</w:t>
      </w:r>
    </w:p>
    <w:p>
      <w:pPr>
        <w:rPr>
          <w:rFonts w:ascii="Times New Roman" w:eastAsia="Calibri" w:hAnsi="Times New Roman" w:cs="Times New Roman"/>
          <w:noProof/>
          <w:sz w:val="24"/>
          <w:szCs w:val="20"/>
        </w:rPr>
      </w:pPr>
      <w:r>
        <w:rPr>
          <w:noProof/>
        </w:rPr>
        <w:br w:type="page"/>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16. Tableau des montants prévus à l'article 8, paragraphe 2, de l'annexe XIII du statut, applicable à partir du 1</w:t>
      </w:r>
      <w:r>
        <w:rPr>
          <w:rFonts w:ascii="Times New Roman" w:hAnsi="Times New Roman"/>
          <w:noProof/>
          <w:szCs w:val="20"/>
          <w:vertAlign w:val="superscript"/>
        </w:rPr>
        <w:t>er</w:t>
      </w:r>
      <w:r>
        <w:rPr>
          <w:rFonts w:ascii="Times New Roman" w:hAnsi="Times New Roman"/>
          <w:noProof/>
          <w:szCs w:val="20"/>
        </w:rPr>
        <w:t xml:space="preserve"> juillet 2019</w:t>
      </w:r>
    </w:p>
    <w:tbl>
      <w:tblPr>
        <w:tblW w:w="4940" w:type="pct"/>
        <w:tblLayout w:type="fixed"/>
        <w:tblLook w:val="04A0" w:firstRow="1" w:lastRow="0" w:firstColumn="1" w:lastColumn="0" w:noHBand="0" w:noVBand="1"/>
      </w:tblPr>
      <w:tblGrid>
        <w:gridCol w:w="960"/>
        <w:gridCol w:w="949"/>
        <w:gridCol w:w="79"/>
        <w:gridCol w:w="962"/>
        <w:gridCol w:w="66"/>
        <w:gridCol w:w="971"/>
        <w:gridCol w:w="57"/>
        <w:gridCol w:w="980"/>
        <w:gridCol w:w="48"/>
        <w:gridCol w:w="989"/>
        <w:gridCol w:w="39"/>
        <w:gridCol w:w="998"/>
        <w:gridCol w:w="29"/>
        <w:gridCol w:w="1008"/>
        <w:gridCol w:w="20"/>
        <w:gridCol w:w="1022"/>
      </w:tblGrid>
      <w:tr>
        <w:trPr>
          <w:trHeight w:val="285"/>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Narrow" w:eastAsia="Times New Roman" w:hAnsi="Arial Narrow" w:cs="Arial"/>
                <w:noProof/>
                <w:sz w:val="18"/>
                <w:szCs w:val="20"/>
              </w:rPr>
            </w:pPr>
            <w:r>
              <w:rPr>
                <w:rFonts w:ascii="Arial Narrow" w:hAnsi="Arial Narrow"/>
                <w:noProof/>
                <w:sz w:val="18"/>
                <w:szCs w:val="20"/>
              </w:rPr>
              <w:t>1.7.2019</w:t>
            </w:r>
          </w:p>
        </w:tc>
        <w:tc>
          <w:tcPr>
            <w:tcW w:w="4477" w:type="pct"/>
            <w:gridSpan w:val="15"/>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sz w:val="20"/>
                <w:szCs w:val="20"/>
              </w:rPr>
              <w:t>ÉCHELON</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GRADE</w:t>
            </w:r>
          </w:p>
        </w:tc>
        <w:tc>
          <w:tcPr>
            <w:tcW w:w="517" w:type="pct"/>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w:t>
            </w:r>
          </w:p>
        </w:tc>
        <w:tc>
          <w:tcPr>
            <w:tcW w:w="567"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3</w:t>
            </w:r>
          </w:p>
        </w:tc>
        <w:tc>
          <w:tcPr>
            <w:tcW w:w="565"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4</w:t>
            </w:r>
          </w:p>
        </w:tc>
        <w:tc>
          <w:tcPr>
            <w:tcW w:w="565" w:type="pct"/>
            <w:gridSpan w:val="2"/>
            <w:tcBorders>
              <w:top w:val="nil"/>
              <w:left w:val="nil"/>
              <w:bottom w:val="single" w:sz="4" w:space="0" w:color="auto"/>
              <w:right w:val="nil"/>
            </w:tcBorders>
            <w:shd w:val="clear" w:color="000000" w:fill="FFFF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5</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w:t>
            </w:r>
          </w:p>
        </w:tc>
        <w:tc>
          <w:tcPr>
            <w:tcW w:w="565"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w:t>
            </w:r>
          </w:p>
        </w:tc>
        <w:tc>
          <w:tcPr>
            <w:tcW w:w="568" w:type="pct"/>
            <w:gridSpan w:val="2"/>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16</w:t>
            </w:r>
          </w:p>
        </w:tc>
        <w:tc>
          <w:tcPr>
            <w:tcW w:w="560" w:type="pct"/>
            <w:gridSpan w:val="2"/>
            <w:tcBorders>
              <w:top w:val="single" w:sz="4" w:space="0" w:color="auto"/>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18 994,33</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19 792,50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20 624,20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20 624,20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20 624,20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20 624,20</w:t>
            </w:r>
          </w:p>
        </w:tc>
        <w:tc>
          <w:tcPr>
            <w:tcW w:w="560" w:type="pct"/>
            <w:gridSpan w:val="2"/>
            <w:tcBorders>
              <w:top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p>
        </w:tc>
        <w:tc>
          <w:tcPr>
            <w:tcW w:w="557" w:type="pct"/>
            <w:tcBorders>
              <w:top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16 787,82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17 493,27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18 228,35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18 735,49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18 994,33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19 792,50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14 837,60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15 461,11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16 110,80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16 559,04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16 787,82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17 493,27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18 228,35</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18 994,33</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13 113,98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13 665,04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14 239,26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14 635,43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14 837,60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11 590,57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12 077,61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12 585,13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12 935,26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13 113,98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13 665,04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14 239,26</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14 837,60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11</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10 244,12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10 674,58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11 123,14</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11 432,61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11 590,57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12 077,61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12 585,13</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13 113,98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9 054,10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9 434,55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9 831,02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10 104,52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10 244,12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10 674,58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11 123,14</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11 590,57</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8 002,30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8 338,57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8 688,98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8 930,71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9 054,10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7 072,70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7 369,90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7 679,59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7 893,26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8 002,30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8 338,57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8 688,98</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9 054,10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6 251,08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6 513,76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6 787,48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6 976,32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7 072,70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7 369,90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7 679,59</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8 002,30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5 524,91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5 757,08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5 998,99</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6 165,90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6 251,08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6 513,76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6 787,48</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7 072,70</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5</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4 883,11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5 088,30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5 302,11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5 449,63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5 524,91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5 757,08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5 998,99</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6 251,08</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4</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4 315,85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4 497,20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4 686,18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4 816,55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4 883,11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5 088,30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5 302,11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5 524,91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3</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3 814,47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3 974,78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4 141,81</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4 257,02</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4 315,85</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4 497,20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4 686,18</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4 883,11</w:t>
            </w:r>
          </w:p>
        </w:tc>
      </w:tr>
      <w:tr>
        <w:trPr>
          <w:trHeight w:val="255"/>
        </w:trPr>
        <w:tc>
          <w:tcPr>
            <w:tcW w:w="52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w:t>
            </w:r>
          </w:p>
        </w:tc>
        <w:tc>
          <w:tcPr>
            <w:tcW w:w="560" w:type="pct"/>
            <w:gridSpan w:val="2"/>
            <w:tcBorders>
              <w:lef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3 371,37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3 513,03</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3 660,66</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3 762,50</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3 814,47</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3 974,78</w:t>
            </w:r>
          </w:p>
        </w:tc>
        <w:tc>
          <w:tcPr>
            <w:tcW w:w="560" w:type="pct"/>
            <w:gridSpan w:val="2"/>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4 141,81</w:t>
            </w:r>
          </w:p>
        </w:tc>
        <w:tc>
          <w:tcPr>
            <w:tcW w:w="557" w:type="pct"/>
            <w:tcBorders>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4 315,85</w:t>
            </w:r>
          </w:p>
        </w:tc>
      </w:tr>
      <w:tr>
        <w:trPr>
          <w:trHeight w:val="255"/>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w:t>
            </w:r>
          </w:p>
        </w:tc>
        <w:tc>
          <w:tcPr>
            <w:tcW w:w="560" w:type="pct"/>
            <w:gridSpan w:val="2"/>
            <w:tcBorders>
              <w:left w:val="single" w:sz="4" w:space="0" w:color="auto"/>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2 979,73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3 104,93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3 235,40</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3 325,43</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r>
              <w:rPr>
                <w:rFonts w:ascii="Arial" w:hAnsi="Arial"/>
                <w:noProof/>
                <w:sz w:val="18"/>
                <w:szCs w:val="20"/>
              </w:rPr>
              <w:t>3 371,37</w:t>
            </w: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p>
        </w:tc>
        <w:tc>
          <w:tcPr>
            <w:tcW w:w="560" w:type="pct"/>
            <w:gridSpan w:val="2"/>
            <w:tcBorders>
              <w:bottom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p>
        </w:tc>
        <w:tc>
          <w:tcPr>
            <w:tcW w:w="557" w:type="pct"/>
            <w:tcBorders>
              <w:bottom w:val="single" w:sz="4" w:space="0" w:color="auto"/>
              <w:right w:val="single" w:sz="4" w:space="0" w:color="auto"/>
            </w:tcBorders>
            <w:shd w:val="clear" w:color="auto" w:fill="FFFFFF" w:themeFill="background1"/>
            <w:noWrap/>
            <w:vAlign w:val="bottom"/>
          </w:tcPr>
          <w:p>
            <w:pPr>
              <w:spacing w:after="0" w:line="240" w:lineRule="auto"/>
              <w:jc w:val="right"/>
              <w:rPr>
                <w:rFonts w:ascii="Arial" w:eastAsia="Times New Roman" w:hAnsi="Arial" w:cs="Arial"/>
                <w:noProof/>
                <w:sz w:val="18"/>
                <w:szCs w:val="20"/>
              </w:rPr>
            </w:pPr>
          </w:p>
        </w:tc>
      </w:tr>
    </w:tbl>
    <w:p>
      <w:pPr>
        <w:spacing w:before="120" w:after="120" w:line="240" w:lineRule="auto"/>
        <w:jc w:val="both"/>
        <w:rPr>
          <w:rFonts w:ascii="Times New Roman" w:eastAsia="Calibri" w:hAnsi="Times New Roman" w:cs="Times New Roman"/>
          <w:noProof/>
          <w:sz w:val="24"/>
          <w:szCs w:val="20"/>
        </w:rPr>
      </w:pPr>
    </w:p>
    <w:p>
      <w:pPr>
        <w:keepNext/>
        <w:spacing w:after="0" w:line="360" w:lineRule="auto"/>
        <w:jc w:val="center"/>
        <w:rPr>
          <w:rFonts w:ascii="Times New Roman" w:eastAsia="Calibri" w:hAnsi="Times New Roman" w:cs="Times New Roman"/>
          <w:i/>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17. Montant, applicable, à partir du 1</w:t>
      </w:r>
      <w:r>
        <w:rPr>
          <w:rFonts w:ascii="Times New Roman" w:hAnsi="Times New Roman"/>
          <w:noProof/>
          <w:szCs w:val="20"/>
          <w:vertAlign w:val="superscript"/>
        </w:rPr>
        <w:t>er</w:t>
      </w:r>
      <w:r>
        <w:rPr>
          <w:rFonts w:ascii="Times New Roman" w:hAnsi="Times New Roman"/>
          <w:noProof/>
          <w:szCs w:val="20"/>
        </w:rPr>
        <w:t xml:space="preserve"> juillet 2019 de l’indemnité forfaitaire mentionnée à l’article 4 </w:t>
      </w:r>
      <w:r>
        <w:rPr>
          <w:rFonts w:ascii="Times New Roman" w:hAnsi="Times New Roman"/>
          <w:i/>
          <w:iCs/>
          <w:noProof/>
          <w:szCs w:val="20"/>
        </w:rPr>
        <w:t>bis</w:t>
      </w:r>
      <w:r>
        <w:rPr>
          <w:rFonts w:ascii="Times New Roman" w:hAnsi="Times New Roman"/>
          <w:noProof/>
          <w:szCs w:val="20"/>
        </w:rPr>
        <w:t xml:space="preserve"> de l’annexe VII du statut en vigueur avant le 1</w:t>
      </w:r>
      <w:r>
        <w:rPr>
          <w:rFonts w:ascii="Times New Roman" w:hAnsi="Times New Roman"/>
          <w:noProof/>
          <w:szCs w:val="20"/>
          <w:vertAlign w:val="superscript"/>
        </w:rPr>
        <w:t>er</w:t>
      </w:r>
      <w:r>
        <w:rPr>
          <w:rFonts w:ascii="Times New Roman" w:hAnsi="Times New Roman"/>
          <w:noProof/>
          <w:szCs w:val="20"/>
        </w:rPr>
        <w:t xml:space="preserve"> mai 2004, utilisé pour l’application de l’article 18, paragraphe 1, de l’annexe XIII du statut:</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- 148,01 EUR par mois pour les fonctionnaires classés dans les grades C4 ou C5,</w:t>
      </w: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- 226,94 EUR par mois pour les fonctionnaires classés dans les grades C1, C2 ou C3.</w:t>
      </w:r>
    </w:p>
    <w:p>
      <w:pPr>
        <w:spacing w:after="0" w:line="360" w:lineRule="auto"/>
        <w:jc w:val="both"/>
        <w:rPr>
          <w:rFonts w:ascii="Times New Roman" w:eastAsia="Calibri" w:hAnsi="Times New Roman" w:cs="Times New Roman"/>
          <w:noProof/>
          <w:sz w:val="24"/>
          <w:szCs w:val="20"/>
        </w:rPr>
      </w:pPr>
    </w:p>
    <w:p>
      <w:pPr>
        <w:spacing w:after="0" w:line="360" w:lineRule="auto"/>
        <w:jc w:val="both"/>
        <w:rPr>
          <w:rFonts w:ascii="Times New Roman" w:eastAsia="Calibri" w:hAnsi="Times New Roman" w:cs="Times New Roman"/>
          <w:noProof/>
          <w:sz w:val="24"/>
          <w:szCs w:val="20"/>
        </w:rPr>
      </w:pPr>
      <w:r>
        <w:rPr>
          <w:rFonts w:ascii="Times New Roman" w:hAnsi="Times New Roman"/>
          <w:noProof/>
          <w:szCs w:val="20"/>
        </w:rPr>
        <w:t>18. Tableau contenant le barème des traitements de base prévu à l'article 133, du régime applicable aux autres agents, applicable à partir du 1</w:t>
      </w:r>
      <w:r>
        <w:rPr>
          <w:rFonts w:ascii="Times New Roman" w:hAnsi="Times New Roman"/>
          <w:noProof/>
          <w:szCs w:val="20"/>
          <w:vertAlign w:val="superscript"/>
        </w:rPr>
        <w:t>er</w:t>
      </w:r>
      <w:r>
        <w:rPr>
          <w:rFonts w:ascii="Times New Roman" w:hAnsi="Times New Roman"/>
          <w:noProof/>
          <w:szCs w:val="20"/>
        </w:rPr>
        <w:t xml:space="preserve"> juillet 2019:</w:t>
      </w:r>
    </w:p>
    <w:tbl>
      <w:tblPr>
        <w:tblW w:w="5000" w:type="pct"/>
        <w:tblLook w:val="04A0" w:firstRow="1" w:lastRow="0" w:firstColumn="1" w:lastColumn="0" w:noHBand="0" w:noVBand="1"/>
      </w:tblPr>
      <w:tblGrid>
        <w:gridCol w:w="1195"/>
        <w:gridCol w:w="1156"/>
        <w:gridCol w:w="1156"/>
        <w:gridCol w:w="1156"/>
        <w:gridCol w:w="1155"/>
        <w:gridCol w:w="1334"/>
        <w:gridCol w:w="1038"/>
        <w:gridCol w:w="1098"/>
      </w:tblGrid>
      <w:tr>
        <w:trPr>
          <w:trHeight w:val="255"/>
        </w:trPr>
        <w:tc>
          <w:tcPr>
            <w:tcW w:w="64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Grades</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2</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3</w:t>
            </w:r>
          </w:p>
        </w:tc>
        <w:tc>
          <w:tcPr>
            <w:tcW w:w="622"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4</w:t>
            </w:r>
          </w:p>
        </w:tc>
        <w:tc>
          <w:tcPr>
            <w:tcW w:w="718"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5</w:t>
            </w:r>
          </w:p>
        </w:tc>
        <w:tc>
          <w:tcPr>
            <w:tcW w:w="559" w:type="pct"/>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6</w:t>
            </w:r>
          </w:p>
        </w:tc>
        <w:tc>
          <w:tcPr>
            <w:tcW w:w="591" w:type="pct"/>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7</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szCs w:val="20"/>
              </w:rPr>
              <w:t>Traitement de base à temps plein</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1 886,92</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2 198,26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2 383,36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2 584,07</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2 801,67</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3 037,62</w:t>
            </w:r>
          </w:p>
        </w:tc>
        <w:tc>
          <w:tcPr>
            <w:tcW w:w="591"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3 293,42</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Grades</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9</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10</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11</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12</w:t>
            </w:r>
          </w:p>
        </w:tc>
        <w:tc>
          <w:tcPr>
            <w:tcW w:w="559"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13</w:t>
            </w:r>
          </w:p>
        </w:tc>
        <w:tc>
          <w:tcPr>
            <w:tcW w:w="591" w:type="pct"/>
            <w:tcBorders>
              <w:top w:val="nil"/>
              <w:left w:val="nil"/>
              <w:bottom w:val="single" w:sz="4" w:space="0" w:color="auto"/>
              <w:right w:val="single" w:sz="8"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14</w:t>
            </w:r>
          </w:p>
        </w:tc>
      </w:tr>
      <w:tr>
        <w:trPr>
          <w:trHeight w:val="510"/>
        </w:trPr>
        <w:tc>
          <w:tcPr>
            <w:tcW w:w="643" w:type="pct"/>
            <w:tcBorders>
              <w:top w:val="nil"/>
              <w:left w:val="single" w:sz="8" w:space="0" w:color="auto"/>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szCs w:val="20"/>
              </w:rPr>
              <w:t>Traitement de base à temps plein</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3 570,78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3 871,47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4 197,48</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4 550,94</w:t>
            </w:r>
          </w:p>
        </w:tc>
        <w:tc>
          <w:tcPr>
            <w:tcW w:w="718"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4 934,19</w:t>
            </w:r>
          </w:p>
        </w:tc>
        <w:tc>
          <w:tcPr>
            <w:tcW w:w="559"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5 349,69</w:t>
            </w:r>
          </w:p>
        </w:tc>
        <w:tc>
          <w:tcPr>
            <w:tcW w:w="5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5 800,20</w:t>
            </w:r>
          </w:p>
        </w:tc>
      </w:tr>
      <w:tr>
        <w:trPr>
          <w:trHeight w:val="255"/>
        </w:trPr>
        <w:tc>
          <w:tcPr>
            <w:tcW w:w="64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Grades</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15</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16</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17</w:t>
            </w:r>
          </w:p>
        </w:tc>
        <w:tc>
          <w:tcPr>
            <w:tcW w:w="622" w:type="pct"/>
            <w:tcBorders>
              <w:top w:val="nil"/>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18</w:t>
            </w:r>
          </w:p>
        </w:tc>
        <w:tc>
          <w:tcPr>
            <w:tcW w:w="718" w:type="pct"/>
            <w:tcBorders>
              <w:top w:val="single" w:sz="4" w:space="0" w:color="auto"/>
              <w:left w:val="nil"/>
              <w:bottom w:val="single" w:sz="4"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19</w:t>
            </w:r>
          </w:p>
        </w:tc>
        <w:tc>
          <w:tcPr>
            <w:tcW w:w="559" w:type="pct"/>
            <w:tcBorders>
              <w:top w:val="single" w:sz="4" w:space="0" w:color="auto"/>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591" w:type="pct"/>
            <w:tcBorders>
              <w:top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r>
        <w:trPr>
          <w:trHeight w:val="525"/>
        </w:trPr>
        <w:tc>
          <w:tcPr>
            <w:tcW w:w="643" w:type="pct"/>
            <w:tcBorders>
              <w:top w:val="nil"/>
              <w:left w:val="single" w:sz="8" w:space="0" w:color="auto"/>
              <w:bottom w:val="single" w:sz="8" w:space="0" w:color="auto"/>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szCs w:val="20"/>
              </w:rPr>
              <w:t>Traitement de base à temps plein</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6 288,64</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6 818,22</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7 392,39</w:t>
            </w:r>
          </w:p>
        </w:tc>
        <w:tc>
          <w:tcPr>
            <w:tcW w:w="622" w:type="pct"/>
            <w:tcBorders>
              <w:top w:val="nil"/>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8 014,89</w:t>
            </w:r>
          </w:p>
        </w:tc>
        <w:tc>
          <w:tcPr>
            <w:tcW w:w="718" w:type="pct"/>
            <w:tcBorders>
              <w:top w:val="single" w:sz="4" w:space="0" w:color="auto"/>
              <w:left w:val="nil"/>
              <w:bottom w:val="single" w:sz="8" w:space="0" w:color="auto"/>
              <w:righ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8 689,85</w:t>
            </w:r>
          </w:p>
        </w:tc>
        <w:tc>
          <w:tcPr>
            <w:tcW w:w="559" w:type="pct"/>
            <w:tcBorders>
              <w:top w:val="nil"/>
              <w:left w:val="single" w:sz="4" w:space="0" w:color="auto"/>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c>
          <w:tcPr>
            <w:tcW w:w="591" w:type="pct"/>
            <w:tcBorders>
              <w:top w:val="nil"/>
            </w:tcBorders>
            <w:shd w:val="clear" w:color="auto" w:fill="FFFFFF" w:themeFill="background1"/>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szCs w:val="20"/>
              </w:rPr>
              <w:t> </w:t>
            </w:r>
          </w:p>
        </w:tc>
      </w:tr>
    </w:tbl>
    <w:p>
      <w:pPr>
        <w:spacing w:before="120" w:after="120" w:line="240" w:lineRule="auto"/>
        <w:jc w:val="both"/>
        <w:rPr>
          <w:rFonts w:ascii="Times New Roman" w:eastAsia="Calibri"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rPr>
        <w:t>ANNEXE II</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rPr>
        <w:t xml:space="preserve">ACTUALISATION ANNUELLE </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rPr>
        <w:t>DES COEFFICIENTS CORRECTEURS APPLICABLES AUX RÉMUNÉRATIONS DES FONCTIONNAIRES, AGENTS TEMPORAIRES ET AGENTS CONTRACTUELS DE L’UE AFFECTÉS DANS LES PAYS TIERS</w:t>
      </w:r>
      <w:r>
        <w:rPr>
          <w:rFonts w:ascii="Calibri" w:eastAsia="Calibri" w:hAnsi="Calibri" w:cs="Times New Roman"/>
          <w:b/>
          <w:noProof/>
          <w:vertAlign w:val="superscript"/>
        </w:rPr>
        <w:footnoteReference w:id="3"/>
      </w:r>
    </w:p>
    <w:tbl>
      <w:tblPr>
        <w:tblW w:w="9229"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551"/>
        <w:gridCol w:w="1560"/>
        <w:gridCol w:w="1559"/>
        <w:gridCol w:w="1559"/>
      </w:tblGrid>
      <w:tr>
        <w:trPr>
          <w:trHeight w:val="120"/>
        </w:trPr>
        <w:tc>
          <w:tcPr>
            <w:tcW w:w="4551" w:type="dxa"/>
            <w:shd w:val="clear" w:color="000000" w:fill="FFFFFF"/>
            <w:vAlign w:val="center"/>
            <w:hideMark/>
          </w:tcPr>
          <w:p>
            <w:pPr>
              <w:spacing w:after="0"/>
              <w:jc w:val="center"/>
              <w:rPr>
                <w:rFonts w:ascii="Calibri" w:eastAsia="Calibri" w:hAnsi="Calibri" w:cs="Times New Roman"/>
                <w:b/>
                <w:noProof/>
              </w:rPr>
            </w:pPr>
            <w:r>
              <w:rPr>
                <w:rFonts w:ascii="Calibri" w:hAnsi="Calibri"/>
                <w:b/>
                <w:noProof/>
              </w:rPr>
              <w:t>LIEU D'AFFECTATION</w:t>
            </w:r>
          </w:p>
        </w:tc>
        <w:tc>
          <w:tcPr>
            <w:tcW w:w="1560" w:type="dxa"/>
            <w:shd w:val="clear" w:color="000000" w:fill="FFFFFF"/>
            <w:vAlign w:val="center"/>
            <w:hideMark/>
          </w:tcPr>
          <w:p>
            <w:pPr>
              <w:spacing w:after="0"/>
              <w:jc w:val="right"/>
              <w:rPr>
                <w:rFonts w:ascii="Calibri" w:eastAsia="Calibri" w:hAnsi="Calibri" w:cs="Times New Roman"/>
                <w:b/>
                <w:noProof/>
              </w:rPr>
            </w:pPr>
            <w:r>
              <w:rPr>
                <w:rFonts w:ascii="Calibri" w:hAnsi="Calibri"/>
                <w:b/>
                <w:noProof/>
              </w:rPr>
              <w:t>Parités économiques</w:t>
            </w:r>
            <w:r>
              <w:rPr>
                <w:rFonts w:ascii="Calibri" w:hAnsi="Calibri"/>
                <w:b/>
                <w:noProof/>
              </w:rPr>
              <w:br/>
              <w:t>Juillet 2019</w:t>
            </w:r>
          </w:p>
        </w:tc>
        <w:tc>
          <w:tcPr>
            <w:tcW w:w="1559" w:type="dxa"/>
            <w:shd w:val="clear" w:color="000000" w:fill="FFFFFF"/>
            <w:vAlign w:val="center"/>
            <w:hideMark/>
          </w:tcPr>
          <w:p>
            <w:pPr>
              <w:spacing w:after="0"/>
              <w:jc w:val="right"/>
              <w:rPr>
                <w:rFonts w:ascii="Calibri" w:eastAsia="Calibri" w:hAnsi="Calibri" w:cs="Times New Roman"/>
                <w:b/>
                <w:noProof/>
              </w:rPr>
            </w:pPr>
            <w:r>
              <w:rPr>
                <w:rFonts w:ascii="Calibri" w:hAnsi="Calibri"/>
                <w:b/>
                <w:noProof/>
              </w:rPr>
              <w:t>Taux de change</w:t>
            </w:r>
            <w:r>
              <w:rPr>
                <w:rFonts w:ascii="Calibri" w:hAnsi="Calibri"/>
                <w:b/>
                <w:noProof/>
              </w:rPr>
              <w:br/>
              <w:t>Juillet 2019 (*)</w:t>
            </w:r>
          </w:p>
        </w:tc>
        <w:tc>
          <w:tcPr>
            <w:tcW w:w="1559" w:type="dxa"/>
            <w:shd w:val="clear" w:color="000000" w:fill="FFFFFF"/>
            <w:vAlign w:val="center"/>
            <w:hideMark/>
          </w:tcPr>
          <w:p>
            <w:pPr>
              <w:spacing w:after="0"/>
              <w:jc w:val="right"/>
              <w:rPr>
                <w:rFonts w:ascii="Calibri" w:eastAsia="Calibri" w:hAnsi="Calibri" w:cs="Times New Roman"/>
                <w:b/>
                <w:noProof/>
              </w:rPr>
            </w:pPr>
            <w:r>
              <w:rPr>
                <w:rFonts w:ascii="Calibri" w:hAnsi="Calibri"/>
                <w:b/>
                <w:noProof/>
              </w:rPr>
              <w:t>Coefficients correcteurs</w:t>
            </w:r>
            <w:r>
              <w:rPr>
                <w:rFonts w:ascii="Calibri" w:hAnsi="Calibri"/>
                <w:b/>
                <w:noProof/>
              </w:rPr>
              <w:br/>
              <w:t xml:space="preserve"> Juillet 2019 (**)</w:t>
            </w:r>
          </w:p>
        </w:tc>
      </w:tr>
      <w:tr>
        <w:trPr>
          <w:trHeight w:val="120"/>
        </w:trPr>
        <w:tc>
          <w:tcPr>
            <w:tcW w:w="4551" w:type="dxa"/>
            <w:tcBorders>
              <w:top w:val="double" w:sz="6"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Afghanistan(***)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Afrique du Sud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9,058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16,0893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Albanie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121,820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Algérie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135,123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Angola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387,638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Arabie saoudite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4,26375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86,7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Argentine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23,65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48,2543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49,0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Arménie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544,320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Australie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1,544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1,62510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Azerbaïdjan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1,93290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Bangladesh</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96,0765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Barbade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2,28618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Belize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2,27400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Bénin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506,1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Biélorussie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2,31690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Bolivie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7,85667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Bosnie-Herzégovine (Banja Luka)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Bosnie-Herzégovine (Sarajevo)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1,95583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Botswana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12,1359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Brésil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4,38680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Burkina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608,1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Burundi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2101,66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Cambodge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4656,00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Cameroun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Canada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1,49280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94,6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Cap-Vert</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110,265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Chili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775,786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Chine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7,81990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pPr>
              <w:spacing w:after="0"/>
              <w:rPr>
                <w:rFonts w:ascii="Calibri" w:eastAsia="Calibri" w:hAnsi="Calibri" w:cs="Times New Roman"/>
                <w:noProof/>
              </w:rPr>
            </w:pPr>
            <w:r>
              <w:rPr>
                <w:rFonts w:ascii="Calibri" w:hAnsi="Calibri"/>
                <w:noProof/>
              </w:rPr>
              <w:t>Cisjordanie et Bande de Gaza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4,07590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Colombie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2222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3628,36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Comores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368,6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491,968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Congo (Brazzaville)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Corée du Sud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1242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1313,12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94,6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Costa Rica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664,571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Côte d'Ivoire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587,9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Cuba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0,9512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Djibouti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202,068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Égypte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19,0314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El Salvador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0,7978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Émirats arabes unis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4,17880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Équateur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Érythrée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17,4046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Eswatini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16,0893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États-Unis (New York)</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États-Unis (Washington)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0,9866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Éthiopie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32,8448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Fidji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2,45459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73,3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Gabon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678,7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Gambie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56,2300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Géorgie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3,1838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Ghana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5,98255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Guatemala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8,76521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Guinée (Conakry)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9482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10359,8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Guinée-Bissau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498,7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Guyana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238,385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Haïti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82,64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105,839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Honduras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27,8690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Hong Kong</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8,8836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Îles Salomon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9,738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9,11055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Inde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78,5675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Indonésie (Banda Aceh)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Indonésie (Jakarta)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11299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16077,2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tcPr>
          <w:p>
            <w:pPr>
              <w:spacing w:after="0"/>
              <w:rPr>
                <w:rFonts w:ascii="Calibri" w:eastAsia="Calibri" w:hAnsi="Calibri" w:cs="Times New Roman"/>
                <w:noProof/>
              </w:rPr>
            </w:pPr>
            <w:r>
              <w:rPr>
                <w:rFonts w:ascii="Calibri" w:hAnsi="Calibri"/>
                <w:noProof/>
              </w:rPr>
              <w:t>Iran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Iraq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Islande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Israël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4,07590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Jamaïque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144,585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Japon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122,640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Jordanie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0,8007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0,80613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Kazakhstan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431,050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Kenya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116,014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Kirghizstan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79,0348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Kosovo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0,7015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Laos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9872,50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Lesotho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16,0893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Liban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1714,03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Liberia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Libye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Macédoine du Nord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61,4951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52,2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Madagascar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3308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4091,11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Malaisie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4,71170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63,4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Malawi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885,644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Mali</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Maroc</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10,8400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Maurice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40,3618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Mauritanie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41,9150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69,8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Mexique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21,7397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Moldavie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20,7388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spacing w:after="0"/>
              <w:rPr>
                <w:rFonts w:ascii="Calibri" w:eastAsia="Calibri" w:hAnsi="Calibri" w:cs="Times New Roman"/>
                <w:noProof/>
              </w:rPr>
            </w:pPr>
            <w:r>
              <w:rPr>
                <w:rFonts w:ascii="Calibri" w:hAnsi="Calibri"/>
                <w:noProof/>
              </w:rPr>
              <w:t>Mongolie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2051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3021,09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Monténégro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0,6288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1,00000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Mozambique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70,7000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Myanmar/Birmanie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1746,43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Namibie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16,0893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77,7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Népal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126,470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Nicaragua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37,6599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Niger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Nigeria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307,1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348,959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Norvège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12,51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9,68430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129,2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Nouvelle-Calédonie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119,332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Nouvelle-Zélande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1,69960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Ouganda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4179,27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Ouzbékistan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4701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9735,38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48,3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Pakistan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77,88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178,917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Panama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0,9641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Papouasie - Nouvelle-Guinée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3,485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3,84772</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90,6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Paraguay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4146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7051,71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Pérou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3,284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3,75267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Philippines</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58,2090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République centrafricaine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République démocratique du Congo (Kinshasa)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1859,06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République dominicaine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57,7476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Russie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71,6096</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Rwanda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1021,04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Samoa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3,00595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Sénégal</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625,2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Serbie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64,58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117,913</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Sierra Leone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9759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10075,0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96,9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Singapour</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1,53930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123,8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Somalie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Soudan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50,9690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Soudan du Sud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366,5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180,271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203,3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Sri Lanka</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156,4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201,220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77,7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Suisse (Berne)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1,11210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Suisse (Genève)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1,11210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Suriname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5,806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8,47975</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68,5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Syrie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Tadjikistan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5,765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10,7328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Taïwan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35,4158</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80,8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Tanzanie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1977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2608,69</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Tchad</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559,4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85,3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Thaïlande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28,68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35,0030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Timor-Oriental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0,9008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Togo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655,957</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79,1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Trinité-et-Tobago</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5,955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7,86270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75,7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Tunisie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3,29600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Turkménistan</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4,472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3,97950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112,4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Turquie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3,332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6,55730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50,8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Ukraine</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24,45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29,7794</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Uruguay</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34,94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39,9690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87,4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Vanuatu</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129,5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132,201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Venezuela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Viêt Nam</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16570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26492,1</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Yémen (***)</w:t>
            </w:r>
          </w:p>
        </w:tc>
        <w:tc>
          <w:tcPr>
            <w:tcW w:w="156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Zambie</w:t>
            </w:r>
          </w:p>
        </w:tc>
        <w:tc>
          <w:tcPr>
            <w:tcW w:w="1560" w:type="dxa"/>
            <w:tcBorders>
              <w:top w:val="single" w:sz="4" w:space="0" w:color="auto"/>
              <w:left w:val="double" w:sz="6" w:space="0" w:color="auto"/>
              <w:bottom w:val="nil"/>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9,135</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14,7839</w:t>
            </w:r>
          </w:p>
        </w:tc>
        <w:tc>
          <w:tcPr>
            <w:tcW w:w="1559" w:type="dxa"/>
            <w:tcBorders>
              <w:top w:val="single" w:sz="4" w:space="0" w:color="auto"/>
              <w:left w:val="single" w:sz="4" w:space="0" w:color="auto"/>
              <w:bottom w:val="nil"/>
              <w:right w:val="double" w:sz="6" w:space="0" w:color="auto"/>
            </w:tcBorders>
            <w:shd w:val="clear" w:color="auto" w:fill="auto"/>
            <w:noWrap/>
            <w:vAlign w:val="center"/>
            <w:hideMark/>
          </w:tcPr>
          <w:p>
            <w:pPr>
              <w:jc w:val="center"/>
              <w:rPr>
                <w:rFonts w:ascii="Arial" w:hAnsi="Arial" w:cs="Arial"/>
                <w:noProof/>
                <w:color w:val="000000"/>
                <w:sz w:val="20"/>
                <w:szCs w:val="20"/>
              </w:rPr>
            </w:pPr>
            <w:r>
              <w:rPr>
                <w:rFonts w:ascii="Arial" w:hAnsi="Arial" w:cs="Arial"/>
                <w:noProof/>
                <w:color w:val="000000"/>
                <w:sz w:val="20"/>
                <w:szCs w:val="20"/>
              </w:rPr>
              <w:t>61,8</w:t>
            </w:r>
          </w:p>
        </w:tc>
      </w:tr>
      <w:tr>
        <w:trPr>
          <w:trHeight w:val="120"/>
        </w:trPr>
        <w:tc>
          <w:tcPr>
            <w:tcW w:w="4551" w:type="dxa"/>
            <w:tcBorders>
              <w:top w:val="single" w:sz="4" w:space="0" w:color="auto"/>
              <w:left w:val="double" w:sz="6" w:space="0" w:color="auto"/>
              <w:bottom w:val="double" w:sz="6" w:space="0" w:color="auto"/>
              <w:right w:val="single" w:sz="4" w:space="0" w:color="auto"/>
            </w:tcBorders>
            <w:shd w:val="clear" w:color="000000" w:fill="FFFFFF"/>
            <w:noWrap/>
            <w:vAlign w:val="bottom"/>
            <w:hideMark/>
          </w:tcPr>
          <w:p>
            <w:pPr>
              <w:spacing w:after="0"/>
              <w:rPr>
                <w:rFonts w:ascii="Calibri" w:eastAsia="Calibri" w:hAnsi="Calibri" w:cs="Times New Roman"/>
                <w:noProof/>
              </w:rPr>
            </w:pPr>
            <w:r>
              <w:rPr>
                <w:rFonts w:ascii="Calibri" w:hAnsi="Calibri"/>
                <w:noProof/>
              </w:rPr>
              <w:t>Zimbabwe (*)</w:t>
            </w:r>
          </w:p>
        </w:tc>
        <w:tc>
          <w:tcPr>
            <w:tcW w:w="1560" w:type="dxa"/>
            <w:tcBorders>
              <w:top w:val="single" w:sz="4" w:space="0" w:color="auto"/>
              <w:left w:val="double" w:sz="6" w:space="0" w:color="auto"/>
              <w:bottom w:val="double" w:sz="6"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1,310</w:t>
            </w:r>
          </w:p>
        </w:tc>
        <w:tc>
          <w:tcPr>
            <w:tcW w:w="1559" w:type="dxa"/>
            <w:tcBorders>
              <w:top w:val="single" w:sz="4" w:space="0" w:color="auto"/>
              <w:left w:val="single" w:sz="4" w:space="0" w:color="auto"/>
              <w:bottom w:val="double" w:sz="6" w:space="0" w:color="auto"/>
              <w:right w:val="single" w:sz="4"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1,13700</w:t>
            </w:r>
          </w:p>
        </w:tc>
        <w:tc>
          <w:tcPr>
            <w:tcW w:w="1559" w:type="dxa"/>
            <w:tcBorders>
              <w:top w:val="single" w:sz="4" w:space="0" w:color="auto"/>
              <w:left w:val="single" w:sz="4" w:space="0" w:color="auto"/>
              <w:bottom w:val="double" w:sz="6" w:space="0" w:color="auto"/>
              <w:right w:val="double" w:sz="6" w:space="0" w:color="auto"/>
            </w:tcBorders>
            <w:shd w:val="clear" w:color="auto" w:fill="auto"/>
            <w:noWrap/>
            <w:vAlign w:val="center"/>
          </w:tcPr>
          <w:p>
            <w:pPr>
              <w:jc w:val="center"/>
              <w:rPr>
                <w:rFonts w:ascii="Arial" w:hAnsi="Arial" w:cs="Arial"/>
                <w:noProof/>
                <w:color w:val="000000"/>
                <w:sz w:val="20"/>
                <w:szCs w:val="20"/>
              </w:rPr>
            </w:pPr>
            <w:r>
              <w:rPr>
                <w:rFonts w:ascii="Arial" w:hAnsi="Arial" w:cs="Arial"/>
                <w:noProof/>
                <w:color w:val="000000"/>
                <w:sz w:val="20"/>
                <w:szCs w:val="20"/>
              </w:rPr>
              <w:t>115,2</w:t>
            </w:r>
          </w:p>
        </w:tc>
      </w:tr>
    </w:tbl>
    <w:p>
      <w:pPr>
        <w:rPr>
          <w:rFonts w:ascii="Calibri" w:eastAsia="Calibri" w:hAnsi="Calibri" w:cs="Times New Roman"/>
          <w:noProof/>
          <w:sz w:val="16"/>
          <w:szCs w:val="16"/>
        </w:rPr>
      </w:pPr>
      <w:r>
        <w:rPr>
          <w:rFonts w:ascii="Calibri" w:hAnsi="Calibri"/>
          <w:noProof/>
          <w:sz w:val="16"/>
          <w:szCs w:val="16"/>
        </w:rPr>
        <w:t xml:space="preserve">(*) 1 EUR = x unités de la monnaie nationale (USD pour Cuba, l'El Salvador, l'Équateur, le Liberia, le Panama, le Timor-Oriental et le Zimbabwe). </w:t>
      </w:r>
    </w:p>
    <w:p>
      <w:pPr>
        <w:rPr>
          <w:rFonts w:ascii="Calibri" w:eastAsia="Calibri" w:hAnsi="Calibri" w:cs="Times New Roman"/>
          <w:noProof/>
          <w:sz w:val="16"/>
          <w:szCs w:val="16"/>
        </w:rPr>
      </w:pPr>
      <w:r>
        <w:rPr>
          <w:rFonts w:ascii="Calibri" w:hAnsi="Calibri"/>
          <w:noProof/>
          <w:sz w:val="16"/>
          <w:szCs w:val="16"/>
        </w:rPr>
        <w:t>(**) Bruxelles et Luxembourg = 100 %.</w:t>
      </w:r>
    </w:p>
    <w:p>
      <w:pPr>
        <w:rPr>
          <w:rFonts w:ascii="Calibri" w:eastAsia="Calibri" w:hAnsi="Calibri" w:cs="Times New Roman"/>
          <w:noProof/>
        </w:rPr>
      </w:pPr>
      <w:r>
        <w:rPr>
          <w:rFonts w:ascii="Calibri" w:hAnsi="Calibri"/>
          <w:noProof/>
          <w:sz w:val="16"/>
          <w:szCs w:val="16"/>
        </w:rPr>
        <w:t>(***) Non disponible, à cause des difficultés liées à l’instabilité locale ou au manque de fiabilité des données.</w:t>
      </w:r>
    </w:p>
    <w:p>
      <w:pPr>
        <w:rPr>
          <w:rFonts w:ascii="Times New Roman" w:eastAsia="Times New Roman" w:hAnsi="Times New Roman" w:cs="Times New Roman"/>
          <w:b/>
          <w:noProof/>
          <w:sz w:val="24"/>
          <w:szCs w:val="24"/>
        </w:rPr>
      </w:pPr>
      <w:r>
        <w:rPr>
          <w:noProof/>
        </w:rPr>
        <w:br w:type="page"/>
      </w:r>
    </w:p>
    <w:p>
      <w:pPr>
        <w:spacing w:before="120" w:after="0" w:line="240" w:lineRule="auto"/>
        <w:jc w:val="center"/>
        <w:rPr>
          <w:rFonts w:ascii="Times New Roman" w:eastAsia="Times New Roman" w:hAnsi="Times New Roman" w:cs="Times New Roman"/>
          <w:b/>
          <w:noProof/>
          <w:sz w:val="24"/>
          <w:szCs w:val="24"/>
        </w:rPr>
      </w:pPr>
      <w:r>
        <w:rPr>
          <w:rFonts w:ascii="Times New Roman" w:hAnsi="Times New Roman"/>
          <w:b/>
          <w:noProof/>
        </w:rPr>
        <w:t>ANNEXE III</w:t>
      </w:r>
    </w:p>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b/>
          <w:noProof/>
        </w:rPr>
        <w:t>ACTUALISATION INTERMÉDIAIRE DES COEFFICIENTS CORRECTEURS APPLICABLES À LA RÉMUNÉRATION DES FONCTIONNAIRES, AGENTS TEMPORAIRES ET AGENTS CONTRACTUELS DE L'UE AFFECTÉS DANS LES PAYS TIERS</w:t>
      </w:r>
      <w:r>
        <w:rPr>
          <w:rFonts w:ascii="Times New Roman" w:eastAsia="Times New Roman" w:hAnsi="Times New Roman" w:cs="Times New Roman"/>
          <w:b/>
          <w:noProof/>
          <w:vertAlign w:val="superscript"/>
        </w:rPr>
        <w:footnoteReference w:id="4"/>
      </w:r>
    </w:p>
    <w:tbl>
      <w:tblPr>
        <w:tblpPr w:leftFromText="180" w:rightFromText="180" w:vertAnchor="page" w:horzAnchor="margin" w:tblpXSpec="center" w:tblpY="2906"/>
        <w:tblW w:w="9940" w:type="dxa"/>
        <w:tblLayout w:type="fixed"/>
        <w:tblLook w:val="04A0" w:firstRow="1" w:lastRow="0" w:firstColumn="1" w:lastColumn="0" w:noHBand="0" w:noVBand="1"/>
      </w:tblPr>
      <w:tblGrid>
        <w:gridCol w:w="510"/>
        <w:gridCol w:w="3638"/>
        <w:gridCol w:w="1814"/>
        <w:gridCol w:w="10"/>
        <w:gridCol w:w="11"/>
        <w:gridCol w:w="346"/>
        <w:gridCol w:w="1437"/>
        <w:gridCol w:w="17"/>
        <w:gridCol w:w="348"/>
        <w:gridCol w:w="1573"/>
        <w:gridCol w:w="236"/>
      </w:tblGrid>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iCs/>
                <w:noProof/>
                <w:sz w:val="32"/>
                <w:szCs w:val="32"/>
              </w:rPr>
              <w:t>FÉVRIER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LIEU D'AFFECTATION</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Parités économiques </w:t>
            </w:r>
            <w:r>
              <w:rPr>
                <w:rFonts w:ascii="Times New Roman" w:hAnsi="Times New Roman"/>
                <w:b/>
                <w:bCs/>
                <w:noProof/>
                <w:sz w:val="16"/>
                <w:szCs w:val="16"/>
              </w:rPr>
              <w:br/>
              <w:t>Février 2019</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Taux de change </w:t>
            </w:r>
            <w:r>
              <w:rPr>
                <w:rFonts w:ascii="Times New Roman" w:hAnsi="Times New Roman"/>
                <w:b/>
                <w:bCs/>
                <w:noProof/>
                <w:sz w:val="16"/>
                <w:szCs w:val="16"/>
              </w:rPr>
              <w:br/>
              <w:t>Février 2019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Coefficients correcteurs </w:t>
            </w:r>
            <w:r>
              <w:rPr>
                <w:rFonts w:ascii="Times New Roman" w:hAnsi="Times New Roman"/>
                <w:b/>
                <w:bCs/>
                <w:noProof/>
                <w:sz w:val="16"/>
                <w:szCs w:val="16"/>
              </w:rPr>
              <w:br/>
              <w:t>Février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Argentine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19,90</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42,3216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47,0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Botswana</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8,078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11,8906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67,9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Égypte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12,72</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20,2046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63,0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Éthiopie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26,64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32,4790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Gabon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688,8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105,0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Ghana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4,330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5,61925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77,1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Nigeria</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298,3</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349,431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85,4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Ouzbékistan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3960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9575,42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41,4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Sierra Leone</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9221</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9661,58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95,4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Soudan</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31,10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54,3759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Soudan du Sud</w:t>
            </w:r>
          </w:p>
        </w:tc>
        <w:tc>
          <w:tcPr>
            <w:tcW w:w="1814" w:type="dxa"/>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283,4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176,701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160,4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1 EUR = x unités de la monnaie nationale.</w:t>
            </w: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iCs/>
                <w:noProof/>
                <w:sz w:val="32"/>
                <w:szCs w:val="32"/>
              </w:rPr>
              <w:t>MARS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6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LIEU D'AFFECTATION</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Parités économiques </w:t>
            </w:r>
            <w:r>
              <w:rPr>
                <w:rFonts w:ascii="Times New Roman" w:hAnsi="Times New Roman"/>
                <w:b/>
                <w:bCs/>
                <w:noProof/>
                <w:sz w:val="16"/>
                <w:szCs w:val="16"/>
              </w:rPr>
              <w:br/>
              <w:t>Mars 2019</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Taux de change </w:t>
            </w:r>
            <w:r>
              <w:rPr>
                <w:rFonts w:ascii="Times New Roman" w:hAnsi="Times New Roman"/>
                <w:b/>
                <w:bCs/>
                <w:noProof/>
                <w:sz w:val="16"/>
                <w:szCs w:val="16"/>
              </w:rPr>
              <w:br/>
              <w:t>Mars 2019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Coefficients correcteurs</w:t>
            </w:r>
            <w:r>
              <w:rPr>
                <w:rFonts w:ascii="Times New Roman" w:hAnsi="Times New Roman"/>
                <w:b/>
                <w:bCs/>
                <w:noProof/>
                <w:sz w:val="16"/>
                <w:szCs w:val="16"/>
              </w:rPr>
              <w:br/>
              <w:t>mars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Érythrée</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19,94</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17,3431</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115,0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28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Soudan du Sud</w:t>
            </w:r>
          </w:p>
        </w:tc>
        <w:tc>
          <w:tcPr>
            <w:tcW w:w="1814" w:type="dxa"/>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316,9</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176,705</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179,3</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1 EUR = x unités de la monnaie nationale.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iCs/>
                <w:noProof/>
                <w:sz w:val="32"/>
                <w:szCs w:val="32"/>
              </w:rPr>
              <w:t>AVRIL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63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LIEU D'AFFECTATION</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Parités économiques </w:t>
            </w:r>
            <w:r>
              <w:rPr>
                <w:rFonts w:ascii="Times New Roman" w:hAnsi="Times New Roman"/>
                <w:b/>
                <w:bCs/>
                <w:noProof/>
                <w:sz w:val="16"/>
                <w:szCs w:val="16"/>
              </w:rPr>
              <w:br/>
              <w:t>Avril 2019</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Taux de change </w:t>
            </w:r>
            <w:r>
              <w:rPr>
                <w:rFonts w:ascii="Times New Roman" w:hAnsi="Times New Roman"/>
                <w:b/>
                <w:bCs/>
                <w:noProof/>
                <w:sz w:val="16"/>
                <w:szCs w:val="16"/>
              </w:rPr>
              <w:br/>
              <w:t>Avril 2019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Coefficients correcteurs </w:t>
            </w:r>
            <w:r>
              <w:rPr>
                <w:rFonts w:ascii="Times New Roman" w:hAnsi="Times New Roman"/>
                <w:b/>
                <w:bCs/>
                <w:noProof/>
                <w:sz w:val="16"/>
                <w:szCs w:val="16"/>
              </w:rPr>
              <w:br/>
              <w:t>Avril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Angola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384,7</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360,004</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106,9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Argentine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21,41</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47,2053</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45,4</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Burundi</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1726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2066,69</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83,5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Ghana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4,555</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5,75645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79,1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Ouzbékistan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4252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9421,96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45,1</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Pakistan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76,03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158,505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48,0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Panama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0,9194</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1,12180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82,0</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République démocratique du Congo</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1866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1867,81</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99,9</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Soudan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33,20</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53,8648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61,6</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Soudan du Sud</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341,3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174,875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195,2</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Uruguay</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34,53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37,5882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91,9</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1 EUR = x unités de la monnaie nationale (sauf USD pour: Panama.</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iCs/>
                <w:noProof/>
                <w:sz w:val="32"/>
                <w:szCs w:val="32"/>
              </w:rPr>
              <w:t>MAI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LIEU D'AFFECTATION</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Parités économiques </w:t>
            </w:r>
            <w:r>
              <w:rPr>
                <w:rFonts w:ascii="Times New Roman" w:hAnsi="Times New Roman"/>
                <w:b/>
                <w:bCs/>
                <w:noProof/>
                <w:sz w:val="16"/>
                <w:szCs w:val="16"/>
              </w:rPr>
              <w:br/>
              <w:t>Mai 2019</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Taux de change </w:t>
            </w:r>
            <w:r>
              <w:rPr>
                <w:rFonts w:ascii="Times New Roman" w:hAnsi="Times New Roman"/>
                <w:b/>
                <w:bCs/>
                <w:noProof/>
                <w:sz w:val="16"/>
                <w:szCs w:val="16"/>
              </w:rPr>
              <w:br/>
              <w:t>Mai 2019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Coefficients correcteurs</w:t>
            </w:r>
            <w:r>
              <w:rPr>
                <w:rFonts w:ascii="Times New Roman" w:hAnsi="Times New Roman"/>
                <w:b/>
                <w:bCs/>
                <w:noProof/>
                <w:sz w:val="16"/>
                <w:szCs w:val="16"/>
              </w:rPr>
              <w:br/>
              <w:t>mai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Cameroun</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542,5</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82,7</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Égypte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13,64</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19,2205</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71,0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Éthiopie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28,28</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32,3931</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87,3</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Haïti</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80,32</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95,1980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84,4</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Myanmar/Birmanie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1068</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1699,26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62,9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Tadjikistan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5,503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10,5250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52,3</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1 EUR = x unités de la monnaie nationale.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405"/>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i/>
                <w:iCs/>
                <w:noProof/>
                <w:sz w:val="32"/>
                <w:szCs w:val="32"/>
              </w:rPr>
              <w:t>JUIN 2019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84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LIEU D'AFFECTATION</w:t>
            </w:r>
          </w:p>
        </w:tc>
        <w:tc>
          <w:tcPr>
            <w:tcW w:w="1835"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Parités économiques </w:t>
            </w:r>
            <w:r>
              <w:rPr>
                <w:rFonts w:ascii="Times New Roman" w:hAnsi="Times New Roman"/>
                <w:b/>
                <w:bCs/>
                <w:noProof/>
                <w:sz w:val="16"/>
                <w:szCs w:val="16"/>
              </w:rPr>
              <w:br/>
              <w:t>Juin 2019</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Taux de change </w:t>
            </w:r>
            <w:r>
              <w:rPr>
                <w:rFonts w:ascii="Times New Roman" w:hAnsi="Times New Roman"/>
                <w:b/>
                <w:bCs/>
                <w:noProof/>
                <w:sz w:val="16"/>
                <w:szCs w:val="16"/>
              </w:rPr>
              <w:br/>
              <w:t xml:space="preserve"> Juin 2019 (*)</w:t>
            </w:r>
          </w:p>
        </w:tc>
        <w:tc>
          <w:tcPr>
            <w:tcW w:w="1921"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before="120"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Coefficients correcteurs </w:t>
            </w:r>
            <w:r>
              <w:rPr>
                <w:rFonts w:ascii="Times New Roman" w:hAnsi="Times New Roman"/>
                <w:b/>
                <w:bCs/>
                <w:noProof/>
                <w:sz w:val="16"/>
                <w:szCs w:val="16"/>
              </w:rPr>
              <w:br/>
              <w:t>Juin 2019 (**)</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Argentine</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22,82</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50,1625</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45,5</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Congo</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766,8</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655,957</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116,9</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eastAsia="Calibri" w:hAnsi="Times New Roman" w:cs="Times New Roman"/>
                <w:noProof/>
                <w:sz w:val="18"/>
                <w:szCs w:val="18"/>
              </w:rPr>
            </w:pPr>
            <w:r>
              <w:rPr>
                <w:rFonts w:ascii="Times New Roman" w:hAnsi="Times New Roman"/>
                <w:noProof/>
                <w:sz w:val="18"/>
                <w:szCs w:val="18"/>
              </w:rPr>
              <w:t>Ghana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4,815</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5,73320</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84,0</w:t>
            </w: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Mongolie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2038</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2963,29</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68,8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Ouzbékistan</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4537</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9497,43</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47,8</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Tunisie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2,118</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3,34000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63,4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Viêt Nam</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16330</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26183,7</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62,4</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trHeight w:val="300"/>
        </w:trPr>
        <w:tc>
          <w:tcPr>
            <w:tcW w:w="510" w:type="dxa"/>
            <w:tcBorders>
              <w:top w:val="nil"/>
              <w:left w:val="nil"/>
              <w:bottom w:val="nil"/>
              <w:right w:val="nil"/>
            </w:tcBorders>
            <w:shd w:val="clear" w:color="auto" w:fill="auto"/>
            <w:noWrap/>
            <w:vAlign w:val="bottom"/>
          </w:tcPr>
          <w:p>
            <w:pPr>
              <w:spacing w:before="120" w:after="0" w:line="240" w:lineRule="auto"/>
              <w:jc w:val="both"/>
              <w:rPr>
                <w:rFonts w:ascii="Arial" w:eastAsia="Times New Roman" w:hAnsi="Arial" w:cs="Arial"/>
                <w:noProof/>
                <w:sz w:val="20"/>
                <w:szCs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Times New Roman" w:eastAsia="Calibri" w:hAnsi="Times New Roman" w:cs="Times New Roman"/>
                <w:noProof/>
                <w:sz w:val="18"/>
                <w:szCs w:val="18"/>
              </w:rPr>
            </w:pPr>
            <w:r>
              <w:rPr>
                <w:rFonts w:ascii="Times New Roman" w:hAnsi="Times New Roman"/>
                <w:noProof/>
                <w:sz w:val="18"/>
                <w:szCs w:val="18"/>
              </w:rPr>
              <w:t>Zambie</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9,077</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14,9570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60,7</w:t>
            </w:r>
          </w:p>
        </w:tc>
        <w:tc>
          <w:tcPr>
            <w:tcW w:w="236" w:type="dxa"/>
            <w:tcBorders>
              <w:top w:val="nil"/>
              <w:left w:val="nil"/>
              <w:bottom w:val="nil"/>
              <w:right w:val="nil"/>
            </w:tcBorders>
            <w:shd w:val="clear" w:color="auto" w:fill="auto"/>
            <w:noWrap/>
            <w:vAlign w:val="bottom"/>
          </w:tcPr>
          <w:p>
            <w:pPr>
              <w:spacing w:before="120" w:after="0" w:line="240" w:lineRule="auto"/>
              <w:jc w:val="both"/>
              <w:rPr>
                <w:rFonts w:ascii="Times New Roman" w:eastAsia="Times New Roman" w:hAnsi="Times New Roman" w:cs="Calibri"/>
                <w:noProof/>
                <w:color w:val="000000"/>
                <w:sz w:val="24"/>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9194" w:type="dxa"/>
            <w:gridSpan w:val="9"/>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1 EUR = x unités de la monnaie nationale.</w:t>
            </w:r>
          </w:p>
        </w:tc>
      </w:tr>
      <w:tr>
        <w:trPr>
          <w:trHeight w:val="300"/>
        </w:trPr>
        <w:tc>
          <w:tcPr>
            <w:tcW w:w="510"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b/>
                <w:bCs/>
                <w:noProof/>
                <w:sz w:val="20"/>
                <w:szCs w:val="20"/>
              </w:rPr>
            </w:pPr>
            <w:r>
              <w:rPr>
                <w:rFonts w:ascii="Arial" w:hAnsi="Arial"/>
                <w:b/>
                <w:bCs/>
                <w:noProof/>
                <w:sz w:val="20"/>
                <w:szCs w:val="20"/>
              </w:rPr>
              <w:t>(**)</w:t>
            </w:r>
          </w:p>
        </w:tc>
        <w:tc>
          <w:tcPr>
            <w:tcW w:w="3638" w:type="dxa"/>
            <w:tcBorders>
              <w:top w:val="nil"/>
              <w:left w:val="nil"/>
              <w:bottom w:val="nil"/>
              <w:right w:val="nil"/>
            </w:tcBorders>
            <w:shd w:val="clear" w:color="auto" w:fill="auto"/>
            <w:noWrap/>
            <w:vAlign w:val="bottom"/>
            <w:hideMark/>
          </w:tcPr>
          <w:p>
            <w:pPr>
              <w:spacing w:before="120" w:after="0" w:line="240" w:lineRule="auto"/>
              <w:jc w:val="both"/>
              <w:rPr>
                <w:rFonts w:ascii="Arial" w:eastAsia="Times New Roman" w:hAnsi="Arial" w:cs="Arial"/>
                <w:noProof/>
                <w:sz w:val="16"/>
                <w:szCs w:val="16"/>
              </w:rPr>
            </w:pPr>
            <w:r>
              <w:rPr>
                <w:rFonts w:ascii="Arial" w:hAnsi="Arial"/>
                <w:noProof/>
                <w:sz w:val="16"/>
                <w:szCs w:val="16"/>
              </w:rPr>
              <w:t>Bruxelles et Luxembourg = 100.</w:t>
            </w:r>
          </w:p>
        </w:tc>
        <w:tc>
          <w:tcPr>
            <w:tcW w:w="2181" w:type="dxa"/>
            <w:gridSpan w:val="4"/>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802" w:type="dxa"/>
            <w:gridSpan w:val="3"/>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1573"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c>
          <w:tcPr>
            <w:tcW w:w="236" w:type="dxa"/>
            <w:tcBorders>
              <w:top w:val="nil"/>
              <w:left w:val="nil"/>
              <w:bottom w:val="nil"/>
              <w:right w:val="nil"/>
            </w:tcBorders>
            <w:shd w:val="clear" w:color="auto" w:fill="auto"/>
            <w:noWrap/>
            <w:vAlign w:val="bottom"/>
            <w:hideMark/>
          </w:tcPr>
          <w:p>
            <w:pPr>
              <w:spacing w:before="120" w:after="0" w:line="240" w:lineRule="auto"/>
              <w:jc w:val="both"/>
              <w:rPr>
                <w:rFonts w:ascii="Times New Roman" w:eastAsia="Times New Roman" w:hAnsi="Times New Roman" w:cs="Calibri"/>
                <w:noProof/>
                <w:color w:val="000000"/>
                <w:sz w:val="24"/>
                <w:szCs w:val="24"/>
              </w:rPr>
            </w:pPr>
          </w:p>
        </w:tc>
      </w:tr>
    </w:tbl>
    <w:p>
      <w:pPr>
        <w:spacing w:before="120" w:after="0" w:line="240" w:lineRule="auto"/>
        <w:jc w:val="center"/>
        <w:rPr>
          <w:rFonts w:ascii="Times New Roman" w:eastAsia="Times New Roman" w:hAnsi="Times New Roman" w:cs="Times New Roman"/>
          <w:noProof/>
          <w:sz w:val="24"/>
          <w:szCs w:val="20"/>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001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eastAsiaTheme="majorEastAsia"/>
        </w:rPr>
        <w:footnoteRef/>
      </w:r>
      <w:r>
        <w:rPr>
          <w:rStyle w:val="FootnoteReference"/>
        </w:rPr>
        <w:tab/>
      </w:r>
      <w:r>
        <w:t>Règlement (CECA, CEE, Euratom) nº 300/76 du Conseil, du 9 février 1976, déterminant les catégories de bénéficiaires, les conditions d’attribution et les taux des indemnités qui peuvent être accordées aux fonctionnaires appelés à exercer leurs fonctions dans le cadre d’un service continu ou par tours (JO L 38 du 13.2.1976, p. 1).</w:t>
      </w:r>
      <w:r>
        <w:rPr>
          <w:rStyle w:val="FootnoteReference"/>
        </w:rPr>
        <w:t xml:space="preserve"> </w:t>
      </w:r>
      <w:r>
        <w:t>Règlement complété par le règlement (Euratom, CECA, CEE) nº 1307/87 (JO L 124 du 13.5.1987, p. 6).</w:t>
      </w:r>
    </w:p>
  </w:footnote>
  <w:footnote w:id="2">
    <w:p>
      <w:pPr>
        <w:pStyle w:val="FootnoteText"/>
      </w:pPr>
      <w:r>
        <w:rPr>
          <w:rStyle w:val="FootnoteReference"/>
          <w:rFonts w:eastAsiaTheme="majorEastAsia"/>
        </w:rPr>
        <w:footnoteRef/>
      </w:r>
      <w:r>
        <w:rPr>
          <w:rStyle w:val="FootnoteReference"/>
        </w:rPr>
        <w:tab/>
      </w:r>
      <w:r>
        <w:t>Règlement (CEE, Euratom, CECA) nº 260/68 du Conseil, du 29 février 1968, portant fixation des conditions et de la procédure d'application de l'impôt établi au profit des Communautés européennes (JO L 56 du 4.3.1968, p. 8).</w:t>
      </w:r>
    </w:p>
  </w:footnote>
  <w:footnote w:id="3">
    <w:p>
      <w:pPr>
        <w:pStyle w:val="FootnoteText"/>
        <w:rPr>
          <w:sz w:val="18"/>
        </w:rPr>
      </w:pPr>
      <w:r>
        <w:rPr>
          <w:rStyle w:val="FootnoteReference"/>
        </w:rPr>
        <w:footnoteRef/>
      </w:r>
      <w:r>
        <w:t xml:space="preserve"> </w:t>
      </w:r>
      <w:r>
        <w:rPr>
          <w:sz w:val="18"/>
        </w:rPr>
        <w:t>Rapport d’Eurostat du 31 octobre 2019 sur l’actualisation annuelle 2019 des rémunérations et des pensions des fonctionnaires de l’UE conformément aux articles 64 et 65 et à l’annexe XI du statut applicable aux fonctionnaires et autres agents de l’Union européenne portant adaptation, avec effet au 1</w:t>
      </w:r>
      <w:r>
        <w:rPr>
          <w:sz w:val="18"/>
          <w:vertAlign w:val="superscript"/>
        </w:rPr>
        <w:t>er</w:t>
      </w:r>
      <w:r>
        <w:rPr>
          <w:sz w:val="18"/>
        </w:rPr>
        <w:t> juillet 2019, des rémunérations du personnel en activité et des pensions du personnel retraité, et portant actualisation, avec effet au 1</w:t>
      </w:r>
      <w:r>
        <w:rPr>
          <w:sz w:val="18"/>
          <w:vertAlign w:val="superscript"/>
        </w:rPr>
        <w:t>er</w:t>
      </w:r>
      <w:r>
        <w:rPr>
          <w:sz w:val="18"/>
        </w:rPr>
        <w:t> juillet 2019, des coefficients correcteurs applicables à la rémunération du personnel en service dans des lieux d’affectation situés à l’intérieur de l’UE et en dehors de l’UE, aux pensions du personnel retraité en fonction de son pays de résidence et aux transferts de pension.</w:t>
      </w:r>
    </w:p>
    <w:p>
      <w:pPr>
        <w:pStyle w:val="FootnoteText"/>
      </w:pPr>
      <w:r>
        <w:rPr>
          <w:sz w:val="18"/>
        </w:rPr>
        <w:t>De plus amples informations sur la méthodologie utilisée sont disponibles sur le site web d’Eurostat en suivant l'arborescence «Statistiques» &gt;</w:t>
      </w:r>
      <w:r>
        <w:t xml:space="preserve"> </w:t>
      </w:r>
      <w:r>
        <w:rPr>
          <w:sz w:val="18"/>
        </w:rPr>
        <w:t>«Économie et finances» &gt; «Prix» &gt; «Coefficients correcteurs»</w:t>
      </w:r>
    </w:p>
  </w:footnote>
  <w:footnote w:id="4">
    <w:p>
      <w:pPr>
        <w:pStyle w:val="FootnoteText"/>
        <w:jc w:val="both"/>
        <w:rPr>
          <w:sz w:val="18"/>
        </w:rPr>
      </w:pPr>
      <w:r>
        <w:rPr>
          <w:rStyle w:val="FootnoteReference"/>
        </w:rPr>
        <w:footnoteRef/>
      </w:r>
      <w:r>
        <w:t xml:space="preserve"> </w:t>
      </w:r>
      <w:r>
        <w:rPr>
          <w:sz w:val="18"/>
        </w:rPr>
        <w:t>Rapport d'Eurostat du 28 octobre 2019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 [Ares(2019)6661612].</w:t>
      </w:r>
    </w:p>
    <w:p>
      <w:pPr>
        <w:pStyle w:val="FootnoteText"/>
        <w:jc w:val="both"/>
        <w:rPr>
          <w:sz w:val="18"/>
        </w:rPr>
      </w:pPr>
      <w:r>
        <w:rPr>
          <w:sz w:val="18"/>
        </w:rPr>
        <w:t>De plus amples informations sur la méthodologie utilisée sont disponibles sur le site web d’Eurostat en suivant l'arborescence «Statistiques» &gt; «Économie et finances» &gt; «Prix» &gt; «Coefficients correcteurs».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3"/>
    <w:docVar w:name="LW_ANNEX_UNIQUE" w:val="0"/>
    <w:docVar w:name="LW_CORRIGENDUM" w:val="&lt;UNUSED&gt;"/>
    <w:docVar w:name="LW_COVERPAGE_EXISTS" w:val="True"/>
    <w:docVar w:name="LW_COVERPAGE_GUID" w:val="BFFAA63A-4F46-4442-B78E-335143693EBD"/>
    <w:docVar w:name="LW_COVERPAGE_TYPE" w:val="1"/>
    <w:docVar w:name="LW_CROSSREFERENCE" w:val="&lt;UNUSED&gt;"/>
    <w:docVar w:name="LW_DocType" w:val="NORMAL"/>
    <w:docVar w:name="LW_EMISSION" w:val="28.11.2019"/>
    <w:docVar w:name="LW_EMISSION_ISODATE" w:val="2019-11-28"/>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concernant les informations relatives à l'incidence budgétaire de l'actualisation annuelle 2019 des rémunérations et pensions des fonctionnaires et autres agents de l'Union européenne ainsi que des coefficients correcteurs dont celles-ci sont affectées_x000d__x000d__x000b_"/>
    <w:docVar w:name="LW_PART_NBR" w:val="&lt;UNUSED&gt;"/>
    <w:docVar w:name="LW_PART_NBR_TOTAL" w:val="&lt;UNUSED&gt;"/>
    <w:docVar w:name="LW_REF.INST.NEW" w:val="COM"/>
    <w:docVar w:name="LW_REF.INST.NEW_ADOPTED" w:val="final"/>
    <w:docVar w:name="LW_REF.INST.NEW_TEXT" w:val="(2019) 6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337">
      <w:bodyDiv w:val="1"/>
      <w:marLeft w:val="0"/>
      <w:marRight w:val="0"/>
      <w:marTop w:val="0"/>
      <w:marBottom w:val="0"/>
      <w:divBdr>
        <w:top w:val="none" w:sz="0" w:space="0" w:color="auto"/>
        <w:left w:val="none" w:sz="0" w:space="0" w:color="auto"/>
        <w:bottom w:val="none" w:sz="0" w:space="0" w:color="auto"/>
        <w:right w:val="none" w:sz="0" w:space="0" w:color="auto"/>
      </w:divBdr>
    </w:div>
    <w:div w:id="43723175">
      <w:bodyDiv w:val="1"/>
      <w:marLeft w:val="0"/>
      <w:marRight w:val="0"/>
      <w:marTop w:val="0"/>
      <w:marBottom w:val="0"/>
      <w:divBdr>
        <w:top w:val="none" w:sz="0" w:space="0" w:color="auto"/>
        <w:left w:val="none" w:sz="0" w:space="0" w:color="auto"/>
        <w:bottom w:val="none" w:sz="0" w:space="0" w:color="auto"/>
        <w:right w:val="none" w:sz="0" w:space="0" w:color="auto"/>
      </w:divBdr>
    </w:div>
    <w:div w:id="113446006">
      <w:bodyDiv w:val="1"/>
      <w:marLeft w:val="0"/>
      <w:marRight w:val="0"/>
      <w:marTop w:val="0"/>
      <w:marBottom w:val="0"/>
      <w:divBdr>
        <w:top w:val="none" w:sz="0" w:space="0" w:color="auto"/>
        <w:left w:val="none" w:sz="0" w:space="0" w:color="auto"/>
        <w:bottom w:val="none" w:sz="0" w:space="0" w:color="auto"/>
        <w:right w:val="none" w:sz="0" w:space="0" w:color="auto"/>
      </w:divBdr>
    </w:div>
    <w:div w:id="341318027">
      <w:bodyDiv w:val="1"/>
      <w:marLeft w:val="0"/>
      <w:marRight w:val="0"/>
      <w:marTop w:val="0"/>
      <w:marBottom w:val="0"/>
      <w:divBdr>
        <w:top w:val="none" w:sz="0" w:space="0" w:color="auto"/>
        <w:left w:val="none" w:sz="0" w:space="0" w:color="auto"/>
        <w:bottom w:val="none" w:sz="0" w:space="0" w:color="auto"/>
        <w:right w:val="none" w:sz="0" w:space="0" w:color="auto"/>
      </w:divBdr>
    </w:div>
    <w:div w:id="415900035">
      <w:bodyDiv w:val="1"/>
      <w:marLeft w:val="0"/>
      <w:marRight w:val="0"/>
      <w:marTop w:val="0"/>
      <w:marBottom w:val="0"/>
      <w:divBdr>
        <w:top w:val="none" w:sz="0" w:space="0" w:color="auto"/>
        <w:left w:val="none" w:sz="0" w:space="0" w:color="auto"/>
        <w:bottom w:val="none" w:sz="0" w:space="0" w:color="auto"/>
        <w:right w:val="none" w:sz="0" w:space="0" w:color="auto"/>
      </w:divBdr>
    </w:div>
    <w:div w:id="425074687">
      <w:bodyDiv w:val="1"/>
      <w:marLeft w:val="0"/>
      <w:marRight w:val="0"/>
      <w:marTop w:val="0"/>
      <w:marBottom w:val="0"/>
      <w:divBdr>
        <w:top w:val="none" w:sz="0" w:space="0" w:color="auto"/>
        <w:left w:val="none" w:sz="0" w:space="0" w:color="auto"/>
        <w:bottom w:val="none" w:sz="0" w:space="0" w:color="auto"/>
        <w:right w:val="none" w:sz="0" w:space="0" w:color="auto"/>
      </w:divBdr>
    </w:div>
    <w:div w:id="636494398">
      <w:bodyDiv w:val="1"/>
      <w:marLeft w:val="0"/>
      <w:marRight w:val="0"/>
      <w:marTop w:val="0"/>
      <w:marBottom w:val="0"/>
      <w:divBdr>
        <w:top w:val="none" w:sz="0" w:space="0" w:color="auto"/>
        <w:left w:val="none" w:sz="0" w:space="0" w:color="auto"/>
        <w:bottom w:val="none" w:sz="0" w:space="0" w:color="auto"/>
        <w:right w:val="none" w:sz="0" w:space="0" w:color="auto"/>
      </w:divBdr>
    </w:div>
    <w:div w:id="693112954">
      <w:bodyDiv w:val="1"/>
      <w:marLeft w:val="0"/>
      <w:marRight w:val="0"/>
      <w:marTop w:val="0"/>
      <w:marBottom w:val="0"/>
      <w:divBdr>
        <w:top w:val="none" w:sz="0" w:space="0" w:color="auto"/>
        <w:left w:val="none" w:sz="0" w:space="0" w:color="auto"/>
        <w:bottom w:val="none" w:sz="0" w:space="0" w:color="auto"/>
        <w:right w:val="none" w:sz="0" w:space="0" w:color="auto"/>
      </w:divBdr>
    </w:div>
    <w:div w:id="916212866">
      <w:bodyDiv w:val="1"/>
      <w:marLeft w:val="0"/>
      <w:marRight w:val="0"/>
      <w:marTop w:val="0"/>
      <w:marBottom w:val="0"/>
      <w:divBdr>
        <w:top w:val="none" w:sz="0" w:space="0" w:color="auto"/>
        <w:left w:val="none" w:sz="0" w:space="0" w:color="auto"/>
        <w:bottom w:val="none" w:sz="0" w:space="0" w:color="auto"/>
        <w:right w:val="none" w:sz="0" w:space="0" w:color="auto"/>
      </w:divBdr>
    </w:div>
    <w:div w:id="937106545">
      <w:bodyDiv w:val="1"/>
      <w:marLeft w:val="0"/>
      <w:marRight w:val="0"/>
      <w:marTop w:val="0"/>
      <w:marBottom w:val="0"/>
      <w:divBdr>
        <w:top w:val="none" w:sz="0" w:space="0" w:color="auto"/>
        <w:left w:val="none" w:sz="0" w:space="0" w:color="auto"/>
        <w:bottom w:val="none" w:sz="0" w:space="0" w:color="auto"/>
        <w:right w:val="none" w:sz="0" w:space="0" w:color="auto"/>
      </w:divBdr>
    </w:div>
    <w:div w:id="1073510369">
      <w:bodyDiv w:val="1"/>
      <w:marLeft w:val="0"/>
      <w:marRight w:val="0"/>
      <w:marTop w:val="0"/>
      <w:marBottom w:val="0"/>
      <w:divBdr>
        <w:top w:val="none" w:sz="0" w:space="0" w:color="auto"/>
        <w:left w:val="none" w:sz="0" w:space="0" w:color="auto"/>
        <w:bottom w:val="none" w:sz="0" w:space="0" w:color="auto"/>
        <w:right w:val="none" w:sz="0" w:space="0" w:color="auto"/>
      </w:divBdr>
    </w:div>
    <w:div w:id="1270358532">
      <w:bodyDiv w:val="1"/>
      <w:marLeft w:val="0"/>
      <w:marRight w:val="0"/>
      <w:marTop w:val="0"/>
      <w:marBottom w:val="0"/>
      <w:divBdr>
        <w:top w:val="none" w:sz="0" w:space="0" w:color="auto"/>
        <w:left w:val="none" w:sz="0" w:space="0" w:color="auto"/>
        <w:bottom w:val="none" w:sz="0" w:space="0" w:color="auto"/>
        <w:right w:val="none" w:sz="0" w:space="0" w:color="auto"/>
      </w:divBdr>
    </w:div>
    <w:div w:id="1389957348">
      <w:bodyDiv w:val="1"/>
      <w:marLeft w:val="0"/>
      <w:marRight w:val="0"/>
      <w:marTop w:val="0"/>
      <w:marBottom w:val="0"/>
      <w:divBdr>
        <w:top w:val="none" w:sz="0" w:space="0" w:color="auto"/>
        <w:left w:val="none" w:sz="0" w:space="0" w:color="auto"/>
        <w:bottom w:val="none" w:sz="0" w:space="0" w:color="auto"/>
        <w:right w:val="none" w:sz="0" w:space="0" w:color="auto"/>
      </w:divBdr>
    </w:div>
    <w:div w:id="1650593064">
      <w:bodyDiv w:val="1"/>
      <w:marLeft w:val="0"/>
      <w:marRight w:val="0"/>
      <w:marTop w:val="0"/>
      <w:marBottom w:val="0"/>
      <w:divBdr>
        <w:top w:val="none" w:sz="0" w:space="0" w:color="auto"/>
        <w:left w:val="none" w:sz="0" w:space="0" w:color="auto"/>
        <w:bottom w:val="none" w:sz="0" w:space="0" w:color="auto"/>
        <w:right w:val="none" w:sz="0" w:space="0" w:color="auto"/>
      </w:divBdr>
    </w:div>
    <w:div w:id="1673409027">
      <w:bodyDiv w:val="1"/>
      <w:marLeft w:val="0"/>
      <w:marRight w:val="0"/>
      <w:marTop w:val="0"/>
      <w:marBottom w:val="0"/>
      <w:divBdr>
        <w:top w:val="none" w:sz="0" w:space="0" w:color="auto"/>
        <w:left w:val="none" w:sz="0" w:space="0" w:color="auto"/>
        <w:bottom w:val="none" w:sz="0" w:space="0" w:color="auto"/>
        <w:right w:val="none" w:sz="0" w:space="0" w:color="auto"/>
      </w:divBdr>
    </w:div>
    <w:div w:id="1686244848">
      <w:bodyDiv w:val="1"/>
      <w:marLeft w:val="0"/>
      <w:marRight w:val="0"/>
      <w:marTop w:val="0"/>
      <w:marBottom w:val="0"/>
      <w:divBdr>
        <w:top w:val="none" w:sz="0" w:space="0" w:color="auto"/>
        <w:left w:val="none" w:sz="0" w:space="0" w:color="auto"/>
        <w:bottom w:val="none" w:sz="0" w:space="0" w:color="auto"/>
        <w:right w:val="none" w:sz="0" w:space="0" w:color="auto"/>
      </w:divBdr>
    </w:div>
    <w:div w:id="1916084642">
      <w:bodyDiv w:val="1"/>
      <w:marLeft w:val="0"/>
      <w:marRight w:val="0"/>
      <w:marTop w:val="0"/>
      <w:marBottom w:val="0"/>
      <w:divBdr>
        <w:top w:val="none" w:sz="0" w:space="0" w:color="auto"/>
        <w:left w:val="none" w:sz="0" w:space="0" w:color="auto"/>
        <w:bottom w:val="none" w:sz="0" w:space="0" w:color="auto"/>
        <w:right w:val="none" w:sz="0" w:space="0" w:color="auto"/>
      </w:divBdr>
    </w:div>
    <w:div w:id="2115401654">
      <w:bodyDiv w:val="1"/>
      <w:marLeft w:val="0"/>
      <w:marRight w:val="0"/>
      <w:marTop w:val="0"/>
      <w:marBottom w:val="0"/>
      <w:divBdr>
        <w:top w:val="none" w:sz="0" w:space="0" w:color="auto"/>
        <w:left w:val="none" w:sz="0" w:space="0" w:color="auto"/>
        <w:bottom w:val="none" w:sz="0" w:space="0" w:color="auto"/>
        <w:right w:val="none" w:sz="0" w:space="0" w:color="auto"/>
      </w:divBdr>
    </w:div>
    <w:div w:id="21427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9</Pages>
  <Words>3587</Words>
  <Characters>17114</Characters>
  <Application>Microsoft Office Word</Application>
  <DocSecurity>0</DocSecurity>
  <Lines>2139</Lines>
  <Paragraphs>1725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PIRLOT DE CORBION Caroline (HR)</dc:creator>
  <cp:lastModifiedBy>DIGIT/C6</cp:lastModifiedBy>
  <cp:revision>15</cp:revision>
  <cp:lastPrinted>2019-11-05T08:24:00Z</cp:lastPrinted>
  <dcterms:created xsi:type="dcterms:W3CDTF">2019-10-30T18:01:00Z</dcterms:created>
  <dcterms:modified xsi:type="dcterms:W3CDTF">2019-11-25T12:40:00Z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3</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CP-039</vt:lpwstr>
  </property>
</Properties>
</file>