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9991108-6499-4468-90F2-674ADFF11C06" style="width:451.25pt;height:420.3pt">
            <v:imagedata r:id="rId7" o:title=""/>
          </v:shape>
        </w:pict>
      </w:r>
    </w:p>
    <w:bookmarkEnd w:id="0"/>
    <w:p>
      <w:pPr>
        <w:rPr>
          <w:noProof/>
          <w:lang w:eastAsia="en-GB"/>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1"/>
          <w:cols w:space="720"/>
          <w:docGrid w:linePitch="360"/>
        </w:sectPr>
      </w:pPr>
    </w:p>
    <w:p>
      <w:pPr>
        <w:widowControl w:val="0"/>
        <w:spacing w:after="0" w:line="360" w:lineRule="auto"/>
        <w:jc w:val="center"/>
        <w:rPr>
          <w:rFonts w:ascii="Times New Roman" w:eastAsia="Calibri" w:hAnsi="Times New Roman" w:cs="Times New Roman"/>
          <w:b/>
          <w:noProof/>
          <w:sz w:val="24"/>
          <w:szCs w:val="20"/>
          <w:lang w:eastAsia="en-GB"/>
        </w:rPr>
      </w:pPr>
      <w:bookmarkStart w:id="1" w:name="_GoBack"/>
      <w:bookmarkEnd w:id="1"/>
      <w:r>
        <w:rPr>
          <w:rFonts w:ascii="Times New Roman" w:eastAsia="Calibri" w:hAnsi="Times New Roman" w:cs="Times New Roman"/>
          <w:b/>
          <w:noProof/>
          <w:sz w:val="24"/>
          <w:szCs w:val="20"/>
          <w:lang w:eastAsia="en-GB"/>
        </w:rPr>
        <w:lastRenderedPageBreak/>
        <w:t>ANNEX I</w:t>
      </w:r>
    </w:p>
    <w:p>
      <w:pPr>
        <w:widowControl w:val="0"/>
        <w:spacing w:after="0" w:line="360" w:lineRule="auto"/>
        <w:jc w:val="center"/>
        <w:rPr>
          <w:rFonts w:ascii="Times New Roman" w:eastAsia="Calibri" w:hAnsi="Times New Roman" w:cs="Times New Roman"/>
          <w:b/>
          <w:noProof/>
          <w:sz w:val="24"/>
          <w:szCs w:val="20"/>
          <w:lang w:eastAsia="en-GB"/>
        </w:rPr>
      </w:pPr>
      <w:r>
        <w:rPr>
          <w:rFonts w:ascii="Times New Roman" w:eastAsia="Calibri" w:hAnsi="Times New Roman" w:cs="Times New Roman"/>
          <w:b/>
          <w:noProof/>
          <w:sz w:val="24"/>
          <w:szCs w:val="20"/>
          <w:lang w:eastAsia="en-GB"/>
        </w:rPr>
        <w:t>2019 ANNUAL UPDATE OF THE REMUNERATION AND PENSIONS OF THE OFFICIALS AND OTHER SERVANTS OF THE EUROPEAN UNION AND THE CORRECTION COEFFICIENTS APPLIED THERETO</w:t>
      </w:r>
    </w:p>
    <w:p>
      <w:pPr>
        <w:widowControl w:val="0"/>
        <w:spacing w:after="0" w:line="360" w:lineRule="auto"/>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1.1. Table of the amounts of basic monthly salaries for each grade and step in function groups AD and AST referred to in Article 66 of the Staff Regulations, applicable from 1 July 2019:</w:t>
      </w:r>
    </w:p>
    <w:tbl>
      <w:tblPr>
        <w:tblW w:w="7300" w:type="dxa"/>
        <w:tblInd w:w="103" w:type="dxa"/>
        <w:tblLook w:val="04A0" w:firstRow="1" w:lastRow="0" w:firstColumn="1" w:lastColumn="0" w:noHBand="0" w:noVBand="1"/>
      </w:tblPr>
      <w:tblGrid>
        <w:gridCol w:w="1220"/>
        <w:gridCol w:w="1180"/>
        <w:gridCol w:w="1180"/>
        <w:gridCol w:w="1180"/>
        <w:gridCol w:w="1180"/>
        <w:gridCol w:w="1360"/>
      </w:tblGrid>
      <w:tr>
        <w:trPr>
          <w:trHeight w:val="50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Narrow" w:eastAsia="Times New Roman" w:hAnsi="Arial Narrow" w:cs="Arial"/>
                <w:noProof/>
                <w:sz w:val="20"/>
                <w:szCs w:val="20"/>
                <w:lang w:eastAsia="en-GB"/>
              </w:rPr>
            </w:pPr>
            <w:r>
              <w:rPr>
                <w:rFonts w:ascii="Arial Narrow" w:eastAsia="Times New Roman" w:hAnsi="Arial Narrow" w:cs="Arial"/>
                <w:noProof/>
                <w:sz w:val="20"/>
                <w:szCs w:val="20"/>
                <w:lang w:eastAsia="en-GB"/>
              </w:rPr>
              <w:t>01/07/2019</w:t>
            </w:r>
          </w:p>
        </w:tc>
        <w:tc>
          <w:tcPr>
            <w:tcW w:w="6080" w:type="dxa"/>
            <w:gridSpan w:val="5"/>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STEP</w:t>
            </w:r>
          </w:p>
        </w:tc>
      </w:tr>
      <w:tr>
        <w:trPr>
          <w:trHeight w:val="25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GRADE</w:t>
            </w:r>
          </w:p>
        </w:tc>
        <w:tc>
          <w:tcPr>
            <w:tcW w:w="1180"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w:t>
            </w:r>
          </w:p>
        </w:tc>
        <w:tc>
          <w:tcPr>
            <w:tcW w:w="1180"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w:t>
            </w:r>
          </w:p>
        </w:tc>
        <w:tc>
          <w:tcPr>
            <w:tcW w:w="1180"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3</w:t>
            </w:r>
          </w:p>
        </w:tc>
        <w:tc>
          <w:tcPr>
            <w:tcW w:w="1180"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w:t>
            </w:r>
          </w:p>
        </w:tc>
        <w:tc>
          <w:tcPr>
            <w:tcW w:w="1360" w:type="dxa"/>
            <w:tcBorders>
              <w:top w:val="single" w:sz="4" w:space="0" w:color="auto"/>
              <w:left w:val="nil"/>
              <w:bottom w:val="single" w:sz="4" w:space="0" w:color="auto"/>
              <w:right w:val="single" w:sz="4" w:space="0" w:color="auto"/>
            </w:tcBorders>
            <w:shd w:val="clear" w:color="000000" w:fill="FFFFFF"/>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16</w:t>
            </w:r>
          </w:p>
        </w:tc>
        <w:tc>
          <w:tcPr>
            <w:tcW w:w="1180" w:type="dxa"/>
            <w:tcBorders>
              <w:top w:val="single" w:sz="4" w:space="0" w:color="auto"/>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18.994,33</w:t>
            </w:r>
          </w:p>
        </w:tc>
        <w:tc>
          <w:tcPr>
            <w:tcW w:w="1180" w:type="dxa"/>
            <w:tcBorders>
              <w:top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19.792,50</w:t>
            </w:r>
          </w:p>
        </w:tc>
        <w:tc>
          <w:tcPr>
            <w:tcW w:w="1180" w:type="dxa"/>
            <w:tcBorders>
              <w:top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20.624,20</w:t>
            </w:r>
          </w:p>
        </w:tc>
        <w:tc>
          <w:tcPr>
            <w:tcW w:w="1180" w:type="dxa"/>
            <w:tcBorders>
              <w:top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20"/>
                <w:szCs w:val="20"/>
                <w:lang w:eastAsia="en-GB"/>
              </w:rPr>
            </w:pPr>
          </w:p>
        </w:tc>
        <w:tc>
          <w:tcPr>
            <w:tcW w:w="1360" w:type="dxa"/>
            <w:tcBorders>
              <w:top w:val="single" w:sz="4" w:space="0" w:color="auto"/>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20"/>
                <w:szCs w:val="20"/>
                <w:lang w:eastAsia="en-GB"/>
              </w:rPr>
            </w:pP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15</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16.787,82</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17.493,27</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18.228,35</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18.735,49</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18.994,33</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14</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14.837,60</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15.461,11</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16.110,80</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16.559,04</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16.787,82</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13</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13.113,98</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13.665,04</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14.239,26</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14.635,43</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14.837,60</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12</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11.590,57</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12.077,61</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12.585,13</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12.935,26</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13.113,98</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10.244,12</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10.674,58</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11.123,14</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11.432,61</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11.590,57</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9.054,10</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9.434,55</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9.831,02</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10.104,52</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10.244,12</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8.002,30</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8.338,57</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8.688,98</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8.930,71</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9.054,10</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7.072,70</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7.369,90</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7.679,59</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7.893,26</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8.002,30</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6.251,08</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6.513,76</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6.787,48</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6.976,32</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7.072,70</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5.524,91</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5.757,08</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5.998,99</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6.165,90</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6.251,08</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4.883,11</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5.088,30</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5.302,11</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5.449,63</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5.524,91</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4.315,85</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4.497,20</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4.686,18</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4.816,55</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4.883,11</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3</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3.814,47</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3.974,78</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4.141,81</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4.257,02</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4.315,85</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3.371,37</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3.513,03</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3.660,66</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3.762,50</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3.814,47</w:t>
            </w:r>
          </w:p>
        </w:tc>
      </w:tr>
      <w:tr>
        <w:trPr>
          <w:trHeight w:val="255"/>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w:t>
            </w:r>
          </w:p>
        </w:tc>
        <w:tc>
          <w:tcPr>
            <w:tcW w:w="1180" w:type="dxa"/>
            <w:tcBorders>
              <w:left w:val="single" w:sz="4" w:space="0" w:color="auto"/>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2.979,73</w:t>
            </w:r>
          </w:p>
        </w:tc>
        <w:tc>
          <w:tcPr>
            <w:tcW w:w="1180" w:type="dxa"/>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3.104,93</w:t>
            </w:r>
          </w:p>
        </w:tc>
        <w:tc>
          <w:tcPr>
            <w:tcW w:w="1180" w:type="dxa"/>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3.235,40</w:t>
            </w:r>
          </w:p>
        </w:tc>
        <w:tc>
          <w:tcPr>
            <w:tcW w:w="1180" w:type="dxa"/>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3.325,43</w:t>
            </w:r>
          </w:p>
        </w:tc>
        <w:tc>
          <w:tcPr>
            <w:tcW w:w="1360" w:type="dxa"/>
            <w:tcBorders>
              <w:bottom w:val="single" w:sz="4" w:space="0" w:color="auto"/>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3.371,37</w:t>
            </w:r>
          </w:p>
        </w:tc>
      </w:tr>
    </w:tbl>
    <w:p>
      <w:pPr>
        <w:spacing w:before="120" w:after="120" w:line="240" w:lineRule="auto"/>
        <w:jc w:val="both"/>
        <w:rPr>
          <w:rFonts w:ascii="Times New Roman" w:eastAsia="Calibri" w:hAnsi="Times New Roman" w:cs="Times New Roman"/>
          <w:noProof/>
          <w:sz w:val="24"/>
          <w:szCs w:val="20"/>
          <w:lang w:eastAsia="en-GB"/>
        </w:rPr>
      </w:pPr>
    </w:p>
    <w:p>
      <w:pPr>
        <w:spacing w:before="120" w:after="120" w:line="24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2. Table of the amounts of basic monthly salaries for each grade and step in function group AST/SC referred to in Article 66 of the Staff Regulations, applicable from 1 July 2019:</w:t>
      </w:r>
    </w:p>
    <w:tbl>
      <w:tblPr>
        <w:tblW w:w="6155" w:type="dxa"/>
        <w:tblInd w:w="103" w:type="dxa"/>
        <w:tblLook w:val="04A0" w:firstRow="1" w:lastRow="0" w:firstColumn="1" w:lastColumn="0" w:noHBand="0" w:noVBand="1"/>
      </w:tblPr>
      <w:tblGrid>
        <w:gridCol w:w="1180"/>
        <w:gridCol w:w="995"/>
        <w:gridCol w:w="995"/>
        <w:gridCol w:w="995"/>
        <w:gridCol w:w="995"/>
        <w:gridCol w:w="995"/>
      </w:tblGrid>
      <w:tr>
        <w:trPr>
          <w:trHeight w:val="28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Arial Narrow" w:eastAsia="Times New Roman" w:hAnsi="Arial Narrow" w:cs="Arial"/>
                <w:noProof/>
                <w:sz w:val="20"/>
                <w:szCs w:val="20"/>
                <w:lang w:eastAsia="en-GB"/>
              </w:rPr>
            </w:pPr>
            <w:r>
              <w:rPr>
                <w:rFonts w:ascii="Arial Narrow" w:eastAsia="Times New Roman" w:hAnsi="Arial Narrow" w:cs="Arial"/>
                <w:noProof/>
                <w:sz w:val="20"/>
                <w:szCs w:val="20"/>
                <w:lang w:eastAsia="en-GB"/>
              </w:rPr>
              <w:t>01/07/2019</w:t>
            </w:r>
          </w:p>
        </w:tc>
        <w:tc>
          <w:tcPr>
            <w:tcW w:w="4975" w:type="dxa"/>
            <w:gridSpan w:val="5"/>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lang w:eastAsia="en-GB"/>
              </w:rPr>
            </w:pPr>
            <w:r>
              <w:rPr>
                <w:rFonts w:ascii="Arial" w:eastAsia="Times New Roman" w:hAnsi="Arial" w:cs="Arial"/>
                <w:noProof/>
                <w:lang w:eastAsia="en-GB"/>
              </w:rPr>
              <w:t>STEP</w:t>
            </w:r>
          </w:p>
        </w:tc>
      </w:tr>
      <w:tr>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GRADE</w:t>
            </w:r>
          </w:p>
        </w:tc>
        <w:tc>
          <w:tcPr>
            <w:tcW w:w="995"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w:t>
            </w:r>
          </w:p>
        </w:tc>
        <w:tc>
          <w:tcPr>
            <w:tcW w:w="995"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w:t>
            </w:r>
          </w:p>
        </w:tc>
        <w:tc>
          <w:tcPr>
            <w:tcW w:w="995"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3</w:t>
            </w:r>
          </w:p>
        </w:tc>
        <w:tc>
          <w:tcPr>
            <w:tcW w:w="995"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w:t>
            </w:r>
          </w:p>
        </w:tc>
        <w:tc>
          <w:tcPr>
            <w:tcW w:w="995" w:type="dxa"/>
            <w:tcBorders>
              <w:top w:val="single" w:sz="4" w:space="0" w:color="auto"/>
              <w:left w:val="nil"/>
              <w:bottom w:val="single" w:sz="4" w:space="0" w:color="auto"/>
              <w:right w:val="single" w:sz="4" w:space="0" w:color="auto"/>
            </w:tcBorders>
            <w:shd w:val="clear" w:color="000000" w:fill="FFFFFF"/>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w:t>
            </w:r>
          </w:p>
        </w:tc>
      </w:tr>
      <w:tr>
        <w:trPr>
          <w:trHeight w:val="255"/>
        </w:trPr>
        <w:tc>
          <w:tcPr>
            <w:tcW w:w="11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w:t>
            </w:r>
          </w:p>
        </w:tc>
        <w:tc>
          <w:tcPr>
            <w:tcW w:w="995" w:type="dxa"/>
            <w:tcBorders>
              <w:top w:val="single" w:sz="4" w:space="0" w:color="auto"/>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4.844,35</w:t>
            </w:r>
          </w:p>
        </w:tc>
        <w:tc>
          <w:tcPr>
            <w:tcW w:w="995" w:type="dxa"/>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5.047,92</w:t>
            </w:r>
          </w:p>
        </w:tc>
        <w:tc>
          <w:tcPr>
            <w:tcW w:w="995" w:type="dxa"/>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5.260,04</w:t>
            </w:r>
          </w:p>
        </w:tc>
        <w:tc>
          <w:tcPr>
            <w:tcW w:w="995" w:type="dxa"/>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5.406,37</w:t>
            </w:r>
          </w:p>
        </w:tc>
        <w:tc>
          <w:tcPr>
            <w:tcW w:w="995" w:type="dxa"/>
            <w:tcBorders>
              <w:top w:val="single" w:sz="4" w:space="0" w:color="auto"/>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5.481,07</w:t>
            </w:r>
          </w:p>
        </w:tc>
      </w:tr>
      <w:tr>
        <w:trPr>
          <w:trHeight w:val="255"/>
        </w:trPr>
        <w:tc>
          <w:tcPr>
            <w:tcW w:w="11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w:t>
            </w:r>
          </w:p>
        </w:tc>
        <w:tc>
          <w:tcPr>
            <w:tcW w:w="995" w:type="dxa"/>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4.281,60</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4.461,52</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4.649,65</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4.778,33</w:t>
            </w:r>
          </w:p>
        </w:tc>
        <w:tc>
          <w:tcPr>
            <w:tcW w:w="995" w:type="dxa"/>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4.844,35</w:t>
            </w:r>
          </w:p>
        </w:tc>
      </w:tr>
      <w:tr>
        <w:trPr>
          <w:trHeight w:val="255"/>
        </w:trPr>
        <w:tc>
          <w:tcPr>
            <w:tcW w:w="11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w:t>
            </w:r>
          </w:p>
        </w:tc>
        <w:tc>
          <w:tcPr>
            <w:tcW w:w="995" w:type="dxa"/>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3.784,23</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3.943,23</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4.108,94</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4.223,26</w:t>
            </w:r>
          </w:p>
        </w:tc>
        <w:tc>
          <w:tcPr>
            <w:tcW w:w="995" w:type="dxa"/>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4.281,60</w:t>
            </w:r>
          </w:p>
        </w:tc>
      </w:tr>
      <w:tr>
        <w:trPr>
          <w:trHeight w:val="255"/>
        </w:trPr>
        <w:tc>
          <w:tcPr>
            <w:tcW w:w="11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3</w:t>
            </w:r>
          </w:p>
        </w:tc>
        <w:tc>
          <w:tcPr>
            <w:tcW w:w="995" w:type="dxa"/>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3.344,61</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3.485,15</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3.631,63</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3.732,64</w:t>
            </w:r>
          </w:p>
        </w:tc>
        <w:tc>
          <w:tcPr>
            <w:tcW w:w="995" w:type="dxa"/>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3.784,23</w:t>
            </w:r>
          </w:p>
        </w:tc>
      </w:tr>
      <w:tr>
        <w:trPr>
          <w:trHeight w:val="255"/>
        </w:trPr>
        <w:tc>
          <w:tcPr>
            <w:tcW w:w="11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w:t>
            </w:r>
          </w:p>
        </w:tc>
        <w:tc>
          <w:tcPr>
            <w:tcW w:w="995" w:type="dxa"/>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2.956,07</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3.080,30</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3.209,75</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3.299,04</w:t>
            </w:r>
          </w:p>
        </w:tc>
        <w:tc>
          <w:tcPr>
            <w:tcW w:w="995" w:type="dxa"/>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3.344,61</w:t>
            </w:r>
          </w:p>
        </w:tc>
      </w:tr>
      <w:tr>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w:t>
            </w:r>
          </w:p>
        </w:tc>
        <w:tc>
          <w:tcPr>
            <w:tcW w:w="995" w:type="dxa"/>
            <w:tcBorders>
              <w:left w:val="single" w:sz="4" w:space="0" w:color="auto"/>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2.612,68</w:t>
            </w:r>
          </w:p>
        </w:tc>
        <w:tc>
          <w:tcPr>
            <w:tcW w:w="995" w:type="dxa"/>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2.722,47</w:t>
            </w:r>
          </w:p>
        </w:tc>
        <w:tc>
          <w:tcPr>
            <w:tcW w:w="995" w:type="dxa"/>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2.836,88</w:t>
            </w:r>
          </w:p>
        </w:tc>
        <w:tc>
          <w:tcPr>
            <w:tcW w:w="995" w:type="dxa"/>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2.915,78</w:t>
            </w:r>
          </w:p>
        </w:tc>
        <w:tc>
          <w:tcPr>
            <w:tcW w:w="995" w:type="dxa"/>
            <w:tcBorders>
              <w:bottom w:val="single" w:sz="4" w:space="0" w:color="auto"/>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2.956,07</w:t>
            </w:r>
          </w:p>
        </w:tc>
      </w:tr>
    </w:tbl>
    <w:p>
      <w:pPr>
        <w:spacing w:before="120" w:after="120" w:line="240" w:lineRule="auto"/>
        <w:jc w:val="both"/>
        <w:rPr>
          <w:rFonts w:ascii="Times New Roman" w:eastAsia="Calibri" w:hAnsi="Times New Roman" w:cs="Times New Roman"/>
          <w:noProof/>
          <w:sz w:val="24"/>
          <w:szCs w:val="20"/>
          <w:lang w:eastAsia="en-GB"/>
        </w:rPr>
      </w:pPr>
    </w:p>
    <w:p>
      <w:pPr>
        <w:spacing w:before="120" w:after="120" w:line="240" w:lineRule="auto"/>
        <w:jc w:val="both"/>
        <w:rPr>
          <w:rFonts w:ascii="Times New Roman" w:eastAsia="Calibri" w:hAnsi="Times New Roman" w:cs="Times New Roman"/>
          <w:noProof/>
          <w:sz w:val="24"/>
          <w:szCs w:val="20"/>
          <w:lang w:eastAsia="en-GB"/>
        </w:rPr>
      </w:pPr>
    </w:p>
    <w:p>
      <w:pPr>
        <w:spacing w:before="120" w:after="12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3. Table of the correction coefficients applicable to the remuneration and pensions of officials and other servants of the European Union referred to in Article 64 of the Staff Regulations containing:</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lastRenderedPageBreak/>
        <w:t>- Correction coefficients applicable from 1 July 2019 to the remuneration of officials and other servants referred to in Article 64 of the Staff Regulations (indicated in column 2 of the following table);</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Correction coefficients applicable from 1 January 2020 under Article 17(3) of Annex VII to the Staff Regulations to transfers by officials and other servants (indicated in column 3 of the following table);</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Correction coefficients applicable from 1 July 2019 to pensions under Article 20(1) of Annex XIII to the Staff Regulations (indicated in column 4 of the following table);</w:t>
      </w:r>
    </w:p>
    <w:tbl>
      <w:tblPr>
        <w:tblW w:w="5901" w:type="dxa"/>
        <w:tblInd w:w="93" w:type="dxa"/>
        <w:tblLook w:val="04A0" w:firstRow="1" w:lastRow="0" w:firstColumn="1" w:lastColumn="0" w:noHBand="0" w:noVBand="1"/>
      </w:tblPr>
      <w:tblGrid>
        <w:gridCol w:w="1540"/>
        <w:gridCol w:w="1561"/>
        <w:gridCol w:w="1400"/>
        <w:gridCol w:w="1400"/>
      </w:tblGrid>
      <w:tr>
        <w:trPr>
          <w:trHeight w:val="255"/>
        </w:trPr>
        <w:tc>
          <w:tcPr>
            <w:tcW w:w="154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sz w:val="16"/>
                <w:szCs w:val="16"/>
                <w:lang w:eastAsia="en-GB"/>
              </w:rPr>
            </w:pPr>
            <w:r>
              <w:rPr>
                <w:rFonts w:ascii="Arial" w:eastAsia="Times New Roman" w:hAnsi="Arial" w:cs="Arial"/>
                <w:noProof/>
                <w:sz w:val="16"/>
                <w:szCs w:val="16"/>
                <w:lang w:eastAsia="en-GB"/>
              </w:rPr>
              <w:t>1</w:t>
            </w:r>
          </w:p>
        </w:tc>
        <w:tc>
          <w:tcPr>
            <w:tcW w:w="1561"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sz w:val="16"/>
                <w:szCs w:val="16"/>
                <w:lang w:eastAsia="en-GB"/>
              </w:rPr>
            </w:pPr>
            <w:r>
              <w:rPr>
                <w:rFonts w:ascii="Arial" w:eastAsia="Times New Roman" w:hAnsi="Arial" w:cs="Arial"/>
                <w:noProof/>
                <w:sz w:val="16"/>
                <w:szCs w:val="16"/>
                <w:lang w:eastAsia="en-GB"/>
              </w:rPr>
              <w:t>2</w:t>
            </w:r>
          </w:p>
        </w:tc>
        <w:tc>
          <w:tcPr>
            <w:tcW w:w="140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sz w:val="16"/>
                <w:szCs w:val="16"/>
                <w:lang w:eastAsia="en-GB"/>
              </w:rPr>
            </w:pPr>
            <w:r>
              <w:rPr>
                <w:rFonts w:ascii="Arial" w:eastAsia="Times New Roman" w:hAnsi="Arial" w:cs="Arial"/>
                <w:noProof/>
                <w:sz w:val="16"/>
                <w:szCs w:val="16"/>
                <w:lang w:eastAsia="en-GB"/>
              </w:rPr>
              <w:t>3</w:t>
            </w:r>
          </w:p>
        </w:tc>
        <w:tc>
          <w:tcPr>
            <w:tcW w:w="140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sz w:val="16"/>
                <w:szCs w:val="16"/>
                <w:lang w:eastAsia="en-GB"/>
              </w:rPr>
            </w:pPr>
            <w:r>
              <w:rPr>
                <w:rFonts w:ascii="Arial" w:eastAsia="Times New Roman" w:hAnsi="Arial" w:cs="Arial"/>
                <w:noProof/>
                <w:sz w:val="16"/>
                <w:szCs w:val="16"/>
                <w:lang w:eastAsia="en-GB"/>
              </w:rPr>
              <w:t>4</w:t>
            </w:r>
          </w:p>
        </w:tc>
      </w:tr>
      <w:tr>
        <w:trPr>
          <w:trHeight w:val="255"/>
        </w:trPr>
        <w:tc>
          <w:tcPr>
            <w:tcW w:w="1540" w:type="dxa"/>
            <w:tcBorders>
              <w:top w:val="single" w:sz="4" w:space="0" w:color="auto"/>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1561" w:type="dxa"/>
            <w:tcBorders>
              <w:top w:val="single" w:sz="4" w:space="0" w:color="auto"/>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Remuneration</w:t>
            </w:r>
          </w:p>
        </w:tc>
        <w:tc>
          <w:tcPr>
            <w:tcW w:w="1400" w:type="dxa"/>
            <w:tcBorders>
              <w:top w:val="single" w:sz="4" w:space="0" w:color="auto"/>
              <w:left w:val="nil"/>
              <w:bottom w:val="nil"/>
              <w:right w:val="nil"/>
            </w:tcBorders>
            <w:shd w:val="clear" w:color="auto" w:fill="auto"/>
            <w:noWrap/>
            <w:vAlign w:val="bottom"/>
            <w:hideMark/>
          </w:tcPr>
          <w:p>
            <w:pPr>
              <w:spacing w:after="0" w:line="240" w:lineRule="auto"/>
              <w:jc w:val="center"/>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Transfer</w:t>
            </w:r>
          </w:p>
        </w:tc>
        <w:tc>
          <w:tcPr>
            <w:tcW w:w="1400" w:type="dxa"/>
            <w:tcBorders>
              <w:top w:val="single" w:sz="4" w:space="0" w:color="auto"/>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Pension</w:t>
            </w:r>
          </w:p>
        </w:tc>
      </w:tr>
      <w:tr>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Country / Place</w:t>
            </w:r>
          </w:p>
        </w:tc>
        <w:tc>
          <w:tcPr>
            <w:tcW w:w="156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1.7.2019</w:t>
            </w:r>
          </w:p>
        </w:tc>
        <w:tc>
          <w:tcPr>
            <w:tcW w:w="140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1.1.2020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1.7.2019</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Bulgaria</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57,5</w:t>
            </w:r>
          </w:p>
        </w:tc>
        <w:tc>
          <w:tcPr>
            <w:tcW w:w="1400" w:type="dxa"/>
            <w:tcBorders>
              <w:top w:val="single" w:sz="4" w:space="0" w:color="auto"/>
              <w:left w:val="nil"/>
              <w:bottom w:val="nil"/>
              <w:right w:val="nil"/>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55,7</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Czech Rep.</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85,5</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74,0</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Denmark</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129,3</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132,2</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132,2</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Germany</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99,4</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100,5</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100,5</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Bonn</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95,1</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Karlsruhe</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96,5</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Münich</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110,3</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Estonia</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83,3</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86,0</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Ireland</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119,2</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123,3</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123,3</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Greece</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81,8</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79,0</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Spain</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91,6</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89,2</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France</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117,7</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110,0</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110,0</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Croatia</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75,9</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67,3</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Italy</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95,2</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95,5</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Varese</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90,0</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Cyprus</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78,9</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82,4</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Latvia</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78,6</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73,1</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Lithuania</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75,1</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67,7</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Hungary</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75,3</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64,0</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Malta</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92,0</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95,3</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Netherlands</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111,5</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111,3</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111,3</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Austria</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106,0</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108,2</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108,2</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Poland</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71,1</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60,8</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Portugal</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88,6</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86,7</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Romania</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65,3</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55,9</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Slovenia</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84,6</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82,2</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Slovakia</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79,0</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69,2</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Finland</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118,1</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120,3</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120,3</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Sweden</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120,5</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110,5</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110,5</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United Kingdom</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132,9</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121,4</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121,4</w:t>
            </w:r>
          </w:p>
        </w:tc>
      </w:tr>
      <w:tr>
        <w:trPr>
          <w:trHeight w:val="255"/>
        </w:trPr>
        <w:tc>
          <w:tcPr>
            <w:tcW w:w="1540" w:type="dxa"/>
            <w:tcBorders>
              <w:top w:val="nil"/>
              <w:left w:val="single" w:sz="4" w:space="0" w:color="auto"/>
              <w:bottom w:val="single" w:sz="4" w:space="0" w:color="auto"/>
              <w:right w:val="nil"/>
            </w:tcBorders>
            <w:shd w:val="clear" w:color="auto" w:fill="auto"/>
            <w:noWrap/>
            <w:vAlign w:val="bottom"/>
            <w:hideMark/>
          </w:tcPr>
          <w:p>
            <w:pPr>
              <w:spacing w:after="0" w:line="240" w:lineRule="auto"/>
              <w:jc w:val="right"/>
              <w:rPr>
                <w:rFonts w:ascii="Arial" w:eastAsia="Times New Roman" w:hAnsi="Arial" w:cs="Arial"/>
                <w:noProof/>
                <w:sz w:val="20"/>
                <w:szCs w:val="20"/>
                <w:lang w:eastAsia="en-GB"/>
              </w:rPr>
            </w:pPr>
            <w:r>
              <w:rPr>
                <w:rFonts w:ascii="Arial" w:eastAsia="Times New Roman" w:hAnsi="Arial" w:cs="Arial"/>
                <w:noProof/>
                <w:sz w:val="20"/>
                <w:szCs w:val="20"/>
                <w:lang w:eastAsia="en-GB"/>
              </w:rPr>
              <w:t>Culham</w:t>
            </w:r>
          </w:p>
        </w:tc>
        <w:tc>
          <w:tcPr>
            <w:tcW w:w="1561" w:type="dxa"/>
            <w:tcBorders>
              <w:top w:val="nil"/>
              <w:left w:val="single" w:sz="4" w:space="0" w:color="auto"/>
              <w:bottom w:val="single" w:sz="4" w:space="0" w:color="auto"/>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102,0</w:t>
            </w:r>
          </w:p>
        </w:tc>
        <w:tc>
          <w:tcPr>
            <w:tcW w:w="1400" w:type="dxa"/>
            <w:tcBorders>
              <w:top w:val="nil"/>
              <w:left w:val="nil"/>
              <w:bottom w:val="single" w:sz="4" w:space="0" w:color="auto"/>
              <w:right w:val="nil"/>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bl>
    <w:p>
      <w:pPr>
        <w:spacing w:after="0" w:line="360" w:lineRule="auto"/>
        <w:jc w:val="center"/>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p>
    <w:p>
      <w:pPr>
        <w:spacing w:before="120" w:after="120" w:line="24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4.1. Amount of the parental leave allowance referred to in the second paragraph of Article 42a of the Staff Regulations, applicable from 1 July 2019 - EUR 1023,56.</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4.2. Amount of the parental leave allowance referred to in the third paragraph of Article 42a of the Staff Regulations, applicable from 1 July 2019 - EUR 1364,75.</w:t>
      </w:r>
    </w:p>
    <w:p>
      <w:pPr>
        <w:spacing w:after="0" w:line="36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5.1. Basic amount of the household allowance referred to in Article 1(1) of Annex VII to the Staff Regulations, applicable from 1 July 2019 - EUR 191,44.</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5.2. Amount of the dependent child allowance referred to in Article 2(1) of Annex VII to the Staff Regulations, applicable from 1 July 2019 - EUR 418,31.</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5.3. Amount of the education allowance referred to in Article 3(1) of Annex VII to the Staff Regulations, applicable from 1 July 2019 - EUR 283,82.</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5.4. Amount of the education allowance referred to in Article 3(2) of Annex VII to the Staff Regulations, applicable from 1 July 2019 - EUR 102,18.</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5.5. Minimum amount of the expatriation allowance referred to in Article 69 of the Staff Regulations and in the second subparagraph of Article 4(1) of Annex VII thereto, applicable from 1 July 2019 - EUR 567,38.</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5.6. Amount of the expatriation allowance referred to in Article 134 of the Conditions of Employment of Other Servants, applicable from 1 July 2019 - EUR 407,88.</w:t>
      </w:r>
    </w:p>
    <w:p>
      <w:pPr>
        <w:spacing w:after="0" w:line="360" w:lineRule="auto"/>
        <w:jc w:val="both"/>
        <w:rPr>
          <w:rFonts w:ascii="Times New Roman" w:eastAsia="Calibri" w:hAnsi="Times New Roman" w:cs="Times New Roman"/>
          <w:i/>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6.1. Amount of the kilometric allowance referred to in Article 7(2) of Annex VII to the Staff Regulations, applicable from 1 July 2019: </w:t>
      </w:r>
    </w:p>
    <w:tbl>
      <w:tblPr>
        <w:tblW w:w="2880" w:type="dxa"/>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66"/>
        <w:gridCol w:w="1214"/>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0 to 200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0,2110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201 to 1 000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0,3518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1 001 to 2 000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0,2110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2 001 to 3 000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0,0703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3 001 to 4 000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0,0340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4 001 to 10 000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 for every km over</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10 000 km.</w:t>
            </w:r>
          </w:p>
        </w:tc>
      </w:tr>
    </w:tbl>
    <w:p>
      <w:pPr>
        <w:spacing w:after="0" w:line="36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6.2. Amount of the flat-rate supplement to the kilometric allowance referred to in Article 7(2) of Annex VII to the Staff Regulations, applicable from 1 July 2019: </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105,51 if the geographical distance between the places referred to in paragraph 1 is between 600 km and 1 200 km,</w:t>
      </w:r>
    </w:p>
    <w:p>
      <w:pPr>
        <w:spacing w:after="0" w:line="36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211,02 if the geographical distance between the places referred to in paragraph 1 is greater than 1 200 km</w:t>
      </w:r>
    </w:p>
    <w:p>
      <w:pPr>
        <w:spacing w:after="0" w:line="36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7.1. Amount of the kilometric allowance referred to in Article 8(2) of Annex VII to the Staff Regulations, applicable from 1 January 2020:</w:t>
      </w:r>
    </w:p>
    <w:tbl>
      <w:tblPr>
        <w:tblW w:w="2880" w:type="dxa"/>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66"/>
        <w:gridCol w:w="1214"/>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0 to 200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0,4255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201 to 1 000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0,7091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1 001 to 2 000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0,4255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2 001 to 3 000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0,1417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3 001 to 4 000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0,0684 for every km from</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4 001 to 10 000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 0 for every km over</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10 000 km.  </w:t>
            </w:r>
          </w:p>
        </w:tc>
      </w:tr>
    </w:tbl>
    <w:p>
      <w:pPr>
        <w:spacing w:after="0" w:line="36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7.2. Amount of the flat-rate supplement to the kilometric allowance referred to in Article 8(2) of Annex VII to the Staff Regulations, applicable from 1 January 2020:</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212,72 if the geographical distance between the place of employment and the place of origin is between 600 km and 1 200 km,</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425,41 if the geographical distance between the place of employment and the place of origin is greater than 1 200 km</w:t>
      </w:r>
    </w:p>
    <w:p>
      <w:pPr>
        <w:spacing w:after="0" w:line="36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8. Amount of the daily subsistence allowance referred to in Article 10(1) of Annex VII to the Staff Regulations, applicable from 1 July 2019:</w:t>
      </w:r>
    </w:p>
    <w:p>
      <w:pPr>
        <w:tabs>
          <w:tab w:val="num" w:pos="283"/>
        </w:tabs>
        <w:spacing w:after="0" w:line="360" w:lineRule="auto"/>
        <w:ind w:left="283" w:hanging="283"/>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w:t>
      </w:r>
      <w:r>
        <w:rPr>
          <w:rFonts w:ascii="Times New Roman" w:eastAsia="Times New Roman" w:hAnsi="Times New Roman" w:cs="Times New Roman"/>
          <w:noProof/>
          <w:sz w:val="24"/>
          <w:szCs w:val="24"/>
          <w:lang w:eastAsia="de-DE"/>
        </w:rPr>
        <w:tab/>
        <w:t>EUR 43,97 for an official who is entitled to the household allowance;</w:t>
      </w:r>
    </w:p>
    <w:p>
      <w:pPr>
        <w:tabs>
          <w:tab w:val="num" w:pos="283"/>
        </w:tabs>
        <w:spacing w:after="0" w:line="360" w:lineRule="auto"/>
        <w:ind w:left="283" w:hanging="283"/>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w:t>
      </w:r>
      <w:r>
        <w:rPr>
          <w:rFonts w:ascii="Times New Roman" w:eastAsia="Times New Roman" w:hAnsi="Times New Roman" w:cs="Times New Roman"/>
          <w:noProof/>
          <w:sz w:val="24"/>
          <w:szCs w:val="24"/>
          <w:lang w:eastAsia="de-DE"/>
        </w:rPr>
        <w:tab/>
        <w:t>EUR 35,46 for an official who is not entitled to the household allowance.</w:t>
      </w:r>
    </w:p>
    <w:p>
      <w:pPr>
        <w:tabs>
          <w:tab w:val="num" w:pos="283"/>
        </w:tabs>
        <w:spacing w:after="0" w:line="360" w:lineRule="auto"/>
        <w:ind w:left="283" w:hanging="283"/>
        <w:jc w:val="both"/>
        <w:rPr>
          <w:rFonts w:ascii="Times New Roman" w:eastAsia="Times New Roman" w:hAnsi="Times New Roman" w:cs="Times New Roman"/>
          <w:noProof/>
          <w:sz w:val="24"/>
          <w:szCs w:val="24"/>
          <w:lang w:eastAsia="de-DE"/>
        </w:rPr>
      </w:pPr>
    </w:p>
    <w:p>
      <w:pPr>
        <w:spacing w:after="0" w:line="360" w:lineRule="auto"/>
        <w:jc w:val="both"/>
        <w:rPr>
          <w:rFonts w:ascii="Times New Roman" w:eastAsia="Calibri" w:hAnsi="Times New Roman" w:cs="Times New Roman"/>
          <w:noProof/>
          <w:sz w:val="24"/>
          <w:szCs w:val="20"/>
          <w:lang w:eastAsia="en-GB"/>
        </w:rPr>
      </w:pPr>
      <w:r>
        <w:rPr>
          <w:rFonts w:ascii="Times New Roman" w:eastAsia="Times New Roman" w:hAnsi="Times New Roman" w:cs="Times New Roman"/>
          <w:noProof/>
          <w:sz w:val="24"/>
          <w:szCs w:val="24"/>
          <w:lang w:eastAsia="de-DE"/>
        </w:rPr>
        <w:t>9. Amount of the</w:t>
      </w:r>
      <w:r>
        <w:rPr>
          <w:rFonts w:ascii="Times New Roman" w:eastAsia="Calibri" w:hAnsi="Times New Roman" w:cs="Times New Roman"/>
          <w:noProof/>
          <w:sz w:val="24"/>
          <w:szCs w:val="20"/>
          <w:lang w:eastAsia="en-GB"/>
        </w:rPr>
        <w:t xml:space="preserve"> lower limit for the installation allowance referred to in Article 24(3) of the Conditions of Employment of Other Servants, applicable from 1 July 2019: </w:t>
      </w:r>
    </w:p>
    <w:p>
      <w:pPr>
        <w:tabs>
          <w:tab w:val="num" w:pos="283"/>
        </w:tabs>
        <w:spacing w:after="0" w:line="360" w:lineRule="auto"/>
        <w:ind w:left="283" w:hanging="283"/>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w:t>
      </w:r>
      <w:r>
        <w:rPr>
          <w:rFonts w:ascii="Times New Roman" w:eastAsia="Times New Roman" w:hAnsi="Times New Roman" w:cs="Times New Roman"/>
          <w:noProof/>
          <w:sz w:val="24"/>
          <w:szCs w:val="24"/>
          <w:lang w:eastAsia="de-DE"/>
        </w:rPr>
        <w:tab/>
        <w:t>EUR 1251,74 for a servant who is entitled to the household allowance;</w:t>
      </w:r>
    </w:p>
    <w:p>
      <w:pPr>
        <w:tabs>
          <w:tab w:val="num" w:pos="283"/>
        </w:tabs>
        <w:spacing w:after="0" w:line="360" w:lineRule="auto"/>
        <w:ind w:left="283" w:hanging="283"/>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w:t>
      </w:r>
      <w:r>
        <w:rPr>
          <w:rFonts w:ascii="Times New Roman" w:eastAsia="Times New Roman" w:hAnsi="Times New Roman" w:cs="Times New Roman"/>
          <w:noProof/>
          <w:sz w:val="24"/>
          <w:szCs w:val="24"/>
          <w:lang w:eastAsia="de-DE"/>
        </w:rPr>
        <w:tab/>
        <w:t>EUR 744,28 for a servant who is not entitled to the household allowance.</w:t>
      </w:r>
    </w:p>
    <w:p>
      <w:pPr>
        <w:tabs>
          <w:tab w:val="num" w:pos="283"/>
        </w:tabs>
        <w:spacing w:after="0" w:line="360" w:lineRule="auto"/>
        <w:ind w:left="283" w:hanging="283"/>
        <w:jc w:val="both"/>
        <w:rPr>
          <w:rFonts w:ascii="Times New Roman" w:eastAsia="Times New Roman" w:hAnsi="Times New Roman" w:cs="Times New Roman"/>
          <w:noProof/>
          <w:sz w:val="24"/>
          <w:szCs w:val="24"/>
          <w:lang w:eastAsia="de-DE"/>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10.1. Amount of the lower and upper limits of the unemployment allowance referred to in the second subparagraph of Article 28a(3) of the Conditions of Employment of Other Servants, applicable from 1 July 2019:</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1501,22 (lower limit);</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 EUR 3002,43 (upper limit). </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10.2. Amount of the standard allowance referred to in Article 28a(7) of the Conditions of Employment of Other Servants, applicable from 1 July 2019  - EUR 1364,75.</w:t>
      </w:r>
    </w:p>
    <w:p>
      <w:pPr>
        <w:spacing w:after="0" w:line="36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11. Table containing the amounts of the scale of basic salaries provided for in Article 93 of the Conditions of Employment of Other Servants, applicable from 1 July 2019:</w:t>
      </w:r>
    </w:p>
    <w:tbl>
      <w:tblPr>
        <w:tblW w:w="5000" w:type="pct"/>
        <w:tblLayout w:type="fixed"/>
        <w:tblLook w:val="04A0" w:firstRow="1" w:lastRow="0" w:firstColumn="1" w:lastColumn="0" w:noHBand="0" w:noVBand="1"/>
      </w:tblPr>
      <w:tblGrid>
        <w:gridCol w:w="1068"/>
        <w:gridCol w:w="1198"/>
        <w:gridCol w:w="1001"/>
        <w:gridCol w:w="104"/>
        <w:gridCol w:w="899"/>
        <w:gridCol w:w="87"/>
        <w:gridCol w:w="916"/>
        <w:gridCol w:w="71"/>
        <w:gridCol w:w="933"/>
        <w:gridCol w:w="52"/>
        <w:gridCol w:w="951"/>
        <w:gridCol w:w="35"/>
        <w:gridCol w:w="968"/>
        <w:gridCol w:w="19"/>
        <w:gridCol w:w="986"/>
      </w:tblGrid>
      <w:tr>
        <w:trPr>
          <w:trHeight w:val="315"/>
        </w:trPr>
        <w:tc>
          <w:tcPr>
            <w:tcW w:w="575" w:type="pct"/>
            <w:vMerge w:val="restart"/>
            <w:tcBorders>
              <w:top w:val="single" w:sz="4" w:space="0" w:color="auto"/>
              <w:left w:val="single" w:sz="4" w:space="0" w:color="auto"/>
              <w:right w:val="single" w:sz="4" w:space="0" w:color="auto"/>
            </w:tcBorders>
            <w:shd w:val="clear" w:color="auto" w:fill="auto"/>
            <w:noWrap/>
            <w:vAlign w:val="center"/>
            <w:hideMark/>
          </w:tcPr>
          <w:p>
            <w:pPr>
              <w:spacing w:after="0" w:line="240" w:lineRule="auto"/>
              <w:jc w:val="center"/>
              <w:rPr>
                <w:rFonts w:ascii="Arial Narrow" w:eastAsia="Times New Roman" w:hAnsi="Arial Narrow" w:cs="Arial"/>
                <w:noProof/>
                <w:sz w:val="20"/>
                <w:szCs w:val="20"/>
                <w:lang w:eastAsia="en-GB"/>
              </w:rPr>
            </w:pPr>
            <w:r>
              <w:rPr>
                <w:rFonts w:ascii="Arial Narrow" w:eastAsia="Times New Roman" w:hAnsi="Arial Narrow" w:cs="Arial"/>
                <w:noProof/>
                <w:sz w:val="20"/>
                <w:szCs w:val="20"/>
                <w:lang w:eastAsia="en-GB"/>
              </w:rPr>
              <w:t>FUNCTION GROUP</w:t>
            </w:r>
          </w:p>
        </w:tc>
        <w:tc>
          <w:tcPr>
            <w:tcW w:w="64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Narrow" w:eastAsia="Times New Roman" w:hAnsi="Arial Narrow" w:cs="Arial"/>
                <w:noProof/>
                <w:szCs w:val="24"/>
                <w:lang w:eastAsia="en-GB"/>
              </w:rPr>
            </w:pPr>
            <w:r>
              <w:rPr>
                <w:rFonts w:ascii="Arial Narrow" w:eastAsia="Times New Roman" w:hAnsi="Arial Narrow" w:cs="Arial"/>
                <w:noProof/>
                <w:szCs w:val="24"/>
                <w:lang w:eastAsia="en-GB"/>
              </w:rPr>
              <w:t>01/07/2019</w:t>
            </w:r>
          </w:p>
        </w:tc>
        <w:tc>
          <w:tcPr>
            <w:tcW w:w="3780" w:type="pct"/>
            <w:gridSpan w:val="13"/>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lang w:eastAsia="en-GB"/>
              </w:rPr>
            </w:pPr>
            <w:r>
              <w:rPr>
                <w:rFonts w:ascii="Arial" w:eastAsia="Times New Roman" w:hAnsi="Arial" w:cs="Arial"/>
                <w:noProof/>
                <w:sz w:val="20"/>
                <w:szCs w:val="20"/>
                <w:lang w:eastAsia="en-GB"/>
              </w:rPr>
              <w:t>STEP</w:t>
            </w:r>
          </w:p>
        </w:tc>
      </w:tr>
      <w:tr>
        <w:trPr>
          <w:trHeight w:val="255"/>
        </w:trPr>
        <w:tc>
          <w:tcPr>
            <w:tcW w:w="575" w:type="pct"/>
            <w:vMerge/>
            <w:tcBorders>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Arial Narrow" w:eastAsia="Times New Roman" w:hAnsi="Arial Narrow" w:cs="Arial"/>
                <w:noProof/>
                <w:sz w:val="20"/>
                <w:szCs w:val="20"/>
                <w:lang w:eastAsia="en-GB"/>
              </w:rPr>
            </w:pPr>
          </w:p>
        </w:tc>
        <w:tc>
          <w:tcPr>
            <w:tcW w:w="645"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GRADE</w:t>
            </w:r>
          </w:p>
        </w:tc>
        <w:tc>
          <w:tcPr>
            <w:tcW w:w="595"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w:t>
            </w:r>
          </w:p>
        </w:tc>
        <w:tc>
          <w:tcPr>
            <w:tcW w:w="531"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2</w:t>
            </w:r>
          </w:p>
        </w:tc>
        <w:tc>
          <w:tcPr>
            <w:tcW w:w="531"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3</w:t>
            </w:r>
          </w:p>
        </w:tc>
        <w:tc>
          <w:tcPr>
            <w:tcW w:w="530"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4</w:t>
            </w:r>
          </w:p>
        </w:tc>
        <w:tc>
          <w:tcPr>
            <w:tcW w:w="531" w:type="pct"/>
            <w:gridSpan w:val="2"/>
            <w:tcBorders>
              <w:top w:val="nil"/>
              <w:left w:val="nil"/>
              <w:bottom w:val="single" w:sz="4" w:space="0" w:color="auto"/>
              <w:right w:val="nil"/>
            </w:tcBorders>
            <w:shd w:val="clear" w:color="000000" w:fill="FFFFFF"/>
            <w:noWrap/>
            <w:vAlign w:val="bottom"/>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5</w:t>
            </w:r>
          </w:p>
        </w:tc>
        <w:tc>
          <w:tcPr>
            <w:tcW w:w="531" w:type="pct"/>
            <w:gridSpan w:val="2"/>
            <w:tcBorders>
              <w:top w:val="single" w:sz="4" w:space="0" w:color="auto"/>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6</w:t>
            </w:r>
          </w:p>
        </w:tc>
        <w:tc>
          <w:tcPr>
            <w:tcW w:w="531" w:type="pct"/>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7</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IV</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18</w:t>
            </w:r>
          </w:p>
        </w:tc>
        <w:tc>
          <w:tcPr>
            <w:tcW w:w="539" w:type="pct"/>
            <w:tcBorders>
              <w:top w:val="single" w:sz="4" w:space="0" w:color="auto"/>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6.547,83</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6.683,99</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6.822,98</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6.964,87</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7.109,72</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7.257,57</w:t>
            </w:r>
          </w:p>
        </w:tc>
        <w:tc>
          <w:tcPr>
            <w:tcW w:w="541" w:type="pct"/>
            <w:gridSpan w:val="2"/>
            <w:tcBorders>
              <w:top w:val="single" w:sz="4" w:space="0" w:color="auto"/>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7.408,48</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17</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5.787,14</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5.907,48</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6.030,33</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6.155,74</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6.283,75</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6.414,42</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6.547,83</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16</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5.114,82</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5.221,17</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5.329,76</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5.440,60</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5.553,75</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5.669,25</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5.787,14</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15</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4.520,60</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4.614,61</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4.710,58</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4.808,54</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4.908,54</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5.010,61</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5.114,82</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14</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3.995,43</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4.078,52</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4.163,34</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4.249,92</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4.338,32</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4.428,50</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4.520,60</w:t>
            </w:r>
          </w:p>
        </w:tc>
      </w:tr>
      <w:tr>
        <w:trPr>
          <w:trHeight w:val="25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13</w:t>
            </w:r>
          </w:p>
        </w:tc>
        <w:tc>
          <w:tcPr>
            <w:tcW w:w="539" w:type="pct"/>
            <w:tcBorders>
              <w:left w:val="single" w:sz="4" w:space="0" w:color="auto"/>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3.531,26</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3.604,70</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3.679,65</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3.756,19</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3.834,29</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3.914,03</w:t>
            </w:r>
          </w:p>
        </w:tc>
        <w:tc>
          <w:tcPr>
            <w:tcW w:w="541" w:type="pct"/>
            <w:gridSpan w:val="2"/>
            <w:tcBorders>
              <w:bottom w:val="single" w:sz="4" w:space="0" w:color="auto"/>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3.995,43</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III</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12</w:t>
            </w:r>
          </w:p>
        </w:tc>
        <w:tc>
          <w:tcPr>
            <w:tcW w:w="539" w:type="pct"/>
            <w:tcBorders>
              <w:top w:val="single" w:sz="4" w:space="0" w:color="auto"/>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4.520,54</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4.614,54</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4.710,51</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4.808,45</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4.908,44</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5.010,51</w:t>
            </w:r>
          </w:p>
        </w:tc>
        <w:tc>
          <w:tcPr>
            <w:tcW w:w="541" w:type="pct"/>
            <w:gridSpan w:val="2"/>
            <w:tcBorders>
              <w:top w:val="single" w:sz="4" w:space="0" w:color="auto"/>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5.114,71</w:t>
            </w:r>
          </w:p>
        </w:tc>
      </w:tr>
      <w:tr>
        <w:trPr>
          <w:trHeight w:val="270"/>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3.995,40</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4.078,47</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4.163,28</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4.249,85</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4.338,23</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4.428,44</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4.520,54</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3.531,25</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3.604,68</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3.679,63</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3.756,16</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3.834,26</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3.914,00</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3.995,40</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3.121,03</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3.185,93</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3.252,18</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3.319,82</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3.388,86</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3.459,31</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3.531,25</w:t>
            </w:r>
          </w:p>
        </w:tc>
      </w:tr>
      <w:tr>
        <w:trPr>
          <w:trHeight w:val="25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w:t>
            </w:r>
          </w:p>
        </w:tc>
        <w:tc>
          <w:tcPr>
            <w:tcW w:w="539" w:type="pct"/>
            <w:tcBorders>
              <w:left w:val="single" w:sz="4" w:space="0" w:color="auto"/>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2.758,47</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2.815,83</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2.874,39</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2.934,15</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2.995,18</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3.057,46</w:t>
            </w:r>
          </w:p>
        </w:tc>
        <w:tc>
          <w:tcPr>
            <w:tcW w:w="541" w:type="pct"/>
            <w:gridSpan w:val="2"/>
            <w:tcBorders>
              <w:bottom w:val="single" w:sz="4" w:space="0" w:color="auto"/>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3.121,03</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II</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w:t>
            </w:r>
          </w:p>
        </w:tc>
        <w:tc>
          <w:tcPr>
            <w:tcW w:w="539" w:type="pct"/>
            <w:tcBorders>
              <w:top w:val="single" w:sz="4" w:space="0" w:color="auto"/>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3.120,96</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3.185,88</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3.252,14</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3.319,76</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3.388,84</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3.459,31</w:t>
            </w:r>
          </w:p>
        </w:tc>
        <w:tc>
          <w:tcPr>
            <w:tcW w:w="541" w:type="pct"/>
            <w:gridSpan w:val="2"/>
            <w:tcBorders>
              <w:top w:val="single" w:sz="4" w:space="0" w:color="auto"/>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3.531,26</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2.758,34</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2.815,70</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2.874,27</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2.934,05</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2.995,07</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3.057,37</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3.120,96</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2.437,84</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2.488,53</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2.540,30</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2.593,15</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2.647,06</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2.702,13</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2.758,34</w:t>
            </w:r>
          </w:p>
        </w:tc>
      </w:tr>
      <w:tr>
        <w:trPr>
          <w:trHeight w:val="25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w:t>
            </w:r>
          </w:p>
        </w:tc>
        <w:tc>
          <w:tcPr>
            <w:tcW w:w="539" w:type="pct"/>
            <w:tcBorders>
              <w:left w:val="single" w:sz="4" w:space="0" w:color="auto"/>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2.154,58</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2.199,39</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2.245,14</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2.291,85</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2.339,50</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2.388,17</w:t>
            </w:r>
          </w:p>
        </w:tc>
        <w:tc>
          <w:tcPr>
            <w:tcW w:w="541" w:type="pct"/>
            <w:gridSpan w:val="2"/>
            <w:tcBorders>
              <w:bottom w:val="single" w:sz="4" w:space="0" w:color="auto"/>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2.437,84</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I</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3</w:t>
            </w:r>
          </w:p>
        </w:tc>
        <w:tc>
          <w:tcPr>
            <w:tcW w:w="539" w:type="pct"/>
            <w:tcBorders>
              <w:top w:val="single" w:sz="4" w:space="0" w:color="auto"/>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2.654,27</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2.709,35</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2.765,60</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2.822,99</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2.881,57</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2.941,37</w:t>
            </w:r>
          </w:p>
        </w:tc>
        <w:tc>
          <w:tcPr>
            <w:tcW w:w="541" w:type="pct"/>
            <w:gridSpan w:val="2"/>
            <w:tcBorders>
              <w:top w:val="single" w:sz="4" w:space="0" w:color="auto"/>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3.002,43</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2.346,48</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2.395,18</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2.444,90</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2.495,64</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2.547,44</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2.600,32</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2.654,27</w:t>
            </w:r>
          </w:p>
        </w:tc>
      </w:tr>
      <w:tr>
        <w:trPr>
          <w:trHeight w:val="25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6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w:t>
            </w:r>
          </w:p>
        </w:tc>
        <w:tc>
          <w:tcPr>
            <w:tcW w:w="539" w:type="pct"/>
            <w:tcBorders>
              <w:left w:val="single" w:sz="4" w:space="0" w:color="auto"/>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2.074,40</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2.117,47</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2.161,40</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2.206,26</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2.252,05</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2.298,79</w:t>
            </w:r>
          </w:p>
        </w:tc>
        <w:tc>
          <w:tcPr>
            <w:tcW w:w="541" w:type="pct"/>
            <w:gridSpan w:val="2"/>
            <w:tcBorders>
              <w:bottom w:val="single" w:sz="4" w:space="0" w:color="auto"/>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lang w:eastAsia="en-GB"/>
              </w:rPr>
            </w:pPr>
            <w:r>
              <w:rPr>
                <w:rFonts w:ascii="Arial" w:eastAsia="Times New Roman" w:hAnsi="Arial" w:cs="Arial"/>
                <w:noProof/>
                <w:sz w:val="20"/>
                <w:szCs w:val="18"/>
                <w:lang w:eastAsia="en-GB"/>
              </w:rPr>
              <w:t>2.346,48</w:t>
            </w:r>
          </w:p>
        </w:tc>
      </w:tr>
    </w:tbl>
    <w:p>
      <w:pPr>
        <w:spacing w:before="120" w:after="120" w:line="240" w:lineRule="auto"/>
        <w:jc w:val="both"/>
        <w:rPr>
          <w:rFonts w:ascii="Times New Roman" w:eastAsia="Calibri" w:hAnsi="Times New Roman" w:cs="Times New Roman"/>
          <w:noProof/>
          <w:sz w:val="24"/>
          <w:szCs w:val="20"/>
          <w:lang w:eastAsia="en-GB"/>
        </w:rPr>
      </w:pPr>
    </w:p>
    <w:p>
      <w:pPr>
        <w:spacing w:before="120" w:after="120" w:line="24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12. Amount of the lower limit for the installation allowance referred to in Article 94 of the Conditions of Employment of Other Servants, applicable from 1 July 2019: </w:t>
      </w:r>
    </w:p>
    <w:p>
      <w:pPr>
        <w:tabs>
          <w:tab w:val="num" w:pos="283"/>
        </w:tabs>
        <w:spacing w:after="0" w:line="360" w:lineRule="auto"/>
        <w:ind w:left="283" w:hanging="283"/>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w:t>
      </w:r>
      <w:r>
        <w:rPr>
          <w:rFonts w:ascii="Times New Roman" w:eastAsia="Times New Roman" w:hAnsi="Times New Roman" w:cs="Times New Roman"/>
          <w:noProof/>
          <w:sz w:val="24"/>
          <w:szCs w:val="24"/>
          <w:lang w:eastAsia="de-DE"/>
        </w:rPr>
        <w:tab/>
        <w:t>EUR 941,53 for a servant who is entitled to the household allowance;</w:t>
      </w:r>
    </w:p>
    <w:p>
      <w:pPr>
        <w:tabs>
          <w:tab w:val="num" w:pos="283"/>
        </w:tabs>
        <w:spacing w:after="0" w:line="360" w:lineRule="auto"/>
        <w:ind w:left="283" w:hanging="283"/>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w:t>
      </w:r>
      <w:r>
        <w:rPr>
          <w:rFonts w:ascii="Times New Roman" w:eastAsia="Times New Roman" w:hAnsi="Times New Roman" w:cs="Times New Roman"/>
          <w:noProof/>
          <w:sz w:val="24"/>
          <w:szCs w:val="24"/>
          <w:lang w:eastAsia="de-DE"/>
        </w:rPr>
        <w:tab/>
        <w:t>EUR 558,22 for a servant who is not entitled to the household allowance.</w:t>
      </w:r>
    </w:p>
    <w:p>
      <w:pPr>
        <w:spacing w:after="0" w:line="360" w:lineRule="auto"/>
        <w:jc w:val="both"/>
        <w:rPr>
          <w:rFonts w:ascii="Times New Roman" w:eastAsia="Calibri" w:hAnsi="Times New Roman" w:cs="Times New Roman"/>
          <w:i/>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13.1. Amount of the lower and upper limits of the unemployment allowance referred to in the second subparagraph of Article 96(3) of the Conditions of Employment of Other Servants, applicable from 1 July 2019:</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1125,91 (the lower limit);</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2251,80 (the upper limit).</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13.2 Amount of the standard allowance referred to in Article 96(7) of the Conditions of Employment of Other Servants shall be EUR 1023,56.</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13.3 Amount of the lower and the upper limits for the unemployment allowance referred to in Article 136 of the Conditions of Employment of Other Servants, applicable from 1 July 2019:</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990,55 (lower limit);</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2330,72 (upper limit).</w:t>
      </w:r>
    </w:p>
    <w:p>
      <w:pPr>
        <w:spacing w:after="0" w:line="36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14. Amount of the allowances for shift work laid down in the first subparagraph of Article 1(1) of Council Regulation (ECSC, EEC, Euratom) No 300/76</w:t>
      </w:r>
      <w:r>
        <w:rPr>
          <w:rFonts w:ascii="Times New Roman" w:eastAsia="Calibri" w:hAnsi="Times New Roman" w:cs="Times New Roman"/>
          <w:noProof/>
          <w:sz w:val="24"/>
          <w:szCs w:val="20"/>
          <w:vertAlign w:val="superscript"/>
          <w:lang w:eastAsia="en-GB"/>
        </w:rPr>
        <w:footnoteReference w:id="1"/>
      </w:r>
      <w:r>
        <w:rPr>
          <w:rFonts w:ascii="Times New Roman" w:eastAsia="Calibri" w:hAnsi="Times New Roman" w:cs="Times New Roman"/>
          <w:noProof/>
          <w:sz w:val="24"/>
          <w:szCs w:val="20"/>
          <w:lang w:eastAsia="en-GB"/>
        </w:rPr>
        <w:t>:</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 EUR 429,05; </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 EUR 647,59; </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708,05;</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965,31.</w:t>
      </w:r>
    </w:p>
    <w:p>
      <w:pPr>
        <w:spacing w:after="0" w:line="36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15. Coefficient, applicable from 1 July 2019 to the to the amounts referred to in Article 4 of Council Regulation (EEC, Euratom, ECSC) No 260/68</w:t>
      </w:r>
      <w:r>
        <w:rPr>
          <w:rFonts w:ascii="Times New Roman" w:eastAsia="Calibri" w:hAnsi="Times New Roman" w:cs="Times New Roman"/>
          <w:noProof/>
          <w:sz w:val="24"/>
          <w:szCs w:val="20"/>
          <w:vertAlign w:val="superscript"/>
          <w:lang w:eastAsia="en-GB"/>
        </w:rPr>
        <w:footnoteReference w:id="2"/>
      </w:r>
      <w:r>
        <w:rPr>
          <w:rFonts w:ascii="Times New Roman" w:eastAsia="Calibri" w:hAnsi="Times New Roman" w:cs="Times New Roman"/>
          <w:noProof/>
          <w:sz w:val="24"/>
          <w:szCs w:val="20"/>
          <w:lang w:eastAsia="en-GB"/>
        </w:rPr>
        <w:t xml:space="preserve"> - 6,1934.</w:t>
      </w:r>
    </w:p>
    <w:p>
      <w:pPr>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br w:type="page"/>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16. Table of the amounts provided for in Article 8(2) of Annex XIII to the Staff Regulations, applicable from 1 July 2019:</w:t>
      </w:r>
    </w:p>
    <w:tbl>
      <w:tblPr>
        <w:tblW w:w="4940" w:type="pct"/>
        <w:tblLayout w:type="fixed"/>
        <w:tblLook w:val="04A0" w:firstRow="1" w:lastRow="0" w:firstColumn="1" w:lastColumn="0" w:noHBand="0" w:noVBand="1"/>
      </w:tblPr>
      <w:tblGrid>
        <w:gridCol w:w="960"/>
        <w:gridCol w:w="949"/>
        <w:gridCol w:w="79"/>
        <w:gridCol w:w="962"/>
        <w:gridCol w:w="66"/>
        <w:gridCol w:w="971"/>
        <w:gridCol w:w="57"/>
        <w:gridCol w:w="980"/>
        <w:gridCol w:w="48"/>
        <w:gridCol w:w="989"/>
        <w:gridCol w:w="39"/>
        <w:gridCol w:w="998"/>
        <w:gridCol w:w="29"/>
        <w:gridCol w:w="1008"/>
        <w:gridCol w:w="20"/>
        <w:gridCol w:w="1022"/>
      </w:tblGrid>
      <w:tr>
        <w:trPr>
          <w:trHeight w:val="285"/>
        </w:trPr>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Narrow" w:eastAsia="Times New Roman" w:hAnsi="Arial Narrow" w:cs="Arial"/>
                <w:noProof/>
                <w:sz w:val="18"/>
                <w:szCs w:val="20"/>
                <w:lang w:eastAsia="en-GB"/>
              </w:rPr>
            </w:pPr>
            <w:r>
              <w:rPr>
                <w:rFonts w:ascii="Arial Narrow" w:eastAsia="Times New Roman" w:hAnsi="Arial Narrow" w:cs="Arial"/>
                <w:noProof/>
                <w:sz w:val="18"/>
                <w:szCs w:val="20"/>
                <w:lang w:eastAsia="en-GB"/>
              </w:rPr>
              <w:t>01/07/2019</w:t>
            </w:r>
          </w:p>
        </w:tc>
        <w:tc>
          <w:tcPr>
            <w:tcW w:w="4477" w:type="pct"/>
            <w:gridSpan w:val="15"/>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lang w:eastAsia="en-GB"/>
              </w:rPr>
            </w:pPr>
            <w:r>
              <w:rPr>
                <w:rFonts w:ascii="Arial" w:eastAsia="Times New Roman" w:hAnsi="Arial" w:cs="Arial"/>
                <w:noProof/>
                <w:sz w:val="20"/>
                <w:szCs w:val="20"/>
                <w:lang w:eastAsia="en-GB"/>
              </w:rPr>
              <w:t>STEP</w:t>
            </w:r>
          </w:p>
        </w:tc>
      </w:tr>
      <w:tr>
        <w:trPr>
          <w:trHeight w:val="255"/>
        </w:trPr>
        <w:tc>
          <w:tcPr>
            <w:tcW w:w="523"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GRADE</w:t>
            </w:r>
          </w:p>
        </w:tc>
        <w:tc>
          <w:tcPr>
            <w:tcW w:w="517" w:type="pct"/>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w:t>
            </w:r>
          </w:p>
        </w:tc>
        <w:tc>
          <w:tcPr>
            <w:tcW w:w="567"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w:t>
            </w:r>
          </w:p>
        </w:tc>
        <w:tc>
          <w:tcPr>
            <w:tcW w:w="565"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3</w:t>
            </w:r>
          </w:p>
        </w:tc>
        <w:tc>
          <w:tcPr>
            <w:tcW w:w="565"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w:t>
            </w:r>
          </w:p>
        </w:tc>
        <w:tc>
          <w:tcPr>
            <w:tcW w:w="565" w:type="pct"/>
            <w:gridSpan w:val="2"/>
            <w:tcBorders>
              <w:top w:val="nil"/>
              <w:left w:val="nil"/>
              <w:bottom w:val="single" w:sz="4" w:space="0" w:color="auto"/>
              <w:right w:val="nil"/>
            </w:tcBorders>
            <w:shd w:val="clear" w:color="000000" w:fill="FFFFFF"/>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w:t>
            </w:r>
          </w:p>
        </w:tc>
        <w:tc>
          <w:tcPr>
            <w:tcW w:w="565" w:type="pct"/>
            <w:gridSpan w:val="2"/>
            <w:tcBorders>
              <w:top w:val="single" w:sz="4" w:space="0" w:color="auto"/>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w:t>
            </w:r>
          </w:p>
        </w:tc>
        <w:tc>
          <w:tcPr>
            <w:tcW w:w="565" w:type="pct"/>
            <w:gridSpan w:val="2"/>
            <w:tcBorders>
              <w:top w:val="single" w:sz="4" w:space="0" w:color="auto"/>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w:t>
            </w:r>
          </w:p>
        </w:tc>
        <w:tc>
          <w:tcPr>
            <w:tcW w:w="568" w:type="pct"/>
            <w:gridSpan w:val="2"/>
            <w:tcBorders>
              <w:top w:val="single" w:sz="4" w:space="0" w:color="auto"/>
              <w:left w:val="nil"/>
              <w:bottom w:val="single" w:sz="4" w:space="0" w:color="auto"/>
              <w:right w:val="single" w:sz="4" w:space="0" w:color="auto"/>
            </w:tcBorders>
            <w:shd w:val="clear" w:color="000000" w:fill="FFFFFF"/>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16</w:t>
            </w:r>
          </w:p>
        </w:tc>
        <w:tc>
          <w:tcPr>
            <w:tcW w:w="560" w:type="pct"/>
            <w:gridSpan w:val="2"/>
            <w:tcBorders>
              <w:top w:val="single" w:sz="4" w:space="0" w:color="auto"/>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18.994,33</w:t>
            </w:r>
          </w:p>
        </w:tc>
        <w:tc>
          <w:tcPr>
            <w:tcW w:w="560" w:type="pct"/>
            <w:gridSpan w:val="2"/>
            <w:tcBorders>
              <w:top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19.792,50</w:t>
            </w:r>
          </w:p>
        </w:tc>
        <w:tc>
          <w:tcPr>
            <w:tcW w:w="560" w:type="pct"/>
            <w:gridSpan w:val="2"/>
            <w:tcBorders>
              <w:top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20.624,20</w:t>
            </w:r>
          </w:p>
        </w:tc>
        <w:tc>
          <w:tcPr>
            <w:tcW w:w="560" w:type="pct"/>
            <w:gridSpan w:val="2"/>
            <w:tcBorders>
              <w:top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20.624,20</w:t>
            </w:r>
          </w:p>
        </w:tc>
        <w:tc>
          <w:tcPr>
            <w:tcW w:w="560" w:type="pct"/>
            <w:gridSpan w:val="2"/>
            <w:tcBorders>
              <w:top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20.624,20</w:t>
            </w:r>
          </w:p>
        </w:tc>
        <w:tc>
          <w:tcPr>
            <w:tcW w:w="560" w:type="pct"/>
            <w:gridSpan w:val="2"/>
            <w:tcBorders>
              <w:top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20.624,20</w:t>
            </w:r>
          </w:p>
        </w:tc>
        <w:tc>
          <w:tcPr>
            <w:tcW w:w="560" w:type="pct"/>
            <w:gridSpan w:val="2"/>
            <w:tcBorders>
              <w:top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p>
        </w:tc>
        <w:tc>
          <w:tcPr>
            <w:tcW w:w="557" w:type="pct"/>
            <w:tcBorders>
              <w:top w:val="single" w:sz="4" w:space="0" w:color="auto"/>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15</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16.787,82</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17.493,27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18.228,35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18.735,49</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18.994,33</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19.792,50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14</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14.837,60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15.461,11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16.110,80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16.559,04</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16.787,82</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17.493,27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18.228,35</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18.994,33</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13</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13.113,98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13.665,04</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14.239,26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14.635,43</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14.837,60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12</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11.590,57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12.077,61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12.585,13</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12.935,26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13.113,98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13.665,04</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14.239,26</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14.837,60</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10.244,12</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10.674,58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11.123,14</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11.432,61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11.590,57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12.077,61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12.585,13</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13.113,98</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9.054,10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9.434,55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9.831,02</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10.104,52</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10.244,12</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10.674,58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11.123,14</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11.590,57</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8.002,30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8.338,57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8.688,98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8.930,71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9.054,10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7.072,70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7.369,90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7.679,59</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7.893,26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8.002,30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8.338,57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8.688,98</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9.054,10</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6.251,08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6.513,76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6.787,48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6.976,32</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7.072,70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7.369,90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7.679,59</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8.002,30</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5.524,91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5.757,08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5.998,99</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6.165,90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6.251,08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6.513,76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6.787,48</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7.072,70</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4.883,11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5.088,30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5.302,11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5.449,63</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5.524,91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5.757,08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5.998,99</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6.251,08</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4.315,85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4.497,20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4.686,18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4.816,55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4.883,11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5.088,30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5.302,11</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5.524,91</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3</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3.814,47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3.974,78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4.141,81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4.257,02</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4.315,85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4.497,20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4.686,18</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4.883,11</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3.371,37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3.513,03</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3.660,66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3.762,50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3.814,47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3.974,78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4.141,81</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4.315,85</w:t>
            </w:r>
          </w:p>
        </w:tc>
      </w:tr>
      <w:tr>
        <w:trPr>
          <w:trHeight w:val="255"/>
        </w:trPr>
        <w:tc>
          <w:tcPr>
            <w:tcW w:w="523"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w:t>
            </w:r>
          </w:p>
        </w:tc>
        <w:tc>
          <w:tcPr>
            <w:tcW w:w="560" w:type="pct"/>
            <w:gridSpan w:val="2"/>
            <w:tcBorders>
              <w:left w:val="single" w:sz="4" w:space="0" w:color="auto"/>
              <w:bottom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2.979,73</w:t>
            </w:r>
          </w:p>
        </w:tc>
        <w:tc>
          <w:tcPr>
            <w:tcW w:w="560" w:type="pct"/>
            <w:gridSpan w:val="2"/>
            <w:tcBorders>
              <w:bottom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3.104,93</w:t>
            </w:r>
          </w:p>
        </w:tc>
        <w:tc>
          <w:tcPr>
            <w:tcW w:w="560" w:type="pct"/>
            <w:gridSpan w:val="2"/>
            <w:tcBorders>
              <w:bottom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3.235,40</w:t>
            </w:r>
          </w:p>
        </w:tc>
        <w:tc>
          <w:tcPr>
            <w:tcW w:w="560" w:type="pct"/>
            <w:gridSpan w:val="2"/>
            <w:tcBorders>
              <w:bottom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3.325,43</w:t>
            </w:r>
          </w:p>
        </w:tc>
        <w:tc>
          <w:tcPr>
            <w:tcW w:w="560" w:type="pct"/>
            <w:gridSpan w:val="2"/>
            <w:tcBorders>
              <w:bottom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r>
              <w:rPr>
                <w:rFonts w:ascii="Arial" w:eastAsia="Times New Roman" w:hAnsi="Arial" w:cs="Arial"/>
                <w:noProof/>
                <w:sz w:val="18"/>
                <w:szCs w:val="20"/>
                <w:lang w:eastAsia="en-GB"/>
              </w:rPr>
              <w:t>3.371,37</w:t>
            </w:r>
          </w:p>
        </w:tc>
        <w:tc>
          <w:tcPr>
            <w:tcW w:w="560" w:type="pct"/>
            <w:gridSpan w:val="2"/>
            <w:tcBorders>
              <w:bottom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p>
        </w:tc>
        <w:tc>
          <w:tcPr>
            <w:tcW w:w="560" w:type="pct"/>
            <w:gridSpan w:val="2"/>
            <w:tcBorders>
              <w:bottom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p>
        </w:tc>
        <w:tc>
          <w:tcPr>
            <w:tcW w:w="557" w:type="pct"/>
            <w:tcBorders>
              <w:bottom w:val="single" w:sz="4" w:space="0" w:color="auto"/>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lang w:eastAsia="en-GB"/>
              </w:rPr>
            </w:pPr>
          </w:p>
        </w:tc>
      </w:tr>
    </w:tbl>
    <w:p>
      <w:pPr>
        <w:spacing w:before="120" w:after="120" w:line="240" w:lineRule="auto"/>
        <w:jc w:val="both"/>
        <w:rPr>
          <w:rFonts w:ascii="Times New Roman" w:eastAsia="Calibri" w:hAnsi="Times New Roman" w:cs="Times New Roman"/>
          <w:noProof/>
          <w:sz w:val="24"/>
          <w:szCs w:val="20"/>
          <w:lang w:eastAsia="en-GB"/>
        </w:rPr>
      </w:pPr>
    </w:p>
    <w:p>
      <w:pPr>
        <w:keepNext/>
        <w:spacing w:after="0" w:line="360" w:lineRule="auto"/>
        <w:jc w:val="center"/>
        <w:rPr>
          <w:rFonts w:ascii="Times New Roman" w:eastAsia="Calibri" w:hAnsi="Times New Roman" w:cs="Times New Roman"/>
          <w:i/>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17. Amount, applicable from 1 July 2019, of the fixed allowance mentioned in the former Article 4a of Annex VII to the Staff Regulations, in force before 1 May 2004, which is used for the application of Article 18(1) of Annex XIII to the Staff Regulations:</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148,01 per month for officials in Grade C4 or C5;</w:t>
      </w: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EUR 226,94 per month for officials in Grade C1, C2 or C3.</w:t>
      </w:r>
    </w:p>
    <w:p>
      <w:pPr>
        <w:spacing w:after="0" w:line="360" w:lineRule="auto"/>
        <w:jc w:val="both"/>
        <w:rPr>
          <w:rFonts w:ascii="Times New Roman" w:eastAsia="Calibri" w:hAnsi="Times New Roman" w:cs="Times New Roman"/>
          <w:noProof/>
          <w:sz w:val="24"/>
          <w:szCs w:val="20"/>
          <w:lang w:eastAsia="en-GB"/>
        </w:rPr>
      </w:pPr>
    </w:p>
    <w:p>
      <w:pPr>
        <w:spacing w:after="0" w:line="36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18. Table containing the amounts of the scale of basic salaries provided for in Article 133 of the Conditions of Employment of Other Servants, applicable from 1 July 2019:</w:t>
      </w:r>
    </w:p>
    <w:tbl>
      <w:tblPr>
        <w:tblW w:w="5000" w:type="pct"/>
        <w:tblLook w:val="04A0" w:firstRow="1" w:lastRow="0" w:firstColumn="1" w:lastColumn="0" w:noHBand="0" w:noVBand="1"/>
      </w:tblPr>
      <w:tblGrid>
        <w:gridCol w:w="1195"/>
        <w:gridCol w:w="1156"/>
        <w:gridCol w:w="1156"/>
        <w:gridCol w:w="1156"/>
        <w:gridCol w:w="1155"/>
        <w:gridCol w:w="1334"/>
        <w:gridCol w:w="1038"/>
        <w:gridCol w:w="1098"/>
      </w:tblGrid>
      <w:tr>
        <w:trPr>
          <w:trHeight w:val="255"/>
        </w:trPr>
        <w:tc>
          <w:tcPr>
            <w:tcW w:w="64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Grade</w:t>
            </w:r>
          </w:p>
        </w:tc>
        <w:tc>
          <w:tcPr>
            <w:tcW w:w="622" w:type="pct"/>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w:t>
            </w:r>
          </w:p>
        </w:tc>
        <w:tc>
          <w:tcPr>
            <w:tcW w:w="622" w:type="pct"/>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w:t>
            </w:r>
          </w:p>
        </w:tc>
        <w:tc>
          <w:tcPr>
            <w:tcW w:w="622" w:type="pct"/>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3</w:t>
            </w:r>
          </w:p>
        </w:tc>
        <w:tc>
          <w:tcPr>
            <w:tcW w:w="622" w:type="pct"/>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w:t>
            </w:r>
          </w:p>
        </w:tc>
        <w:tc>
          <w:tcPr>
            <w:tcW w:w="718" w:type="pct"/>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w:t>
            </w:r>
          </w:p>
        </w:tc>
        <w:tc>
          <w:tcPr>
            <w:tcW w:w="559" w:type="pct"/>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w:t>
            </w:r>
          </w:p>
        </w:tc>
        <w:tc>
          <w:tcPr>
            <w:tcW w:w="591" w:type="pct"/>
            <w:tcBorders>
              <w:top w:val="single" w:sz="8" w:space="0" w:color="auto"/>
              <w:left w:val="nil"/>
              <w:bottom w:val="single" w:sz="4" w:space="0" w:color="auto"/>
              <w:right w:val="single" w:sz="8" w:space="0" w:color="auto"/>
            </w:tcBorders>
            <w:shd w:val="clear" w:color="auto" w:fill="auto"/>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w:t>
            </w:r>
          </w:p>
        </w:tc>
      </w:tr>
      <w:tr>
        <w:trPr>
          <w:trHeight w:val="510"/>
        </w:trPr>
        <w:tc>
          <w:tcPr>
            <w:tcW w:w="643" w:type="pct"/>
            <w:tcBorders>
              <w:top w:val="nil"/>
              <w:left w:val="single" w:sz="8" w:space="0" w:color="auto"/>
              <w:bottom w:val="single" w:sz="4" w:space="0" w:color="auto"/>
              <w:right w:val="single" w:sz="4" w:space="0" w:color="auto"/>
            </w:tcBorders>
            <w:shd w:val="clear" w:color="auto" w:fill="auto"/>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Full-time basic salary</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1.886,92</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2.198,26</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2.383,36</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2.584,07</w:t>
            </w:r>
          </w:p>
        </w:tc>
        <w:tc>
          <w:tcPr>
            <w:tcW w:w="718"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2.801,67</w:t>
            </w:r>
          </w:p>
        </w:tc>
        <w:tc>
          <w:tcPr>
            <w:tcW w:w="559"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3.037,62</w:t>
            </w:r>
          </w:p>
        </w:tc>
        <w:tc>
          <w:tcPr>
            <w:tcW w:w="591"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3.293,42</w:t>
            </w:r>
          </w:p>
        </w:tc>
      </w:tr>
      <w:tr>
        <w:trPr>
          <w:trHeight w:val="255"/>
        </w:trPr>
        <w:tc>
          <w:tcPr>
            <w:tcW w:w="64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Grade</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11</w:t>
            </w:r>
          </w:p>
        </w:tc>
        <w:tc>
          <w:tcPr>
            <w:tcW w:w="718"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12</w:t>
            </w:r>
          </w:p>
        </w:tc>
        <w:tc>
          <w:tcPr>
            <w:tcW w:w="559"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13</w:t>
            </w:r>
          </w:p>
        </w:tc>
        <w:tc>
          <w:tcPr>
            <w:tcW w:w="591" w:type="pct"/>
            <w:tcBorders>
              <w:top w:val="nil"/>
              <w:left w:val="nil"/>
              <w:bottom w:val="single" w:sz="4" w:space="0" w:color="auto"/>
              <w:right w:val="single" w:sz="8"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14</w:t>
            </w:r>
          </w:p>
        </w:tc>
      </w:tr>
      <w:tr>
        <w:trPr>
          <w:trHeight w:val="510"/>
        </w:trPr>
        <w:tc>
          <w:tcPr>
            <w:tcW w:w="643" w:type="pct"/>
            <w:tcBorders>
              <w:top w:val="nil"/>
              <w:left w:val="single" w:sz="8" w:space="0" w:color="auto"/>
              <w:bottom w:val="single" w:sz="4" w:space="0" w:color="auto"/>
              <w:right w:val="single" w:sz="4" w:space="0" w:color="auto"/>
            </w:tcBorders>
            <w:shd w:val="clear" w:color="auto" w:fill="auto"/>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Full-time basic salary</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3.570,78</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3.871,47</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4.197,48</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4.550,94</w:t>
            </w:r>
          </w:p>
        </w:tc>
        <w:tc>
          <w:tcPr>
            <w:tcW w:w="718"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4.934,19</w:t>
            </w:r>
          </w:p>
        </w:tc>
        <w:tc>
          <w:tcPr>
            <w:tcW w:w="559" w:type="pct"/>
            <w:tcBorders>
              <w:top w:val="single" w:sz="4" w:space="0" w:color="auto"/>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5.349,69</w:t>
            </w:r>
          </w:p>
        </w:tc>
        <w:tc>
          <w:tcPr>
            <w:tcW w:w="591" w:type="pct"/>
            <w:tcBorders>
              <w:top w:val="single" w:sz="4" w:space="0" w:color="auto"/>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5.800,20</w:t>
            </w:r>
          </w:p>
        </w:tc>
      </w:tr>
      <w:tr>
        <w:trPr>
          <w:trHeight w:val="255"/>
        </w:trPr>
        <w:tc>
          <w:tcPr>
            <w:tcW w:w="64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Grade</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15</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16</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17</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18</w:t>
            </w:r>
          </w:p>
        </w:tc>
        <w:tc>
          <w:tcPr>
            <w:tcW w:w="718" w:type="pct"/>
            <w:tcBorders>
              <w:top w:val="single" w:sz="4" w:space="0" w:color="auto"/>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19</w:t>
            </w:r>
          </w:p>
        </w:tc>
        <w:tc>
          <w:tcPr>
            <w:tcW w:w="559" w:type="pct"/>
            <w:tcBorders>
              <w:top w:val="single" w:sz="4" w:space="0" w:color="auto"/>
              <w:lef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591" w:type="pct"/>
            <w:tcBorders>
              <w:top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r>
        <w:trPr>
          <w:trHeight w:val="525"/>
        </w:trPr>
        <w:tc>
          <w:tcPr>
            <w:tcW w:w="643" w:type="pct"/>
            <w:tcBorders>
              <w:top w:val="nil"/>
              <w:left w:val="single" w:sz="8" w:space="0" w:color="auto"/>
              <w:bottom w:val="single" w:sz="8" w:space="0" w:color="auto"/>
              <w:right w:val="single" w:sz="4" w:space="0" w:color="auto"/>
            </w:tcBorders>
            <w:shd w:val="clear" w:color="auto" w:fill="auto"/>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Full-time basic salary</w:t>
            </w:r>
          </w:p>
        </w:tc>
        <w:tc>
          <w:tcPr>
            <w:tcW w:w="622" w:type="pct"/>
            <w:tcBorders>
              <w:top w:val="nil"/>
              <w:left w:val="nil"/>
              <w:bottom w:val="single" w:sz="8"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6.288,64</w:t>
            </w:r>
          </w:p>
        </w:tc>
        <w:tc>
          <w:tcPr>
            <w:tcW w:w="622" w:type="pct"/>
            <w:tcBorders>
              <w:top w:val="nil"/>
              <w:left w:val="nil"/>
              <w:bottom w:val="single" w:sz="8"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6.818,22</w:t>
            </w:r>
          </w:p>
        </w:tc>
        <w:tc>
          <w:tcPr>
            <w:tcW w:w="622" w:type="pct"/>
            <w:tcBorders>
              <w:top w:val="nil"/>
              <w:left w:val="nil"/>
              <w:bottom w:val="single" w:sz="8"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7.392,39</w:t>
            </w:r>
          </w:p>
        </w:tc>
        <w:tc>
          <w:tcPr>
            <w:tcW w:w="622" w:type="pct"/>
            <w:tcBorders>
              <w:top w:val="nil"/>
              <w:left w:val="nil"/>
              <w:bottom w:val="single" w:sz="8"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8.014,89</w:t>
            </w:r>
          </w:p>
        </w:tc>
        <w:tc>
          <w:tcPr>
            <w:tcW w:w="718" w:type="pct"/>
            <w:tcBorders>
              <w:top w:val="single" w:sz="4" w:space="0" w:color="auto"/>
              <w:left w:val="nil"/>
              <w:bottom w:val="single" w:sz="8"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8.689,85</w:t>
            </w:r>
          </w:p>
        </w:tc>
        <w:tc>
          <w:tcPr>
            <w:tcW w:w="559" w:type="pct"/>
            <w:tcBorders>
              <w:top w:val="nil"/>
              <w:lef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c>
          <w:tcPr>
            <w:tcW w:w="591" w:type="pct"/>
            <w:tcBorders>
              <w:top w:val="nil"/>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 </w:t>
            </w:r>
          </w:p>
        </w:tc>
      </w:tr>
    </w:tbl>
    <w:p>
      <w:pPr>
        <w:spacing w:before="120" w:after="120" w:line="240" w:lineRule="auto"/>
        <w:jc w:val="both"/>
        <w:rPr>
          <w:rFonts w:ascii="Times New Roman" w:eastAsia="Calibri" w:hAnsi="Times New Roman" w:cs="Times New Roman"/>
          <w:noProof/>
          <w:sz w:val="24"/>
          <w:szCs w:val="20"/>
          <w:lang w:eastAsia="en-GB"/>
        </w:rPr>
      </w:pPr>
    </w:p>
    <w:p>
      <w:pPr>
        <w:widowControl w:val="0"/>
        <w:spacing w:after="0" w:line="360" w:lineRule="auto"/>
        <w:rPr>
          <w:rFonts w:ascii="Times New Roman" w:eastAsia="Times New Roman" w:hAnsi="Times New Roman" w:cs="Times New Roman"/>
          <w:noProof/>
          <w:sz w:val="24"/>
          <w:szCs w:val="20"/>
          <w:lang w:eastAsia="fr-BE"/>
        </w:rPr>
      </w:pPr>
    </w:p>
    <w:p>
      <w:pPr>
        <w:spacing w:before="360" w:after="36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ANNEX II</w:t>
      </w:r>
    </w:p>
    <w:p>
      <w:pPr>
        <w:spacing w:before="360" w:after="36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ANNUAL UPDATE </w:t>
      </w:r>
    </w:p>
    <w:p>
      <w:pPr>
        <w:spacing w:before="360" w:after="36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OF THE WEIGHTINGS APPLICABLE TO THE REMUNERATION OF OFFICIALS, TEMPORARY STAFF AND CONTRACT STAFF OF THE EUROPEAN UNION SERVING IN THIRD COUNTRIES</w:t>
      </w:r>
      <w:r>
        <w:rPr>
          <w:rFonts w:ascii="Calibri" w:eastAsia="Calibri" w:hAnsi="Calibri" w:cs="Times New Roman"/>
          <w:b/>
          <w:noProof/>
          <w:vertAlign w:val="superscript"/>
        </w:rPr>
        <w:footnoteReference w:id="3"/>
      </w:r>
    </w:p>
    <w:tbl>
      <w:tblPr>
        <w:tblW w:w="9229" w:type="dxa"/>
        <w:tblInd w:w="93"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4A0" w:firstRow="1" w:lastRow="0" w:firstColumn="1" w:lastColumn="0" w:noHBand="0" w:noVBand="1"/>
      </w:tblPr>
      <w:tblGrid>
        <w:gridCol w:w="4551"/>
        <w:gridCol w:w="1560"/>
        <w:gridCol w:w="1559"/>
        <w:gridCol w:w="1559"/>
      </w:tblGrid>
      <w:tr>
        <w:trPr>
          <w:trHeight w:val="120"/>
        </w:trPr>
        <w:tc>
          <w:tcPr>
            <w:tcW w:w="4551" w:type="dxa"/>
            <w:shd w:val="clear" w:color="000000" w:fill="FFFFFF"/>
            <w:vAlign w:val="center"/>
            <w:hideMark/>
          </w:tcPr>
          <w:p>
            <w:pPr>
              <w:spacing w:after="0"/>
              <w:jc w:val="center"/>
              <w:rPr>
                <w:rFonts w:ascii="Calibri" w:eastAsia="Calibri" w:hAnsi="Calibri" w:cs="Times New Roman"/>
                <w:b/>
                <w:noProof/>
              </w:rPr>
            </w:pPr>
            <w:r>
              <w:rPr>
                <w:rFonts w:ascii="Calibri" w:eastAsia="Calibri" w:hAnsi="Calibri" w:cs="Times New Roman"/>
                <w:b/>
                <w:noProof/>
              </w:rPr>
              <w:t>PLACE OF EMPLOYMENT</w:t>
            </w:r>
          </w:p>
        </w:tc>
        <w:tc>
          <w:tcPr>
            <w:tcW w:w="1560" w:type="dxa"/>
            <w:shd w:val="clear" w:color="000000" w:fill="FFFFFF"/>
            <w:vAlign w:val="center"/>
            <w:hideMark/>
          </w:tcPr>
          <w:p>
            <w:pPr>
              <w:spacing w:after="0"/>
              <w:jc w:val="center"/>
              <w:rPr>
                <w:rFonts w:ascii="Calibri" w:eastAsia="Calibri" w:hAnsi="Calibri" w:cs="Times New Roman"/>
                <w:b/>
                <w:noProof/>
              </w:rPr>
            </w:pPr>
            <w:r>
              <w:rPr>
                <w:rFonts w:ascii="Calibri" w:eastAsia="Calibri" w:hAnsi="Calibri" w:cs="Times New Roman"/>
                <w:b/>
                <w:noProof/>
              </w:rPr>
              <w:t>Economic parity</w:t>
            </w:r>
            <w:r>
              <w:rPr>
                <w:rFonts w:ascii="Calibri" w:eastAsia="Calibri" w:hAnsi="Calibri" w:cs="Times New Roman"/>
                <w:b/>
                <w:noProof/>
              </w:rPr>
              <w:br/>
              <w:t>July 2019</w:t>
            </w:r>
          </w:p>
        </w:tc>
        <w:tc>
          <w:tcPr>
            <w:tcW w:w="1559" w:type="dxa"/>
            <w:shd w:val="clear" w:color="000000" w:fill="FFFFFF"/>
            <w:vAlign w:val="center"/>
            <w:hideMark/>
          </w:tcPr>
          <w:p>
            <w:pPr>
              <w:spacing w:after="0"/>
              <w:jc w:val="center"/>
              <w:rPr>
                <w:rFonts w:ascii="Calibri" w:eastAsia="Calibri" w:hAnsi="Calibri" w:cs="Times New Roman"/>
                <w:b/>
                <w:noProof/>
              </w:rPr>
            </w:pPr>
            <w:r>
              <w:rPr>
                <w:rFonts w:ascii="Calibri" w:eastAsia="Calibri" w:hAnsi="Calibri" w:cs="Times New Roman"/>
                <w:b/>
                <w:noProof/>
              </w:rPr>
              <w:t>Exchange rate</w:t>
            </w:r>
            <w:r>
              <w:rPr>
                <w:rFonts w:ascii="Calibri" w:eastAsia="Calibri" w:hAnsi="Calibri" w:cs="Times New Roman"/>
                <w:b/>
                <w:noProof/>
              </w:rPr>
              <w:br/>
              <w:t>July 2019 (*)</w:t>
            </w:r>
          </w:p>
        </w:tc>
        <w:tc>
          <w:tcPr>
            <w:tcW w:w="1559" w:type="dxa"/>
            <w:shd w:val="clear" w:color="000000" w:fill="FFFFFF"/>
            <w:vAlign w:val="center"/>
            <w:hideMark/>
          </w:tcPr>
          <w:p>
            <w:pPr>
              <w:spacing w:after="0"/>
              <w:jc w:val="center"/>
              <w:rPr>
                <w:rFonts w:ascii="Calibri" w:eastAsia="Calibri" w:hAnsi="Calibri" w:cs="Times New Roman"/>
                <w:b/>
                <w:noProof/>
              </w:rPr>
            </w:pPr>
            <w:r>
              <w:rPr>
                <w:rFonts w:ascii="Calibri" w:eastAsia="Calibri" w:hAnsi="Calibri" w:cs="Times New Roman"/>
                <w:b/>
                <w:noProof/>
              </w:rPr>
              <w:t>Weighting</w:t>
            </w:r>
            <w:r>
              <w:rPr>
                <w:rFonts w:ascii="Calibri" w:eastAsia="Calibri" w:hAnsi="Calibri" w:cs="Times New Roman"/>
                <w:b/>
                <w:noProof/>
              </w:rPr>
              <w:br/>
              <w:t xml:space="preserve"> July 2019 (**)</w:t>
            </w:r>
          </w:p>
        </w:tc>
      </w:tr>
      <w:tr>
        <w:trPr>
          <w:trHeight w:val="120"/>
        </w:trPr>
        <w:tc>
          <w:tcPr>
            <w:tcW w:w="4551" w:type="dxa"/>
            <w:tcBorders>
              <w:top w:val="double" w:sz="6"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Afghanistan(***)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Albania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77,27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121,820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63,4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Algeria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87,59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135,123</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64,8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Angola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398,2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387,638</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102,7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Argentina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23,65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48,2543</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49,0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Armenia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409,9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544,320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75,3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Australia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1,544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1,62510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95,0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Azerbaijan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1,93290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86,9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Bangladesh</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79,94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96,0765</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83,2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Barbados</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2,371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2,28618</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103,7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Belarus</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1,883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2,31690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81,3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Belize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1,779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2,27400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Benin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506,1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77,2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Bolivia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7,85667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83,5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Bosnia and Herzegovina (Banja Luka)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Bosnia and Herzegovina (Sarajevo)</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1,95583</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61,6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Botswana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8,008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12,1359</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66,0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Brazil</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3,165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4,38680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72,1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Burkina Faso</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608,1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92,7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Burundi</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1755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2101,66</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83,5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Cambodia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3542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4656,00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76,1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Cameroon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557,9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85,1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Canada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1,412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1,49280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94,6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Cape Verde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77,75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110,265</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70,5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Central African Republic</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717,1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109,3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Chad</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559,4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85,3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Chile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775,786</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84,8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China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6,606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7,81990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84,5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Colombia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2222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3628,36</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61,2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Comoros</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368,6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491,968</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74,9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Congo (Brazzaville)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119,3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Costa Rica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483,5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664,571</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72,8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Cuba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0,9512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1,13700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83,7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Democratic Republic of the Congo (Kinshasa)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1978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1859,06</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106,4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Djibouti</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175,5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202,068</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86,9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Dominican Republic</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32,24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57,7476</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55,8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Ecuador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0,8419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1,13700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74,0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Egypt</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14,42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19,0314</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75,8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El Salvador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0,7978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1,13700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70,2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Eritrea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20,37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17,4046</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117,0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Eswatini</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16,0893</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63,7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Ethiopia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30,17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32,8448</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91,9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Fiji</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1,799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2,45459</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73,3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Gabon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678,7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103,5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Gambia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35,53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56,2300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63,2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Georgia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1,976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3,1838</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62,1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Ghana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5,010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5,98255</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83,7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Guatemala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7,450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8,76521</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85,0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Guinea (Conakry)</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9482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10359,8</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91,5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Guinea-Bissau</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498,7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76,0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Guyana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238,385</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71,0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Haiti</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82,64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105,839</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Honduras</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19,54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27,8690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70,1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Hong Kong</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8,8836</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113,9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Iceland</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176,9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141,700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124,8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India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59,22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78,5675</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75,4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Indonesia (Banda Aceh)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Indonesia (Jakarta)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11299</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16077,2</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70,3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auto" w:fill="auto"/>
            <w:noWrap/>
            <w:vAlign w:val="bottom"/>
          </w:tcPr>
          <w:p>
            <w:pPr>
              <w:spacing w:after="0"/>
              <w:rPr>
                <w:rFonts w:ascii="Calibri" w:eastAsia="Calibri" w:hAnsi="Calibri" w:cs="Times New Roman"/>
                <w:noProof/>
                <w:lang w:eastAsia="en-GB"/>
              </w:rPr>
            </w:pPr>
            <w:r>
              <w:rPr>
                <w:rFonts w:ascii="Calibri" w:eastAsia="Calibri" w:hAnsi="Calibri" w:cs="Times New Roman"/>
                <w:noProof/>
                <w:lang w:eastAsia="en-GB"/>
              </w:rPr>
              <w:t>Iran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Iraq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Israel</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4,323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4,07590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106,1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Ivory Coast</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587,9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89,6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Jamaica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144,585</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82,4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Japan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122,640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101,2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Jordan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0,8007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0,80613</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99,3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Kazakhstan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265,0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431,050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61,5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Kenya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98,21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116,014</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84,7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Kosovo</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0,7015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1,00000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70,2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Kyrgyzstan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55,71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79,0348</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70,5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Laos</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7658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9872,50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77,6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Lebanon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1714,03</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97,5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Lesotho</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16,0893</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64,9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Liberia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2,190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1,13700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192,6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Libya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Madagascar</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3308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4091,11</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80,9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Malawi</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474,8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885,644</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53,6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Malaysia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2,986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4,71170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63,4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Mali</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483,8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73,8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Mauritania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29,26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41,9150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69,8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Mauritius</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28,63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40,3618</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70,9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Mexico</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13,39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21,7397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61,6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Moldova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13,31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20,7388</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64,2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tcPr>
          <w:p>
            <w:pPr>
              <w:spacing w:after="0"/>
              <w:rPr>
                <w:rFonts w:ascii="Calibri" w:eastAsia="Calibri" w:hAnsi="Calibri" w:cs="Times New Roman"/>
                <w:noProof/>
                <w:lang w:eastAsia="en-GB"/>
              </w:rPr>
            </w:pPr>
            <w:r>
              <w:rPr>
                <w:rFonts w:ascii="Calibri" w:eastAsia="Calibri" w:hAnsi="Calibri" w:cs="Times New Roman"/>
                <w:noProof/>
                <w:lang w:eastAsia="en-GB"/>
              </w:rPr>
              <w:t>Mongolia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2051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3021,09</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67,9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Montenegro</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0,6288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1,00000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62,9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Morocco</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7,754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10,8400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71,5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Mozambique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55,54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70,7000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Myanmar</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1746,43</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62,3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Namibia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16,0893</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77,7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Nepal</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113,5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126,470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89,7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New Caledonia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127,7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119,332</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107,0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New Zealand</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1,69960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96,0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Nicaragua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28,94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37,6599</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76,8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Niger</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488,8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74,5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Nigeria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307,1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348,959</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88,0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North Macedonia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32,08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61,4951</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52,2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Norway</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12,51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9,68430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129,2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Pakistan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77,88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178,917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43,5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Panama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0,9641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1,13700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84,8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Papua New Guinea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3,485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3,84772</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90,6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Paraguay</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4146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7051,71</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58,8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Peru</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3,284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3,75267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87,5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Philippines</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51,90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58,2090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89,2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Russia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72,29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71,6096</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101,0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Rwanda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812,0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1021,04</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79,5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Samoa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2,184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3,00595</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72,7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Saudi Arabia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3,695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4,26375</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86,7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Senegal</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625,2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95,3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Serbia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64,58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117,913</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54,8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Sierra Leone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9759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10075,0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96,9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Singapore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1,906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1,53930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123,8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Solomon Islands</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9,738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9,11055</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106,9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Somalia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South Africa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9,058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16,0893</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56,3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South Korea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1242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1313,12</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94,6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South-Sudan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366,5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180,271</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203,3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Sri Lanka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156,4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201,220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77,7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Sudan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34,97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50,9690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68,6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Suriname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5,806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8,47975</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68,5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Switzerland (Bern)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1,412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1,11210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127,0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Switzerland (Geneva)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1,412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1,11210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127,0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Syria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Taiwan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28,61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35,4158</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80,8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Tajikistan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5,765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10,7328</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53,7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Tanzania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1977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2608,69</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75,8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Thailand</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28,68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35,0030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81,9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Timor Leste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0,9008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1,13700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79,2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Togo</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519,1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79,1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Trinidad and Tobago</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5,955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7,86270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75,7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Tunisia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2,132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3,29600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64,7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Turkey</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3,332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6,55730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50,8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Turkmenistan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4,472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3,97950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112,4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Uganda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2681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4179,27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64,1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Ukraine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24,45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29,7794</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82,1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United Arab Emirates</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4,179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4,17880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100,0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United States (New York)</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1,13700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102,5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United States (Washington)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0,9866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1,13700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86,8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Uruguay</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34,94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39,9690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87,4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Uzbekistan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4701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9735,38</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48,3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Vanuatu</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132,201</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98,0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Venezuela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Vietnam</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16570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26492,1</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62,5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West Bank — Gaza Strip</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4,323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4,07590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106,1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Yemen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Zambia</w:t>
            </w:r>
          </w:p>
        </w:tc>
        <w:tc>
          <w:tcPr>
            <w:tcW w:w="1560" w:type="dxa"/>
            <w:tcBorders>
              <w:top w:val="single" w:sz="4" w:space="0" w:color="auto"/>
              <w:left w:val="double" w:sz="6" w:space="0" w:color="auto"/>
              <w:bottom w:val="nil"/>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9,135</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14,7839</w:t>
            </w:r>
          </w:p>
        </w:tc>
        <w:tc>
          <w:tcPr>
            <w:tcW w:w="1559" w:type="dxa"/>
            <w:tcBorders>
              <w:top w:val="single" w:sz="4" w:space="0" w:color="auto"/>
              <w:left w:val="single" w:sz="4" w:space="0" w:color="auto"/>
              <w:bottom w:val="nil"/>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61,8</w:t>
            </w:r>
          </w:p>
        </w:tc>
      </w:tr>
      <w:tr>
        <w:trPr>
          <w:trHeight w:val="120"/>
        </w:trPr>
        <w:tc>
          <w:tcPr>
            <w:tcW w:w="4551" w:type="dxa"/>
            <w:tcBorders>
              <w:top w:val="single" w:sz="4" w:space="0" w:color="auto"/>
              <w:left w:val="double" w:sz="6" w:space="0" w:color="auto"/>
              <w:bottom w:val="double" w:sz="6" w:space="0" w:color="auto"/>
              <w:right w:val="single" w:sz="4" w:space="0" w:color="auto"/>
            </w:tcBorders>
            <w:shd w:val="clear" w:color="000000" w:fill="FFFFFF"/>
            <w:noWrap/>
            <w:vAlign w:val="bottom"/>
            <w:hideMark/>
          </w:tcPr>
          <w:p>
            <w:pPr>
              <w:spacing w:after="0"/>
              <w:rPr>
                <w:rFonts w:ascii="Calibri" w:eastAsia="Calibri" w:hAnsi="Calibri" w:cs="Times New Roman"/>
                <w:noProof/>
                <w:lang w:eastAsia="en-GB"/>
              </w:rPr>
            </w:pPr>
            <w:r>
              <w:rPr>
                <w:rFonts w:ascii="Calibri" w:eastAsia="Calibri" w:hAnsi="Calibri" w:cs="Times New Roman"/>
                <w:noProof/>
                <w:lang w:eastAsia="en-GB"/>
              </w:rPr>
              <w:t>Zimbabwe (*)</w:t>
            </w:r>
          </w:p>
        </w:tc>
        <w:tc>
          <w:tcPr>
            <w:tcW w:w="1560" w:type="dxa"/>
            <w:tcBorders>
              <w:top w:val="single" w:sz="4" w:space="0" w:color="auto"/>
              <w:left w:val="double" w:sz="6" w:space="0" w:color="auto"/>
              <w:bottom w:val="double" w:sz="6"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1,310</w:t>
            </w:r>
          </w:p>
        </w:tc>
        <w:tc>
          <w:tcPr>
            <w:tcW w:w="1559" w:type="dxa"/>
            <w:tcBorders>
              <w:top w:val="single" w:sz="4" w:space="0" w:color="auto"/>
              <w:left w:val="single" w:sz="4" w:space="0" w:color="auto"/>
              <w:bottom w:val="double" w:sz="6"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1,13700</w:t>
            </w:r>
          </w:p>
        </w:tc>
        <w:tc>
          <w:tcPr>
            <w:tcW w:w="1559" w:type="dxa"/>
            <w:tcBorders>
              <w:top w:val="single" w:sz="4" w:space="0" w:color="auto"/>
              <w:left w:val="single" w:sz="4" w:space="0" w:color="auto"/>
              <w:bottom w:val="double" w:sz="6"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115,2</w:t>
            </w:r>
          </w:p>
        </w:tc>
      </w:tr>
    </w:tbl>
    <w:p>
      <w:pPr>
        <w:rPr>
          <w:rFonts w:ascii="Calibri" w:eastAsia="Calibri" w:hAnsi="Calibri" w:cs="Times New Roman"/>
          <w:noProof/>
          <w:sz w:val="16"/>
          <w:szCs w:val="16"/>
          <w:lang w:val="es-ES"/>
        </w:rPr>
      </w:pPr>
      <w:r>
        <w:rPr>
          <w:rFonts w:ascii="Calibri" w:eastAsia="Calibri" w:hAnsi="Calibri" w:cs="Times New Roman"/>
          <w:noProof/>
          <w:sz w:val="16"/>
          <w:szCs w:val="16"/>
          <w:lang w:val="es-ES"/>
        </w:rPr>
        <w:t xml:space="preserve">(*) 1 EURO = x units of local currency (USD for Cuba, El Salvador, Ecuador, Liberia, Panama, Timor-Leste and Zimbabwe). </w:t>
      </w:r>
    </w:p>
    <w:p>
      <w:pPr>
        <w:rPr>
          <w:rFonts w:ascii="Calibri" w:eastAsia="Calibri" w:hAnsi="Calibri" w:cs="Times New Roman"/>
          <w:noProof/>
          <w:sz w:val="16"/>
          <w:szCs w:val="16"/>
        </w:rPr>
      </w:pPr>
      <w:r>
        <w:rPr>
          <w:rFonts w:ascii="Calibri" w:eastAsia="Calibri" w:hAnsi="Calibri" w:cs="Times New Roman"/>
          <w:noProof/>
          <w:sz w:val="16"/>
          <w:szCs w:val="16"/>
        </w:rPr>
        <w:t>(**) Brussels and Luxembourg = 100 %.</w:t>
      </w:r>
    </w:p>
    <w:p>
      <w:pPr>
        <w:rPr>
          <w:rFonts w:ascii="Calibri" w:eastAsia="Calibri" w:hAnsi="Calibri" w:cs="Times New Roman"/>
          <w:noProof/>
        </w:rPr>
      </w:pPr>
      <w:r>
        <w:rPr>
          <w:rFonts w:ascii="Calibri" w:eastAsia="Calibri" w:hAnsi="Calibri" w:cs="Times New Roman"/>
          <w:noProof/>
          <w:sz w:val="16"/>
          <w:szCs w:val="16"/>
        </w:rPr>
        <w:t>(***) Not available</w:t>
      </w:r>
      <w:r>
        <w:rPr>
          <w:rFonts w:ascii="Calibri" w:eastAsia="Calibri" w:hAnsi="Calibri" w:cs="Times New Roman"/>
          <w:noProof/>
        </w:rPr>
        <w:t xml:space="preserve"> </w:t>
      </w:r>
      <w:r>
        <w:rPr>
          <w:rFonts w:ascii="Calibri" w:eastAsia="Calibri" w:hAnsi="Calibri" w:cs="Times New Roman"/>
          <w:noProof/>
          <w:sz w:val="16"/>
          <w:szCs w:val="16"/>
        </w:rPr>
        <w:t>because of local instability or unreliable data.</w:t>
      </w:r>
    </w:p>
    <w:p>
      <w:pP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br w:type="page"/>
      </w:r>
    </w:p>
    <w:p>
      <w:pPr>
        <w:spacing w:before="120"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ANNEX III</w:t>
      </w:r>
    </w:p>
    <w:p>
      <w:pPr>
        <w:spacing w:before="120" w:after="0" w:line="240" w:lineRule="auto"/>
        <w:jc w:val="center"/>
        <w:rPr>
          <w:rFonts w:ascii="Times New Roman" w:eastAsia="Times New Roman" w:hAnsi="Times New Roman" w:cs="Times New Roman"/>
          <w:i/>
          <w:iCs/>
          <w:noProof/>
          <w:sz w:val="32"/>
          <w:szCs w:val="32"/>
          <w:lang w:eastAsia="en-GB"/>
        </w:rPr>
      </w:pPr>
      <w:r>
        <w:rPr>
          <w:rFonts w:ascii="Times New Roman" w:eastAsia="Times New Roman" w:hAnsi="Times New Roman" w:cs="Times New Roman"/>
          <w:b/>
          <w:noProof/>
          <w:sz w:val="24"/>
          <w:szCs w:val="24"/>
        </w:rPr>
        <w:t>INTERIM UPDATE OF THE WEIGHTINGS APPLICABLE TO THE</w:t>
      </w:r>
      <w:r>
        <w:rPr>
          <w:rFonts w:ascii="Times New Roman" w:eastAsia="Times New Roman" w:hAnsi="Times New Roman" w:cs="Times New Roman"/>
          <w:b/>
          <w:noProof/>
          <w:sz w:val="24"/>
          <w:szCs w:val="24"/>
        </w:rPr>
        <w:br/>
        <w:t xml:space="preserve"> REMUNERATION OF OFFICIALS, TEMPORARY STAFF AND CONTRACT</w:t>
      </w:r>
      <w:r>
        <w:rPr>
          <w:rFonts w:ascii="Times New Roman" w:eastAsia="Times New Roman" w:hAnsi="Times New Roman" w:cs="Times New Roman"/>
          <w:b/>
          <w:noProof/>
          <w:sz w:val="24"/>
          <w:szCs w:val="24"/>
        </w:rPr>
        <w:br/>
        <w:t xml:space="preserve"> STAFF OF THE EUROPEAN UNION SERVING IN THIRD COUNTRIES</w:t>
      </w:r>
      <w:r>
        <w:rPr>
          <w:rFonts w:ascii="Times New Roman" w:eastAsia="Times New Roman" w:hAnsi="Times New Roman" w:cs="Times New Roman"/>
          <w:b/>
          <w:noProof/>
          <w:sz w:val="24"/>
          <w:szCs w:val="24"/>
          <w:vertAlign w:val="superscript"/>
        </w:rPr>
        <w:footnoteReference w:id="4"/>
      </w:r>
    </w:p>
    <w:tbl>
      <w:tblPr>
        <w:tblpPr w:leftFromText="180" w:rightFromText="180" w:vertAnchor="page" w:horzAnchor="margin" w:tblpXSpec="center" w:tblpY="2906"/>
        <w:tblW w:w="9940" w:type="dxa"/>
        <w:tblLayout w:type="fixed"/>
        <w:tblLook w:val="04A0" w:firstRow="1" w:lastRow="0" w:firstColumn="1" w:lastColumn="0" w:noHBand="0" w:noVBand="1"/>
      </w:tblPr>
      <w:tblGrid>
        <w:gridCol w:w="510"/>
        <w:gridCol w:w="3638"/>
        <w:gridCol w:w="1814"/>
        <w:gridCol w:w="10"/>
        <w:gridCol w:w="11"/>
        <w:gridCol w:w="346"/>
        <w:gridCol w:w="1437"/>
        <w:gridCol w:w="17"/>
        <w:gridCol w:w="348"/>
        <w:gridCol w:w="1573"/>
        <w:gridCol w:w="236"/>
      </w:tblGrid>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center"/>
              <w:rPr>
                <w:rFonts w:ascii="Times New Roman" w:eastAsia="Times New Roman" w:hAnsi="Times New Roman" w:cs="Times New Roman"/>
                <w:i/>
                <w:iCs/>
                <w:noProof/>
                <w:sz w:val="32"/>
                <w:szCs w:val="32"/>
                <w:lang w:eastAsia="en-GB"/>
              </w:rPr>
            </w:pPr>
            <w:r>
              <w:rPr>
                <w:rFonts w:ascii="Times New Roman" w:eastAsia="Times New Roman" w:hAnsi="Times New Roman" w:cs="Times New Roman"/>
                <w:i/>
                <w:iCs/>
                <w:noProof/>
                <w:sz w:val="32"/>
                <w:szCs w:val="32"/>
                <w:lang w:eastAsia="en-GB"/>
              </w:rPr>
              <w:t>FEBRUARY 2019</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63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PLACE OF EMPLOYMENT</w:t>
            </w:r>
          </w:p>
        </w:tc>
        <w:tc>
          <w:tcPr>
            <w:tcW w:w="1814" w:type="dxa"/>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Economic parity </w:t>
            </w:r>
            <w:r>
              <w:rPr>
                <w:rFonts w:ascii="Times New Roman" w:eastAsia="Times New Roman" w:hAnsi="Times New Roman" w:cs="Times New Roman"/>
                <w:b/>
                <w:bCs/>
                <w:noProof/>
                <w:sz w:val="16"/>
                <w:szCs w:val="16"/>
                <w:lang w:eastAsia="en-GB"/>
              </w:rPr>
              <w:br/>
              <w:t>February 2019</w:t>
            </w:r>
          </w:p>
        </w:tc>
        <w:tc>
          <w:tcPr>
            <w:tcW w:w="1804" w:type="dxa"/>
            <w:gridSpan w:val="4"/>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Exchange rate </w:t>
            </w:r>
            <w:r>
              <w:rPr>
                <w:rFonts w:ascii="Times New Roman" w:eastAsia="Times New Roman" w:hAnsi="Times New Roman" w:cs="Times New Roman"/>
                <w:b/>
                <w:bCs/>
                <w:noProof/>
                <w:sz w:val="16"/>
                <w:szCs w:val="16"/>
                <w:lang w:eastAsia="en-GB"/>
              </w:rPr>
              <w:br/>
              <w:t>February 2019 (*)</w:t>
            </w:r>
          </w:p>
        </w:tc>
        <w:tc>
          <w:tcPr>
            <w:tcW w:w="1938"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Weighting </w:t>
            </w:r>
            <w:r>
              <w:rPr>
                <w:rFonts w:ascii="Times New Roman" w:eastAsia="Times New Roman" w:hAnsi="Times New Roman" w:cs="Times New Roman"/>
                <w:b/>
                <w:bCs/>
                <w:noProof/>
                <w:sz w:val="16"/>
                <w:szCs w:val="16"/>
                <w:lang w:eastAsia="en-GB"/>
              </w:rPr>
              <w:br/>
              <w:t>February 2019 (**)</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Argentina</w:t>
            </w:r>
          </w:p>
        </w:tc>
        <w:tc>
          <w:tcPr>
            <w:tcW w:w="1814" w:type="dxa"/>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19,90</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42,3216</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47,0</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Botswana</w:t>
            </w:r>
          </w:p>
        </w:tc>
        <w:tc>
          <w:tcPr>
            <w:tcW w:w="1814" w:type="dxa"/>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8,078</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11,8906</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67,9</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Egypt</w:t>
            </w:r>
          </w:p>
        </w:tc>
        <w:tc>
          <w:tcPr>
            <w:tcW w:w="1814" w:type="dxa"/>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12,72</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20,2046</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63,0</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Ethiopia</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26,64</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32,4790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82,0</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Gabon</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688,8</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655,957</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105,0</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Ghana</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4,330</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5,61925</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77,1</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Nigeria</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298,3</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349,431</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85,4</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Sierra Leone</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9221</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9661,58</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95,4</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South-Sudan</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283,4</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176,701</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160,4</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Sudan</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31,10</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54,3759</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57,2</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Uzbekistan</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3960</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9575,42</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41,4</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gridAfter w:val="1"/>
          <w:wAfter w:w="236" w:type="dxa"/>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w:t>
            </w: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lang w:val="en-US" w:eastAsia="en-GB"/>
              </w:rPr>
            </w:pPr>
            <w:r>
              <w:rPr>
                <w:rFonts w:ascii="Arial" w:eastAsia="Times New Roman" w:hAnsi="Arial" w:cs="Arial"/>
                <w:noProof/>
                <w:sz w:val="16"/>
                <w:szCs w:val="16"/>
                <w:lang w:val="en-US" w:eastAsia="en-GB"/>
              </w:rPr>
              <w:t>1 EUR = x units of local currency.</w:t>
            </w: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w:t>
            </w: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lang w:eastAsia="en-GB"/>
              </w:rPr>
            </w:pPr>
            <w:r>
              <w:rPr>
                <w:rFonts w:ascii="Arial" w:eastAsia="Times New Roman" w:hAnsi="Arial" w:cs="Arial"/>
                <w:noProof/>
                <w:sz w:val="16"/>
                <w:szCs w:val="16"/>
                <w:lang w:eastAsia="en-GB"/>
              </w:rPr>
              <w:t>Brussels and Luxembourg = 100.</w:t>
            </w: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center"/>
              <w:rPr>
                <w:rFonts w:ascii="Times New Roman" w:eastAsia="Times New Roman" w:hAnsi="Times New Roman" w:cs="Times New Roman"/>
                <w:i/>
                <w:iCs/>
                <w:noProof/>
                <w:sz w:val="32"/>
                <w:szCs w:val="32"/>
                <w:lang w:eastAsia="en-GB"/>
              </w:rPr>
            </w:pPr>
            <w:r>
              <w:rPr>
                <w:rFonts w:ascii="Times New Roman" w:eastAsia="Times New Roman" w:hAnsi="Times New Roman" w:cs="Times New Roman"/>
                <w:i/>
                <w:iCs/>
                <w:noProof/>
                <w:sz w:val="32"/>
                <w:szCs w:val="32"/>
                <w:lang w:eastAsia="en-GB"/>
              </w:rPr>
              <w:t>MARCH 2019</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6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PLACE OF EMPLOYMENT</w:t>
            </w:r>
          </w:p>
        </w:tc>
        <w:tc>
          <w:tcPr>
            <w:tcW w:w="1814" w:type="dxa"/>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Economic parity </w:t>
            </w:r>
            <w:r>
              <w:rPr>
                <w:rFonts w:ascii="Times New Roman" w:eastAsia="Times New Roman" w:hAnsi="Times New Roman" w:cs="Times New Roman"/>
                <w:b/>
                <w:bCs/>
                <w:noProof/>
                <w:sz w:val="16"/>
                <w:szCs w:val="16"/>
                <w:lang w:eastAsia="en-GB"/>
              </w:rPr>
              <w:br/>
              <w:t>March 2019</w:t>
            </w:r>
          </w:p>
        </w:tc>
        <w:tc>
          <w:tcPr>
            <w:tcW w:w="1804" w:type="dxa"/>
            <w:gridSpan w:val="4"/>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Exchange rate </w:t>
            </w:r>
            <w:r>
              <w:rPr>
                <w:rFonts w:ascii="Times New Roman" w:eastAsia="Times New Roman" w:hAnsi="Times New Roman" w:cs="Times New Roman"/>
                <w:b/>
                <w:bCs/>
                <w:noProof/>
                <w:sz w:val="16"/>
                <w:szCs w:val="16"/>
                <w:lang w:eastAsia="en-GB"/>
              </w:rPr>
              <w:br/>
              <w:t>March 2019 (*)</w:t>
            </w:r>
          </w:p>
        </w:tc>
        <w:tc>
          <w:tcPr>
            <w:tcW w:w="1938"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Weighting  </w:t>
            </w:r>
            <w:r>
              <w:rPr>
                <w:rFonts w:ascii="Times New Roman" w:eastAsia="Times New Roman" w:hAnsi="Times New Roman" w:cs="Times New Roman"/>
                <w:b/>
                <w:bCs/>
                <w:noProof/>
                <w:sz w:val="16"/>
                <w:szCs w:val="16"/>
                <w:lang w:eastAsia="en-GB"/>
              </w:rPr>
              <w:br/>
              <w:t>March 2019 (**)</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Eritrea</w:t>
            </w:r>
          </w:p>
        </w:tc>
        <w:tc>
          <w:tcPr>
            <w:tcW w:w="1814" w:type="dxa"/>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19,94</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17,3431</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115,0</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South-Sudan</w:t>
            </w:r>
          </w:p>
        </w:tc>
        <w:tc>
          <w:tcPr>
            <w:tcW w:w="1814" w:type="dxa"/>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316,9</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176,705</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179,3</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gridAfter w:val="1"/>
          <w:wAfter w:w="236" w:type="dxa"/>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w:t>
            </w: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lang w:val="en-US" w:eastAsia="en-GB"/>
              </w:rPr>
            </w:pPr>
            <w:r>
              <w:rPr>
                <w:rFonts w:ascii="Arial" w:eastAsia="Times New Roman" w:hAnsi="Arial" w:cs="Arial"/>
                <w:noProof/>
                <w:sz w:val="16"/>
                <w:szCs w:val="16"/>
                <w:lang w:val="en-US" w:eastAsia="en-GB"/>
              </w:rPr>
              <w:t>1 EUR = x units of local currency.</w:t>
            </w: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w:t>
            </w: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lang w:eastAsia="en-GB"/>
              </w:rPr>
            </w:pPr>
            <w:r>
              <w:rPr>
                <w:rFonts w:ascii="Arial" w:eastAsia="Times New Roman" w:hAnsi="Arial" w:cs="Arial"/>
                <w:noProof/>
                <w:sz w:val="16"/>
                <w:szCs w:val="16"/>
                <w:lang w:eastAsia="en-GB"/>
              </w:rPr>
              <w:t>Brussels and Luxembourg = 100.</w:t>
            </w: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40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center"/>
              <w:rPr>
                <w:rFonts w:ascii="Times New Roman" w:eastAsia="Times New Roman" w:hAnsi="Times New Roman" w:cs="Times New Roman"/>
                <w:i/>
                <w:iCs/>
                <w:noProof/>
                <w:sz w:val="32"/>
                <w:szCs w:val="32"/>
                <w:lang w:eastAsia="en-GB"/>
              </w:rPr>
            </w:pPr>
            <w:r>
              <w:rPr>
                <w:rFonts w:ascii="Times New Roman" w:eastAsia="Times New Roman" w:hAnsi="Times New Roman" w:cs="Times New Roman"/>
                <w:i/>
                <w:iCs/>
                <w:noProof/>
                <w:sz w:val="32"/>
                <w:szCs w:val="32"/>
                <w:lang w:eastAsia="en-GB"/>
              </w:rPr>
              <w:t>APRIL 2019</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63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PLACE OF EMPLOYMENT</w:t>
            </w:r>
          </w:p>
        </w:tc>
        <w:tc>
          <w:tcPr>
            <w:tcW w:w="1824" w:type="dxa"/>
            <w:gridSpan w:val="2"/>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Economic parity </w:t>
            </w:r>
            <w:r>
              <w:rPr>
                <w:rFonts w:ascii="Times New Roman" w:eastAsia="Times New Roman" w:hAnsi="Times New Roman" w:cs="Times New Roman"/>
                <w:b/>
                <w:bCs/>
                <w:noProof/>
                <w:sz w:val="16"/>
                <w:szCs w:val="16"/>
                <w:lang w:eastAsia="en-GB"/>
              </w:rPr>
              <w:br/>
              <w:t>April 2019</w:t>
            </w:r>
          </w:p>
        </w:tc>
        <w:tc>
          <w:tcPr>
            <w:tcW w:w="1794"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Exchange rate </w:t>
            </w:r>
            <w:r>
              <w:rPr>
                <w:rFonts w:ascii="Times New Roman" w:eastAsia="Times New Roman" w:hAnsi="Times New Roman" w:cs="Times New Roman"/>
                <w:b/>
                <w:bCs/>
                <w:noProof/>
                <w:sz w:val="16"/>
                <w:szCs w:val="16"/>
                <w:lang w:eastAsia="en-GB"/>
              </w:rPr>
              <w:br/>
              <w:t>April 2019 (*)</w:t>
            </w:r>
          </w:p>
        </w:tc>
        <w:tc>
          <w:tcPr>
            <w:tcW w:w="1938"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Weighting </w:t>
            </w:r>
            <w:r>
              <w:rPr>
                <w:rFonts w:ascii="Times New Roman" w:eastAsia="Times New Roman" w:hAnsi="Times New Roman" w:cs="Times New Roman"/>
                <w:b/>
                <w:bCs/>
                <w:noProof/>
                <w:sz w:val="16"/>
                <w:szCs w:val="16"/>
                <w:lang w:eastAsia="en-GB"/>
              </w:rPr>
              <w:br/>
              <w:t>April 2019 (**)</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Angola</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384,7</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360,004</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106,9</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Argentina</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21,41</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47,2053</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45,4</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Burundi</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1726</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2066,69</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83,5</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Democratic Republic of the Congo</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1866</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1867,81</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99,9</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Ghana</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4,555</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5,75645</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79,1</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Pakistan</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76,03</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158,505</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48,0</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Panama</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0,9194</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1,12180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82,0</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South-Sudan</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341,3</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174,875</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195,2</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Sudan</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33,20</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53,8648</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61,6</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Uruguay</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34,53</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37,5882</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91,9</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Uzbekistan</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4252</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9421,96</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45,1</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gridAfter w:val="1"/>
          <w:wAfter w:w="236" w:type="dxa"/>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w:t>
            </w: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lang w:val="en-US" w:eastAsia="en-GB"/>
              </w:rPr>
            </w:pPr>
            <w:r>
              <w:rPr>
                <w:rFonts w:ascii="Arial" w:eastAsia="Times New Roman" w:hAnsi="Arial" w:cs="Arial"/>
                <w:noProof/>
                <w:sz w:val="16"/>
                <w:szCs w:val="16"/>
                <w:lang w:val="en-US" w:eastAsia="en-GB"/>
              </w:rPr>
              <w:t>1 EUR = x units of local currency, except USD for: Panama.</w:t>
            </w: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w:t>
            </w: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lang w:eastAsia="en-GB"/>
              </w:rPr>
            </w:pPr>
            <w:r>
              <w:rPr>
                <w:rFonts w:ascii="Arial" w:eastAsia="Times New Roman" w:hAnsi="Arial" w:cs="Arial"/>
                <w:noProof/>
                <w:sz w:val="16"/>
                <w:szCs w:val="16"/>
                <w:lang w:eastAsia="en-GB"/>
              </w:rPr>
              <w:t>Brussels and Luxembourg = 100.</w:t>
            </w: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40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center"/>
              <w:rPr>
                <w:rFonts w:ascii="Times New Roman" w:eastAsia="Times New Roman" w:hAnsi="Times New Roman" w:cs="Times New Roman"/>
                <w:i/>
                <w:iCs/>
                <w:noProof/>
                <w:sz w:val="32"/>
                <w:szCs w:val="32"/>
                <w:lang w:eastAsia="en-GB"/>
              </w:rPr>
            </w:pPr>
            <w:r>
              <w:rPr>
                <w:rFonts w:ascii="Times New Roman" w:eastAsia="Times New Roman" w:hAnsi="Times New Roman" w:cs="Times New Roman"/>
                <w:i/>
                <w:iCs/>
                <w:noProof/>
                <w:sz w:val="32"/>
                <w:szCs w:val="32"/>
                <w:lang w:eastAsia="en-GB"/>
              </w:rPr>
              <w:t>MAY 2019</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84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PLACE OF EMPLOYMENT</w:t>
            </w:r>
          </w:p>
        </w:tc>
        <w:tc>
          <w:tcPr>
            <w:tcW w:w="1824" w:type="dxa"/>
            <w:gridSpan w:val="2"/>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Economic parity </w:t>
            </w:r>
            <w:r>
              <w:rPr>
                <w:rFonts w:ascii="Times New Roman" w:eastAsia="Times New Roman" w:hAnsi="Times New Roman" w:cs="Times New Roman"/>
                <w:b/>
                <w:bCs/>
                <w:noProof/>
                <w:sz w:val="16"/>
                <w:szCs w:val="16"/>
                <w:lang w:eastAsia="en-GB"/>
              </w:rPr>
              <w:br/>
              <w:t>May 2019</w:t>
            </w:r>
          </w:p>
        </w:tc>
        <w:tc>
          <w:tcPr>
            <w:tcW w:w="1794"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Exchange rate </w:t>
            </w:r>
            <w:r>
              <w:rPr>
                <w:rFonts w:ascii="Times New Roman" w:eastAsia="Times New Roman" w:hAnsi="Times New Roman" w:cs="Times New Roman"/>
                <w:b/>
                <w:bCs/>
                <w:noProof/>
                <w:sz w:val="16"/>
                <w:szCs w:val="16"/>
                <w:lang w:eastAsia="en-GB"/>
              </w:rPr>
              <w:br/>
              <w:t>May 2019 (*)</w:t>
            </w:r>
          </w:p>
        </w:tc>
        <w:tc>
          <w:tcPr>
            <w:tcW w:w="1938"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Weighting  </w:t>
            </w:r>
            <w:r>
              <w:rPr>
                <w:rFonts w:ascii="Times New Roman" w:eastAsia="Times New Roman" w:hAnsi="Times New Roman" w:cs="Times New Roman"/>
                <w:b/>
                <w:bCs/>
                <w:noProof/>
                <w:sz w:val="16"/>
                <w:szCs w:val="16"/>
                <w:lang w:eastAsia="en-GB"/>
              </w:rPr>
              <w:br/>
              <w:t>May 2019 (**)</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Cameroon</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542,5</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655,957</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82,7</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Egypt</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13,64</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19,2205</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71,0</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Ethiopia</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28,28</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32,3931</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87,3</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Haiti</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80,32</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95,1980</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84,4</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Myanmar</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1068</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1699,26</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62,9</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Tajikistan</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5,503</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10,5250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52,3</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gridAfter w:val="1"/>
          <w:wAfter w:w="236" w:type="dxa"/>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w:t>
            </w: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lang w:val="en-US" w:eastAsia="en-GB"/>
              </w:rPr>
            </w:pPr>
            <w:r>
              <w:rPr>
                <w:rFonts w:ascii="Arial" w:eastAsia="Times New Roman" w:hAnsi="Arial" w:cs="Arial"/>
                <w:noProof/>
                <w:sz w:val="16"/>
                <w:szCs w:val="16"/>
                <w:lang w:val="en-US" w:eastAsia="en-GB"/>
              </w:rPr>
              <w:t>1 EUR = x units of local currency.</w:t>
            </w: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w:t>
            </w: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lang w:eastAsia="en-GB"/>
              </w:rPr>
            </w:pPr>
            <w:r>
              <w:rPr>
                <w:rFonts w:ascii="Arial" w:eastAsia="Times New Roman" w:hAnsi="Arial" w:cs="Arial"/>
                <w:noProof/>
                <w:sz w:val="16"/>
                <w:szCs w:val="16"/>
                <w:lang w:eastAsia="en-GB"/>
              </w:rPr>
              <w:t>Brussels and Luxembourg = 100.</w:t>
            </w: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40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center"/>
              <w:rPr>
                <w:rFonts w:ascii="Times New Roman" w:eastAsia="Times New Roman" w:hAnsi="Times New Roman" w:cs="Times New Roman"/>
                <w:i/>
                <w:iCs/>
                <w:noProof/>
                <w:sz w:val="32"/>
                <w:szCs w:val="32"/>
                <w:lang w:eastAsia="en-GB"/>
              </w:rPr>
            </w:pPr>
            <w:r>
              <w:rPr>
                <w:rFonts w:ascii="Times New Roman" w:eastAsia="Times New Roman" w:hAnsi="Times New Roman" w:cs="Times New Roman"/>
                <w:i/>
                <w:iCs/>
                <w:noProof/>
                <w:sz w:val="32"/>
                <w:szCs w:val="32"/>
                <w:lang w:eastAsia="en-GB"/>
              </w:rPr>
              <w:t>JUNE 2019</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84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PLACE OF EMPLOYMENT</w:t>
            </w:r>
          </w:p>
        </w:tc>
        <w:tc>
          <w:tcPr>
            <w:tcW w:w="1835"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Economic parity </w:t>
            </w:r>
            <w:r>
              <w:rPr>
                <w:rFonts w:ascii="Times New Roman" w:eastAsia="Times New Roman" w:hAnsi="Times New Roman" w:cs="Times New Roman"/>
                <w:b/>
                <w:bCs/>
                <w:noProof/>
                <w:sz w:val="16"/>
                <w:szCs w:val="16"/>
                <w:lang w:eastAsia="en-GB"/>
              </w:rPr>
              <w:br/>
              <w:t>June 2019</w:t>
            </w:r>
          </w:p>
        </w:tc>
        <w:tc>
          <w:tcPr>
            <w:tcW w:w="1800"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Exchange rate </w:t>
            </w:r>
            <w:r>
              <w:rPr>
                <w:rFonts w:ascii="Times New Roman" w:eastAsia="Times New Roman" w:hAnsi="Times New Roman" w:cs="Times New Roman"/>
                <w:b/>
                <w:bCs/>
                <w:noProof/>
                <w:sz w:val="16"/>
                <w:szCs w:val="16"/>
                <w:lang w:eastAsia="en-GB"/>
              </w:rPr>
              <w:br/>
              <w:t xml:space="preserve"> June 2019 (*)</w:t>
            </w:r>
          </w:p>
        </w:tc>
        <w:tc>
          <w:tcPr>
            <w:tcW w:w="1921" w:type="dxa"/>
            <w:gridSpan w:val="2"/>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Weighting </w:t>
            </w:r>
            <w:r>
              <w:rPr>
                <w:rFonts w:ascii="Times New Roman" w:eastAsia="Times New Roman" w:hAnsi="Times New Roman" w:cs="Times New Roman"/>
                <w:b/>
                <w:bCs/>
                <w:noProof/>
                <w:sz w:val="16"/>
                <w:szCs w:val="16"/>
                <w:lang w:eastAsia="en-GB"/>
              </w:rPr>
              <w:br/>
              <w:t>June 2019 (**)</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Argentina</w:t>
            </w:r>
          </w:p>
        </w:tc>
        <w:tc>
          <w:tcPr>
            <w:tcW w:w="1835"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22,82</w:t>
            </w:r>
          </w:p>
        </w:tc>
        <w:tc>
          <w:tcPr>
            <w:tcW w:w="1800"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50,1625</w:t>
            </w:r>
          </w:p>
        </w:tc>
        <w:tc>
          <w:tcPr>
            <w:tcW w:w="1921"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45,5</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Congo</w:t>
            </w:r>
          </w:p>
        </w:tc>
        <w:tc>
          <w:tcPr>
            <w:tcW w:w="1835"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766,8</w:t>
            </w:r>
          </w:p>
        </w:tc>
        <w:tc>
          <w:tcPr>
            <w:tcW w:w="1800"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655,957</w:t>
            </w:r>
          </w:p>
        </w:tc>
        <w:tc>
          <w:tcPr>
            <w:tcW w:w="1921"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116,9</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Ghana</w:t>
            </w:r>
          </w:p>
        </w:tc>
        <w:tc>
          <w:tcPr>
            <w:tcW w:w="1835"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4,815</w:t>
            </w:r>
          </w:p>
        </w:tc>
        <w:tc>
          <w:tcPr>
            <w:tcW w:w="1800"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5,73320</w:t>
            </w:r>
          </w:p>
        </w:tc>
        <w:tc>
          <w:tcPr>
            <w:tcW w:w="1921"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84,0</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Mongolia</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2038</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2963,29</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68,8</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Tunisia</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2,118</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3,34000</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63,4</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Uzbekistan</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4537</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9497,43</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47,8</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Vietnam</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16330</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26183,7</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62,4</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lang w:eastAsia="en-GB"/>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Zambia</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9,077</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14,9570</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60,7</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lang w:eastAsia="en-GB"/>
              </w:rPr>
            </w:pPr>
          </w:p>
        </w:tc>
      </w:tr>
      <w:tr>
        <w:trPr>
          <w:gridAfter w:val="1"/>
          <w:wAfter w:w="236" w:type="dxa"/>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w:t>
            </w: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lang w:val="en-US" w:eastAsia="en-GB"/>
              </w:rPr>
            </w:pPr>
            <w:r>
              <w:rPr>
                <w:rFonts w:ascii="Arial" w:eastAsia="Times New Roman" w:hAnsi="Arial" w:cs="Arial"/>
                <w:noProof/>
                <w:sz w:val="16"/>
                <w:szCs w:val="16"/>
                <w:lang w:val="en-US" w:eastAsia="en-GB"/>
              </w:rPr>
              <w:t>1 EUR = x units of local currency.</w:t>
            </w: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w:t>
            </w: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lang w:eastAsia="en-GB"/>
              </w:rPr>
            </w:pPr>
            <w:r>
              <w:rPr>
                <w:rFonts w:ascii="Arial" w:eastAsia="Times New Roman" w:hAnsi="Arial" w:cs="Arial"/>
                <w:noProof/>
                <w:sz w:val="16"/>
                <w:szCs w:val="16"/>
                <w:lang w:eastAsia="en-GB"/>
              </w:rPr>
              <w:t>Brussels and Luxembourg = 100.</w:t>
            </w: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lang w:eastAsia="en-GB"/>
              </w:rPr>
            </w:pPr>
          </w:p>
        </w:tc>
      </w:tr>
    </w:tbl>
    <w:p>
      <w:pPr>
        <w:spacing w:before="120" w:after="0" w:line="240" w:lineRule="auto"/>
        <w:jc w:val="center"/>
        <w:rPr>
          <w:rFonts w:ascii="Times New Roman" w:eastAsia="Times New Roman" w:hAnsi="Times New Roman" w:cs="Times New Roman"/>
          <w:noProof/>
          <w:sz w:val="24"/>
          <w:szCs w:val="20"/>
          <w:lang w:eastAsia="fr-BE"/>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360"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4001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Fonts w:eastAsiaTheme="majorEastAsia"/>
        </w:rPr>
        <w:footnoteRef/>
      </w:r>
      <w:r>
        <w:rPr>
          <w:rStyle w:val="FootnoteReference"/>
          <w:rFonts w:eastAsiaTheme="majorEastAsia"/>
        </w:rPr>
        <w:tab/>
      </w:r>
      <w:r>
        <w:t>Council Regulation (ECSC, EEC, Euratom) No 300/76 of 9 February 1976 determining the categories of officials entitled to allowances for shiftwork, and the rates and conditions thereof (OJ L 38, 13.2.1976, p. 1).</w:t>
      </w:r>
      <w:r>
        <w:rPr>
          <w:rStyle w:val="FootnoteReference"/>
          <w:rFonts w:eastAsiaTheme="majorEastAsia"/>
        </w:rPr>
        <w:t xml:space="preserve"> </w:t>
      </w:r>
      <w:r>
        <w:t>Regulation as supplemented by Regulation (Euratom, ECSC, EEC) No 1307/87 (OJ L 124, 13.5.1987, p. 6).</w:t>
      </w:r>
    </w:p>
  </w:footnote>
  <w:footnote w:id="2">
    <w:p>
      <w:pPr>
        <w:pStyle w:val="FootnoteText"/>
      </w:pPr>
      <w:r>
        <w:rPr>
          <w:rStyle w:val="FootnoteReference"/>
          <w:rFonts w:eastAsiaTheme="majorEastAsia"/>
        </w:rPr>
        <w:footnoteRef/>
      </w:r>
      <w:r>
        <w:rPr>
          <w:rStyle w:val="FootnoteReference"/>
          <w:rFonts w:eastAsiaTheme="majorEastAsia"/>
        </w:rPr>
        <w:tab/>
      </w:r>
      <w:r>
        <w:t>Regulation (EEC, Euratom, ECSC) No 260/68 of the Council of 29 February 1968 laying down the conditions and procedure for applying the tax for the benefit of the European Communities (OJ L 56, 4.3.1968, p. 8).</w:t>
      </w:r>
    </w:p>
  </w:footnote>
  <w:footnote w:id="3">
    <w:p>
      <w:pPr>
        <w:pStyle w:val="FootnoteText"/>
        <w:rPr>
          <w:sz w:val="18"/>
        </w:rPr>
      </w:pPr>
      <w:r>
        <w:rPr>
          <w:rStyle w:val="FootnoteReference"/>
        </w:rPr>
        <w:footnoteRef/>
      </w:r>
      <w:r>
        <w:t xml:space="preserve"> </w:t>
      </w:r>
      <w:r>
        <w:rPr>
          <w:sz w:val="18"/>
        </w:rPr>
        <w:t>Eurostat Report of 31 October 2019 on the 2019 annual update of remuneration and pensions of EU officials in accordance with Articles 64 and 65 and Annexes XI to the Staff Regulations, applicable to officials and other servants of the European Union, adjusting with effect from 1 July 2019 the remuneration of active staff and the pensions of retired staff, and updating with effect from 1 July 2019 the correction coefficients applied to the remuneration of active staff serving in Intra-EU and Extra-EU duty stations, to the pensions of retired staff according to their country of residence, and for pension transfers.</w:t>
      </w:r>
    </w:p>
    <w:p>
      <w:pPr>
        <w:pStyle w:val="FootnoteText"/>
      </w:pPr>
      <w:r>
        <w:rPr>
          <w:sz w:val="18"/>
        </w:rPr>
        <w:t>Further information on the methodology is available on the Eurostat website ("Statistics Database" &gt;</w:t>
      </w:r>
      <w:r>
        <w:t xml:space="preserve"> </w:t>
      </w:r>
      <w:r>
        <w:rPr>
          <w:sz w:val="18"/>
        </w:rPr>
        <w:t>"Economy and finance" &gt; "Prices" &gt; "Correction coefficients")</w:t>
      </w:r>
    </w:p>
  </w:footnote>
  <w:footnote w:id="4">
    <w:p>
      <w:pPr>
        <w:pStyle w:val="FootnoteText"/>
        <w:jc w:val="both"/>
        <w:rPr>
          <w:sz w:val="18"/>
        </w:rPr>
      </w:pPr>
      <w:r>
        <w:rPr>
          <w:rStyle w:val="FootnoteReference"/>
        </w:rPr>
        <w:footnoteRef/>
      </w:r>
      <w:r>
        <w:rPr>
          <w:sz w:val="18"/>
        </w:rPr>
        <w:t xml:space="preserve"> Eurostat Report of 28 October 2019 on the interim update of weightings (correction coefficients) applicable to the remuneration of officials, temporary staff and contract staff of the European Union serving in Extra-EU Delegations in accordance with Article 64 and Annex X and Annex XI of the Staff Regulations applicable to officials and other servants of the European Union (Ares(2019)6661612).</w:t>
      </w:r>
    </w:p>
    <w:p>
      <w:pPr>
        <w:pStyle w:val="FootnoteText"/>
        <w:jc w:val="both"/>
        <w:rPr>
          <w:sz w:val="18"/>
        </w:rPr>
      </w:pPr>
      <w:r>
        <w:rPr>
          <w:sz w:val="18"/>
        </w:rPr>
        <w:t>Further information on the methodology is available on the Eurostat website ("Statistics Database" &gt; "Economy and finance" &gt; "Prices" &gt; "Correction coefficients")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w:docVar w:name="LW_ANNEX_NBR_FIRST" w:val="1"/>
    <w:docVar w:name="LW_ANNEX_NBR_LAST" w:val="3"/>
    <w:docVar w:name="LW_ANNEX_UNIQUE" w:val="0"/>
    <w:docVar w:name="LW_CORRIGENDUM" w:val="&lt;UNUSED&gt;"/>
    <w:docVar w:name="LW_COVERPAGE_EXISTS" w:val="True"/>
    <w:docVar w:name="LW_COVERPAGE_GUID" w:val="59991108-6499-4468-90F2-674ADFF11C06"/>
    <w:docVar w:name="LW_COVERPAGE_TYPE" w:val="1"/>
    <w:docVar w:name="LW_CROSSREFERENCE" w:val="&lt;UNUSED&gt;"/>
    <w:docVar w:name="LW_DocType" w:val="NORMAL"/>
    <w:docVar w:name="LW_EMISSION" w:val="28.11.2019"/>
    <w:docVar w:name="LW_EMISSION_ISODATE" w:val="2019-11-28"/>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on data pertaining to the budgetary impact of the 2019 annual update of remuneration and pensions of the officials and other servants of the European Union and the correction coefficients applied thereto_x000d__x000b_"/>
    <w:docVar w:name="LW_PART_NBR" w:val="&lt;UNUSED&gt;"/>
    <w:docVar w:name="LW_PART_NBR_TOTAL" w:val="&lt;UNUSED&gt;"/>
    <w:docVar w:name="LW_REF.INST.NEW" w:val="COM"/>
    <w:docVar w:name="LW_REF.INST.NEW_ADOPTED" w:val="final"/>
    <w:docVar w:name="LW_REF.INST.NEW_TEXT" w:val="(2019) 6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Report from the Commission to the European Parliament and the Counci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widowControl w:val="0"/>
      <w:spacing w:before="480" w:after="0" w:line="360" w:lineRule="auto"/>
      <w:outlineLvl w:val="0"/>
    </w:pPr>
    <w:rPr>
      <w:rFonts w:asciiTheme="majorHAnsi" w:eastAsiaTheme="majorEastAsia" w:hAnsiTheme="majorHAnsi" w:cstheme="majorBidi"/>
      <w:b/>
      <w:bCs/>
      <w:color w:val="365F91" w:themeColor="accent1" w:themeShade="BF"/>
      <w:sz w:val="28"/>
      <w:szCs w:val="28"/>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rPr>
      <w:b/>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fr-B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widowControl w:val="0"/>
      <w:spacing w:before="480" w:after="0" w:line="360" w:lineRule="auto"/>
      <w:outlineLvl w:val="0"/>
    </w:pPr>
    <w:rPr>
      <w:rFonts w:asciiTheme="majorHAnsi" w:eastAsiaTheme="majorEastAsia" w:hAnsiTheme="majorHAnsi" w:cstheme="majorBidi"/>
      <w:b/>
      <w:bCs/>
      <w:color w:val="365F91" w:themeColor="accent1" w:themeShade="BF"/>
      <w:sz w:val="28"/>
      <w:szCs w:val="28"/>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rPr>
      <w:b/>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fr-B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21337">
      <w:bodyDiv w:val="1"/>
      <w:marLeft w:val="0"/>
      <w:marRight w:val="0"/>
      <w:marTop w:val="0"/>
      <w:marBottom w:val="0"/>
      <w:divBdr>
        <w:top w:val="none" w:sz="0" w:space="0" w:color="auto"/>
        <w:left w:val="none" w:sz="0" w:space="0" w:color="auto"/>
        <w:bottom w:val="none" w:sz="0" w:space="0" w:color="auto"/>
        <w:right w:val="none" w:sz="0" w:space="0" w:color="auto"/>
      </w:divBdr>
    </w:div>
    <w:div w:id="43723175">
      <w:bodyDiv w:val="1"/>
      <w:marLeft w:val="0"/>
      <w:marRight w:val="0"/>
      <w:marTop w:val="0"/>
      <w:marBottom w:val="0"/>
      <w:divBdr>
        <w:top w:val="none" w:sz="0" w:space="0" w:color="auto"/>
        <w:left w:val="none" w:sz="0" w:space="0" w:color="auto"/>
        <w:bottom w:val="none" w:sz="0" w:space="0" w:color="auto"/>
        <w:right w:val="none" w:sz="0" w:space="0" w:color="auto"/>
      </w:divBdr>
    </w:div>
    <w:div w:id="113446006">
      <w:bodyDiv w:val="1"/>
      <w:marLeft w:val="0"/>
      <w:marRight w:val="0"/>
      <w:marTop w:val="0"/>
      <w:marBottom w:val="0"/>
      <w:divBdr>
        <w:top w:val="none" w:sz="0" w:space="0" w:color="auto"/>
        <w:left w:val="none" w:sz="0" w:space="0" w:color="auto"/>
        <w:bottom w:val="none" w:sz="0" w:space="0" w:color="auto"/>
        <w:right w:val="none" w:sz="0" w:space="0" w:color="auto"/>
      </w:divBdr>
    </w:div>
    <w:div w:id="341318027">
      <w:bodyDiv w:val="1"/>
      <w:marLeft w:val="0"/>
      <w:marRight w:val="0"/>
      <w:marTop w:val="0"/>
      <w:marBottom w:val="0"/>
      <w:divBdr>
        <w:top w:val="none" w:sz="0" w:space="0" w:color="auto"/>
        <w:left w:val="none" w:sz="0" w:space="0" w:color="auto"/>
        <w:bottom w:val="none" w:sz="0" w:space="0" w:color="auto"/>
        <w:right w:val="none" w:sz="0" w:space="0" w:color="auto"/>
      </w:divBdr>
    </w:div>
    <w:div w:id="415900035">
      <w:bodyDiv w:val="1"/>
      <w:marLeft w:val="0"/>
      <w:marRight w:val="0"/>
      <w:marTop w:val="0"/>
      <w:marBottom w:val="0"/>
      <w:divBdr>
        <w:top w:val="none" w:sz="0" w:space="0" w:color="auto"/>
        <w:left w:val="none" w:sz="0" w:space="0" w:color="auto"/>
        <w:bottom w:val="none" w:sz="0" w:space="0" w:color="auto"/>
        <w:right w:val="none" w:sz="0" w:space="0" w:color="auto"/>
      </w:divBdr>
    </w:div>
    <w:div w:id="425074687">
      <w:bodyDiv w:val="1"/>
      <w:marLeft w:val="0"/>
      <w:marRight w:val="0"/>
      <w:marTop w:val="0"/>
      <w:marBottom w:val="0"/>
      <w:divBdr>
        <w:top w:val="none" w:sz="0" w:space="0" w:color="auto"/>
        <w:left w:val="none" w:sz="0" w:space="0" w:color="auto"/>
        <w:bottom w:val="none" w:sz="0" w:space="0" w:color="auto"/>
        <w:right w:val="none" w:sz="0" w:space="0" w:color="auto"/>
      </w:divBdr>
    </w:div>
    <w:div w:id="636494398">
      <w:bodyDiv w:val="1"/>
      <w:marLeft w:val="0"/>
      <w:marRight w:val="0"/>
      <w:marTop w:val="0"/>
      <w:marBottom w:val="0"/>
      <w:divBdr>
        <w:top w:val="none" w:sz="0" w:space="0" w:color="auto"/>
        <w:left w:val="none" w:sz="0" w:space="0" w:color="auto"/>
        <w:bottom w:val="none" w:sz="0" w:space="0" w:color="auto"/>
        <w:right w:val="none" w:sz="0" w:space="0" w:color="auto"/>
      </w:divBdr>
    </w:div>
    <w:div w:id="693112954">
      <w:bodyDiv w:val="1"/>
      <w:marLeft w:val="0"/>
      <w:marRight w:val="0"/>
      <w:marTop w:val="0"/>
      <w:marBottom w:val="0"/>
      <w:divBdr>
        <w:top w:val="none" w:sz="0" w:space="0" w:color="auto"/>
        <w:left w:val="none" w:sz="0" w:space="0" w:color="auto"/>
        <w:bottom w:val="none" w:sz="0" w:space="0" w:color="auto"/>
        <w:right w:val="none" w:sz="0" w:space="0" w:color="auto"/>
      </w:divBdr>
    </w:div>
    <w:div w:id="916212866">
      <w:bodyDiv w:val="1"/>
      <w:marLeft w:val="0"/>
      <w:marRight w:val="0"/>
      <w:marTop w:val="0"/>
      <w:marBottom w:val="0"/>
      <w:divBdr>
        <w:top w:val="none" w:sz="0" w:space="0" w:color="auto"/>
        <w:left w:val="none" w:sz="0" w:space="0" w:color="auto"/>
        <w:bottom w:val="none" w:sz="0" w:space="0" w:color="auto"/>
        <w:right w:val="none" w:sz="0" w:space="0" w:color="auto"/>
      </w:divBdr>
    </w:div>
    <w:div w:id="937106545">
      <w:bodyDiv w:val="1"/>
      <w:marLeft w:val="0"/>
      <w:marRight w:val="0"/>
      <w:marTop w:val="0"/>
      <w:marBottom w:val="0"/>
      <w:divBdr>
        <w:top w:val="none" w:sz="0" w:space="0" w:color="auto"/>
        <w:left w:val="none" w:sz="0" w:space="0" w:color="auto"/>
        <w:bottom w:val="none" w:sz="0" w:space="0" w:color="auto"/>
        <w:right w:val="none" w:sz="0" w:space="0" w:color="auto"/>
      </w:divBdr>
    </w:div>
    <w:div w:id="1073510369">
      <w:bodyDiv w:val="1"/>
      <w:marLeft w:val="0"/>
      <w:marRight w:val="0"/>
      <w:marTop w:val="0"/>
      <w:marBottom w:val="0"/>
      <w:divBdr>
        <w:top w:val="none" w:sz="0" w:space="0" w:color="auto"/>
        <w:left w:val="none" w:sz="0" w:space="0" w:color="auto"/>
        <w:bottom w:val="none" w:sz="0" w:space="0" w:color="auto"/>
        <w:right w:val="none" w:sz="0" w:space="0" w:color="auto"/>
      </w:divBdr>
    </w:div>
    <w:div w:id="1270358532">
      <w:bodyDiv w:val="1"/>
      <w:marLeft w:val="0"/>
      <w:marRight w:val="0"/>
      <w:marTop w:val="0"/>
      <w:marBottom w:val="0"/>
      <w:divBdr>
        <w:top w:val="none" w:sz="0" w:space="0" w:color="auto"/>
        <w:left w:val="none" w:sz="0" w:space="0" w:color="auto"/>
        <w:bottom w:val="none" w:sz="0" w:space="0" w:color="auto"/>
        <w:right w:val="none" w:sz="0" w:space="0" w:color="auto"/>
      </w:divBdr>
    </w:div>
    <w:div w:id="1389957348">
      <w:bodyDiv w:val="1"/>
      <w:marLeft w:val="0"/>
      <w:marRight w:val="0"/>
      <w:marTop w:val="0"/>
      <w:marBottom w:val="0"/>
      <w:divBdr>
        <w:top w:val="none" w:sz="0" w:space="0" w:color="auto"/>
        <w:left w:val="none" w:sz="0" w:space="0" w:color="auto"/>
        <w:bottom w:val="none" w:sz="0" w:space="0" w:color="auto"/>
        <w:right w:val="none" w:sz="0" w:space="0" w:color="auto"/>
      </w:divBdr>
    </w:div>
    <w:div w:id="1650593064">
      <w:bodyDiv w:val="1"/>
      <w:marLeft w:val="0"/>
      <w:marRight w:val="0"/>
      <w:marTop w:val="0"/>
      <w:marBottom w:val="0"/>
      <w:divBdr>
        <w:top w:val="none" w:sz="0" w:space="0" w:color="auto"/>
        <w:left w:val="none" w:sz="0" w:space="0" w:color="auto"/>
        <w:bottom w:val="none" w:sz="0" w:space="0" w:color="auto"/>
        <w:right w:val="none" w:sz="0" w:space="0" w:color="auto"/>
      </w:divBdr>
    </w:div>
    <w:div w:id="1673409027">
      <w:bodyDiv w:val="1"/>
      <w:marLeft w:val="0"/>
      <w:marRight w:val="0"/>
      <w:marTop w:val="0"/>
      <w:marBottom w:val="0"/>
      <w:divBdr>
        <w:top w:val="none" w:sz="0" w:space="0" w:color="auto"/>
        <w:left w:val="none" w:sz="0" w:space="0" w:color="auto"/>
        <w:bottom w:val="none" w:sz="0" w:space="0" w:color="auto"/>
        <w:right w:val="none" w:sz="0" w:space="0" w:color="auto"/>
      </w:divBdr>
    </w:div>
    <w:div w:id="1686244848">
      <w:bodyDiv w:val="1"/>
      <w:marLeft w:val="0"/>
      <w:marRight w:val="0"/>
      <w:marTop w:val="0"/>
      <w:marBottom w:val="0"/>
      <w:divBdr>
        <w:top w:val="none" w:sz="0" w:space="0" w:color="auto"/>
        <w:left w:val="none" w:sz="0" w:space="0" w:color="auto"/>
        <w:bottom w:val="none" w:sz="0" w:space="0" w:color="auto"/>
        <w:right w:val="none" w:sz="0" w:space="0" w:color="auto"/>
      </w:divBdr>
    </w:div>
    <w:div w:id="1916084642">
      <w:bodyDiv w:val="1"/>
      <w:marLeft w:val="0"/>
      <w:marRight w:val="0"/>
      <w:marTop w:val="0"/>
      <w:marBottom w:val="0"/>
      <w:divBdr>
        <w:top w:val="none" w:sz="0" w:space="0" w:color="auto"/>
        <w:left w:val="none" w:sz="0" w:space="0" w:color="auto"/>
        <w:bottom w:val="none" w:sz="0" w:space="0" w:color="auto"/>
        <w:right w:val="none" w:sz="0" w:space="0" w:color="auto"/>
      </w:divBdr>
    </w:div>
    <w:div w:id="2115401654">
      <w:bodyDiv w:val="1"/>
      <w:marLeft w:val="0"/>
      <w:marRight w:val="0"/>
      <w:marTop w:val="0"/>
      <w:marBottom w:val="0"/>
      <w:divBdr>
        <w:top w:val="none" w:sz="0" w:space="0" w:color="auto"/>
        <w:left w:val="none" w:sz="0" w:space="0" w:color="auto"/>
        <w:bottom w:val="none" w:sz="0" w:space="0" w:color="auto"/>
        <w:right w:val="none" w:sz="0" w:space="0" w:color="auto"/>
      </w:divBdr>
    </w:div>
    <w:div w:id="21427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869</TotalTime>
  <Pages>9</Pages>
  <Words>3140</Words>
  <Characters>16488</Characters>
  <Application>Microsoft Office Word</Application>
  <DocSecurity>0</DocSecurity>
  <Lines>2061</Lines>
  <Paragraphs>1784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PIRLOT DE CORBION Caroline (HR)</dc:creator>
  <cp:lastModifiedBy>WES PDFC Administrator</cp:lastModifiedBy>
  <cp:revision>12</cp:revision>
  <cp:lastPrinted>2019-11-05T08:24:00Z</cp:lastPrinted>
  <dcterms:created xsi:type="dcterms:W3CDTF">2019-10-30T18:01:00Z</dcterms:created>
  <dcterms:modified xsi:type="dcterms:W3CDTF">2019-11-25T12:40:00Z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3</vt:lpwstr>
  </property>
  <property fmtid="{D5CDD505-2E9C-101B-9397-08002B2CF9AE}" pid="4" name="Part">
    <vt:lpwstr>&lt;UNUSED&gt;</vt:lpwstr>
  </property>
  <property fmtid="{D5CDD505-2E9C-101B-9397-08002B2CF9AE}" pid="5" name="Total parts">
    <vt:lpwstr>&lt;UNUSED&gt;</vt:lpwstr>
  </property>
  <property fmtid="{D5CDD505-2E9C-101B-9397-08002B2CF9AE}" pid="6" name="DocStatus">
    <vt:lpwstr>Green</vt:lpwstr>
  </property>
  <property fmtid="{D5CDD505-2E9C-101B-9397-08002B2CF9AE}" pid="7" name="Level of sensitivity">
    <vt:lpwstr>Standard treatment</vt:lpwstr>
  </property>
  <property fmtid="{D5CDD505-2E9C-101B-9397-08002B2CF9AE}" pid="8" name="Unique annex">
    <vt:lpwstr>0</vt:lpwstr>
  </property>
  <property fmtid="{D5CDD505-2E9C-101B-9397-08002B2CF9AE}" pid="9" name="Last edited using">
    <vt:lpwstr>LW 7.0, Build 20190717</vt:lpwstr>
  </property>
  <property fmtid="{D5CDD505-2E9C-101B-9397-08002B2CF9AE}" pid="10" name="Created using">
    <vt:lpwstr>LW 6.0.1, Build 20180503</vt:lpwstr>
  </property>
  <property fmtid="{D5CDD505-2E9C-101B-9397-08002B2CF9AE}" pid="11" name="CPTemplateID">
    <vt:lpwstr>CP-039</vt:lpwstr>
  </property>
</Properties>
</file>