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BCEF9BF-13FE-4FD4-892E-D62B5874A70D"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widowControl w:val="0"/>
        <w:shd w:val="clear" w:color="auto" w:fill="FFFFFF"/>
        <w:autoSpaceDE w:val="0"/>
        <w:autoSpaceDN w:val="0"/>
        <w:adjustRightInd w:val="0"/>
        <w:spacing w:before="230" w:after="0" w:line="269" w:lineRule="exact"/>
        <w:rPr>
          <w:noProof/>
        </w:rPr>
      </w:pPr>
      <w:r>
        <w:rPr>
          <w:noProof/>
        </w:rPr>
        <w:t>В съответствие с член 395, параграф 1 от Директива 2006/112/ЕО на Съвета от 28 ноември 2006 г. относно общата система на данъка върху добавената стойност</w:t>
      </w:r>
      <w:r>
        <w:rPr>
          <w:rStyle w:val="FootnoteReference"/>
          <w:noProof/>
        </w:rPr>
        <w:footnoteReference w:id="1"/>
      </w:r>
      <w:r>
        <w:rPr>
          <w:noProof/>
        </w:rPr>
        <w:t xml:space="preserve"> („Директивата за ДДС“)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се опрости процедурата за събиране на ДДС или да се предотвратят някои форми на отклонение от данъчно облагане или избягване на данъци.</w:t>
      </w:r>
    </w:p>
    <w:p>
      <w:pPr>
        <w:widowControl w:val="0"/>
        <w:shd w:val="clear" w:color="auto" w:fill="FFFFFF"/>
        <w:autoSpaceDE w:val="0"/>
        <w:autoSpaceDN w:val="0"/>
        <w:adjustRightInd w:val="0"/>
        <w:spacing w:before="230" w:after="0" w:line="269" w:lineRule="exact"/>
        <w:rPr>
          <w:noProof/>
        </w:rPr>
      </w:pPr>
      <w:r>
        <w:rPr>
          <w:noProof/>
        </w:rPr>
        <w:t xml:space="preserve">С писмо, заведено в Комисията на 2 май 2019 г., Люксембург поиска разрешение да продължи да освобождава от ДДС данъчно задължените лица, чийто годишен оборот е под определен праг, съгласно предвиденото в член 285 от Директивата за ДДС, и да увеличи този праг от 30 000 EUR на 35 000 EUR. </w:t>
      </w:r>
    </w:p>
    <w:p>
      <w:pPr>
        <w:widowControl w:val="0"/>
        <w:shd w:val="clear" w:color="auto" w:fill="FFFFFF"/>
        <w:autoSpaceDE w:val="0"/>
        <w:autoSpaceDN w:val="0"/>
        <w:adjustRightInd w:val="0"/>
        <w:spacing w:before="230" w:after="0" w:line="269" w:lineRule="exact"/>
        <w:rPr>
          <w:noProof/>
          <w:color w:val="008000"/>
        </w:rPr>
      </w:pPr>
      <w:r>
        <w:rPr>
          <w:noProof/>
        </w:rPr>
        <w:t>В съответствие с член 395, параграф 2 от Директивата за ДДС, с писмо от 21 юни 2019 г. Комисията информира останалите държави членки за отправеното от Люксембург искане. С писмо от 24 юни 2019 г. Комисията уведоми Люксембург, че разполага с цялата информация, която смята за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rPr>
          <w:noProof/>
        </w:rPr>
      </w:pPr>
      <w:r>
        <w:rPr>
          <w:noProof/>
        </w:rPr>
        <w:t xml:space="preserve">В дял XII, глава 1 от Директивата за ДДС се предвижда възможността държавите членки да прилагат специален режим за малките предприятия, който включва възможността данъчно задължените лица, чийто годишен оборот е под определен размер, да бъдат освободени от облагане. Данъчно задължените лица, обхванати от това освобождаване, не са длъжни да начисляват ДДС върху извършваните от тях доставки и следователно не може да приспадат ДДС за получаваните от тях доставки. </w:t>
      </w:r>
    </w:p>
    <w:p>
      <w:pPr>
        <w:rPr>
          <w:noProof/>
        </w:rPr>
      </w:pPr>
      <w:r>
        <w:rPr>
          <w:noProof/>
        </w:rPr>
        <w:t>Възможността за прилагане на специални правила за ДДС, в т.ч. освобождавания и прагово освобождаване, бе въведена за първи път с член 14 от Директива 67/228/ЕИО на Съвета</w:t>
      </w:r>
      <w:r>
        <w:rPr>
          <w:rStyle w:val="FootnoteReference"/>
          <w:noProof/>
        </w:rPr>
        <w:footnoteReference w:id="2"/>
      </w:r>
      <w:r>
        <w:rPr>
          <w:noProof/>
        </w:rPr>
        <w:t>. На държавите членки, които не използваха възможността за избор, предвидена съгласно посочената разпоредба, впоследствие беше разрешено, съгласно член 24, параграф 2, буква б) от Директива 77/388/EИО</w:t>
      </w:r>
      <w:r>
        <w:rPr>
          <w:rStyle w:val="FootnoteReference"/>
          <w:noProof/>
        </w:rPr>
        <w:footnoteReference w:id="3"/>
      </w:r>
      <w:r>
        <w:rPr>
          <w:noProof/>
        </w:rPr>
        <w:t xml:space="preserve">, понастоящем преработен като член 285, първа алинея от Директивата за ДДС, да освобождават от ДДС само данъчно задължените лица, чийто годишен оборот е не по-висок от 5000 EUR или тяхната равностойност в националната валута. В съответствие с член 285, втора алинея от Директивата за ДДС посочените държави членки може също така да предоставят прагово освобождаване на данъчно задължените лица, чийто годишен оборот превишава тавана, определен от тях за неговото прилагане. </w:t>
      </w:r>
    </w:p>
    <w:p>
      <w:pPr>
        <w:rPr>
          <w:noProof/>
        </w:rPr>
      </w:pPr>
      <w:r>
        <w:rPr>
          <w:noProof/>
        </w:rPr>
        <w:t xml:space="preserve">До края на 2012 г. Люксембург освобождава от ДДС данъчно задължените лица, чийто годишен оборот е не по-висок от 10 000 EUR. Наред с това Люксембург използва възможността за избор съгласно член 285, втора алинея от Директивата за ДДС, като </w:t>
      </w:r>
      <w:r>
        <w:rPr>
          <w:noProof/>
        </w:rPr>
        <w:lastRenderedPageBreak/>
        <w:t xml:space="preserve">предостави прагово освобождаване на данъчно задължените лица, чийто годишен оборот е между 10 000 EUR и 25 000 EUR. </w:t>
      </w:r>
    </w:p>
    <w:p>
      <w:pPr>
        <w:pBdr>
          <w:top w:val="nil"/>
          <w:left w:val="nil"/>
          <w:bottom w:val="nil"/>
          <w:right w:val="nil"/>
          <w:between w:val="nil"/>
          <w:bar w:val="nil"/>
        </w:pBdr>
        <w:spacing w:before="0" w:after="240"/>
        <w:rPr>
          <w:b/>
          <w:noProof/>
        </w:rPr>
      </w:pPr>
      <w:r>
        <w:rPr>
          <w:noProof/>
        </w:rPr>
        <w:t>Впоследствие Люксембург поиска и получи дерогация съгласно член 285, първа алинея, да прилага праг за оборота от 25 000 EUR по отношение на режима на освобождаване за малките предприятия, като същевременно премахна прилагането на праговото освобождаване. С Решение за изпълнение 2013/677/ЕС</w:t>
      </w:r>
      <w:r>
        <w:rPr>
          <w:rStyle w:val="FootnoteReference"/>
          <w:noProof/>
        </w:rPr>
        <w:footnoteReference w:id="4"/>
      </w:r>
      <w:r>
        <w:rPr>
          <w:noProof/>
        </w:rPr>
        <w:t xml:space="preserve"> на Съвета Люксембург получи разрешение да прилага горепосочената мярка за дерогация до 31 декември 2016 г. </w:t>
      </w:r>
    </w:p>
    <w:p>
      <w:pPr>
        <w:pBdr>
          <w:top w:val="nil"/>
          <w:left w:val="nil"/>
          <w:bottom w:val="nil"/>
          <w:right w:val="nil"/>
          <w:between w:val="nil"/>
          <w:bar w:val="nil"/>
        </w:pBdr>
        <w:spacing w:before="0" w:after="240"/>
        <w:rPr>
          <w:noProof/>
        </w:rPr>
      </w:pPr>
      <w:r>
        <w:rPr>
          <w:noProof/>
        </w:rPr>
        <w:t>С Решение за изпълнение (ЕС) 2017/319</w:t>
      </w:r>
      <w:r>
        <w:rPr>
          <w:rStyle w:val="FootnoteReference"/>
          <w:noProof/>
        </w:rPr>
        <w:footnoteReference w:id="5"/>
      </w:r>
      <w:r>
        <w:rPr>
          <w:noProof/>
        </w:rPr>
        <w:t xml:space="preserve"> на Съвета Люксембург получи разрешение да удължи срока на действие на мярката за дерогация до 31 декември 2019 г. и същевременно да увеличи прага от 25 000 EUR на 30 000 EUR. </w:t>
      </w:r>
    </w:p>
    <w:p>
      <w:pPr>
        <w:pBdr>
          <w:top w:val="nil"/>
          <w:left w:val="nil"/>
          <w:bottom w:val="nil"/>
          <w:right w:val="nil"/>
          <w:between w:val="nil"/>
          <w:bar w:val="nil"/>
        </w:pBdr>
        <w:spacing w:before="0" w:after="240"/>
        <w:rPr>
          <w:noProof/>
        </w:rPr>
      </w:pPr>
      <w:r>
        <w:rPr>
          <w:noProof/>
        </w:rPr>
        <w:t>Настоящото искане на Люксембург за ново удължаване на срока на действие на дерогацията и същевременно увеличение на прага от 30 000 EUR на 35 000 EUR почива на същите основания като представените в предходните искания. По-конкретно Люксембург поддържа становището, че мярката за дерогация намалява административната тежест както за малките предприятия, така и за данъчната администрация. В това отношение мярката за дерогация опростява процедурата за събиране на данъка и съответно попада сред целите на член 395, параграф 1, първа алинея от Директивата за ДДС.</w:t>
      </w:r>
    </w:p>
    <w:p>
      <w:pPr>
        <w:rPr>
          <w:noProof/>
        </w:rPr>
      </w:pPr>
      <w:r>
        <w:rPr>
          <w:noProof/>
        </w:rPr>
        <w:t>Люксембург подчертава факта, че исканата дерогация е в съответствие с философията на предложението на Комисията от 2018 г. за нови правила за опростяване на ДДС за малките предприятия</w:t>
      </w:r>
      <w:r>
        <w:rPr>
          <w:rStyle w:val="FootnoteReference"/>
          <w:noProof/>
        </w:rPr>
        <w:footnoteReference w:id="6"/>
      </w:r>
      <w:r>
        <w:rPr>
          <w:noProof/>
        </w:rPr>
        <w:t xml:space="preserve">, доколкото най-високият праг за годишния оборот, изискван за освобождаване от ДДС, който държавите членки могат да определят съгласно предложението, е 85 000 EUR (или равностойността в националната валута). </w:t>
      </w:r>
    </w:p>
    <w:p>
      <w:pPr>
        <w:pBdr>
          <w:top w:val="nil"/>
          <w:left w:val="nil"/>
          <w:bottom w:val="nil"/>
          <w:right w:val="nil"/>
          <w:between w:val="nil"/>
          <w:bar w:val="nil"/>
        </w:pBdr>
        <w:spacing w:before="0" w:after="240"/>
        <w:rPr>
          <w:noProof/>
          <w:color w:val="000000"/>
          <w:szCs w:val="24"/>
        </w:rPr>
      </w:pPr>
      <w:r>
        <w:rPr>
          <w:noProof/>
        </w:rPr>
        <w:t xml:space="preserve">Според Люксембург исканата специална мярка ще има незначително въздействие върху общия размер на приходите от ДДС, събирани на етапа на крайното потребление (не повече от 0,1 %), съгласно изискването в член 395, параграф 1, втора алинея от Директивата за ДДС. </w:t>
      </w:r>
    </w:p>
    <w:p>
      <w:pPr>
        <w:pBdr>
          <w:top w:val="nil"/>
          <w:left w:val="nil"/>
          <w:bottom w:val="nil"/>
          <w:right w:val="nil"/>
          <w:between w:val="nil"/>
          <w:bar w:val="nil"/>
        </w:pBdr>
        <w:spacing w:before="0" w:after="240"/>
        <w:rPr>
          <w:noProof/>
        </w:rPr>
      </w:pPr>
      <w:r>
        <w:rPr>
          <w:noProof/>
        </w:rPr>
        <w:t xml:space="preserve">По-конкретно според отчетените данни през 2017 г. от освобождаването са се възползвали 105 данъчно задължени лица с оборот между 10 000 EUR и 30 000 EUR (в сравнение с 64 през 2015 г. и 73 през 2016 г.). Броят за посочената година съответства на 0,14 % от данъчно задължените лица, регистрирани за целите на ДДС. По изчисления на Люксембург максималната загуба на приходи от ДДС в резултат от освобождаването възлиза на 271 525,60 EUR. Тази сума се равнява на 0,01 % от размера на общите приходи от ДДС през 2017 г. Люксембург очаква увеличението на прага на 35 000 EUR да засегне 1106 данъчно задължени лица, което би представлявало 1,5 % от </w:t>
      </w:r>
      <w:r>
        <w:rPr>
          <w:noProof/>
        </w:rPr>
        <w:lastRenderedPageBreak/>
        <w:t>данъчно задължените лица, регистрирани за целите на ДДС през 2017 г. Ако се допусне, че нито едно от тези данъчно задължени лица няма да избере обичайния режим на ДДС, загубата на приходи в резултат на увеличението на прага за освобождаване от 30 000 EUR на 35 000 EUR не следва да надвиши 0,1 % от общите приходи от ДДС.</w:t>
      </w:r>
    </w:p>
    <w:p>
      <w:pPr>
        <w:autoSpaceDE w:val="0"/>
        <w:autoSpaceDN w:val="0"/>
        <w:adjustRightInd w:val="0"/>
        <w:spacing w:before="0" w:after="0"/>
        <w:rPr>
          <w:noProof/>
          <w:color w:val="000000"/>
          <w:szCs w:val="24"/>
        </w:rPr>
      </w:pPr>
      <w:r>
        <w:rPr>
          <w:noProof/>
        </w:rPr>
        <w:t xml:space="preserve">Въз основа на предоставената от Люксембург информация изглежда, че целта на искането за удължаване на срока на мярката за дерогация е малките предприятия да бъдат освободени от голяма част от задълженията им във връзка с ДДС при обичайния режим за облагане с ДДС, като наред с това се намали тежестта за данъчната администрация, свързана със събирането на данъка и извършването на ревизии на малките предприятия.  Така данъчната администрация би могла да съсредоточи дейностите си по извършване на контрол върху по-големите данъчно задължени лица. Затова мярката за дерогация е в съответствие с член 395, параграф 1, първа алинея от Директивата за ДДС, с който на държавите членки се позволява да въвеждат специални мерки за дерогация от разпоредбите на същата директива с цел опростяване на процедурата за събиране на ДДС. В този контекст се посочва, че за данъчно задължените лица тази мярка е и ще продължи да бъде незадължителна. </w:t>
      </w:r>
    </w:p>
    <w:p>
      <w:pPr>
        <w:autoSpaceDE w:val="0"/>
        <w:autoSpaceDN w:val="0"/>
        <w:adjustRightInd w:val="0"/>
        <w:spacing w:before="0" w:after="0"/>
        <w:rPr>
          <w:noProof/>
          <w:color w:val="000000"/>
          <w:szCs w:val="24"/>
        </w:rPr>
      </w:pPr>
    </w:p>
    <w:p>
      <w:pPr>
        <w:pBdr>
          <w:top w:val="nil"/>
          <w:left w:val="nil"/>
          <w:bottom w:val="nil"/>
          <w:right w:val="nil"/>
          <w:between w:val="nil"/>
          <w:bar w:val="nil"/>
        </w:pBdr>
        <w:spacing w:before="0" w:after="240"/>
        <w:rPr>
          <w:noProof/>
          <w:color w:val="000000"/>
          <w:szCs w:val="24"/>
        </w:rPr>
      </w:pPr>
      <w:r>
        <w:rPr>
          <w:noProof/>
        </w:rPr>
        <w:t>Както бе обосновано от Люксембург, не се очаква мярката за дерогация да окаже значително въздействие върху общия размер на неговите данъчни приходи, събирани на етапа на крайното потребление. По сходен начин не се очаква тя да окаже отрицателно въздействие върху собствените ресурси на Съюза, формирани от ДДС. Следователно мярката за дерогация е в съответствие с член 395, параграф 1, втора алинея от Директивата за ДДС.</w:t>
      </w:r>
    </w:p>
    <w:p>
      <w:pPr>
        <w:pBdr>
          <w:top w:val="nil"/>
          <w:left w:val="nil"/>
          <w:bottom w:val="nil"/>
          <w:right w:val="nil"/>
          <w:between w:val="nil"/>
          <w:bar w:val="nil"/>
        </w:pBdr>
        <w:spacing w:before="0" w:after="240"/>
        <w:rPr>
          <w:noProof/>
          <w:color w:val="000000"/>
          <w:szCs w:val="24"/>
        </w:rPr>
      </w:pPr>
      <w:r>
        <w:rPr>
          <w:noProof/>
        </w:rPr>
        <w:t xml:space="preserve">Предвид гореизложеното и с оглед на факта, че правната уредба на ЕС и фактическото положение са останали непроменени, исканото удължаване на срока на действие на мярката за дерогация изглежда обосновано. Поради това се предлага искането да бъде удовлетворено. </w:t>
      </w:r>
    </w:p>
    <w:p>
      <w:pPr>
        <w:autoSpaceDE w:val="0"/>
        <w:autoSpaceDN w:val="0"/>
        <w:adjustRightInd w:val="0"/>
        <w:spacing w:before="0" w:after="0"/>
        <w:rPr>
          <w:noProof/>
          <w:color w:val="000000"/>
          <w:szCs w:val="24"/>
        </w:rPr>
      </w:pPr>
      <w:r>
        <w:rPr>
          <w:noProof/>
        </w:rPr>
        <w:t xml:space="preserve">В искането на Люксембург не е посочен краен срок за желаната дерогация. Обичайно обаче следва дерогациите от Директивата за ДДС да са ограничени във времето, за да се даде възможност за извършване на оценка на тяхната ефективност и целесъобразност. Освен това, както бе посочено по-горе, разпоредбите на членове 281—294 от Директивата за ДДС, уреждащи специалния режим за малките предприятия, са в процес на преразглеждане. В предложението от 2018 г. за по-прости правила на ДДС за малките предприятия се изисква най-късно до 30 юни 2022 г. държавите членки да приемат и публикуват законовите, подзаконовите и административните разпоредби, необходими за спазването на новите правила. </w:t>
      </w:r>
    </w:p>
    <w:p>
      <w:pPr>
        <w:autoSpaceDE w:val="0"/>
        <w:autoSpaceDN w:val="0"/>
        <w:adjustRightInd w:val="0"/>
        <w:spacing w:before="0" w:after="0"/>
        <w:rPr>
          <w:noProof/>
          <w:color w:val="000000"/>
          <w:szCs w:val="24"/>
        </w:rPr>
      </w:pPr>
    </w:p>
    <w:p>
      <w:pPr>
        <w:autoSpaceDE w:val="0"/>
        <w:autoSpaceDN w:val="0"/>
        <w:adjustRightInd w:val="0"/>
        <w:spacing w:before="0" w:after="0"/>
        <w:rPr>
          <w:noProof/>
          <w:color w:val="000000"/>
          <w:szCs w:val="24"/>
        </w:rPr>
      </w:pPr>
      <w:r>
        <w:rPr>
          <w:noProof/>
        </w:rPr>
        <w:t xml:space="preserve">Поради това се предлага срокът на действие на мярката за дерогация да бъде удължен до 31 декември 2022 г. В случай че бъде приета директива за изменение на членове 281—294 от Директивата за ДДС, уреждащи специалния режим за малките предприятия, и в резултат на това съответните национални разпоредби започнат да пораждат действие, считано от 1 юли 2022 г., тоест преди изтичането на срока на действие на мярката за дерогация на 31 декември 2022 г., настоящото решение ще спре да се прилага. </w:t>
      </w:r>
    </w:p>
    <w:p>
      <w:pPr>
        <w:autoSpaceDE w:val="0"/>
        <w:autoSpaceDN w:val="0"/>
        <w:adjustRightInd w:val="0"/>
        <w:spacing w:before="0" w:after="0"/>
        <w:rPr>
          <w:noProof/>
          <w:color w:val="000000"/>
          <w:szCs w:val="24"/>
        </w:rPr>
      </w:pPr>
    </w:p>
    <w:p>
      <w:pPr>
        <w:pStyle w:val="ManualHeading2"/>
        <w:rPr>
          <w:rFonts w:eastAsia="Arial Unicode MS"/>
          <w:noProof/>
          <w:color w:val="000000"/>
          <w:u w:color="000000"/>
          <w:bdr w:val="nil"/>
        </w:rPr>
      </w:pPr>
      <w:r>
        <w:rPr>
          <w:noProof/>
          <w:u w:color="000000"/>
          <w:bdr w:val="nil"/>
        </w:rPr>
        <w:lastRenderedPageBreak/>
        <w:t>•</w:t>
      </w:r>
      <w:r>
        <w:rPr>
          <w:noProof/>
          <w:u w:color="000000"/>
          <w:bdr w:val="nil"/>
        </w:rPr>
        <w:tab/>
      </w:r>
      <w:r>
        <w:rPr>
          <w:noProof/>
        </w:rPr>
        <w:t>Съгласуваност с действащите разпоредби в тази област на политиката</w:t>
      </w:r>
    </w:p>
    <w:p>
      <w:pPr>
        <w:pStyle w:val="Default"/>
        <w:jc w:val="both"/>
        <w:rPr>
          <w:noProof/>
          <w:lang w:val="bg-BG"/>
        </w:rPr>
      </w:pPr>
      <w:r>
        <w:rPr>
          <w:noProof/>
          <w:lang w:val="bg-BG"/>
        </w:rPr>
        <w:t>Подобни дерогации — за освобождаване от ДДС на данъчно задължените лица, чийто годишен оборот е под определен праг, съгласно предвиденото в член 285 от Директивата за ДДС — са предоставени и на други държави членки. Малта</w:t>
      </w:r>
      <w:r>
        <w:rPr>
          <w:rStyle w:val="FootnoteReference"/>
          <w:noProof/>
        </w:rPr>
        <w:footnoteReference w:id="7"/>
      </w:r>
      <w:r>
        <w:rPr>
          <w:noProof/>
          <w:lang w:val="bg-BG"/>
        </w:rPr>
        <w:t xml:space="preserve"> има разрешение да прилага праг от 20 000 </w:t>
      </w:r>
      <w:r>
        <w:rPr>
          <w:noProof/>
        </w:rPr>
        <w:t>EUR</w:t>
      </w:r>
      <w:r>
        <w:rPr>
          <w:noProof/>
          <w:lang w:val="bg-BG"/>
        </w:rPr>
        <w:t>; Нидерландия</w:t>
      </w:r>
      <w:r>
        <w:rPr>
          <w:rStyle w:val="FootnoteReference"/>
          <w:noProof/>
        </w:rPr>
        <w:footnoteReference w:id="8"/>
      </w:r>
      <w:r>
        <w:rPr>
          <w:noProof/>
          <w:lang w:val="bg-BG"/>
        </w:rPr>
        <w:t xml:space="preserve"> — праг от 25 000 </w:t>
      </w:r>
      <w:r>
        <w:rPr>
          <w:noProof/>
        </w:rPr>
        <w:t>EUR</w:t>
      </w:r>
      <w:r>
        <w:rPr>
          <w:noProof/>
          <w:lang w:val="bg-BG"/>
        </w:rPr>
        <w:t>; Полша</w:t>
      </w:r>
      <w:r>
        <w:rPr>
          <w:rStyle w:val="FootnoteReference"/>
          <w:noProof/>
        </w:rPr>
        <w:footnoteReference w:id="9"/>
      </w:r>
      <w:r>
        <w:rPr>
          <w:noProof/>
          <w:lang w:val="bg-BG"/>
        </w:rPr>
        <w:t>, Естония</w:t>
      </w:r>
      <w:r>
        <w:rPr>
          <w:rStyle w:val="FootnoteReference"/>
          <w:noProof/>
        </w:rPr>
        <w:footnoteReference w:id="10"/>
      </w:r>
      <w:r>
        <w:rPr>
          <w:noProof/>
          <w:lang w:val="bg-BG"/>
        </w:rPr>
        <w:t xml:space="preserve"> и Латвия</w:t>
      </w:r>
      <w:r>
        <w:rPr>
          <w:rStyle w:val="FootnoteReference"/>
          <w:noProof/>
        </w:rPr>
        <w:footnoteReference w:id="11"/>
      </w:r>
      <w:r>
        <w:rPr>
          <w:noProof/>
          <w:lang w:val="bg-BG"/>
        </w:rPr>
        <w:t xml:space="preserve"> — праг от 40 000 </w:t>
      </w:r>
      <w:r>
        <w:rPr>
          <w:noProof/>
        </w:rPr>
        <w:t>EUR</w:t>
      </w:r>
      <w:r>
        <w:rPr>
          <w:noProof/>
          <w:lang w:val="bg-BG"/>
        </w:rPr>
        <w:t>; Хърватия</w:t>
      </w:r>
      <w:r>
        <w:rPr>
          <w:rStyle w:val="FootnoteReference"/>
          <w:noProof/>
        </w:rPr>
        <w:footnoteReference w:id="12"/>
      </w:r>
      <w:r>
        <w:rPr>
          <w:noProof/>
          <w:lang w:val="bg-BG"/>
        </w:rPr>
        <w:t xml:space="preserve"> и Литва</w:t>
      </w:r>
      <w:r>
        <w:rPr>
          <w:rStyle w:val="FootnoteReference"/>
          <w:noProof/>
        </w:rPr>
        <w:footnoteReference w:id="13"/>
      </w:r>
      <w:r>
        <w:rPr>
          <w:noProof/>
          <w:lang w:val="bg-BG"/>
        </w:rPr>
        <w:t xml:space="preserve"> — праг от 45 000 </w:t>
      </w:r>
      <w:r>
        <w:rPr>
          <w:noProof/>
        </w:rPr>
        <w:t>EUR</w:t>
      </w:r>
      <w:r>
        <w:rPr>
          <w:noProof/>
          <w:lang w:val="bg-BG"/>
        </w:rPr>
        <w:t>; Словения</w:t>
      </w:r>
      <w:r>
        <w:rPr>
          <w:rStyle w:val="FootnoteReference"/>
          <w:noProof/>
        </w:rPr>
        <w:footnoteReference w:id="14"/>
      </w:r>
      <w:r>
        <w:rPr>
          <w:noProof/>
          <w:lang w:val="bg-BG"/>
        </w:rPr>
        <w:t xml:space="preserve"> — праг от 50 000 </w:t>
      </w:r>
      <w:r>
        <w:rPr>
          <w:noProof/>
        </w:rPr>
        <w:t>EUR</w:t>
      </w:r>
      <w:r>
        <w:rPr>
          <w:noProof/>
          <w:lang w:val="bg-BG"/>
        </w:rPr>
        <w:t xml:space="preserve"> Италия</w:t>
      </w:r>
      <w:r>
        <w:rPr>
          <w:rStyle w:val="FootnoteReference"/>
          <w:noProof/>
        </w:rPr>
        <w:footnoteReference w:id="15"/>
      </w:r>
      <w:r>
        <w:rPr>
          <w:noProof/>
          <w:lang w:val="bg-BG"/>
        </w:rPr>
        <w:t xml:space="preserve"> — праг от 65 000 </w:t>
      </w:r>
      <w:r>
        <w:rPr>
          <w:noProof/>
        </w:rPr>
        <w:t>EUR</w:t>
      </w:r>
      <w:r>
        <w:rPr>
          <w:noProof/>
          <w:lang w:val="bg-BG"/>
        </w:rPr>
        <w:t>, а Румъния</w:t>
      </w:r>
      <w:r>
        <w:rPr>
          <w:rStyle w:val="FootnoteReference"/>
          <w:noProof/>
        </w:rPr>
        <w:footnoteReference w:id="16"/>
      </w:r>
      <w:r>
        <w:rPr>
          <w:noProof/>
          <w:lang w:val="bg-BG"/>
        </w:rPr>
        <w:t xml:space="preserve"> — праг от 88 500 </w:t>
      </w:r>
      <w:r>
        <w:rPr>
          <w:noProof/>
        </w:rPr>
        <w:t>EUR</w:t>
      </w:r>
      <w:r>
        <w:rPr>
          <w:noProof/>
          <w:lang w:val="bg-BG"/>
        </w:rPr>
        <w:t>;</w:t>
      </w:r>
    </w:p>
    <w:p>
      <w:pPr>
        <w:pStyle w:val="Default"/>
        <w:jc w:val="both"/>
        <w:rPr>
          <w:noProof/>
          <w:lang w:val="bg-BG"/>
        </w:rPr>
      </w:pPr>
    </w:p>
    <w:p>
      <w:pPr>
        <w:pBdr>
          <w:top w:val="nil"/>
          <w:left w:val="nil"/>
          <w:bottom w:val="nil"/>
          <w:right w:val="nil"/>
          <w:between w:val="nil"/>
          <w:bar w:val="nil"/>
        </w:pBdr>
        <w:spacing w:before="0" w:after="240"/>
        <w:rPr>
          <w:noProof/>
          <w:color w:val="000000"/>
          <w:szCs w:val="24"/>
        </w:rPr>
      </w:pPr>
      <w:r>
        <w:rPr>
          <w:noProof/>
        </w:rPr>
        <w:t>Мярката е в съответствие и с предложението от 2018 г. за по-прости правила на ДДС за малките и средните предприятия, което почива върху Плана за действие във връзка с ДДС</w:t>
      </w:r>
      <w:r>
        <w:rPr>
          <w:rStyle w:val="FootnoteReference"/>
          <w:noProof/>
        </w:rPr>
        <w:footnoteReference w:id="17"/>
      </w:r>
      <w:r>
        <w:rPr>
          <w:noProof/>
        </w:rPr>
        <w:t xml:space="preserve"> и цели създаването на съвременен опростен режим за тези предприятия. По-конкретно то има за цел да се намалят разходите за спазване на изискванията за ДДС, </w:t>
      </w:r>
      <w:r>
        <w:rPr>
          <w:noProof/>
        </w:rPr>
        <w:lastRenderedPageBreak/>
        <w:t>да се намали нарушаването на конкуренцията на национално и съюзно равнище, да се ограничи отрицателното въздействие на т.нар. „ефект на прага“ и да се улесни спазването на нормативните разпоредби от страна на предприятията, както и мониторинга от страна на данъчните администрации.</w:t>
      </w:r>
    </w:p>
    <w:p>
      <w:pPr>
        <w:autoSpaceDE w:val="0"/>
        <w:autoSpaceDN w:val="0"/>
        <w:adjustRightInd w:val="0"/>
        <w:spacing w:before="0" w:after="0"/>
        <w:rPr>
          <w:noProof/>
        </w:rPr>
      </w:pPr>
      <w:r>
        <w:rPr>
          <w:noProof/>
        </w:rPr>
        <w:t>Дерогациите от Директивата за ДДС следва винаги да са ограничени във времето, за да може да бъде оценено тяхното въздействие. С оглед на изискванията, съдържащи се в предложението от 2018 г. за по-прости правила на ДДС за малките предприятия, се предлага срокът на действие на дерогацията да бъде удължен до 31 декември 2022 г. или до датата, от която държавите членки ще започнат да прилагат националните разпоредби, които са длъжни да приемат, ако бъде приета директива за изменение на членове 281—294 от Директивата за ДДС, уреждащи специалния режим за малките предприятия.</w:t>
      </w:r>
    </w:p>
    <w:p>
      <w:pPr>
        <w:pStyle w:val="Default"/>
        <w:rPr>
          <w:rFonts w:ascii="EUAlbertina" w:hAnsi="EUAlbertina" w:cs="EUAlbertina"/>
          <w:noProof/>
          <w:lang w:val="bg-BG"/>
        </w:rPr>
      </w:pPr>
    </w:p>
    <w:p>
      <w:pPr>
        <w:pBdr>
          <w:top w:val="nil"/>
          <w:left w:val="nil"/>
          <w:bottom w:val="nil"/>
          <w:right w:val="nil"/>
          <w:between w:val="nil"/>
          <w:bar w:val="nil"/>
        </w:pBdr>
        <w:spacing w:before="0" w:after="240"/>
        <w:rPr>
          <w:b/>
          <w:noProof/>
        </w:rPr>
      </w:pPr>
      <w:r>
        <w:rPr>
          <w:noProof/>
        </w:rPr>
        <w:t>Следователно предложената мярка е съгласувана с действащите разпоредби на Директивата за ДДС.</w:t>
      </w:r>
    </w:p>
    <w:p>
      <w:pPr>
        <w:pStyle w:val="Text1"/>
        <w:rPr>
          <w:b/>
          <w:noProof/>
        </w:rPr>
      </w:pPr>
      <w:r>
        <w:rPr>
          <w:b/>
          <w:noProof/>
        </w:rPr>
        <w:t xml:space="preserve">Съгласуваност с други политики на Съюза </w:t>
      </w:r>
    </w:p>
    <w:p>
      <w:pPr>
        <w:pBdr>
          <w:top w:val="nil"/>
          <w:left w:val="nil"/>
          <w:bottom w:val="nil"/>
          <w:right w:val="nil"/>
          <w:between w:val="nil"/>
          <w:bar w:val="nil"/>
        </w:pBdr>
        <w:spacing w:before="0" w:after="240"/>
        <w:rPr>
          <w:noProof/>
          <w:color w:val="000000"/>
          <w:szCs w:val="24"/>
        </w:rPr>
      </w:pPr>
      <w:r>
        <w:rPr>
          <w:noProof/>
        </w:rPr>
        <w:t>Мярката е в съответствие с Работната програма на Комисията за 2017 г.</w:t>
      </w:r>
      <w:r>
        <w:rPr>
          <w:rStyle w:val="FootnoteReference"/>
          <w:noProof/>
          <w:szCs w:val="23"/>
        </w:rPr>
        <w:footnoteReference w:id="18"/>
      </w:r>
      <w:r>
        <w:rPr>
          <w:noProof/>
        </w:rPr>
        <w:t xml:space="preserve">, в която се изтъква, че административната тежест във връзка с изискванията за ДДС за малките предприятия е голяма, а техническите нововъведения поставят нови предизвикателства пред ефективното събиране на данъка, поради което е нужно ДДС да се опрости за малките предприятия. </w:t>
      </w:r>
    </w:p>
    <w:p>
      <w:pPr>
        <w:pBdr>
          <w:top w:val="nil"/>
          <w:left w:val="nil"/>
          <w:bottom w:val="nil"/>
          <w:right w:val="nil"/>
          <w:between w:val="nil"/>
          <w:bar w:val="nil"/>
        </w:pBdr>
        <w:spacing w:before="0" w:after="240"/>
        <w:rPr>
          <w:noProof/>
          <w:sz w:val="23"/>
          <w:szCs w:val="23"/>
        </w:rPr>
      </w:pPr>
      <w:r>
        <w:rPr>
          <w:noProof/>
        </w:rPr>
        <w:t>Тя е в съответствие и със стратегията за единния пазар от 2015 г.</w:t>
      </w:r>
      <w:r>
        <w:rPr>
          <w:rStyle w:val="FootnoteReference"/>
          <w:noProof/>
          <w:szCs w:val="23"/>
        </w:rPr>
        <w:footnoteReference w:id="19"/>
      </w:r>
      <w:r>
        <w:rPr>
          <w:noProof/>
        </w:rPr>
        <w:t>, в която Комисията се ангажира да помогне на малките и средните предприятия да се развиват, наред с другото, като намали административните тежести, които им пречат да се възползват в пълна степен от единния пазар.</w:t>
      </w:r>
      <w:r>
        <w:rPr>
          <w:noProof/>
          <w:sz w:val="23"/>
          <w:szCs w:val="23"/>
        </w:rPr>
        <w:t xml:space="preserve"> </w:t>
      </w:r>
    </w:p>
    <w:p>
      <w:pPr>
        <w:pBdr>
          <w:top w:val="nil"/>
          <w:left w:val="nil"/>
          <w:bottom w:val="nil"/>
          <w:right w:val="nil"/>
          <w:between w:val="nil"/>
          <w:bar w:val="nil"/>
        </w:pBdr>
        <w:spacing w:before="0" w:after="240"/>
        <w:rPr>
          <w:noProof/>
          <w:color w:val="000000"/>
          <w:szCs w:val="24"/>
        </w:rPr>
      </w:pPr>
      <w:r>
        <w:rPr>
          <w:noProof/>
        </w:rPr>
        <w:t>И накрая, мярката е в съответствие с политиките на Съюза по отношение на малките и средните предприятия, изложени в Съобщението от 2016 г. относно стартиращите предприятия</w:t>
      </w:r>
      <w:r>
        <w:rPr>
          <w:rStyle w:val="FootnoteReference"/>
          <w:noProof/>
        </w:rPr>
        <w:footnoteReference w:id="20"/>
      </w:r>
      <w:r>
        <w:rPr>
          <w:noProof/>
        </w:rPr>
        <w:t>, както и в съобщението на Комисията от 2018 г. „Мисли първо за малките!“ — „Small Business Act“ за Европа“</w:t>
      </w:r>
      <w:r>
        <w:rPr>
          <w:rStyle w:val="FootnoteReference"/>
          <w:noProof/>
          <w:szCs w:val="23"/>
        </w:rPr>
        <w:footnoteReference w:id="21"/>
      </w:r>
      <w:r>
        <w:rPr>
          <w:noProof/>
        </w:rPr>
        <w:t>, в което държавите членки бяха призовани да вземат предвид характерните особености на МСП, когато съставят законодателство, и да опростят съществуващата нормативна уредба.</w:t>
      </w:r>
    </w:p>
    <w:p>
      <w:pPr>
        <w:pBdr>
          <w:top w:val="nil"/>
          <w:left w:val="nil"/>
          <w:bottom w:val="nil"/>
          <w:right w:val="nil"/>
          <w:between w:val="nil"/>
          <w:bar w:val="nil"/>
        </w:pBdr>
        <w:spacing w:before="0" w:after="240"/>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u w:color="000000"/>
          <w:bdr w:val="nil"/>
        </w:rPr>
        <w:lastRenderedPageBreak/>
        <w:t>•</w:t>
      </w:r>
      <w:r>
        <w:rPr>
          <w:noProof/>
          <w:u w:color="000000"/>
          <w:bdr w:val="nil"/>
        </w:rPr>
        <w:tab/>
        <w:t>Правно основание</w:t>
      </w:r>
    </w:p>
    <w:p>
      <w:pPr>
        <w:pBdr>
          <w:top w:val="nil"/>
          <w:left w:val="nil"/>
          <w:bottom w:val="nil"/>
          <w:right w:val="nil"/>
          <w:between w:val="nil"/>
          <w:bar w:val="nil"/>
        </w:pBdr>
        <w:spacing w:before="0" w:after="240"/>
        <w:rPr>
          <w:noProof/>
        </w:rPr>
      </w:pPr>
      <w:r>
        <w:rPr>
          <w:noProof/>
        </w:rPr>
        <w:t>Член 395 от Директивата за ДДС е единственото възможно правно основание.</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noProof/>
        </w:rPr>
      </w:pPr>
      <w:r>
        <w:rPr>
          <w:noProof/>
        </w:rPr>
        <w:t>Предвид разпоредбата от Директивата за ДДС, на която се основава, предложението е от изключителната компетентност на Европейския съюз. Съответно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pBdr>
          <w:top w:val="nil"/>
          <w:left w:val="nil"/>
          <w:bottom w:val="nil"/>
          <w:right w:val="nil"/>
          <w:between w:val="nil"/>
          <w:bar w:val="nil"/>
        </w:pBdr>
        <w:spacing w:before="0" w:after="240"/>
        <w:rPr>
          <w:noProof/>
        </w:rPr>
      </w:pPr>
      <w:r>
        <w:rPr>
          <w:noProof/>
        </w:rPr>
        <w:t>Решението се отнася до даване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noProof/>
        </w:rPr>
      </w:pPr>
      <w:r>
        <w:rPr>
          <w:noProof/>
        </w:rPr>
        <w:t>Предвид ограничения обхват на дерогацията специалната мярка е пропорционална на поставената цел, а именно — да се опрости събирането на данъка за малките данъчно задължени лица и за данъчната администрация.</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noProof/>
        </w:rPr>
      </w:pPr>
      <w:r>
        <w:rPr>
          <w:noProof/>
        </w:rPr>
        <w:t>Предложеният инструмент е решение за изпълнение на Съвета.</w:t>
      </w:r>
    </w:p>
    <w:p>
      <w:pPr>
        <w:pBdr>
          <w:top w:val="nil"/>
          <w:left w:val="nil"/>
          <w:bottom w:val="nil"/>
          <w:right w:val="nil"/>
          <w:between w:val="nil"/>
          <w:bar w:val="nil"/>
        </w:pBdr>
        <w:spacing w:before="0" w:after="240"/>
        <w:rPr>
          <w:noProof/>
        </w:rPr>
      </w:pPr>
      <w:r>
        <w:rPr>
          <w:noProof/>
        </w:rPr>
        <w:t>Съгласно член 395 от Директивата за ДДС дерогация от общите правила за ДДС е възможна единствено след разрешение на Съвета, действащ с единодушие по предложение на Комисията. Решението за изпълнение на Съвета е най-подходящият инструмент,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Не беше проведена консултация със заинтересованите страни. Настоящото предложение се основава на искане, отправено от Люксембург, и се отнася само за тази конкретна държава членка.</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Не бяха необходими външни експертни становища. </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spacing w:before="0" w:after="240"/>
        <w:rPr>
          <w:noProof/>
        </w:rPr>
      </w:pPr>
      <w:r>
        <w:rPr>
          <w:noProof/>
          <w:sz w:val="23"/>
          <w:szCs w:val="23"/>
        </w:rPr>
        <w:t>Предложението за решение за изпълнение на Съвета има за цел удължаване на срока на мярка за опростяване, с която се премахва голяма част от свързаните с ДДС задължения за предприятията с годишен оборот, не по-висок от 35 000 EUR. Това би могло да има положително въздействие върху намаляването на административната тежест за 1106 данъчно задължени лица (1,5 % от данъчно задължените лица, регистрирани за целите на ДДС през 2017 г.), а оттам и за данъчната администрация. Изчисленото от Люксембург бюджетно въздействие от гледна точка на приходите от ДДС възлиза на не повече от 0,1 % от приходите от ДДС.</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pBdr>
          <w:top w:val="nil"/>
          <w:left w:val="nil"/>
          <w:bottom w:val="nil"/>
          <w:right w:val="nil"/>
          <w:between w:val="nil"/>
          <w:bar w:val="nil"/>
        </w:pBdr>
        <w:spacing w:before="0" w:after="240"/>
        <w:rPr>
          <w:noProof/>
        </w:rPr>
      </w:pPr>
      <w:r>
        <w:rPr>
          <w:noProof/>
        </w:rPr>
        <w:t>Предложението няма никакво отражение върху защитата на основните права.</w:t>
      </w:r>
    </w:p>
    <w:p>
      <w:pPr>
        <w:pStyle w:val="ManualHeading1"/>
        <w:rPr>
          <w:noProof/>
        </w:rPr>
      </w:pPr>
      <w:r>
        <w:rPr>
          <w:noProof/>
        </w:rPr>
        <w:lastRenderedPageBreak/>
        <w:t>4.</w:t>
      </w:r>
      <w:r>
        <w:rPr>
          <w:noProof/>
        </w:rPr>
        <w:tab/>
        <w:t>ОТРАЖЕНИЕ ВЪРХУ БЮДЖЕТА</w:t>
      </w:r>
    </w:p>
    <w:p>
      <w:pPr>
        <w:spacing w:before="0" w:after="240"/>
        <w:rPr>
          <w:noProof/>
        </w:rPr>
      </w:pPr>
      <w:r>
        <w:rPr>
          <w:noProof/>
        </w:rPr>
        <w:t xml:space="preserve">Предложението няма да има отрицателно отражение върху бюджета на ЕС, тъй като Люксембург ще изчисли съответната компенсация в съответствие с член 6 от Регламент (ЕИО, Евратом) № 1553/89 на Съвета.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2019/0271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изменение на Решение за изпълнение 2013/677/ЕС за предоставяне на разрешение на Люксембург да въведе специална мярка за дерогация от член 285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22"/>
      </w:r>
      <w:r>
        <w:rPr>
          <w:noProof/>
        </w:rPr>
        <w:t>, и по-специално член 395, параграф 1, първа алинея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Съгласно член 285 от Директива 2006/112/ЕО държавите членки, които не са упражнили възможността за избор по член 14 от Втора директива 67/228/ЕИО на Съвета</w:t>
      </w:r>
      <w:r>
        <w:rPr>
          <w:rStyle w:val="FootnoteReference"/>
          <w:noProof/>
        </w:rPr>
        <w:footnoteReference w:id="23"/>
      </w:r>
      <w:r>
        <w:rPr>
          <w:noProof/>
        </w:rPr>
        <w:t>, могат да освободят от данък върху добавената стойност („ДДС“) данъчно задължените лица, чийто годишен оборот е не по-висок от 5000 EUR или тяхната равностойност в националната валута.</w:t>
      </w:r>
    </w:p>
    <w:p>
      <w:pPr>
        <w:pStyle w:val="ManualConsidrant"/>
        <w:rPr>
          <w:noProof/>
        </w:rPr>
      </w:pPr>
      <w:r>
        <w:t>(2)</w:t>
      </w:r>
      <w:r>
        <w:tab/>
      </w:r>
      <w:r>
        <w:rPr>
          <w:noProof/>
        </w:rPr>
        <w:t>С Решение за изпълнение 2013/677/ЕС на Съвета</w:t>
      </w:r>
      <w:r>
        <w:rPr>
          <w:rStyle w:val="FootnoteReference"/>
          <w:noProof/>
        </w:rPr>
        <w:footnoteReference w:id="24"/>
      </w:r>
      <w:r>
        <w:rPr>
          <w:noProof/>
        </w:rPr>
        <w:t xml:space="preserve"> на Люксембург бе дадено разрешение да прилага специална мярка за дерогация от член 285 от Директива 2006/112/ЕО („мярката за дерогация“), за да освободи от ДДС данъчно задължените лица, чийто годишен оборот е не по-висок от 25 000 EUR. Разрешението за мярката за дерогация беше дадено със срок до 31 декември 2016 г.</w:t>
      </w:r>
    </w:p>
    <w:p>
      <w:pPr>
        <w:pStyle w:val="ManualConsidrant"/>
        <w:rPr>
          <w:noProof/>
        </w:rPr>
      </w:pPr>
      <w:r>
        <w:t>(3)</w:t>
      </w:r>
      <w:r>
        <w:tab/>
      </w:r>
      <w:r>
        <w:rPr>
          <w:noProof/>
        </w:rPr>
        <w:t>Решение за изпълнение 2013/677/ЕС беше изменено с Решение за изпълнение (ЕС) 2017/319 на Съвета</w:t>
      </w:r>
      <w:r>
        <w:rPr>
          <w:rStyle w:val="FootnoteReference"/>
          <w:noProof/>
        </w:rPr>
        <w:footnoteReference w:id="25"/>
      </w:r>
      <w:r>
        <w:rPr>
          <w:noProof/>
        </w:rPr>
        <w:t xml:space="preserve">, с което на Люксембург се разрешава да освободи от ДДС данъчно задължените лица, чийто годишен оборот е не по-висок от 30 000 EUR. Срокът на прилагане на това разрешение е 31 декември 2019 г. или до влизането в сила на директива за изменение на членове 281—294 от Директива </w:t>
      </w:r>
      <w:r>
        <w:rPr>
          <w:noProof/>
        </w:rPr>
        <w:lastRenderedPageBreak/>
        <w:t>2006/112/ЕО, уреждащи специалния режим за малките предприятия, в зависимост от това коя дата настъпи по-рано. През 2018 г. бе внесено предложение</w:t>
      </w:r>
      <w:r>
        <w:rPr>
          <w:rStyle w:val="FootnoteReference"/>
          <w:noProof/>
        </w:rPr>
        <w:footnoteReference w:id="26"/>
      </w:r>
      <w:r>
        <w:rPr>
          <w:noProof/>
        </w:rPr>
        <w:t xml:space="preserve"> за такава директива, но то все още не е прието.</w:t>
      </w:r>
    </w:p>
    <w:p>
      <w:pPr>
        <w:pStyle w:val="ManualConsidrant"/>
        <w:rPr>
          <w:noProof/>
        </w:rPr>
      </w:pPr>
      <w:r>
        <w:t>(4)</w:t>
      </w:r>
      <w:r>
        <w:tab/>
      </w:r>
      <w:r>
        <w:rPr>
          <w:noProof/>
        </w:rPr>
        <w:t>С писмо, заведено в Комисията на 2 май 2019 г., Люксембург поиска разрешение да продължи да прилага мярката за дерогация след 31 декември 2019 г. и същевременно да увеличи прага от 30 000 EUR на 35 000 EUR.</w:t>
      </w:r>
    </w:p>
    <w:p>
      <w:pPr>
        <w:pStyle w:val="ManualConsidrant"/>
        <w:rPr>
          <w:noProof/>
        </w:rPr>
      </w:pPr>
      <w:r>
        <w:t>(5)</w:t>
      </w:r>
      <w:r>
        <w:tab/>
      </w:r>
      <w:r>
        <w:rPr>
          <w:noProof/>
        </w:rPr>
        <w:t xml:space="preserve">С писмо от 21 юни 2019 г. Комисията информира останалите държави членки в съответствие с член 395, параграф 2, втора алинея от Директива 2006/112/ЕО за искането, отправено от Люксембург. С писмо от 24 юни 2019 г. Комисията уведоми Люксембург, че разполага с цялата необходима информация, за да разгледа искането. </w:t>
      </w:r>
    </w:p>
    <w:p>
      <w:pPr>
        <w:pStyle w:val="ManualConsidrant"/>
        <w:rPr>
          <w:noProof/>
        </w:rPr>
      </w:pPr>
      <w:r>
        <w:t>(6)</w:t>
      </w:r>
      <w:r>
        <w:tab/>
      </w:r>
      <w:r>
        <w:rPr>
          <w:noProof/>
        </w:rPr>
        <w:t>Според предоставената от Люксембург информация мотивите за мярката за дерогация остават като цяло непроменени. Мярката за дерогация намалява административната тежест и разходите за спазване на изискванията за малките предприятия и за данъчните органи и следователно спомага да се опрости процедурата за събиране на ДДС. По оценки на Люксембург увеличението на прага за освобождаване на 35 000 EUR би могло да засегне 1106 данъчно задължени лица, което съответства на 1,5 % от данъчно задължените лица, регистрирани в Люксембург за целите на ДДС през 2017 г. Едно такова увеличение на прага би намалило още повече административната тежест и разходите за спазване на изискванията и би спомогнало да се опрости допълнително процедурата за събиране на данъка.</w:t>
      </w:r>
    </w:p>
    <w:p>
      <w:pPr>
        <w:pStyle w:val="ManualConsidrant"/>
        <w:rPr>
          <w:noProof/>
        </w:rPr>
      </w:pPr>
      <w:r>
        <w:t>(7)</w:t>
      </w:r>
      <w:r>
        <w:tab/>
      </w:r>
      <w:r>
        <w:rPr>
          <w:noProof/>
        </w:rPr>
        <w:t xml:space="preserve">За данъчно задължените лица тази мярка за дерогация е и ще продължи да бъде незадължителна. Данъчно задължените лица все така ще имат право да изберат да прилагат общия режим за ДДС в съответствие с член 290 от Директива 2006/112/ЕО. </w:t>
      </w:r>
    </w:p>
    <w:p>
      <w:pPr>
        <w:pStyle w:val="ManualConsidrant"/>
        <w:rPr>
          <w:noProof/>
        </w:rPr>
      </w:pPr>
      <w:r>
        <w:t>(8)</w:t>
      </w:r>
      <w:r>
        <w:tab/>
      </w:r>
      <w:r>
        <w:rPr>
          <w:noProof/>
        </w:rPr>
        <w:t xml:space="preserve">Съгласно предоставената от Люксембург информация мярката за дерогация с така увеличения праг ще има незначително въздействие върху общия размер на данъчните приходи на Люксембург, събирани на етапа на крайното потребление.  </w:t>
      </w:r>
    </w:p>
    <w:p>
      <w:pPr>
        <w:pStyle w:val="ManualConsidrant"/>
        <w:rPr>
          <w:noProof/>
        </w:rPr>
      </w:pPr>
      <w:r>
        <w:t>(9)</w:t>
      </w:r>
      <w:r>
        <w:tab/>
      </w:r>
      <w:r>
        <w:rPr>
          <w:noProof/>
        </w:rPr>
        <w:t>Мярката за дерогация с така увеличения праг няма да окаже отрицателно въздействие върху собствените ресурси на Съюза, формирани от ДДС, тъй като Люксембург ще изчисли съответната компенсация в съответствие с член 6 от Регламент (ЕИО, Евратом) № 1553/89 на Съвета</w:t>
      </w:r>
      <w:r>
        <w:rPr>
          <w:rStyle w:val="FootnoteReference"/>
          <w:noProof/>
        </w:rPr>
        <w:footnoteReference w:id="27"/>
      </w:r>
      <w:r>
        <w:rPr>
          <w:rStyle w:val="FootnoteReference"/>
          <w:noProof/>
        </w:rPr>
        <w:t>..</w:t>
      </w:r>
    </w:p>
    <w:p>
      <w:pPr>
        <w:pStyle w:val="ManualConsidrant"/>
        <w:rPr>
          <w:noProof/>
        </w:rPr>
      </w:pPr>
      <w:r>
        <w:t>(10)</w:t>
      </w:r>
      <w:r>
        <w:tab/>
      </w:r>
      <w:r>
        <w:rPr>
          <w:noProof/>
        </w:rPr>
        <w:t xml:space="preserve">Като се има предвид потенциалното положително въздействие на мярката за дерогация върху намаляването на административната тежест и разходите за спазване на изискванията за малките предприятия и за данъчните органи, както и липсата на значително въздействие върху общите генерирани приходи от ДДС, на Люксембург следва да бъде разрешено да продължи да прилага мярката за дерогация за допълнителен период и да увеличи прага за този период на 35 000 EUR. </w:t>
      </w:r>
    </w:p>
    <w:p>
      <w:pPr>
        <w:pStyle w:val="ManualConsidrant"/>
        <w:rPr>
          <w:noProof/>
        </w:rPr>
      </w:pPr>
      <w:r>
        <w:t>(11)</w:t>
      </w:r>
      <w:r>
        <w:tab/>
      </w:r>
      <w:r>
        <w:rPr>
          <w:noProof/>
        </w:rPr>
        <w:t xml:space="preserve">Удължаването на разрешението да се прилага мярката за дерогация следва да бъде ограничено във времето. Ограничението във времето следва да бъде достатъчно, за да позволи да бъдат оценени ефективността и целесъобразността </w:t>
      </w:r>
      <w:r>
        <w:rPr>
          <w:noProof/>
        </w:rPr>
        <w:lastRenderedPageBreak/>
        <w:t xml:space="preserve">на прага. Поради това е подходящо да се разреши на Люксембург да продължи да прилага мярката за дерогация до 31 декември 2022 г. Ако обаче предложението за директива, посочено в съображение (3), бъде прието и датата, от която трябва да се прилагат националните разпоредби, необходими за съобразяване с посочената директива, е по-ранна от 31 декември 2022 г., разрешението следва да спре да се прилага, когато станат приложими посочените национални разпоредби.  </w:t>
      </w:r>
    </w:p>
    <w:p>
      <w:pPr>
        <w:pStyle w:val="ManualConsidrant"/>
        <w:rPr>
          <w:noProof/>
        </w:rPr>
      </w:pPr>
      <w:r>
        <w:t>(12)</w:t>
      </w:r>
      <w:r>
        <w:tab/>
      </w:r>
      <w:r>
        <w:rPr>
          <w:noProof/>
        </w:rPr>
        <w:t>Поради това Решение за изпълнение 2013/677/ЕС следва да бъде съответно изменено,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Членове 1 и 2 от Решение за изпълнение 2013/677/ЕС се заменят със следното:</w:t>
      </w:r>
    </w:p>
    <w:p>
      <w:pPr>
        <w:pStyle w:val="Titrearticle"/>
        <w:rPr>
          <w:noProof/>
        </w:rPr>
      </w:pPr>
      <w:r>
        <w:rPr>
          <w:noProof/>
        </w:rPr>
        <w:t>„Член 1</w:t>
      </w:r>
    </w:p>
    <w:p>
      <w:pPr>
        <w:rPr>
          <w:noProof/>
        </w:rPr>
      </w:pPr>
      <w:r>
        <w:rPr>
          <w:noProof/>
        </w:rPr>
        <w:t>Чрез дерогация от член 285 от Директива 2006/112/ЕО на Люксембург се разрешава да освободи от ДДС данъчно задължените лица с годишен оборот до 35 000 EUR.</w:t>
      </w:r>
    </w:p>
    <w:p>
      <w:pPr>
        <w:pStyle w:val="Titrearticle"/>
        <w:rPr>
          <w:noProof/>
        </w:rPr>
      </w:pPr>
      <w:r>
        <w:rPr>
          <w:noProof/>
        </w:rPr>
        <w:t>Член 2</w:t>
      </w:r>
    </w:p>
    <w:p>
      <w:pPr>
        <w:rPr>
          <w:noProof/>
        </w:rPr>
      </w:pPr>
      <w:r>
        <w:rPr>
          <w:noProof/>
        </w:rPr>
        <w:t>Настоящото решение се прилага до настъпването на по-ранната от следните две дати:</w:t>
      </w:r>
    </w:p>
    <w:p>
      <w:pPr>
        <w:pStyle w:val="Point0"/>
        <w:rPr>
          <w:noProof/>
        </w:rPr>
      </w:pPr>
      <w:r>
        <w:rPr>
          <w:noProof/>
        </w:rPr>
        <w:t>а)</w:t>
      </w:r>
      <w:r>
        <w:rPr>
          <w:noProof/>
        </w:rPr>
        <w:tab/>
        <w:t>31 декември 2022 г.;</w:t>
      </w:r>
    </w:p>
    <w:p>
      <w:pPr>
        <w:pStyle w:val="ListParagraph"/>
        <w:rPr>
          <w:noProof/>
        </w:rPr>
      </w:pPr>
    </w:p>
    <w:p>
      <w:pPr>
        <w:pStyle w:val="Point0"/>
        <w:rPr>
          <w:noProof/>
        </w:rPr>
      </w:pPr>
      <w:r>
        <w:rPr>
          <w:noProof/>
        </w:rPr>
        <w:t>б)</w:t>
      </w:r>
      <w:r>
        <w:rPr>
          <w:noProof/>
        </w:rPr>
        <w:tab/>
        <w:t>датата, от която държавите членки трябва да прилагат националните разпоредби, които те са длъжни да приемат, ако бъде приета директива за изменение на членове 281—294 от Директива 2006/112/ЕО, уреждащи специалния режим за малките предприятия.“.</w:t>
      </w:r>
    </w:p>
    <w:p>
      <w:pPr>
        <w:pStyle w:val="Titrearticle"/>
        <w:rPr>
          <w:noProof/>
        </w:rPr>
      </w:pPr>
      <w:r>
        <w:rPr>
          <w:noProof/>
        </w:rPr>
        <w:t>Член 2</w:t>
      </w:r>
    </w:p>
    <w:p>
      <w:pPr>
        <w:rPr>
          <w:noProof/>
        </w:rPr>
      </w:pPr>
      <w:r>
        <w:rPr>
          <w:noProof/>
        </w:rPr>
        <w:t>Настоящото решение се прилага от 1 януари 2020 г.</w:t>
      </w:r>
    </w:p>
    <w:p>
      <w:pPr>
        <w:pStyle w:val="Titrearticle"/>
        <w:rPr>
          <w:noProof/>
        </w:rPr>
      </w:pPr>
      <w:r>
        <w:rPr>
          <w:noProof/>
        </w:rPr>
        <w:t>Член 3</w:t>
      </w:r>
    </w:p>
    <w:p>
      <w:pPr>
        <w:keepNext/>
        <w:keepLines/>
        <w:rPr>
          <w:noProof/>
          <w:color w:val="000000"/>
        </w:rPr>
      </w:pPr>
      <w:r>
        <w:rPr>
          <w:noProof/>
        </w:rPr>
        <w:t>Адресат на настоящото решение е Великото херцогство Люксембург.</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347, 11.12.2006 г., стр. 1.</w:t>
      </w:r>
    </w:p>
  </w:footnote>
  <w:footnote w:id="2">
    <w:p>
      <w:pPr>
        <w:pStyle w:val="FootnoteText"/>
      </w:pPr>
      <w:r>
        <w:rPr>
          <w:rStyle w:val="FootnoteReference"/>
        </w:rPr>
        <w:footnoteRef/>
      </w:r>
      <w:r>
        <w:tab/>
        <w:t>Втора директива 67/228/ЕИО на Съвета от 11 април 1967 г. за хармонизиране на законодателствата на държавите членки относно данъците върху оборота — структура и процедури за прилагане на общата система на данъка върху добавената стойност (ОВ 71, 14.4.1967 г., стр. 1303/67).</w:t>
      </w:r>
    </w:p>
  </w:footnote>
  <w:footnote w:id="3">
    <w:p>
      <w:pPr>
        <w:pStyle w:val="FootnoteText"/>
        <w:rPr>
          <w:i/>
        </w:rPr>
      </w:pPr>
      <w:r>
        <w:rPr>
          <w:rStyle w:val="FootnoteReference"/>
        </w:rPr>
        <w:footnoteRef/>
      </w:r>
      <w:r>
        <w:tab/>
        <w:t>Шеста директива 77/388/ЕИО на Съвета от 17 май 1977 г. за хармонизирането на законодателствата на държавите членки, свързани с данъците върху оборота – Обща система на данъка върху добавената стойност: единна данъчна основа (ОВ L 145, 13.6.1977 г., стр. 1).</w:t>
      </w:r>
    </w:p>
  </w:footnote>
  <w:footnote w:id="4">
    <w:p>
      <w:pPr>
        <w:pStyle w:val="FootnoteText"/>
      </w:pPr>
      <w:r>
        <w:rPr>
          <w:rStyle w:val="FootnoteReference"/>
        </w:rPr>
        <w:footnoteRef/>
      </w:r>
      <w:r>
        <w:tab/>
        <w:t>Решение за изпълнение 2013/677/ЕС на Съвета от 15 ноември 2013 г. за предоставяне на разрешение на Люксембург да въведе специална мярка за дерогация от член 285 от Директива 2006/112/ЕО относно общата система на данъка върху добавената стойност (ОВ L 316, 27.11.2013 г., стр. 33).</w:t>
      </w:r>
    </w:p>
  </w:footnote>
  <w:footnote w:id="5">
    <w:p>
      <w:pPr>
        <w:pStyle w:val="FootnoteText"/>
      </w:pPr>
      <w:r>
        <w:rPr>
          <w:rStyle w:val="FootnoteReference"/>
        </w:rPr>
        <w:footnoteRef/>
      </w:r>
      <w:r>
        <w:tab/>
        <w:t>Решение за изпълнение (ЕС) 2017/319 на Съвета от 21 февруари 2017 г. за изменение на Решение за изпълнение 2013/677/ЕС за предоставяне на разрешение на Люксембург да въведе специална мярка за дерогация от член 285 от Директива 2006/112/ЕО относно общата система на данъка върху добавената стойност (ОВ L 47, 24.2.2017 г., стр. 7).</w:t>
      </w:r>
    </w:p>
  </w:footnote>
  <w:footnote w:id="6">
    <w:p>
      <w:pPr>
        <w:pStyle w:val="FootnoteText"/>
      </w:pPr>
      <w:r>
        <w:rPr>
          <w:rStyle w:val="FootnoteReference"/>
        </w:rPr>
        <w:footnoteRef/>
      </w:r>
      <w:r>
        <w:tab/>
        <w:t>Предложение за Директива на Съвета за изменение на Директива 2006/112/ЕО относно общата система на данъка върху добавената стойност по отношение на специалния режим за малките предприятия (COM(2018) 21 final).</w:t>
      </w:r>
    </w:p>
  </w:footnote>
  <w:footnote w:id="7">
    <w:p>
      <w:pPr>
        <w:pStyle w:val="FootnoteText"/>
      </w:pPr>
      <w:r>
        <w:rPr>
          <w:rStyle w:val="FootnoteReference"/>
        </w:rPr>
        <w:footnoteRef/>
      </w:r>
      <w:r>
        <w:tab/>
        <w:t>Решение за изпълнение (ЕС) 2018/279 на Съвета от 20 февруари 2018 г. за предоставяне на разрешение на Малта да прилага специална мярка за дерогация от член 287 от Директива 2006/112/ЕО относно общата система на данъка върху добавената стойност (ОВ L 54, 24.2.2018 г., стр. 14).</w:t>
      </w:r>
    </w:p>
  </w:footnote>
  <w:footnote w:id="8">
    <w:p>
      <w:pPr>
        <w:pStyle w:val="FootnoteText"/>
      </w:pPr>
      <w:r>
        <w:rPr>
          <w:rStyle w:val="FootnoteReference"/>
        </w:rPr>
        <w:footnoteRef/>
      </w:r>
      <w:r>
        <w:tab/>
        <w:t>Решение за изпълнение (ЕС) 2018/1904 на Съвета от 4 декември 2018 г. за предоставяне на разрешение на Нидерландия да въведе специална мярка за дерогация от член 285 от Директива 2006/112/ЕО относно общата система на данъка върху добавената стойност (ОВ L 310, 6.12.2018 г., стр. 25).</w:t>
      </w:r>
    </w:p>
  </w:footnote>
  <w:footnote w:id="9">
    <w:p>
      <w:pPr>
        <w:pStyle w:val="FootnoteText"/>
      </w:pPr>
      <w:r>
        <w:rPr>
          <w:rStyle w:val="FootnoteReference"/>
        </w:rPr>
        <w:footnoteRef/>
      </w:r>
      <w:r>
        <w:tab/>
        <w:t>Решение за изпълнение (ЕС) 2018/1919 на Съвета от 4 декември 2018 г.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 L 311, 7.12.2018 г., стр. 32).</w:t>
      </w:r>
    </w:p>
  </w:footnote>
  <w:footnote w:id="10">
    <w:p>
      <w:pPr>
        <w:pStyle w:val="FootnoteText"/>
      </w:pPr>
      <w:r>
        <w:rPr>
          <w:rStyle w:val="FootnoteReference"/>
        </w:rPr>
        <w:footnoteRef/>
      </w:r>
      <w:r>
        <w:tab/>
        <w:t>Решение за изпълнение (ЕС) 2017/563 на Съвета от 21 март 2017 г. за даване на разрешение на Република Естония да прилага специална мярка за дерогация от член 287 от Директива 2006/112/ЕО относно общата система на данъка върху добавената стойност (ОВ L 80, 25.3.2017 г., стр. 33).</w:t>
      </w:r>
    </w:p>
  </w:footnote>
  <w:footnote w:id="11">
    <w:p>
      <w:pPr>
        <w:pStyle w:val="FootnoteText"/>
      </w:pPr>
      <w:r>
        <w:rPr>
          <w:rStyle w:val="FootnoteReference"/>
        </w:rPr>
        <w:footnoteRef/>
      </w:r>
      <w:r>
        <w:tab/>
        <w:t>Решение за изпълнение (ЕС) 2017/2408 на Съвета от 18 декември 2017 г. за предоставяне на разрешение на Република Латвия да прилага специална мярка за дерогация от член 287 от Директива 2006/112/ЕО относно общата система на данъка върху добавената стойност (ОВ L 342, 21.12.2017 г., стр. 8).</w:t>
      </w:r>
    </w:p>
  </w:footnote>
  <w:footnote w:id="12">
    <w:p>
      <w:pPr>
        <w:pStyle w:val="FootnoteText"/>
      </w:pPr>
      <w:r>
        <w:rPr>
          <w:rStyle w:val="FootnoteReference"/>
        </w:rPr>
        <w:footnoteRef/>
      </w:r>
      <w:r>
        <w:tab/>
        <w:t>Решение за изпълнение (ЕС) 2017/1768 на Съвета от 25 септември 2017 г. за даване на разрешение на Република Хърватия да въведе специална мярка за дерогация от член 287 от Директива 2006/112/ЕО относно общата система на данъка върху добавената стойност (ОВ L 250, 28.9.2017 г., стр. 71).</w:t>
      </w:r>
    </w:p>
  </w:footnote>
  <w:footnote w:id="13">
    <w:p>
      <w:pPr>
        <w:pStyle w:val="FootnoteText"/>
      </w:pPr>
      <w:r>
        <w:rPr>
          <w:rStyle w:val="FootnoteReference"/>
        </w:rPr>
        <w:footnoteRef/>
      </w:r>
      <w:r>
        <w:tab/>
        <w:t>Решение за изпълнение (EС) 2017/1853 на Съвета от 10 октомври 2017 г. за изменение на Решение за изпълнение 2011/335/ЕС за даване на разрешение на Република Литва да прилага мярка за дерогация от член 287 от Директива 2006/112/ЕО относно общата система на данъка върху добавената стойност (ОВ L 265, 14.10.2017 г., стр. 15).</w:t>
      </w:r>
    </w:p>
  </w:footnote>
  <w:footnote w:id="14">
    <w:p>
      <w:pPr>
        <w:pStyle w:val="FootnoteText"/>
      </w:pPr>
      <w:r>
        <w:rPr>
          <w:rStyle w:val="FootnoteReference"/>
        </w:rPr>
        <w:footnoteRef/>
      </w:r>
      <w:r>
        <w:tab/>
        <w:t>Решение за изпълнение (ЕС) 2018/1700 на Съвета от 6 ноември 2018 г. за изменение на Решение за изпълнение 2013/54/ЕС за предоставяне на разрешение на Република Словения да въведе специална мярка за дерогация от член 287 от Директива 2006/112/ЕО относно общата система на данъка върху добавената стойност (ОВ L 285, 13.11.2018 г., стр. 78).</w:t>
      </w:r>
    </w:p>
  </w:footnote>
  <w:footnote w:id="15">
    <w:p>
      <w:pPr>
        <w:pStyle w:val="FootnoteText"/>
      </w:pPr>
      <w:r>
        <w:rPr>
          <w:rStyle w:val="FootnoteReference"/>
        </w:rPr>
        <w:footnoteRef/>
      </w:r>
      <w:r>
        <w:tab/>
        <w:t>Решение за изпълнение (ЕС) 2016/1988 на Съвета от 8 ноември 2016 г. за изменение на Решение за изпълнение 2013/678/ЕС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 (ОВ L 306, 15.11.2016 г., стр. 11).</w:t>
      </w:r>
    </w:p>
  </w:footnote>
  <w:footnote w:id="16">
    <w:p>
      <w:pPr>
        <w:pStyle w:val="FootnoteText"/>
      </w:pPr>
      <w:r>
        <w:rPr>
          <w:rStyle w:val="FootnoteReference"/>
        </w:rPr>
        <w:footnoteRef/>
      </w:r>
      <w:r>
        <w:tab/>
        <w:t>Решение за изпълнение (ЕС) 2017/1855 на Съвета от 10 октомври 2017 г. за предоставяне на разрешение на Румъния да прилага специална мярка за дерогация от член 287 от Директива 2006/112/ЕО относно общата система на данъка върху добавената стойност (ОВ L 265, 14.10.2017 г., стр. 19).</w:t>
      </w:r>
    </w:p>
  </w:footnote>
  <w:footnote w:id="17">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 Към единно пространство на ЕС по отношение на ДДС – Време за избор (COM(2016) 148 final).</w:t>
      </w:r>
    </w:p>
  </w:footnote>
  <w:footnote w:id="18">
    <w:p>
      <w:pPr>
        <w:pStyle w:val="FootnoteText"/>
      </w:pPr>
      <w:r>
        <w:rPr>
          <w:rStyle w:val="FootnoteReference"/>
        </w:rPr>
        <w:footnoteRef/>
      </w:r>
      <w:r>
        <w:tab/>
        <w:t xml:space="preserve">Съобщение на Комисията до Европейския парламент, Съвета, Европейския икономически и социален комитет и Комитета на регионите — Работна програма на Комисията за 2017 г. (COM(2016) 710 final). </w:t>
      </w:r>
    </w:p>
  </w:footnote>
  <w:footnote w:id="19">
    <w:p>
      <w:pPr>
        <w:pStyle w:val="FootnoteText"/>
      </w:pPr>
      <w:r>
        <w:rPr>
          <w:rStyle w:val="FootnoteReference"/>
        </w:rPr>
        <w:footnoteRef/>
      </w:r>
      <w:r>
        <w:tab/>
        <w:t xml:space="preserve">Съобщение на Комисията до Европейския парламент, Съвета, Европейския икономически и социален комитет и Комитета на регионите „Осъвременяване на единния пазар: повече възможности за гражданите и предприятията“ (COM(2015) 550 final).  </w:t>
      </w:r>
    </w:p>
  </w:footnote>
  <w:footnote w:id="20">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„Новите европейски лидери — инициатива за подкрепа на стартиращи и разрастващи се предприятия (COM(2016) 733 final).</w:t>
      </w:r>
    </w:p>
  </w:footnote>
  <w:footnote w:id="21">
    <w:p>
      <w:pPr>
        <w:pStyle w:val="FootnoteText"/>
      </w:pPr>
      <w:r>
        <w:rPr>
          <w:rStyle w:val="FootnoteReference"/>
        </w:rPr>
        <w:footnoteRef/>
      </w:r>
      <w:r>
        <w:tab/>
        <w:t xml:space="preserve">Съобщение на Комисията до Съвета, Европейския парламент, Европейския икономически и социален комитет и Комитета на регионите — „Мисли първо за малките!“ — „Small Business Act“ за Европа (COM(2008) 394 окончателен). </w:t>
      </w:r>
    </w:p>
  </w:footnote>
  <w:footnote w:id="22">
    <w:p>
      <w:pPr>
        <w:pStyle w:val="FootnoteText"/>
      </w:pPr>
      <w:r>
        <w:rPr>
          <w:rStyle w:val="FootnoteReference"/>
        </w:rPr>
        <w:footnoteRef/>
      </w:r>
      <w:r>
        <w:tab/>
        <w:t>ОВ L 347, 11.12.2006 г., стр. 1.</w:t>
      </w:r>
    </w:p>
  </w:footnote>
  <w:footnote w:id="23">
    <w:p>
      <w:pPr>
        <w:pStyle w:val="FootnoteText"/>
      </w:pPr>
      <w:r>
        <w:rPr>
          <w:rStyle w:val="FootnoteReference"/>
        </w:rPr>
        <w:footnoteRef/>
      </w:r>
      <w:r>
        <w:tab/>
        <w:t>Втора директива 67/228/ЕИО на Съвета от 11 април 1967 г. за хармонизиране на законодателствата на държавите членки относно данъците върху оборота — структура и процедури за прилагане на общата система на данъка върху добавената стойност (ОВ 71, 14.4.1967 г., стр. 1303/67).</w:t>
      </w:r>
    </w:p>
  </w:footnote>
  <w:footnote w:id="24">
    <w:p>
      <w:pPr>
        <w:pStyle w:val="FootnoteText"/>
      </w:pPr>
      <w:r>
        <w:rPr>
          <w:rStyle w:val="FootnoteReference"/>
        </w:rPr>
        <w:footnoteRef/>
      </w:r>
      <w:r>
        <w:tab/>
        <w:t>Решение за изпълнение 2013/677/ЕС на Съвета от 15 ноември 2013 г. за предоставяне на разрешение на Люксембург да въведе специална мярка за дерогация от член 285 от Директива 2006/112/ЕО относно общата система на данъка върху добавената стойност (ОВ L 316, 27.11.2013 г., стр. 33).</w:t>
      </w:r>
    </w:p>
  </w:footnote>
  <w:footnote w:id="25">
    <w:p>
      <w:pPr>
        <w:pStyle w:val="FootnoteText"/>
      </w:pPr>
      <w:r>
        <w:rPr>
          <w:rStyle w:val="FootnoteReference"/>
        </w:rPr>
        <w:footnoteRef/>
      </w:r>
      <w:r>
        <w:tab/>
        <w:t>Решение за изпълнение (ЕС) 2017/319 на Съвета от 21 февруари 2017 г. за изменение на Решение за изпълнение 2013/677/ЕС за предоставяне на разрешение на Люксембург да въведе специална мярка за дерогация от член 285 от Директива 2006/112/ЕО относно общата система на данъка върху добавената стойност (ОВ L 47, 24.2.2017 г., стр. 7).</w:t>
      </w:r>
    </w:p>
  </w:footnote>
  <w:footnote w:id="26">
    <w:p>
      <w:pPr>
        <w:pStyle w:val="FootnoteText"/>
      </w:pPr>
      <w:r>
        <w:rPr>
          <w:rStyle w:val="FootnoteReference"/>
        </w:rPr>
        <w:footnoteRef/>
      </w:r>
      <w:r>
        <w:tab/>
        <w:t>СОМ(2018)21 final, 18 януари 2018 г.</w:t>
      </w:r>
    </w:p>
  </w:footnote>
  <w:footnote w:id="27">
    <w:p>
      <w:pPr>
        <w:pStyle w:val="FootnoteText"/>
      </w:pPr>
      <w:r>
        <w:rPr>
          <w:rStyle w:val="FootnoteReference"/>
        </w:rPr>
        <w:footnoteRef/>
      </w:r>
      <w:r>
        <w:tab/>
        <w:t>Регламент (ЕИО, Евратом) № 1553/89 на Съвета от 29 май 1989 г. за окончателни унифицирани схеми за събирането на собствените ресурси, набирани от данък добавена стойност (ОВ L 155, 7.6.1989 г., стр.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3640F4"/>
    <w:lvl w:ilvl="0">
      <w:start w:val="1"/>
      <w:numFmt w:val="decimal"/>
      <w:pStyle w:val="ListNumber4"/>
      <w:lvlText w:val="%1."/>
      <w:lvlJc w:val="left"/>
      <w:pPr>
        <w:tabs>
          <w:tab w:val="num" w:pos="1842"/>
        </w:tabs>
        <w:ind w:left="1842" w:hanging="360"/>
      </w:pPr>
    </w:lvl>
  </w:abstractNum>
  <w:abstractNum w:abstractNumId="1">
    <w:nsid w:val="FFFFFF7E"/>
    <w:multiLevelType w:val="singleLevel"/>
    <w:tmpl w:val="18B8C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9475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3E93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E09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954CF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360D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34EBF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1-22 10:58:3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FBCEF9BF-13FE-4FD4-892E-D62B5874A70D"/>
    <w:docVar w:name="LW_COVERPAGE_TYPE" w:val="1"/>
    <w:docVar w:name="LW_CROSSREFERENCE" w:val="&lt;UNUSED&gt;"/>
    <w:docVar w:name="LW_DocType" w:val="COM"/>
    <w:docVar w:name="LW_EMISSION" w:val="28.11.2019"/>
    <w:docVar w:name="LW_EMISSION_ISODATE" w:val="2019-11-28"/>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71"/>
    <w:docVar w:name="LW_REF.II.NEW.CP_YEAR" w:val="2019"/>
    <w:docVar w:name="LW_REF.INST.NEW" w:val="COM"/>
    <w:docVar w:name="LW_REF.INST.NEW_ADOPTED" w:val="final"/>
    <w:docVar w:name="LW_REF.INST.NEW_TEXT" w:val="(2019) 6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1079?\u1072? \u1080?\u1079?\u1087?\u1098?\u1083?\u1085?\u1077?\u1085?\u1080?\u1077? 2013/677/\u1045?\u1057? \u1079?\u1072? \u1087?\u1088?\u1077?\u1076?\u1086?\u1089?\u1090?\u1072?\u1074?\u1103?\u1085?\u1077? \u1085?\u1072? \u1088?\u1072?\u1079?\u1088?\u1077?\u1096?\u1077?\u1085?\u1080?\u1077? \u1085?\u1072? \u1051?\u1102?\u1082?\u1089?\u1077?\u1084?\u1073?\u1091?\u1088?\u1075? \u1076?\u1072? \u1074?\u1098?\u1074?\u1077?\u1076?\u1077? \u1089?\u1087?\u1077?\u1094?\u1080?\u1072?\u1083?\u1085?\u1072? \u1084?\u1103?\u1088?\u1082?\u1072? \u1079?\u1072? \u1076?\u1077?\u1088?\u1086?\u1075?\u1072?\u1094?\u1080?\u1103? \u1086?\u1090? \u1095?\u1083?\u1077?\u1085? 285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outputecliaff">
    <w:name w:val="outputecliaff"/>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8090">
      <w:bodyDiv w:val="1"/>
      <w:marLeft w:val="0"/>
      <w:marRight w:val="0"/>
      <w:marTop w:val="0"/>
      <w:marBottom w:val="0"/>
      <w:divBdr>
        <w:top w:val="none" w:sz="0" w:space="0" w:color="auto"/>
        <w:left w:val="none" w:sz="0" w:space="0" w:color="auto"/>
        <w:bottom w:val="none" w:sz="0" w:space="0" w:color="auto"/>
        <w:right w:val="none" w:sz="0" w:space="0" w:color="auto"/>
      </w:divBdr>
    </w:div>
    <w:div w:id="200825691">
      <w:bodyDiv w:val="1"/>
      <w:marLeft w:val="0"/>
      <w:marRight w:val="0"/>
      <w:marTop w:val="0"/>
      <w:marBottom w:val="0"/>
      <w:divBdr>
        <w:top w:val="none" w:sz="0" w:space="0" w:color="auto"/>
        <w:left w:val="none" w:sz="0" w:space="0" w:color="auto"/>
        <w:bottom w:val="none" w:sz="0" w:space="0" w:color="auto"/>
        <w:right w:val="none" w:sz="0" w:space="0" w:color="auto"/>
      </w:divBdr>
    </w:div>
    <w:div w:id="851410333">
      <w:bodyDiv w:val="1"/>
      <w:marLeft w:val="0"/>
      <w:marRight w:val="0"/>
      <w:marTop w:val="0"/>
      <w:marBottom w:val="0"/>
      <w:divBdr>
        <w:top w:val="none" w:sz="0" w:space="0" w:color="auto"/>
        <w:left w:val="none" w:sz="0" w:space="0" w:color="auto"/>
        <w:bottom w:val="none" w:sz="0" w:space="0" w:color="auto"/>
        <w:right w:val="none" w:sz="0" w:space="0" w:color="auto"/>
      </w:divBdr>
    </w:div>
    <w:div w:id="1208683066">
      <w:bodyDiv w:val="1"/>
      <w:marLeft w:val="0"/>
      <w:marRight w:val="0"/>
      <w:marTop w:val="0"/>
      <w:marBottom w:val="0"/>
      <w:divBdr>
        <w:top w:val="none" w:sz="0" w:space="0" w:color="auto"/>
        <w:left w:val="none" w:sz="0" w:space="0" w:color="auto"/>
        <w:bottom w:val="none" w:sz="0" w:space="0" w:color="auto"/>
        <w:right w:val="none" w:sz="0" w:space="0" w:color="auto"/>
      </w:divBdr>
    </w:div>
    <w:div w:id="1372537966">
      <w:bodyDiv w:val="1"/>
      <w:marLeft w:val="0"/>
      <w:marRight w:val="0"/>
      <w:marTop w:val="0"/>
      <w:marBottom w:val="0"/>
      <w:divBdr>
        <w:top w:val="none" w:sz="0" w:space="0" w:color="auto"/>
        <w:left w:val="none" w:sz="0" w:space="0" w:color="auto"/>
        <w:bottom w:val="none" w:sz="0" w:space="0" w:color="auto"/>
        <w:right w:val="none" w:sz="0" w:space="0" w:color="auto"/>
      </w:divBdr>
    </w:div>
    <w:div w:id="1728340801">
      <w:bodyDiv w:val="1"/>
      <w:marLeft w:val="0"/>
      <w:marRight w:val="0"/>
      <w:marTop w:val="0"/>
      <w:marBottom w:val="0"/>
      <w:divBdr>
        <w:top w:val="none" w:sz="0" w:space="0" w:color="auto"/>
        <w:left w:val="none" w:sz="0" w:space="0" w:color="auto"/>
        <w:bottom w:val="none" w:sz="0" w:space="0" w:color="auto"/>
        <w:right w:val="none" w:sz="0" w:space="0" w:color="auto"/>
      </w:divBdr>
      <w:divsChild>
        <w:div w:id="374429681">
          <w:marLeft w:val="0"/>
          <w:marRight w:val="0"/>
          <w:marTop w:val="0"/>
          <w:marBottom w:val="0"/>
          <w:divBdr>
            <w:top w:val="none" w:sz="0" w:space="0" w:color="auto"/>
            <w:left w:val="none" w:sz="0" w:space="0" w:color="auto"/>
            <w:bottom w:val="none" w:sz="0" w:space="0" w:color="auto"/>
            <w:right w:val="none" w:sz="0" w:space="0" w:color="auto"/>
          </w:divBdr>
          <w:divsChild>
            <w:div w:id="685403097">
              <w:marLeft w:val="0"/>
              <w:marRight w:val="0"/>
              <w:marTop w:val="0"/>
              <w:marBottom w:val="0"/>
              <w:divBdr>
                <w:top w:val="none" w:sz="0" w:space="0" w:color="auto"/>
                <w:left w:val="none" w:sz="0" w:space="0" w:color="auto"/>
                <w:bottom w:val="none" w:sz="0" w:space="0" w:color="auto"/>
                <w:right w:val="none" w:sz="0" w:space="0" w:color="auto"/>
              </w:divBdr>
              <w:divsChild>
                <w:div w:id="1070469656">
                  <w:marLeft w:val="0"/>
                  <w:marRight w:val="0"/>
                  <w:marTop w:val="0"/>
                  <w:marBottom w:val="0"/>
                  <w:divBdr>
                    <w:top w:val="none" w:sz="0" w:space="0" w:color="auto"/>
                    <w:left w:val="none" w:sz="0" w:space="0" w:color="auto"/>
                    <w:bottom w:val="none" w:sz="0" w:space="0" w:color="auto"/>
                    <w:right w:val="none" w:sz="0" w:space="0" w:color="auto"/>
                  </w:divBdr>
                  <w:divsChild>
                    <w:div w:id="976299249">
                      <w:marLeft w:val="-150"/>
                      <w:marRight w:val="-150"/>
                      <w:marTop w:val="0"/>
                      <w:marBottom w:val="0"/>
                      <w:divBdr>
                        <w:top w:val="none" w:sz="0" w:space="0" w:color="auto"/>
                        <w:left w:val="none" w:sz="0" w:space="0" w:color="auto"/>
                        <w:bottom w:val="none" w:sz="0" w:space="0" w:color="auto"/>
                        <w:right w:val="none" w:sz="0" w:space="0" w:color="auto"/>
                      </w:divBdr>
                      <w:divsChild>
                        <w:div w:id="1708333529">
                          <w:marLeft w:val="0"/>
                          <w:marRight w:val="0"/>
                          <w:marTop w:val="0"/>
                          <w:marBottom w:val="0"/>
                          <w:divBdr>
                            <w:top w:val="none" w:sz="0" w:space="0" w:color="auto"/>
                            <w:left w:val="none" w:sz="0" w:space="0" w:color="auto"/>
                            <w:bottom w:val="none" w:sz="0" w:space="0" w:color="auto"/>
                            <w:right w:val="none" w:sz="0" w:space="0" w:color="auto"/>
                          </w:divBdr>
                          <w:divsChild>
                            <w:div w:id="474369682">
                              <w:marLeft w:val="0"/>
                              <w:marRight w:val="0"/>
                              <w:marTop w:val="0"/>
                              <w:marBottom w:val="0"/>
                              <w:divBdr>
                                <w:top w:val="none" w:sz="0" w:space="0" w:color="auto"/>
                                <w:left w:val="none" w:sz="0" w:space="0" w:color="auto"/>
                                <w:bottom w:val="none" w:sz="0" w:space="0" w:color="auto"/>
                                <w:right w:val="none" w:sz="0" w:space="0" w:color="auto"/>
                              </w:divBdr>
                              <w:divsChild>
                                <w:div w:id="430130331">
                                  <w:marLeft w:val="0"/>
                                  <w:marRight w:val="0"/>
                                  <w:marTop w:val="0"/>
                                  <w:marBottom w:val="300"/>
                                  <w:divBdr>
                                    <w:top w:val="none" w:sz="0" w:space="0" w:color="auto"/>
                                    <w:left w:val="none" w:sz="0" w:space="0" w:color="auto"/>
                                    <w:bottom w:val="none" w:sz="0" w:space="0" w:color="auto"/>
                                    <w:right w:val="none" w:sz="0" w:space="0" w:color="auto"/>
                                  </w:divBdr>
                                  <w:divsChild>
                                    <w:div w:id="896549263">
                                      <w:marLeft w:val="0"/>
                                      <w:marRight w:val="0"/>
                                      <w:marTop w:val="0"/>
                                      <w:marBottom w:val="0"/>
                                      <w:divBdr>
                                        <w:top w:val="none" w:sz="0" w:space="0" w:color="auto"/>
                                        <w:left w:val="none" w:sz="0" w:space="0" w:color="auto"/>
                                        <w:bottom w:val="none" w:sz="0" w:space="0" w:color="auto"/>
                                        <w:right w:val="none" w:sz="0" w:space="0" w:color="auto"/>
                                      </w:divBdr>
                                      <w:divsChild>
                                        <w:div w:id="56049473">
                                          <w:marLeft w:val="0"/>
                                          <w:marRight w:val="0"/>
                                          <w:marTop w:val="0"/>
                                          <w:marBottom w:val="0"/>
                                          <w:divBdr>
                                            <w:top w:val="none" w:sz="0" w:space="0" w:color="auto"/>
                                            <w:left w:val="none" w:sz="0" w:space="0" w:color="auto"/>
                                            <w:bottom w:val="none" w:sz="0" w:space="0" w:color="auto"/>
                                            <w:right w:val="none" w:sz="0" w:space="0" w:color="auto"/>
                                          </w:divBdr>
                                          <w:divsChild>
                                            <w:div w:id="16893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AD65398-9EB1-4D20-B845-C86303EB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3095</Words>
  <Characters>16843</Characters>
  <Application>Microsoft Office Word</Application>
  <DocSecurity>0</DocSecurity>
  <Lines>317</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2019-10-16T09:16:00Z</cp:lastPrinted>
  <dcterms:created xsi:type="dcterms:W3CDTF">2019-11-08T13:45:00Z</dcterms:created>
  <dcterms:modified xsi:type="dcterms:W3CDTF">2019-11-22T09:58:00Z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