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DBC7112-1D85-4AC5-B1E3-2D90186E64D3" style="width:450.75pt;height:452.25pt">
            <v:imagedata r:id="rId8" o:title=""/>
          </v:shape>
        </w:pict>
      </w:r>
    </w:p>
    <w:p>
      <w:pPr>
        <w:jc w:val="center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Указания за водене на преговори за изменение на Протокола към Спогодбата за международни случайни превози на пътници, извършвани с автобуси (Интербус), относно международните редовни и специализирани редовни превози на пътници, извършвани с автобуси, и на Протокола за изменение на Спогодбата за международни случайни превози на пътници, извършвани с автобуси (Интербус), с което се предоставя възможността за присъединяване на Кралство Мароко</w:t>
      </w:r>
    </w:p>
    <w:p>
      <w:pPr>
        <w:pStyle w:val="NormalCentered"/>
        <w:rPr>
          <w:noProof/>
        </w:rPr>
      </w:pPr>
    </w:p>
    <w:p>
      <w:pPr>
        <w:pStyle w:val="ListNumber2"/>
        <w:rPr>
          <w:noProof/>
        </w:rPr>
      </w:pPr>
      <w:r>
        <w:rPr>
          <w:noProof/>
        </w:rPr>
        <w:t xml:space="preserve">Понастоящем определеният в член 20, параграфи 1 и 2 срок от 16 април 2019 г. за подписване на Протокола към Спогодбата за международни случайни превози на пътници, извършвани с автобуси (Интербус), относно международните редовни и специализирани редовни превози на пътници, извършвани с автобуси, и на Протокола за изменение на Спогодбата за международни случайни превози на пътници, извършвани с автобуси (Интербус), с което се предоставя възможността за присъединяване на Кралство Мароко, следва да се премахне. </w:t>
      </w:r>
    </w:p>
    <w:p>
      <w:pPr>
        <w:rPr>
          <w:noProof/>
        </w:rPr>
      </w:pPr>
    </w:p>
    <w:p>
      <w:pPr>
        <w:pStyle w:val="ListNumber2"/>
        <w:rPr>
          <w:noProof/>
        </w:rPr>
      </w:pPr>
      <w:r>
        <w:rPr>
          <w:noProof/>
        </w:rPr>
        <w:t>Позоваването на „бившата югославска република Македония“ в двата протокола следва да се замени с „Република Северна Македония“.</w:t>
      </w:r>
    </w:p>
    <w:p>
      <w:pPr>
        <w:rPr>
          <w:noProof/>
        </w:rPr>
      </w:pPr>
    </w:p>
    <w:p>
      <w:pPr>
        <w:pStyle w:val="ListNumber2"/>
        <w:rPr>
          <w:noProof/>
        </w:rPr>
      </w:pPr>
      <w:r>
        <w:rPr>
          <w:noProof/>
        </w:rPr>
        <w:t xml:space="preserve">Протоколът за изменение на Спогодбата за международни случайни превози на пътници, извършвани с автобуси (Интербус), с което се предоставя възможността за присъединяване на Кралство Мароко, следва да влезе в сила едва след сключването му от всички настоящи договарящи страни по спогодбата Интербус.  </w:t>
      </w:r>
    </w:p>
    <w:p>
      <w:pPr>
        <w:ind w:left="720" w:hanging="720"/>
        <w:rPr>
          <w:noProof/>
        </w:rPr>
      </w:pPr>
    </w:p>
    <w:p>
      <w:pPr>
        <w:pStyle w:val="ListNumber2"/>
        <w:rPr>
          <w:noProof/>
        </w:rPr>
      </w:pPr>
      <w:r>
        <w:rPr>
          <w:noProof/>
        </w:rPr>
        <w:t>Договарящият следва да намери най-подходящия международен инструмент, чрез който да бъдат договорени измененията. Вече положените подписи следва да останат валидни.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FC86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688CE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CB04E34"/>
    <w:name w:val="0,6057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A78DB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E58AF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18A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184F3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472C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1-28 14:23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DBC7112-1D85-4AC5-B1E3-2D90186E64D3"/>
    <w:docVar w:name="LW_COVERPAGE_TYPE" w:val="1"/>
    <w:docVar w:name="LW_CROSSREFERENCE" w:val="&lt;UNUSED&gt;"/>
    <w:docVar w:name="LW_DocType" w:val="ANNEX"/>
    <w:docVar w:name="LW_EMISSION" w:val="29.11.2019"/>
    <w:docVar w:name="LW_EMISSION_ISODATE" w:val="2019-11-2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0?\u1079?\u1084?\u1077?\u1085?\u1077?\u1085?\u1080?\u1077? \u1085?\u1072? \u1055?\u1088?\u1086?\u1090?\u1086?\u1082?\u1086?\u1083?\u1072? \u1082?\u1098?\u1084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6?\u1090?\u1085?\u1086?\u1089?\u1085?\u1086? \u1084?\u1077?\u1078?\u1076?\u1091?\u1085?\u1072?\u1088?\u1086?\u1076?\u1085?\u1080?\u1090?\u1077? \u1088?\u1077?\u1076?\u1086?\u1074?\u1085?\u1080? \u1080? \u1089?\u1087?\u1077?\u1094?\u1080?\u1072?\u1083?\u1080?\u1079?\u1080?\u1088?\u1072?\u1085?\u1080? \u1088?\u1077?\u1076?\u1086?\u1074?\u1085?\u1080? \u1087?\u1088?\u1077?\u1074?\u1086?\u1079?\u1080? \u1085?\u1072? \u1087?\u1098?\u1090?\u1085?\u1080?\u1094?\u1080?, \u1080?\u1079?\u1074?\u1098?\u1088?\u1096?\u1074?\u1072?\u1085?\u1080? \u1089? \u1072?\u1074?\u1090?\u1086?\u1073?\u1091?\u1089?\u1080?, \u1080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77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0?\u1079?\u1084?\u1077?\u1085?\u1077?\u1085?\u1080?\u1077? \u1085?\u1072? \u1055?\u1088?\u1086?\u1090?\u1086?\u1082?\u1086?\u1083?\u1072? \u1082?\u1098?\u1084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6?\u1090?\u1085?\u1086?\u1089?\u1085?\u1086? \u1084?\u1077?\u1078?\u1076?\u1091?\u1085?\u1072?\u1088?\u1086?\u1076?\u1085?\u1080?\u1090?\u1077? \u1088?\u1077?\u1076?\u1086?\u1074?\u1085?\u1080? \u1080? \u1089?\u1087?\u1077?\u1094?\u1080?\u1072?\u1083?\u1080?\u1079?\u1080?\u1088?\u1072?\u1085?\u1080? \u1088?\u1077?\u1076?\u1086?\u1074?\u1085?\u1080? \u1087?\u1088?\u1077?\u1074?\u1086?\u1079?\u1080? \u1085?\u1072? \u1087?\u1098?\u1090?\u1085?\u1080?\u1094?\u1080?, \u1080?\u1079?\u1074?\u1098?\u1088?\u1096?\u1074?\u1072?\u1085?\u1080? \u1089? \u1072?\u1074?\u1090?\u1086?\u1073?\u1091?\u1089?\u1080?, \u1080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77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9) 6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87?\u1086?\u1088?\u1098?\u1082?\u1072? \u1079?\u1072? \u1056?\u1077?\u1096?\u1077?\u1085?\u1080?\u1077? \u1085?\u1072? \u1057?\u1098?\u1074?\u1077?\u1090?\u1072?"/>
    <w:docVar w:name="LW_TYPEACTEPRINCIPAL.CP" w:val="\u1087?\u1088?\u1077?\u1087?\u1086?\u1088?\u1098?\u1082?\u1072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218</Words>
  <Characters>1354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Ismo (MOVE)</dc:creator>
  <cp:lastModifiedBy>WES PDFC Administrator</cp:lastModifiedBy>
  <cp:revision>9</cp:revision>
  <dcterms:created xsi:type="dcterms:W3CDTF">2019-11-19T09:33:00Z</dcterms:created>
  <dcterms:modified xsi:type="dcterms:W3CDTF">2019-11-28T13:23:00Z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