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FAC0E57-13E1-4641-BADC-238707B71639"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ЗА РАБОТАТА НА КОМИТЕТИТЕ ПРЕЗ 2018 ГОДИНА</w:t>
      </w:r>
    </w:p>
    <w:p>
      <w:pPr>
        <w:pStyle w:val="Sous-titreobjet"/>
        <w:rPr>
          <w:noProof/>
        </w:rPr>
      </w:pPr>
    </w:p>
    <w:p>
      <w:pPr>
        <w:spacing w:line="240" w:lineRule="auto"/>
        <w:jc w:val="both"/>
        <w:rPr>
          <w:rFonts w:ascii="Times New Roman" w:hAnsi="Times New Roman"/>
          <w:noProof/>
          <w:sz w:val="24"/>
          <w:szCs w:val="24"/>
        </w:rPr>
      </w:pPr>
      <w:r>
        <w:rPr>
          <w:rFonts w:ascii="Times New Roman" w:hAnsi="Times New Roman"/>
          <w:noProof/>
          <w:sz w:val="24"/>
          <w:szCs w:val="24"/>
        </w:rPr>
        <w:t>Съгласно член 10, параграф 2 от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rFonts w:ascii="Times New Roman" w:hAnsi="Times New Roman"/>
          <w:noProof/>
          <w:sz w:val="24"/>
          <w:szCs w:val="24"/>
          <w:vertAlign w:val="superscript"/>
        </w:rPr>
        <w:footnoteReference w:id="1"/>
      </w:r>
      <w:r>
        <w:rPr>
          <w:rFonts w:ascii="Times New Roman" w:hAnsi="Times New Roman"/>
          <w:noProof/>
          <w:sz w:val="24"/>
          <w:szCs w:val="24"/>
        </w:rPr>
        <w:t xml:space="preserve"> (наричан по-нататък „Регламентът относно комитологията“) Комисията представя годишния доклад за работата на комитетите през 2018 г.</w:t>
      </w:r>
    </w:p>
    <w:p>
      <w:pPr>
        <w:spacing w:line="240" w:lineRule="auto"/>
        <w:jc w:val="both"/>
        <w:rPr>
          <w:rFonts w:ascii="Times New Roman" w:hAnsi="Times New Roman"/>
          <w:noProof/>
          <w:sz w:val="24"/>
          <w:szCs w:val="24"/>
        </w:rPr>
      </w:pPr>
      <w:r>
        <w:rPr>
          <w:rFonts w:ascii="Times New Roman" w:hAnsi="Times New Roman"/>
          <w:noProof/>
          <w:sz w:val="24"/>
          <w:szCs w:val="24"/>
        </w:rPr>
        <w:t>Настоящият доклад съдържа преглед на събитията в системата на комитологията през 2018 г. и резюме на дейностите на комитетите. Той е придружен от работен документ на службите на Комисията, съдържащ подробна статистика за работата на отделните комитети.</w:t>
      </w:r>
    </w:p>
    <w:p>
      <w:pPr>
        <w:spacing w:line="240" w:lineRule="auto"/>
        <w:jc w:val="both"/>
        <w:rPr>
          <w:rFonts w:ascii="Times New Roman" w:hAnsi="Times New Roman"/>
          <w:noProof/>
          <w:sz w:val="24"/>
          <w:szCs w:val="24"/>
        </w:rPr>
      </w:pPr>
    </w:p>
    <w:p>
      <w:pPr>
        <w:pStyle w:val="ManualHeading1"/>
        <w:rPr>
          <w:noProof/>
          <w:color w:val="FF0000"/>
        </w:rPr>
      </w:pPr>
      <w:r>
        <w:t>1.</w:t>
      </w:r>
      <w:r>
        <w:tab/>
      </w:r>
      <w:r>
        <w:rPr>
          <w:noProof/>
        </w:rPr>
        <w:t>Преглед на събитията в системата на комитологията през 2018 г.</w:t>
      </w:r>
    </w:p>
    <w:p>
      <w:pPr>
        <w:pStyle w:val="ManualHeading2"/>
        <w:rPr>
          <w:noProof/>
        </w:rPr>
      </w:pPr>
      <w:r>
        <w:t>1.1.</w:t>
      </w:r>
      <w:r>
        <w:tab/>
      </w:r>
      <w:r>
        <w:rPr>
          <w:noProof/>
        </w:rPr>
        <w:t>Общо развитие</w:t>
      </w:r>
    </w:p>
    <w:p>
      <w:pPr>
        <w:spacing w:line="240" w:lineRule="auto"/>
        <w:jc w:val="both"/>
        <w:rPr>
          <w:rFonts w:ascii="Times New Roman" w:hAnsi="Times New Roman"/>
          <w:b/>
          <w:noProof/>
          <w:sz w:val="24"/>
          <w:szCs w:val="24"/>
        </w:rPr>
      </w:pPr>
      <w:r>
        <w:rPr>
          <w:rFonts w:ascii="Times New Roman" w:hAnsi="Times New Roman"/>
          <w:noProof/>
          <w:sz w:val="24"/>
          <w:szCs w:val="24"/>
        </w:rPr>
        <w:t>Както бе описано в годишния доклад за 2013 г.</w:t>
      </w:r>
      <w:r>
        <w:rPr>
          <w:rFonts w:ascii="Times New Roman" w:hAnsi="Times New Roman"/>
          <w:noProof/>
          <w:sz w:val="24"/>
          <w:szCs w:val="24"/>
          <w:vertAlign w:val="superscript"/>
        </w:rPr>
        <w:footnoteReference w:id="2"/>
      </w:r>
      <w:r>
        <w:rPr>
          <w:rFonts w:ascii="Times New Roman" w:hAnsi="Times New Roman"/>
          <w:noProof/>
          <w:sz w:val="24"/>
          <w:szCs w:val="24"/>
        </w:rPr>
        <w:t>, всички процедури по комитология, предвидени в предходното Решение относно комитологията</w:t>
      </w:r>
      <w:r>
        <w:rPr>
          <w:rFonts w:ascii="Times New Roman" w:hAnsi="Times New Roman"/>
          <w:noProof/>
          <w:sz w:val="24"/>
          <w:szCs w:val="24"/>
          <w:vertAlign w:val="superscript"/>
        </w:rPr>
        <w:footnoteReference w:id="3"/>
      </w:r>
      <w:r>
        <w:rPr>
          <w:rFonts w:ascii="Times New Roman" w:hAnsi="Times New Roman"/>
          <w:noProof/>
          <w:sz w:val="24"/>
          <w:szCs w:val="24"/>
        </w:rPr>
        <w:t>, с изключение на процедурата по регулиране с контрол, бяха автоматично адаптирани към новите процедури по комитология, предвидени в Регламента относно комитологията.</w:t>
      </w:r>
    </w:p>
    <w:p>
      <w:pPr>
        <w:spacing w:line="240" w:lineRule="auto"/>
        <w:jc w:val="both"/>
        <w:rPr>
          <w:rFonts w:ascii="Times New Roman" w:hAnsi="Times New Roman"/>
          <w:noProof/>
          <w:sz w:val="24"/>
          <w:szCs w:val="24"/>
        </w:rPr>
      </w:pPr>
      <w:r>
        <w:rPr>
          <w:rFonts w:ascii="Times New Roman" w:hAnsi="Times New Roman"/>
          <w:noProof/>
          <w:sz w:val="24"/>
          <w:szCs w:val="24"/>
        </w:rPr>
        <w:t>Следователно през 2018 г. комитетите по комитология са функционирали съгласно процедурите, определени в Регламента относно комитологията, а именно по консултиране (член 4) и по разглеждане (член 5), както и съгласно процедурата по регулиране с контрол, определена в член 5а от Решението относно комитологията.</w:t>
      </w:r>
    </w:p>
    <w:p>
      <w:pPr>
        <w:spacing w:line="240" w:lineRule="auto"/>
        <w:jc w:val="both"/>
        <w:rPr>
          <w:rFonts w:ascii="Times New Roman" w:hAnsi="Times New Roman"/>
          <w:noProof/>
          <w:sz w:val="24"/>
          <w:szCs w:val="24"/>
        </w:rPr>
      </w:pPr>
      <w:r>
        <w:rPr>
          <w:rFonts w:ascii="Times New Roman" w:hAnsi="Times New Roman"/>
          <w:noProof/>
          <w:sz w:val="24"/>
          <w:szCs w:val="24"/>
        </w:rPr>
        <w:t>В точка 27 от Междуинституционалното споразумение за по-добро законотворчество от 13 април 2016 г.</w:t>
      </w:r>
      <w:r>
        <w:rPr>
          <w:rStyle w:val="FootnoteReference"/>
          <w:rFonts w:ascii="Times New Roman" w:hAnsi="Times New Roman"/>
          <w:noProof/>
          <w:sz w:val="24"/>
          <w:szCs w:val="24"/>
        </w:rPr>
        <w:footnoteReference w:id="4"/>
      </w:r>
      <w:r>
        <w:rPr>
          <w:rFonts w:ascii="Times New Roman" w:hAnsi="Times New Roman"/>
          <w:noProof/>
          <w:sz w:val="24"/>
          <w:szCs w:val="24"/>
        </w:rPr>
        <w:t xml:space="preserve"> се припомня необходимостта от привеждане в съответствие на процедурата по регулиране с контрол:</w:t>
      </w:r>
    </w:p>
    <w:p>
      <w:pPr>
        <w:spacing w:line="240" w:lineRule="auto"/>
        <w:jc w:val="both"/>
        <w:rPr>
          <w:rFonts w:ascii="Times New Roman" w:hAnsi="Times New Roman"/>
          <w:noProof/>
          <w:sz w:val="24"/>
          <w:szCs w:val="24"/>
        </w:rPr>
      </w:pPr>
      <w:r>
        <w:rPr>
          <w:rFonts w:ascii="Times New Roman" w:hAnsi="Times New Roman"/>
          <w:noProof/>
          <w:sz w:val="24"/>
          <w:szCs w:val="24"/>
        </w:rPr>
        <w:t>„Трите институции признават необходимостта цялото действащо законодателство да се приведе в съответствие с правната рамка, въведена с Лисабонския договор, и по-специално нуждата да бъде даден пълен приоритет на бързото привеждане в съответствие на всички основни актове, които все още се позовават на процедурата по регулиране с контрол. Комисията ще предложи посоченото привеждане в съответствие до края на 2016 г.“</w:t>
      </w:r>
    </w:p>
    <w:p>
      <w:pPr>
        <w:spacing w:line="240" w:lineRule="auto"/>
        <w:jc w:val="both"/>
        <w:rPr>
          <w:rFonts w:ascii="Times New Roman" w:hAnsi="Times New Roman"/>
          <w:noProof/>
          <w:sz w:val="24"/>
          <w:szCs w:val="24"/>
        </w:rPr>
      </w:pPr>
      <w:r>
        <w:rPr>
          <w:rFonts w:ascii="Times New Roman" w:hAnsi="Times New Roman"/>
          <w:noProof/>
          <w:sz w:val="24"/>
          <w:szCs w:val="24"/>
        </w:rPr>
        <w:t>В съответствие с този ангажимент Комисията прие предложение за привеждане на основните актове, предвиждащи процедурата по регулиране с контрол, в съответствие с разпоредбите за делегирани актове и актове за изпълнение</w:t>
      </w:r>
      <w:r>
        <w:rPr>
          <w:rStyle w:val="FootnoteReference"/>
          <w:rFonts w:ascii="Times New Roman" w:hAnsi="Times New Roman"/>
          <w:noProof/>
          <w:sz w:val="24"/>
          <w:szCs w:val="24"/>
        </w:rPr>
        <w:footnoteReference w:id="5"/>
      </w:r>
      <w:r>
        <w:rPr>
          <w:rFonts w:ascii="Times New Roman" w:hAnsi="Times New Roman"/>
          <w:noProof/>
          <w:sz w:val="24"/>
          <w:szCs w:val="24"/>
        </w:rPr>
        <w:t>. Тя прие и второ предложение, което се отнася конкретно до привеждането в съответствие на основните актове в областта на правосъдието</w:t>
      </w:r>
      <w:r>
        <w:rPr>
          <w:rStyle w:val="FootnoteReference"/>
          <w:rFonts w:ascii="Times New Roman" w:hAnsi="Times New Roman"/>
          <w:noProof/>
          <w:sz w:val="24"/>
          <w:szCs w:val="24"/>
        </w:rPr>
        <w:footnoteReference w:id="6"/>
      </w:r>
      <w:r>
        <w:rPr>
          <w:rFonts w:ascii="Times New Roman" w:hAnsi="Times New Roman"/>
          <w:noProof/>
          <w:sz w:val="24"/>
          <w:szCs w:val="24"/>
        </w:rPr>
        <w:t>. Междуинституционалните преговори по първото досие приключиха частично. Законодателят постигна съгласие за привеждане в съответствие на 64 от въпросните основни актове</w:t>
      </w:r>
      <w:r>
        <w:rPr>
          <w:rStyle w:val="FootnoteReference"/>
          <w:rFonts w:ascii="Times New Roman" w:hAnsi="Times New Roman"/>
          <w:noProof/>
          <w:sz w:val="24"/>
          <w:szCs w:val="24"/>
        </w:rPr>
        <w:footnoteReference w:id="7"/>
      </w:r>
      <w:r>
        <w:rPr>
          <w:rFonts w:ascii="Times New Roman" w:hAnsi="Times New Roman"/>
          <w:noProof/>
          <w:sz w:val="24"/>
          <w:szCs w:val="24"/>
        </w:rPr>
        <w:t xml:space="preserve">, като ще продължат преговорите по оставащите актове и по актовете в областта на правосъдието. Когато актове, предвиждащи процедурата по регулиране с контрол, се привеждат в съответствие с разпоредбите за делегираните актове, съответните комитети вече няма да играят роля, като съответните делегирани актове в бъдеще ще бъдат подготвяни с помощта на експертни групи. </w:t>
      </w:r>
    </w:p>
    <w:p>
      <w:pPr>
        <w:spacing w:line="240" w:lineRule="auto"/>
        <w:jc w:val="both"/>
        <w:rPr>
          <w:rFonts w:ascii="Times New Roman" w:hAnsi="Times New Roman"/>
          <w:noProof/>
          <w:sz w:val="24"/>
          <w:szCs w:val="24"/>
        </w:rPr>
      </w:pPr>
      <w:r>
        <w:rPr>
          <w:rFonts w:ascii="Times New Roman" w:hAnsi="Times New Roman"/>
          <w:noProof/>
          <w:sz w:val="24"/>
          <w:szCs w:val="24"/>
        </w:rPr>
        <w:t>На 26 февруари 2016 г. Комисията прие доклад относно прилагането на Регламент (ЕС) № 182/2011</w:t>
      </w:r>
      <w:r>
        <w:rPr>
          <w:rStyle w:val="FootnoteReference"/>
          <w:rFonts w:ascii="Times New Roman" w:hAnsi="Times New Roman"/>
          <w:noProof/>
          <w:sz w:val="24"/>
          <w:szCs w:val="24"/>
        </w:rPr>
        <w:footnoteReference w:id="8"/>
      </w:r>
      <w:r>
        <w:rPr>
          <w:rFonts w:ascii="Times New Roman" w:hAnsi="Times New Roman"/>
          <w:noProof/>
          <w:sz w:val="24"/>
          <w:szCs w:val="24"/>
        </w:rPr>
        <w:t>. В този доклад Комисията стига до заключението, че общата правна рамка за комитологията функционира добре. Въпреки това към онзи момент тя посочи също така, че ситуациите, в които не се стига до становище, представляват политически проблем, особено в някои много чувствителни области, като например разрешаването на генетично модифицирани организми. Впоследствие на 14 февруари 2017 г. Комисията прие предложение за Регламент на Европейския парламент и на Съвета за изменение на Регламента на относно комитологията (Регламент (ЕС) № 182/2011)</w:t>
      </w:r>
      <w:r>
        <w:rPr>
          <w:rStyle w:val="FootnoteReference"/>
          <w:rFonts w:ascii="Times New Roman" w:hAnsi="Times New Roman"/>
          <w:noProof/>
          <w:sz w:val="24"/>
          <w:szCs w:val="24"/>
        </w:rPr>
        <w:footnoteReference w:id="9"/>
      </w:r>
      <w:r>
        <w:rPr>
          <w:rFonts w:ascii="Times New Roman" w:hAnsi="Times New Roman"/>
          <w:noProof/>
          <w:sz w:val="24"/>
          <w:szCs w:val="24"/>
        </w:rPr>
        <w:t>. С това предложение се предлагат редица целенасочени промени по отношение на функционирането на апелативния комитет с цел преодоляване на ситуации „без становище“ в чувствителни области. Това досие обаче понастоящем е блокирано на етапа на междуинституционалните преговори.</w:t>
      </w:r>
    </w:p>
    <w:p>
      <w:pPr>
        <w:spacing w:line="240" w:lineRule="auto"/>
        <w:jc w:val="both"/>
        <w:rPr>
          <w:rFonts w:ascii="Times New Roman" w:hAnsi="Times New Roman"/>
          <w:noProof/>
          <w:sz w:val="24"/>
          <w:szCs w:val="24"/>
        </w:rPr>
      </w:pPr>
      <w:r>
        <w:rPr>
          <w:rFonts w:ascii="Times New Roman" w:hAnsi="Times New Roman"/>
          <w:noProof/>
          <w:sz w:val="24"/>
          <w:szCs w:val="24"/>
        </w:rPr>
        <w:t>Приключени бяха преговорите между трите институции по отношение на необвързващите критерии за прилагането на членове 290 и 291 от Договора за функционирането на Европейския съюз във връзка с разграничаването между делегирани актове и актове за изпълнение. Окончателният текст на критериите за разграничение беше публикуван в Официален вестник на 3 юли 2019 г.</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В съобщението си „По-добро регулиране за постигането на по-добри резултати“ от май 2015 г. Комисията пое ангажимент проектите на текстове за делегирани актове и проектите на важни актове за изпълнение да се оповестяват публично за период от четири седмици за получаване на коментари, с което да се даде възможност на заинтересованите страни да представят становищата си. През 2018 г. 165 такива проекти на актове бяха публикувани за обществено обсъждане на уебсайта на Комисията </w:t>
      </w:r>
      <w:r>
        <w:rPr>
          <w:rFonts w:ascii="Times New Roman" w:hAnsi="Times New Roman"/>
          <w:bCs/>
          <w:noProof/>
          <w:sz w:val="24"/>
          <w:szCs w:val="24"/>
        </w:rPr>
        <w:t>„Споделете мнението си“</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pPr>
        <w:pStyle w:val="ManualHeading2"/>
        <w:rPr>
          <w:noProof/>
        </w:rPr>
      </w:pPr>
      <w:r>
        <w:t>1.2.</w:t>
      </w:r>
      <w:r>
        <w:tab/>
      </w:r>
      <w:r>
        <w:rPr>
          <w:noProof/>
        </w:rPr>
        <w:t>Развитие в съдебната практика</w:t>
      </w:r>
    </w:p>
    <w:p>
      <w:pPr>
        <w:spacing w:line="240" w:lineRule="auto"/>
        <w:jc w:val="both"/>
        <w:rPr>
          <w:rFonts w:ascii="Times New Roman" w:hAnsi="Times New Roman"/>
          <w:noProof/>
          <w:sz w:val="24"/>
          <w:szCs w:val="24"/>
        </w:rPr>
      </w:pPr>
      <w:r>
        <w:rPr>
          <w:rFonts w:ascii="Times New Roman" w:hAnsi="Times New Roman"/>
          <w:noProof/>
          <w:sz w:val="24"/>
          <w:szCs w:val="24"/>
        </w:rPr>
        <w:t>В решението си от 13 декември 2018 г. по съединени дела T-339/16, T-352/16 и T-391/16 Общият съд разгледа въпроса за съществените елементи от основния акт. Съдът анализира дали граничните стойности на емисиите от автомобили се считат за съществен елемент от основния акт, който Комисията няма правомощия да изменя, независимо че тези пределни стойности са заложени в приложение към основния акт. В конкретния случай Общият съд разгледа съображенията и постановителната част на акта и констатира, че определените в приложение към основния акт гранични стойности на емисиите представляват съществен, „дори централен елемент от него“, тъй като всички останали разпоредби на този акт имат за цел да се осигури спазване на тези гранични стойности и няма изрична разпоредба, оправомощаваща Комисията да ги изменя.</w:t>
      </w:r>
    </w:p>
    <w:p>
      <w:pPr>
        <w:pStyle w:val="ManualHeading1"/>
        <w:rPr>
          <w:noProof/>
        </w:rPr>
      </w:pPr>
      <w:r>
        <w:rPr>
          <w:noProof/>
        </w:rPr>
        <w:br w:type="page"/>
      </w:r>
      <w:r>
        <w:t>2.</w:t>
      </w:r>
      <w:r>
        <w:tab/>
      </w:r>
      <w:r>
        <w:rPr>
          <w:noProof/>
        </w:rPr>
        <w:t>Преглед на дейностите</w:t>
      </w:r>
    </w:p>
    <w:p>
      <w:pPr>
        <w:pStyle w:val="ManualHeading2"/>
        <w:rPr>
          <w:noProof/>
        </w:rPr>
      </w:pPr>
      <w:r>
        <w:t>2.1.</w:t>
      </w:r>
      <w:r>
        <w:tab/>
      </w:r>
      <w:r>
        <w:rPr>
          <w:noProof/>
        </w:rPr>
        <w:t>Брой на комитетите и на заседанията</w:t>
      </w:r>
    </w:p>
    <w:p>
      <w:pPr>
        <w:spacing w:line="240" w:lineRule="auto"/>
        <w:jc w:val="both"/>
        <w:rPr>
          <w:rFonts w:ascii="Times New Roman" w:hAnsi="Times New Roman"/>
          <w:noProof/>
          <w:sz w:val="28"/>
          <w:szCs w:val="24"/>
        </w:rPr>
      </w:pPr>
      <w:r>
        <w:rPr>
          <w:rFonts w:ascii="Times New Roman" w:hAnsi="Times New Roman"/>
          <w:noProof/>
          <w:sz w:val="24"/>
        </w:rPr>
        <w:t>Важно е да се прави разграничение между комитетите по комитология, от една страна, и други структури, по-специално „експертните групи“, създадени от самата Комисия, от друга страна. Тези групи предоставят експертни познания на Комисията</w:t>
      </w:r>
      <w:r>
        <w:rPr>
          <w:rFonts w:ascii="Times New Roman" w:hAnsi="Times New Roman"/>
          <w:noProof/>
          <w:sz w:val="24"/>
          <w:vertAlign w:val="superscript"/>
        </w:rPr>
        <w:footnoteReference w:id="12"/>
      </w:r>
      <w:r>
        <w:rPr>
          <w:rFonts w:ascii="Times New Roman" w:hAnsi="Times New Roman"/>
          <w:noProof/>
          <w:sz w:val="24"/>
        </w:rPr>
        <w:t xml:space="preserve"> при изготвянето и изпълнението на политиките, както и на делегираните актове, докато комитетите по комитология подпомагат Комисията при упражняването на изпълнителните правомощия, които са ѝ предоставени с основни правни актове. Настоящият доклад е посветен единствено на комитетите по комитология. Броят на действащите комитети по комитология в периода 1 януари—31 декември 2018 г. бе изчислен по сектор на дейност (вж. таблица I). С цел да се даде възможност за сравнение, са дадени и данните за предходната година (към 31 декември 2017 г.). Подразделенията и конфигурациите не са отчетени отделно, тъй като принадлежат към даден основен комитет.</w:t>
      </w:r>
    </w:p>
    <w:p>
      <w:pPr>
        <w:keepNext/>
        <w:spacing w:line="240" w:lineRule="auto"/>
        <w:rPr>
          <w:rFonts w:ascii="Times New Roman" w:hAnsi="Times New Roman"/>
          <w:b/>
          <w:noProof/>
          <w:sz w:val="28"/>
          <w:szCs w:val="24"/>
          <w:u w:val="single"/>
        </w:rPr>
      </w:pPr>
      <w:r>
        <w:rPr>
          <w:rFonts w:ascii="Times New Roman" w:hAnsi="Times New Roman"/>
          <w:b/>
          <w:noProof/>
          <w:sz w:val="24"/>
          <w:u w:val="single"/>
        </w:rPr>
        <w:t xml:space="preserve">ТАБЛИЦА I — </w:t>
      </w:r>
      <w:r>
        <w:rPr>
          <w:rFonts w:ascii="Times New Roman" w:hAnsi="Times New Roman"/>
          <w:b/>
          <w:smallCaps/>
          <w:noProof/>
          <w:sz w:val="24"/>
          <w:u w:val="single"/>
        </w:rPr>
        <w:t>Общ брой на комитетите</w:t>
      </w:r>
    </w:p>
    <w:tbl>
      <w:tblPr>
        <w:tblW w:w="5000" w:type="pct"/>
        <w:tblLook w:val="0000" w:firstRow="0" w:lastRow="0" w:firstColumn="0" w:lastColumn="0" w:noHBand="0" w:noVBand="0"/>
      </w:tblPr>
      <w:tblGrid>
        <w:gridCol w:w="7029"/>
        <w:gridCol w:w="1124"/>
        <w:gridCol w:w="1133"/>
      </w:tblGrid>
      <w:tr>
        <w:trPr>
          <w:trHeight w:val="510"/>
        </w:trPr>
        <w:tc>
          <w:tcPr>
            <w:tcW w:w="3280"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Сектор на политиката</w:t>
            </w:r>
          </w:p>
        </w:tc>
        <w:tc>
          <w:tcPr>
            <w:tcW w:w="85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2017 г.</w:t>
            </w:r>
          </w:p>
        </w:tc>
        <w:tc>
          <w:tcPr>
            <w:tcW w:w="862" w:type="pct"/>
            <w:tcBorders>
              <w:top w:val="single" w:sz="4" w:space="0" w:color="auto"/>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2018 г.</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AGRI (Земеделие и развитие на селските райони)</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12</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BUDG (Бюджет)</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CLIMA (Действия по климата)</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CNECT (Съобщителни мрежи, съдържание и технологии)</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DEVCO (Международно сътрудничество и развитие)</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DIGIT (Информатика)</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EAC (Образование и култура)</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ECFIN (Икономически и финансови въпроси)</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ECHO (Хуманитарна помощ и гражданска защита)</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EMPL (Трудова заетост, социални въпроси и приобщаване)</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ENER (Енергетика)</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13</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13</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ENV (Околна среда)</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30</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30</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ESTAT (Евростат)</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FISMA (Финансова стабилност, финансови услуги и съюз на капиталовите пазари)</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FPI (Служба за инструментите в областта на външната политика)</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GROW (Вътрешен пазар, промишленост, предприемачество и МСП)</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42</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44</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HOME (Миграция и вътрешни работи)</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13</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13</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JUST (Правосъдие и потребители)</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23</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25</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sz w:val="18"/>
                <w:szCs w:val="18"/>
              </w:rPr>
              <w:t>MARE (Морско дело и рибарство)</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3</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3</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MOVE (Мобилност и транспорт)</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31</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31</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NEAR (Политика за съседство и преговори за разширяване)</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OLAF (Европейска служба за борба с измамите)</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REGIO (Регионална и селищна политика)</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r>
      <w:tr>
        <w:trPr>
          <w:trHeight w:val="240"/>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RTD (Научни изследвания и иновации)</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r>
      <w:tr>
        <w:trPr>
          <w:trHeight w:val="255"/>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SANTE (Здравеопазване и безопасност на храните)</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w:t>
            </w:r>
          </w:p>
        </w:tc>
      </w:tr>
      <w:tr>
        <w:trPr>
          <w:trHeight w:val="255"/>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SG (Генерален секретариат)</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r>
      <w:tr>
        <w:trPr>
          <w:trHeight w:val="255"/>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TAXUD (Данъчно облагане и митнически съюз)</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13</w:t>
            </w:r>
          </w:p>
        </w:tc>
      </w:tr>
      <w:tr>
        <w:trPr>
          <w:trHeight w:val="255"/>
        </w:trPr>
        <w:tc>
          <w:tcPr>
            <w:tcW w:w="328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TRADE (Търговия)</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13</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14</w:t>
            </w:r>
          </w:p>
        </w:tc>
      </w:tr>
      <w:tr>
        <w:trPr>
          <w:trHeight w:val="255"/>
        </w:trPr>
        <w:tc>
          <w:tcPr>
            <w:tcW w:w="328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bCs/>
                <w:noProof/>
                <w:sz w:val="18"/>
                <w:szCs w:val="18"/>
              </w:rPr>
              <w:t>ОБЩО:</w:t>
            </w:r>
          </w:p>
        </w:tc>
        <w:tc>
          <w:tcPr>
            <w:tcW w:w="858" w:type="pct"/>
            <w:tcBorders>
              <w:top w:val="nil"/>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267</w:t>
            </w:r>
          </w:p>
        </w:tc>
        <w:tc>
          <w:tcPr>
            <w:tcW w:w="862"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275</w:t>
            </w:r>
          </w:p>
        </w:tc>
      </w:tr>
    </w:tbl>
    <w:p>
      <w:pPr>
        <w:spacing w:line="240" w:lineRule="auto"/>
        <w:jc w:val="both"/>
        <w:rPr>
          <w:rFonts w:ascii="Times New Roman" w:hAnsi="Times New Roman"/>
          <w:i/>
          <w:noProof/>
          <w:sz w:val="18"/>
          <w:szCs w:val="18"/>
        </w:rPr>
      </w:pPr>
      <w:r>
        <w:rPr>
          <w:rFonts w:ascii="Times New Roman" w:hAnsi="Times New Roman"/>
          <w:noProof/>
          <w:sz w:val="18"/>
          <w:szCs w:val="18"/>
        </w:rPr>
        <w:t xml:space="preserve">* </w:t>
      </w:r>
      <w:r>
        <w:rPr>
          <w:rFonts w:ascii="Times New Roman" w:hAnsi="Times New Roman"/>
          <w:i/>
          <w:noProof/>
          <w:sz w:val="18"/>
          <w:szCs w:val="18"/>
        </w:rPr>
        <w:t>Включително апелативния комитет (за нуждите на регистъра на комитологията апелативният комитет е регистриран като комитет, за който отговорната служба е Генералният секретариат; на практика той се управлява от всички засегнати служби).</w:t>
      </w:r>
    </w:p>
    <w:p>
      <w:pPr>
        <w:spacing w:line="240" w:lineRule="auto"/>
        <w:jc w:val="both"/>
        <w:rPr>
          <w:rFonts w:ascii="Times New Roman" w:hAnsi="Times New Roman"/>
          <w:noProof/>
          <w:sz w:val="28"/>
          <w:szCs w:val="24"/>
        </w:rPr>
      </w:pPr>
      <w:r>
        <w:rPr>
          <w:rFonts w:ascii="Times New Roman" w:hAnsi="Times New Roman"/>
          <w:noProof/>
          <w:sz w:val="24"/>
        </w:rPr>
        <w:t>През 2018 г. комитетите по комитология можеха като цяло да се класифицират според вида на процедурата, по реда на която осъществяват дейността си (процедура по консултиране, процедура по разглеждане, процедура по регулиране с контрол — вж. таблица II). Някои комитети, които прилагаха повече от една процедура, бяха отделени от комитетите, извършващи дейност съгласно една-единствена процедура.</w:t>
      </w:r>
    </w:p>
    <w:p>
      <w:pPr>
        <w:keepNext/>
        <w:spacing w:line="240" w:lineRule="auto"/>
        <w:rPr>
          <w:rFonts w:ascii="Times New Roman" w:hAnsi="Times New Roman"/>
          <w:b/>
          <w:smallCaps/>
          <w:noProof/>
          <w:sz w:val="28"/>
          <w:szCs w:val="24"/>
          <w:u w:val="single"/>
        </w:rPr>
      </w:pPr>
      <w:r>
        <w:rPr>
          <w:rFonts w:ascii="Times New Roman" w:hAnsi="Times New Roman"/>
          <w:b/>
          <w:noProof/>
          <w:sz w:val="24"/>
          <w:u w:val="single"/>
        </w:rPr>
        <w:t xml:space="preserve">ТАБЛИЦА II — </w:t>
      </w:r>
      <w:r>
        <w:rPr>
          <w:rFonts w:ascii="Times New Roman" w:hAnsi="Times New Roman"/>
          <w:b/>
          <w:smallCaps/>
          <w:noProof/>
          <w:sz w:val="24"/>
          <w:u w:val="single"/>
        </w:rPr>
        <w:t>Брой на комитетите по процедури</w:t>
      </w:r>
    </w:p>
    <w:tbl>
      <w:tblPr>
        <w:tblW w:w="5171" w:type="pct"/>
        <w:tblInd w:w="-318" w:type="dxa"/>
        <w:tblLook w:val="0000" w:firstRow="0" w:lastRow="0" w:firstColumn="0" w:lastColumn="0" w:noHBand="0" w:noVBand="0"/>
      </w:tblPr>
      <w:tblGrid>
        <w:gridCol w:w="1418"/>
        <w:gridCol w:w="1635"/>
        <w:gridCol w:w="1637"/>
        <w:gridCol w:w="1637"/>
        <w:gridCol w:w="1642"/>
        <w:gridCol w:w="1635"/>
      </w:tblGrid>
      <w:tr>
        <w:trPr>
          <w:trHeight w:val="510"/>
        </w:trPr>
        <w:tc>
          <w:tcPr>
            <w:tcW w:w="739"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sz w:val="18"/>
                <w:szCs w:val="18"/>
              </w:rPr>
              <w:t> </w:t>
            </w:r>
          </w:p>
        </w:tc>
        <w:tc>
          <w:tcPr>
            <w:tcW w:w="3409"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Вид на процедурата</w:t>
            </w:r>
          </w:p>
        </w:tc>
        <w:tc>
          <w:tcPr>
            <w:tcW w:w="852"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739"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5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Консултиране</w:t>
            </w:r>
          </w:p>
        </w:tc>
        <w:tc>
          <w:tcPr>
            <w:tcW w:w="852"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Разглеждане</w:t>
            </w:r>
          </w:p>
        </w:tc>
        <w:tc>
          <w:tcPr>
            <w:tcW w:w="852"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Регулиране с контрол</w:t>
            </w:r>
          </w:p>
        </w:tc>
        <w:tc>
          <w:tcPr>
            <w:tcW w:w="855"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Работи, следвайки няколко процедури</w:t>
            </w:r>
          </w:p>
        </w:tc>
        <w:tc>
          <w:tcPr>
            <w:tcW w:w="852"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ОБЩО:</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AGRI</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11</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BUDG</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CLIMA</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CNECT</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DEVCO</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DIGIT</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EAC</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ECFIN</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ECHO</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EMPL</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ENER</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13</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ENV</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9</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30</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ESTAT</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FISMA</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5</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8</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FPI</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GROW</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26</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44</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HOME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12</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JUST</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25</w:t>
            </w:r>
          </w:p>
        </w:tc>
      </w:tr>
      <w:tr>
        <w:trPr>
          <w:trHeight w:val="240"/>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MARE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sz w:val="18"/>
                <w:szCs w:val="18"/>
              </w:rPr>
              <w:t>MOVE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3</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8</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sz w:val="18"/>
                <w:szCs w:val="18"/>
              </w:rPr>
            </w:pPr>
            <w:r>
              <w:rPr>
                <w:rFonts w:ascii="Times New Roman" w:hAnsi="Times New Roman"/>
                <w:bCs/>
                <w:noProof/>
                <w:sz w:val="18"/>
                <w:szCs w:val="18"/>
              </w:rPr>
              <w:t>4</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16</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31</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NEAR</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OLAF</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REGIO</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RTD</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6</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SANTE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17</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SG</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TAXUD</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10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2</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13</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TRADE</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3</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sz w:val="18"/>
                <w:szCs w:val="18"/>
              </w:rPr>
            </w:pPr>
            <w:r>
              <w:rPr>
                <w:rFonts w:ascii="Times New Roman" w:hAnsi="Times New Roman"/>
                <w:noProof/>
                <w:sz w:val="18"/>
                <w:szCs w:val="18"/>
              </w:rPr>
              <w:t>4</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0</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7</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sz w:val="18"/>
                <w:szCs w:val="18"/>
              </w:rPr>
            </w:pPr>
            <w:r>
              <w:rPr>
                <w:rFonts w:ascii="Times New Roman" w:hAnsi="Times New Roman"/>
                <w:noProof/>
                <w:sz w:val="18"/>
                <w:szCs w:val="18"/>
              </w:rPr>
              <w:t>14</w:t>
            </w:r>
          </w:p>
        </w:tc>
      </w:tr>
      <w:tr>
        <w:trPr>
          <w:trHeight w:val="255"/>
        </w:trPr>
        <w:tc>
          <w:tcPr>
            <w:tcW w:w="73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bCs/>
                <w:noProof/>
                <w:sz w:val="18"/>
                <w:szCs w:val="18"/>
              </w:rPr>
              <w:t>ОБЩО:</w:t>
            </w:r>
          </w:p>
        </w:tc>
        <w:tc>
          <w:tcPr>
            <w:tcW w:w="85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23</w:t>
            </w:r>
          </w:p>
        </w:tc>
        <w:tc>
          <w:tcPr>
            <w:tcW w:w="852"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100</w:t>
            </w:r>
          </w:p>
        </w:tc>
        <w:tc>
          <w:tcPr>
            <w:tcW w:w="852"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21</w:t>
            </w:r>
          </w:p>
        </w:tc>
        <w:tc>
          <w:tcPr>
            <w:tcW w:w="855"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130</w:t>
            </w:r>
          </w:p>
        </w:tc>
        <w:tc>
          <w:tcPr>
            <w:tcW w:w="852"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274</w:t>
            </w:r>
          </w:p>
        </w:tc>
      </w:tr>
    </w:tbl>
    <w:p>
      <w:pPr>
        <w:spacing w:line="240" w:lineRule="auto"/>
        <w:jc w:val="both"/>
        <w:rPr>
          <w:rFonts w:ascii="Times New Roman" w:hAnsi="Times New Roman"/>
          <w:noProof/>
          <w:sz w:val="18"/>
          <w:szCs w:val="18"/>
        </w:rPr>
      </w:pPr>
      <w:r>
        <w:rPr>
          <w:rFonts w:ascii="Times New Roman" w:hAnsi="Times New Roman"/>
          <w:noProof/>
          <w:sz w:val="18"/>
          <w:szCs w:val="18"/>
        </w:rPr>
        <w:t xml:space="preserve">* </w:t>
      </w:r>
      <w:r>
        <w:rPr>
          <w:rFonts w:ascii="Times New Roman" w:hAnsi="Times New Roman"/>
          <w:i/>
          <w:noProof/>
          <w:sz w:val="18"/>
          <w:szCs w:val="18"/>
        </w:rPr>
        <w:t>Включително апелативния комитет.</w:t>
      </w:r>
    </w:p>
    <w:p>
      <w:pPr>
        <w:spacing w:line="240" w:lineRule="auto"/>
        <w:jc w:val="both"/>
        <w:rPr>
          <w:rFonts w:ascii="Times New Roman" w:hAnsi="Times New Roman"/>
          <w:noProof/>
          <w:sz w:val="28"/>
          <w:szCs w:val="24"/>
        </w:rPr>
      </w:pPr>
      <w:r>
        <w:rPr>
          <w:rFonts w:ascii="Times New Roman" w:hAnsi="Times New Roman"/>
          <w:noProof/>
          <w:sz w:val="24"/>
        </w:rPr>
        <w:t xml:space="preserve">Броят на комитетите не е единственият показател за дейността на равнище комитология. </w:t>
      </w:r>
      <w:r>
        <w:rPr>
          <w:rFonts w:ascii="Times New Roman" w:hAnsi="Times New Roman"/>
          <w:i/>
          <w:noProof/>
          <w:sz w:val="24"/>
        </w:rPr>
        <w:t>Броят на заседанията</w:t>
      </w:r>
      <w:r>
        <w:rPr>
          <w:rFonts w:ascii="Times New Roman" w:hAnsi="Times New Roman"/>
          <w:noProof/>
          <w:sz w:val="24"/>
        </w:rPr>
        <w:t xml:space="preserve">, които са били проведени, както и </w:t>
      </w:r>
      <w:r>
        <w:rPr>
          <w:rFonts w:ascii="Times New Roman" w:hAnsi="Times New Roman"/>
          <w:i/>
          <w:noProof/>
          <w:sz w:val="24"/>
        </w:rPr>
        <w:t>броят на писмените процедури</w:t>
      </w:r>
      <w:r>
        <w:rPr>
          <w:rFonts w:ascii="Times New Roman" w:hAnsi="Times New Roman"/>
          <w:i/>
          <w:noProof/>
          <w:sz w:val="24"/>
          <w:vertAlign w:val="superscript"/>
        </w:rPr>
        <w:footnoteReference w:id="13"/>
      </w:r>
      <w:r>
        <w:rPr>
          <w:rFonts w:ascii="Times New Roman" w:hAnsi="Times New Roman"/>
          <w:noProof/>
          <w:sz w:val="24"/>
        </w:rPr>
        <w:t>, използвани през 2018 г., също отразяват интензивността на работата като цяло, както на секторно равнище, така и в отделните комитети (таблица III).</w:t>
      </w:r>
    </w:p>
    <w:p>
      <w:pPr>
        <w:keepNext/>
        <w:spacing w:line="240" w:lineRule="auto"/>
        <w:rPr>
          <w:rFonts w:ascii="Times New Roman" w:hAnsi="Times New Roman"/>
          <w:b/>
          <w:noProof/>
          <w:sz w:val="28"/>
          <w:szCs w:val="24"/>
          <w:u w:val="single"/>
        </w:rPr>
      </w:pPr>
      <w:r>
        <w:rPr>
          <w:noProof/>
        </w:rPr>
        <w:br w:type="page"/>
      </w:r>
      <w:r>
        <w:rPr>
          <w:rFonts w:ascii="Times New Roman" w:hAnsi="Times New Roman"/>
          <w:b/>
          <w:noProof/>
          <w:sz w:val="24"/>
          <w:u w:val="single"/>
        </w:rPr>
        <w:t xml:space="preserve">ТАБЛИЦА III — </w:t>
      </w:r>
      <w:r>
        <w:rPr>
          <w:rFonts w:ascii="Times New Roman" w:hAnsi="Times New Roman"/>
          <w:b/>
          <w:smallCaps/>
          <w:noProof/>
          <w:sz w:val="24"/>
          <w:u w:val="single"/>
        </w:rPr>
        <w:t>Брой на заседанията и на писмените процедури</w:t>
      </w:r>
    </w:p>
    <w:tbl>
      <w:tblPr>
        <w:tblW w:w="5000" w:type="pct"/>
        <w:tblLook w:val="0000" w:firstRow="0" w:lastRow="0" w:firstColumn="0" w:lastColumn="0" w:noHBand="0" w:noVBand="0"/>
      </w:tblPr>
      <w:tblGrid>
        <w:gridCol w:w="1596"/>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 xml:space="preserve">Брой на комитетите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Заседания</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Писмени процедури</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2017 г.</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2018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2017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2018 г.</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90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95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16</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sz w:val="18"/>
                <w:szCs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246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218</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494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430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24</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sz w:val="18"/>
                <w:szCs w:val="18"/>
              </w:rPr>
              <w:t>ОБЩО:</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616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620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1 024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880</w:t>
            </w:r>
          </w:p>
        </w:tc>
      </w:tr>
    </w:tbl>
    <w:p>
      <w:pPr>
        <w:spacing w:line="240" w:lineRule="auto"/>
        <w:jc w:val="both"/>
        <w:rPr>
          <w:rFonts w:ascii="Times New Roman" w:hAnsi="Times New Roman"/>
          <w:i/>
          <w:noProof/>
          <w:sz w:val="18"/>
          <w:szCs w:val="18"/>
        </w:rPr>
      </w:pPr>
      <w:r>
        <w:rPr>
          <w:rFonts w:ascii="Times New Roman" w:hAnsi="Times New Roman"/>
          <w:i/>
          <w:noProof/>
          <w:sz w:val="18"/>
          <w:szCs w:val="18"/>
        </w:rPr>
        <w:t>* заседания/писмени процедури на апелативния комитет</w:t>
      </w:r>
    </w:p>
    <w:p>
      <w:pPr>
        <w:spacing w:line="240" w:lineRule="auto"/>
        <w:jc w:val="both"/>
        <w:rPr>
          <w:rFonts w:ascii="Times New Roman" w:hAnsi="Times New Roman"/>
          <w:b/>
          <w:noProof/>
          <w:sz w:val="24"/>
          <w:szCs w:val="24"/>
        </w:rPr>
      </w:pPr>
    </w:p>
    <w:p>
      <w:pPr>
        <w:pStyle w:val="ManualHeading2"/>
        <w:rPr>
          <w:noProof/>
        </w:rPr>
      </w:pPr>
      <w:r>
        <w:t>2.2.</w:t>
      </w:r>
      <w:r>
        <w:tab/>
      </w:r>
      <w:r>
        <w:rPr>
          <w:noProof/>
        </w:rPr>
        <w:t>Брой на становищата и на актовете/мерките за изпълнение</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Както винаги, в настоящия доклад се посочва общият брой на официалните </w:t>
      </w:r>
      <w:r>
        <w:rPr>
          <w:rFonts w:ascii="Times New Roman" w:hAnsi="Times New Roman"/>
          <w:i/>
          <w:noProof/>
          <w:sz w:val="24"/>
          <w:szCs w:val="24"/>
        </w:rPr>
        <w:t>становища</w:t>
      </w:r>
      <w:r>
        <w:rPr>
          <w:rFonts w:ascii="Times New Roman" w:hAnsi="Times New Roman"/>
          <w:noProof/>
          <w:sz w:val="24"/>
          <w:szCs w:val="24"/>
        </w:rPr>
        <w:t xml:space="preserve">, дадени от комитетите, и на последвалите </w:t>
      </w:r>
      <w:r>
        <w:rPr>
          <w:rFonts w:ascii="Times New Roman" w:hAnsi="Times New Roman"/>
          <w:i/>
          <w:noProof/>
          <w:sz w:val="24"/>
          <w:szCs w:val="24"/>
        </w:rPr>
        <w:t>актове/мерки за изпълнение</w:t>
      </w:r>
      <w:r>
        <w:rPr>
          <w:rFonts w:ascii="Times New Roman" w:hAnsi="Times New Roman"/>
          <w:noProof/>
          <w:sz w:val="24"/>
          <w:szCs w:val="24"/>
        </w:rPr>
        <w:t>, приети от Комисията</w:t>
      </w:r>
      <w:r>
        <w:rPr>
          <w:rFonts w:ascii="Times New Roman" w:hAnsi="Times New Roman"/>
          <w:noProof/>
          <w:sz w:val="24"/>
          <w:szCs w:val="24"/>
          <w:vertAlign w:val="superscript"/>
        </w:rPr>
        <w:footnoteReference w:id="14"/>
      </w:r>
      <w:r>
        <w:rPr>
          <w:rFonts w:ascii="Times New Roman" w:hAnsi="Times New Roman"/>
          <w:noProof/>
          <w:sz w:val="24"/>
          <w:szCs w:val="24"/>
        </w:rPr>
        <w:t xml:space="preserve">. Чрез тези данни се измерват количествено осезаемите „резултати“ от работата на комитетите (вж. таблица IV). </w:t>
      </w:r>
    </w:p>
    <w:p>
      <w:pPr>
        <w:spacing w:line="240" w:lineRule="auto"/>
        <w:jc w:val="both"/>
        <w:rPr>
          <w:rFonts w:ascii="Times New Roman" w:hAnsi="Times New Roman"/>
          <w:noProof/>
          <w:sz w:val="24"/>
          <w:szCs w:val="24"/>
        </w:rPr>
      </w:pPr>
      <w:r>
        <w:rPr>
          <w:rFonts w:ascii="Times New Roman" w:hAnsi="Times New Roman"/>
          <w:noProof/>
          <w:sz w:val="24"/>
          <w:szCs w:val="24"/>
        </w:rPr>
        <w:t>Европейският парламент и Съветът имат право на контрол съгласно член 11 от Регламента относно комитологията. През 2018 г. Европейският парламент е приел 9 резолюции въз основа на член 11 от Регламента относно комитологията, а Съветът не е приел нито една такава резолюция.</w:t>
      </w:r>
    </w:p>
    <w:p>
      <w:pPr>
        <w:spacing w:line="240" w:lineRule="auto"/>
        <w:jc w:val="both"/>
        <w:rPr>
          <w:rFonts w:ascii="Times New Roman" w:hAnsi="Times New Roman"/>
          <w:noProof/>
          <w:sz w:val="24"/>
          <w:szCs w:val="24"/>
        </w:rPr>
      </w:pPr>
    </w:p>
    <w:p>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 xml:space="preserve">ТАБЛИЦА IV — </w:t>
      </w:r>
      <w:r>
        <w:rPr>
          <w:rFonts w:ascii="Times New Roman" w:hAnsi="Times New Roman"/>
          <w:b/>
          <w:smallCaps/>
          <w:noProof/>
          <w:sz w:val="24"/>
          <w:szCs w:val="24"/>
          <w:u w:val="single"/>
        </w:rPr>
        <w:t>Брой на становищата и на приетите актове/мерки за изпълнение</w:t>
      </w:r>
    </w:p>
    <w:tbl>
      <w:tblPr>
        <w:tblW w:w="5000" w:type="pct"/>
        <w:tblLook w:val="0000" w:firstRow="0" w:lastRow="0" w:firstColumn="0" w:lastColumn="0" w:noHBand="0" w:noVBand="0"/>
      </w:tblPr>
      <w:tblGrid>
        <w:gridCol w:w="948"/>
        <w:gridCol w:w="1389"/>
        <w:gridCol w:w="1391"/>
        <w:gridCol w:w="1391"/>
        <w:gridCol w:w="1393"/>
        <w:gridCol w:w="1389"/>
        <w:gridCol w:w="1385"/>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sz w:val="18"/>
                <w:szCs w:val="18"/>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Становища</w:t>
            </w:r>
            <w:r>
              <w:rPr>
                <w:rStyle w:val="FootnoteReference"/>
                <w:rFonts w:ascii="Times New Roman" w:hAnsi="Times New Roman"/>
                <w:b/>
                <w:noProof/>
                <w:sz w:val="18"/>
                <w:szCs w:val="18"/>
              </w:rPr>
              <w:footnoteReference w:id="15"/>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Приети актове</w:t>
            </w:r>
            <w:r>
              <w:rPr>
                <w:rFonts w:ascii="Times New Roman" w:hAnsi="Times New Roman"/>
                <w:b/>
                <w:noProof/>
                <w:sz w:val="18"/>
                <w:szCs w:val="18"/>
              </w:rPr>
              <w:br/>
              <w:t>за изпълнение</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 xml:space="preserve"> Процедура по регулиране с контрол —</w:t>
            </w:r>
            <w:r>
              <w:rPr>
                <w:rFonts w:ascii="Times New Roman" w:hAnsi="Times New Roman"/>
                <w:b/>
                <w:noProof/>
                <w:sz w:val="18"/>
                <w:szCs w:val="18"/>
              </w:rPr>
              <w:br/>
              <w:t>приети мерки</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2017 г.</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2018 г.</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2017 г.</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2018 г.</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2017 г.</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highlight w:val="cyan"/>
              </w:rPr>
            </w:pPr>
            <w:r>
              <w:rPr>
                <w:rFonts w:ascii="Times New Roman" w:hAnsi="Times New Roman"/>
                <w:b/>
                <w:noProof/>
                <w:sz w:val="18"/>
                <w:szCs w:val="18"/>
              </w:rPr>
              <w:t>2018 г.</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AGRI</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142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146</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137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145</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5</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BUDG</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CLIMA</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14</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14</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CNECT</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19</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19</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15</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DEVCO</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53</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67</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66</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DIGIT</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EAC</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ECFIN</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ECHO</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EMPL</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ENER</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ENV</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31</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14</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18</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11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ESTAT</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9</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9</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3</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FISMA</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18</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FPI</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GROW</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77</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53</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24</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15</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HOME</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74</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61</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JUST</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10</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MARE</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15</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MOVE</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59</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61</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57</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11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NEAR</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86</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86</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sz w:val="18"/>
                <w:szCs w:val="18"/>
              </w:rPr>
              <w:t>OLAF</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highlight w:val="cyan"/>
              </w:rPr>
            </w:pPr>
            <w:r>
              <w:rPr>
                <w:rFonts w:ascii="Times New Roman" w:hAnsi="Times New Roman"/>
                <w:bCs/>
                <w:noProof/>
                <w:sz w:val="18"/>
                <w:szCs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REGIO</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4</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RTD</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248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225</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159</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SANTE</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803</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629</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753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603</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56</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38</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SG</w:t>
            </w:r>
            <w:r>
              <w:rPr>
                <w:rFonts w:ascii="Times New Roman" w:hAnsi="Times New Roman"/>
                <w:noProof/>
                <w:sz w:val="18"/>
                <w:szCs w:val="18"/>
              </w:rPr>
              <w:t>*</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12</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TAXUD</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79</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56</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57</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TRADE</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59</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86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52</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highlight w:val="cyan"/>
              </w:rPr>
            </w:pPr>
            <w:r>
              <w:rPr>
                <w:rFonts w:ascii="Times New Roman" w:hAnsi="Times New Roman"/>
                <w:noProof/>
                <w:sz w:val="18"/>
                <w:szCs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sz w:val="18"/>
                <w:szCs w:val="18"/>
              </w:rPr>
              <w:t>ОБЩО:</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1 906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1 633</w:t>
            </w:r>
          </w:p>
        </w:tc>
        <w:tc>
          <w:tcPr>
            <w:tcW w:w="749"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1 687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1 456</w:t>
            </w:r>
          </w:p>
        </w:tc>
        <w:tc>
          <w:tcPr>
            <w:tcW w:w="748" w:type="pct"/>
            <w:tcBorders>
              <w:top w:val="nil"/>
              <w:left w:val="single" w:sz="4" w:space="0" w:color="auto"/>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113</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highlight w:val="cyan"/>
              </w:rPr>
            </w:pPr>
            <w:r>
              <w:rPr>
                <w:rFonts w:ascii="Times New Roman" w:hAnsi="Times New Roman"/>
                <w:b/>
                <w:bCs/>
                <w:noProof/>
                <w:sz w:val="18"/>
                <w:szCs w:val="18"/>
              </w:rPr>
              <w:t>90</w:t>
            </w:r>
          </w:p>
        </w:tc>
      </w:tr>
    </w:tbl>
    <w:p>
      <w:pPr>
        <w:spacing w:line="240" w:lineRule="auto"/>
        <w:ind w:left="240" w:hanging="240"/>
        <w:jc w:val="both"/>
        <w:rPr>
          <w:rFonts w:ascii="Times New Roman" w:hAnsi="Times New Roman"/>
          <w:i/>
          <w:noProof/>
          <w:sz w:val="18"/>
          <w:szCs w:val="18"/>
        </w:rPr>
      </w:pPr>
      <w:r>
        <w:rPr>
          <w:rFonts w:ascii="Times New Roman" w:hAnsi="Times New Roman"/>
          <w:i/>
          <w:noProof/>
          <w:sz w:val="18"/>
          <w:szCs w:val="18"/>
        </w:rPr>
        <w:t>* Включително становища, дадени от апелативния комитет, и приети актове.</w:t>
      </w:r>
      <w:r>
        <w:rPr>
          <w:rFonts w:ascii="Times New Roman" w:hAnsi="Times New Roman"/>
          <w:i/>
          <w:noProof/>
          <w:sz w:val="18"/>
          <w:szCs w:val="18"/>
        </w:rPr>
        <w:tab/>
      </w:r>
      <w:r>
        <w:rPr>
          <w:rFonts w:ascii="Times New Roman" w:hAnsi="Times New Roman"/>
          <w:i/>
          <w:noProof/>
          <w:sz w:val="18"/>
          <w:szCs w:val="18"/>
        </w:rPr>
        <w:br/>
      </w:r>
    </w:p>
    <w:p>
      <w:pPr>
        <w:pStyle w:val="ManualHeading2"/>
        <w:rPr>
          <w:noProof/>
        </w:rPr>
      </w:pPr>
      <w:r>
        <w:t>2.3.</w:t>
      </w:r>
      <w:r>
        <w:tab/>
      </w:r>
      <w:r>
        <w:rPr>
          <w:noProof/>
        </w:rPr>
        <w:t>Заседания на апелативния комитет</w:t>
      </w:r>
    </w:p>
    <w:p>
      <w:pPr>
        <w:spacing w:line="240" w:lineRule="auto"/>
        <w:jc w:val="both"/>
        <w:rPr>
          <w:rFonts w:ascii="Times New Roman" w:hAnsi="Times New Roman"/>
          <w:noProof/>
          <w:sz w:val="24"/>
          <w:szCs w:val="24"/>
        </w:rPr>
      </w:pPr>
      <w:r>
        <w:rPr>
          <w:rFonts w:ascii="Times New Roman" w:hAnsi="Times New Roman"/>
          <w:noProof/>
          <w:sz w:val="24"/>
          <w:szCs w:val="24"/>
        </w:rPr>
        <w:t>През 2018 г. апелативният комитет е заседавал 6 пъти и е разгледал общо 12 проекта на актове за изпълнение (в областта на здравеопазването и политиката за потребителите), за които е бил сезиран от Комисията. Апелативният комитет не е дал становище и по дванадесетте случая. През 2018 г. Комисията реши да приеме 11 акта за изпълнение след такива случаи на недаване на становище,</w:t>
      </w:r>
    </w:p>
    <w:p>
      <w:pPr>
        <w:pStyle w:val="ManualHeading2"/>
        <w:rPr>
          <w:noProof/>
        </w:rPr>
      </w:pPr>
      <w:r>
        <w:t>2.4.</w:t>
      </w:r>
      <w:r>
        <w:tab/>
      </w:r>
      <w:r>
        <w:rPr>
          <w:noProof/>
        </w:rPr>
        <w:t xml:space="preserve">Използване на процедурата по регулиране с контрол </w:t>
      </w:r>
    </w:p>
    <w:p>
      <w:pPr>
        <w:spacing w:line="240" w:lineRule="auto"/>
        <w:jc w:val="both"/>
        <w:rPr>
          <w:rFonts w:ascii="Times New Roman" w:hAnsi="Times New Roman"/>
          <w:noProof/>
          <w:sz w:val="24"/>
          <w:szCs w:val="24"/>
        </w:rPr>
      </w:pPr>
      <w:r>
        <w:rPr>
          <w:rFonts w:ascii="Times New Roman" w:hAnsi="Times New Roman"/>
          <w:noProof/>
          <w:sz w:val="24"/>
          <w:szCs w:val="24"/>
        </w:rPr>
        <w:t>Както бе посочено в раздел 1, процедурата по регулиране с контрол не беше засегната от реформата в областта на комитологията от 2011 г. Тази процедура не може повече да се използва при новото законодателство, но все още се среща в множество съществуващи основни актове и ще продължи да се прилага по силата на тези актове до привеждането им в съответствие. През 2018 г. съгласно процедурата по регулиране с контрол бяха приети 90 мерки (вж. таблица V). Правото на възражение е било упражнено веднъж — от страна на Европейския парламент. За сравнение, през 2017 г. това право също е било упражнено веднъж.</w:t>
      </w:r>
    </w:p>
    <w:p>
      <w:pPr>
        <w:keepNext/>
        <w:spacing w:line="240" w:lineRule="auto"/>
        <w:rPr>
          <w:rFonts w:ascii="Times New Roman" w:hAnsi="Times New Roman"/>
          <w:b/>
          <w:smallCaps/>
          <w:noProof/>
          <w:sz w:val="28"/>
          <w:szCs w:val="24"/>
          <w:u w:val="single"/>
        </w:rPr>
      </w:pPr>
      <w:r>
        <w:rPr>
          <w:rFonts w:ascii="Times New Roman" w:hAnsi="Times New Roman"/>
          <w:b/>
          <w:noProof/>
          <w:sz w:val="24"/>
          <w:u w:val="single"/>
        </w:rPr>
        <w:t xml:space="preserve">ТАБЛИЦА V — </w:t>
      </w:r>
      <w:r>
        <w:rPr>
          <w:rFonts w:ascii="Times New Roman" w:hAnsi="Times New Roman"/>
          <w:b/>
          <w:smallCaps/>
          <w:noProof/>
          <w:sz w:val="24"/>
          <w:u w:val="single"/>
        </w:rPr>
        <w:t xml:space="preserve">Брой на мерките, приети съгласно процедурата по регулиране с контрол </w:t>
      </w:r>
    </w:p>
    <w:tbl>
      <w:tblPr>
        <w:tblW w:w="5000" w:type="pct"/>
        <w:tblLook w:val="0000" w:firstRow="0" w:lastRow="0" w:firstColumn="0" w:lastColumn="0" w:noHBand="0" w:noVBand="0"/>
      </w:tblPr>
      <w:tblGrid>
        <w:gridCol w:w="1714"/>
        <w:gridCol w:w="2524"/>
        <w:gridCol w:w="2526"/>
        <w:gridCol w:w="2522"/>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sz w:val="18"/>
                <w:szCs w:val="18"/>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Процедура по регулиране с контрол — приети мерки</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 xml:space="preserve">Възражения на Европейския парламент срещу приемането на проект на мерки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sz w:val="18"/>
                <w:szCs w:val="18"/>
              </w:rPr>
              <w:t xml:space="preserve">Възражения на Съвета срещу приемането на проект на мерки </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15</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sz w:val="18"/>
                <w:szCs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bCs/>
                <w:noProof/>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38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sz w:val="18"/>
                <w:szCs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ind w:left="720"/>
              <w:rPr>
                <w:rFonts w:ascii="Times New Roman" w:hAnsi="Times New Roman"/>
                <w:b/>
                <w:bCs/>
                <w:noProof/>
                <w:color w:val="000000"/>
                <w:sz w:val="18"/>
                <w:szCs w:val="18"/>
              </w:rPr>
            </w:pPr>
            <w:r>
              <w:rPr>
                <w:rFonts w:ascii="Times New Roman" w:hAnsi="Times New Roman"/>
                <w:b/>
                <w:noProof/>
                <w:sz w:val="18"/>
                <w:szCs w:val="18"/>
              </w:rPr>
              <w:t>ОБЩО:</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90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bCs/>
                <w:noProof/>
                <w:sz w:val="18"/>
                <w:szCs w:val="18"/>
              </w:rPr>
              <w:t>0</w:t>
            </w:r>
          </w:p>
        </w:tc>
      </w:tr>
    </w:tbl>
    <w:p>
      <w:pPr>
        <w:spacing w:line="240" w:lineRule="auto"/>
        <w:jc w:val="both"/>
        <w:rPr>
          <w:rFonts w:ascii="Times New Roman" w:hAnsi="Times New Roman"/>
          <w:b/>
          <w:noProof/>
          <w:sz w:val="24"/>
          <w:szCs w:val="24"/>
        </w:rPr>
      </w:pPr>
    </w:p>
    <w:p>
      <w:pPr>
        <w:pStyle w:val="ManualHeading1"/>
        <w:rPr>
          <w:noProof/>
        </w:rPr>
      </w:pPr>
      <w:r>
        <w:t>3.</w:t>
      </w:r>
      <w:r>
        <w:tab/>
      </w:r>
      <w:r>
        <w:rPr>
          <w:noProof/>
        </w:rPr>
        <w:t>Подробна информация за дейностите на комитетите</w:t>
      </w:r>
    </w:p>
    <w:p>
      <w:pPr>
        <w:spacing w:line="240" w:lineRule="auto"/>
        <w:jc w:val="both"/>
        <w:rPr>
          <w:rFonts w:ascii="Times New Roman" w:hAnsi="Times New Roman"/>
          <w:noProof/>
          <w:sz w:val="24"/>
          <w:szCs w:val="24"/>
        </w:rPr>
      </w:pPr>
      <w:r>
        <w:rPr>
          <w:rFonts w:ascii="Times New Roman" w:hAnsi="Times New Roman"/>
          <w:noProof/>
          <w:sz w:val="24"/>
          <w:szCs w:val="24"/>
        </w:rPr>
        <w:t>В работния документ, придружаващ настоящия доклад, е представена подробна информация за работата на отделните комитети през 2018 г., която включва разбивка въз основа на съответните заинтересовани дирекции на Комисията.</w:t>
      </w:r>
    </w:p>
    <w:p>
      <w:pPr>
        <w:pStyle w:val="ManualHeading1"/>
        <w:rPr>
          <w:noProof/>
        </w:rPr>
      </w:pPr>
      <w:r>
        <w:t>4.</w:t>
      </w:r>
      <w:r>
        <w:tab/>
      </w:r>
      <w:r>
        <w:rPr>
          <w:noProof/>
        </w:rPr>
        <w:t>Заключение</w:t>
      </w:r>
    </w:p>
    <w:p>
      <w:pPr>
        <w:rPr>
          <w:rFonts w:ascii="Times New Roman" w:hAnsi="Times New Roman"/>
          <w:noProof/>
          <w:sz w:val="24"/>
          <w:szCs w:val="24"/>
        </w:rPr>
      </w:pPr>
      <w:r>
        <w:rPr>
          <w:rFonts w:ascii="Times New Roman" w:hAnsi="Times New Roman"/>
          <w:noProof/>
          <w:sz w:val="24"/>
          <w:szCs w:val="24"/>
        </w:rPr>
        <w:t xml:space="preserve">Европейският парламент и Съветът се приканват да вземат под внимание настоящия доклад.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Style w:val="Strong"/>
          <w:b w:val="0"/>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
    <w:p>
      <w:pPr>
        <w:pStyle w:val="FootnoteText"/>
      </w:pPr>
      <w:r>
        <w:rPr>
          <w:rStyle w:val="FootnoteReference"/>
        </w:rPr>
        <w:footnoteRef/>
      </w:r>
      <w:r>
        <w:tab/>
        <w:t>Доклад на Комисията за работата на комитетите през 2013 година (COM(2014) 572 final).</w:t>
      </w:r>
    </w:p>
  </w:footnote>
  <w:footnote w:id="3">
    <w:p>
      <w:pPr>
        <w:pStyle w:val="FootnoteText"/>
      </w:pPr>
      <w:r>
        <w:rPr>
          <w:rStyle w:val="FootnoteReference"/>
        </w:rPr>
        <w:footnoteRef/>
      </w:r>
      <w:r>
        <w:tab/>
        <w:t>Решение на Съвета 1999/468/ЕО от 28 юни 1999 г. за установяване на условията и реда за упражняване на изпълнителните правомощия, предоставени на Комисията (ОВ L 184, 17.7.1999 г., стр. 23), изменено с Решение 2006/512/ЕО (ОВ L 200, 22.7.2006 г., стр. 11) (консолидирана версия в ОВ C 255, 21.10.2006 г., стр. 4).</w:t>
      </w:r>
    </w:p>
  </w:footnote>
  <w:footnote w:id="4">
    <w:p>
      <w:pPr>
        <w:pStyle w:val="FootnoteText"/>
      </w:pPr>
      <w:r>
        <w:rPr>
          <w:rStyle w:val="FootnoteReference"/>
        </w:rPr>
        <w:footnoteRef/>
      </w:r>
      <w:r>
        <w:tab/>
        <w:t xml:space="preserve">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12.5.2014 г., стр. 1). </w:t>
      </w:r>
    </w:p>
  </w:footnote>
  <w:footnote w:id="5">
    <w:p>
      <w:pPr>
        <w:pStyle w:val="FootnoteText"/>
        <w:ind w:left="709" w:hanging="709"/>
      </w:pPr>
      <w:r>
        <w:rPr>
          <w:rStyle w:val="FootnoteReference"/>
        </w:rPr>
        <w:footnoteRef/>
      </w:r>
      <w:r>
        <w:tab/>
        <w:t>Предложение за Регламент на Европейския парламент и на Съвета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 (COM(2016) 799).</w:t>
      </w:r>
    </w:p>
  </w:footnote>
  <w:footnote w:id="6">
    <w:p>
      <w:pPr>
        <w:pStyle w:val="FootnoteText"/>
      </w:pPr>
      <w:r>
        <w:rPr>
          <w:rStyle w:val="FootnoteReference"/>
        </w:rPr>
        <w:footnoteRef/>
      </w:r>
      <w:r>
        <w:tab/>
        <w:t>Предложение за Регламент на Европейския парламент и на Съвета за адаптиране на редица правни актове в областта на правосъдието, предвиждащи използване на процедурата по регулиране с контрол, към член 290 от Договора за функционирането на Европейския съюз (COM(2016) 798).</w:t>
      </w:r>
    </w:p>
  </w:footnote>
  <w:footnote w:id="7">
    <w:p>
      <w:pPr>
        <w:pStyle w:val="FootnoteText"/>
      </w:pPr>
      <w:r>
        <w:rPr>
          <w:rStyle w:val="FootnoteReference"/>
        </w:rPr>
        <w:footnoteRef/>
      </w:r>
      <w:r>
        <w:tab/>
        <w:t>Регламент (ЕС) 2019/1243 на Европейския парламент и на Съвета от 20 юни 2019 г.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 (ОВ L 198, 25.7.2019 г., стр. 241).</w:t>
      </w:r>
    </w:p>
  </w:footnote>
  <w:footnote w:id="8">
    <w:p>
      <w:pPr>
        <w:pStyle w:val="FootnoteText"/>
      </w:pPr>
      <w:r>
        <w:rPr>
          <w:rStyle w:val="FootnoteReference"/>
        </w:rPr>
        <w:footnoteRef/>
      </w:r>
      <w:r>
        <w:tab/>
        <w:t>Доклад на Комисията до Европейския парламент и Съвета относно прилагането на Регламент (ЕС) № 182/2011, (COM(2016) 92).</w:t>
      </w:r>
    </w:p>
  </w:footnote>
  <w:footnote w:id="9">
    <w:p>
      <w:pPr>
        <w:pStyle w:val="FootnoteText"/>
      </w:pPr>
      <w:r>
        <w:rPr>
          <w:rStyle w:val="FootnoteReference"/>
        </w:rPr>
        <w:footnoteRef/>
      </w:r>
      <w:r>
        <w:tab/>
        <w:t>Предложение за Регламент на Европейския парламент и на Съвета за изменение на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(COM(2017) 85 final).</w:t>
      </w:r>
    </w:p>
  </w:footnote>
  <w:footnote w:id="10">
    <w:p>
      <w:pPr>
        <w:pStyle w:val="FootnoteText"/>
      </w:pPr>
      <w:r>
        <w:rPr>
          <w:rStyle w:val="FootnoteReference"/>
        </w:rPr>
        <w:footnoteRef/>
      </w:r>
      <w:r>
        <w:t xml:space="preserve"> </w:t>
      </w:r>
      <w:r>
        <w:tab/>
        <w:t>Междуинституционално споразумение относно необвързващите критерии за прилагането на членове 290 и 291 от Договора за функционирането на Европейския съюз (ОВ C 223, 3.7.2019 г., стр. 1).</w:t>
      </w:r>
    </w:p>
  </w:footnote>
  <w:footnote w:id="11">
    <w:p>
      <w:pPr>
        <w:pStyle w:val="FootnoteText"/>
      </w:pPr>
      <w:r>
        <w:rPr>
          <w:rStyle w:val="FootnoteReference"/>
        </w:rPr>
        <w:footnoteRef/>
      </w:r>
      <w:r>
        <w:t xml:space="preserve"> </w:t>
      </w:r>
      <w:r>
        <w:tab/>
      </w:r>
      <w:hyperlink r:id="rId1" w:history="1">
        <w:r>
          <w:rPr>
            <w:rStyle w:val="Hyperlink"/>
          </w:rPr>
          <w:t>https://ec.europa.eu/info/law/better-regulation/have-your-say_bg</w:t>
        </w:r>
      </w:hyperlink>
      <w:r>
        <w:t xml:space="preserve"> </w:t>
      </w:r>
    </w:p>
  </w:footnote>
  <w:footnote w:id="12">
    <w:p>
      <w:pPr>
        <w:pStyle w:val="FootnoteText"/>
      </w:pPr>
      <w:r>
        <w:rPr>
          <w:rStyle w:val="FootnoteReference"/>
        </w:rPr>
        <w:footnoteRef/>
      </w:r>
      <w:r>
        <w:tab/>
        <w:t xml:space="preserve">За повече подробности виж: </w:t>
      </w:r>
      <w:hyperlink r:id="rId2" w:history="1">
        <w:r>
          <w:rPr>
            <w:rStyle w:val="Hyperlink"/>
          </w:rPr>
          <w:t>https://ec.europa.eu/transparency/regexpert/index.cfm?Lang=BG</w:t>
        </w:r>
      </w:hyperlink>
      <w:r>
        <w:t xml:space="preserve">. </w:t>
      </w:r>
    </w:p>
  </w:footnote>
  <w:footnote w:id="13">
    <w:p>
      <w:pPr>
        <w:pStyle w:val="FootnoteText"/>
      </w:pPr>
      <w:r>
        <w:rPr>
          <w:rStyle w:val="FootnoteReference"/>
        </w:rPr>
        <w:footnoteRef/>
      </w:r>
      <w:r>
        <w:tab/>
        <w:t>Гласуването в рамките на комитета може да стане на негово редовно заседание или, в надлежно обосновани случаи, по реда на писмена процедура в съответствие с член 3, параграф 5 от Регламента относно комитологията.</w:t>
      </w:r>
    </w:p>
  </w:footnote>
  <w:footnote w:id="14">
    <w:p>
      <w:pPr>
        <w:pStyle w:val="FootnoteText"/>
      </w:pPr>
      <w:r>
        <w:rPr>
          <w:rStyle w:val="FootnoteReference"/>
        </w:rPr>
        <w:footnoteRef/>
      </w:r>
      <w:r>
        <w:tab/>
        <w:t>Следва да се отбележи, че е възможно да има несъответствия между броя на становищата и този на актовете/мерките за изпълнение през дадена година. Причините за това са обяснени във въведението на придружаващия доклада работен документ на службите на Комисията.</w:t>
      </w:r>
    </w:p>
  </w:footnote>
  <w:footnote w:id="15">
    <w:p>
      <w:pPr>
        <w:pStyle w:val="FootnoteText"/>
      </w:pPr>
      <w:r>
        <w:rPr>
          <w:rStyle w:val="FootnoteReference"/>
        </w:rPr>
        <w:footnoteRef/>
      </w:r>
      <w:r>
        <w:tab/>
        <w:t>В общия брой на становищата са включени и гласуванията, които не са довели до издаването на становище.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8320DD02"/>
    <w:name w:val="Bullet 0"/>
    <w:lvl w:ilvl="0">
      <w:start w:val="1"/>
      <w:numFmt w:val="decimal"/>
      <w:pStyle w:val="Heading1"/>
      <w:lvlText w:val="%1."/>
      <w:lvlJc w:val="left"/>
      <w:pPr>
        <w:tabs>
          <w:tab w:val="num" w:pos="850"/>
        </w:tabs>
        <w:ind w:left="850" w:hanging="850"/>
      </w:pPr>
      <w:rPr>
        <w:color w:val="auto"/>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FAC0E57-13E1-4641-BADC-238707B71639"/>
    <w:docVar w:name="LW_COVERPAGE_TYPE" w:val="1"/>
    <w:docVar w:name="LW_CROSSREFERENCE" w:val="{SWD(2019) 441 final}"/>
    <w:docVar w:name="LW_DocType" w:val="NORMAL"/>
    <w:docVar w:name="LW_EMISSION" w:val="16.12.2019"/>
    <w:docVar w:name="LW_EMISSION_ISODATE" w:val="2019-12-16"/>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7?\u1040? \u1056?\u1040?\u1041?\u1054?\u1058?\u1040?\u1058?\u1040? \u1053?\u1040? \u1050?\u1054?\u1052?\u1048?\u1058?\u1045?\u1058?\u1048?\u1058?\u1045? \u1055?\u1056?\u1045?\u1047? 2018 \u1043?\u1054?\u1044?\u1048?\u1053?\u1040?"/>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semiHidden/>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paragraph" w:styleId="Revision">
    <w:name w:val="Revision"/>
    <w:uiPriority w:val="99"/>
    <w:semiHidden/>
    <w:rPr>
      <w:rFonts w:ascii="Times New Roman" w:eastAsia="Times New Roman" w:hAnsi="Times New Roman"/>
      <w:sz w:val="24"/>
      <w:szCs w:val="24"/>
      <w:lang w:eastAsia="en-US"/>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semiHidden/>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paragraph" w:styleId="Revision">
    <w:name w:val="Revision"/>
    <w:uiPriority w:val="99"/>
    <w:semiHidden/>
    <w:rPr>
      <w:rFonts w:ascii="Times New Roman" w:eastAsia="Times New Roman" w:hAnsi="Times New Roman"/>
      <w:sz w:val="24"/>
      <w:szCs w:val="24"/>
      <w:lang w:eastAsia="en-US"/>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70514">
      <w:bodyDiv w:val="1"/>
      <w:marLeft w:val="0"/>
      <w:marRight w:val="0"/>
      <w:marTop w:val="0"/>
      <w:marBottom w:val="0"/>
      <w:divBdr>
        <w:top w:val="none" w:sz="0" w:space="0" w:color="auto"/>
        <w:left w:val="none" w:sz="0" w:space="0" w:color="auto"/>
        <w:bottom w:val="none" w:sz="0" w:space="0" w:color="auto"/>
        <w:right w:val="none" w:sz="0" w:space="0" w:color="auto"/>
      </w:divBdr>
    </w:div>
    <w:div w:id="906571101">
      <w:bodyDiv w:val="1"/>
      <w:marLeft w:val="0"/>
      <w:marRight w:val="0"/>
      <w:marTop w:val="0"/>
      <w:marBottom w:val="0"/>
      <w:divBdr>
        <w:top w:val="none" w:sz="0" w:space="0" w:color="auto"/>
        <w:left w:val="none" w:sz="0" w:space="0" w:color="auto"/>
        <w:bottom w:val="none" w:sz="0" w:space="0" w:color="auto"/>
        <w:right w:val="none" w:sz="0" w:space="0" w:color="auto"/>
      </w:divBdr>
    </w:div>
    <w:div w:id="1463501970">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20236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Lang=BG" TargetMode="External"/><Relationship Id="rId1" Type="http://schemas.openxmlformats.org/officeDocument/2006/relationships/hyperlink" Target="https://ec.europa.eu/info/law/better-regulation/have-your-say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804D-BFB0-4C57-AE34-16FEE759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2417</Words>
  <Characters>11337</Characters>
  <Application>Microsoft Office Word</Application>
  <DocSecurity>0</DocSecurity>
  <Lines>1030</Lines>
  <Paragraphs>916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12838</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cp:lastPrinted>2019-11-14T13:03:00Z</cp:lastPrinted>
  <dcterms:created xsi:type="dcterms:W3CDTF">2019-12-02T09:58:00Z</dcterms:created>
  <dcterms:modified xsi:type="dcterms:W3CDTF">2019-12-12T10:11:00Z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