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7B613A02-7CAA-49F0-AEDD-1939F15558B7" style="width:450.5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 xml:space="preserve"> </w:t>
      </w:r>
    </w:p>
    <w:sdt>
      <w:sdtPr>
        <w:rPr>
          <w:rFonts w:asciiTheme="minorHAnsi" w:eastAsiaTheme="minorHAnsi" w:hAnsiTheme="minorHAnsi" w:cstheme="minorBidi"/>
          <w:b w:val="0"/>
          <w:noProof/>
          <w:sz w:val="22"/>
          <w:szCs w:val="22"/>
          <w:lang w:eastAsia="en-US"/>
        </w:rPr>
        <w:id w:val="-1324803347"/>
        <w:docPartObj>
          <w:docPartGallery w:val="Table of Contents"/>
          <w:docPartUnique/>
        </w:docPartObj>
      </w:sdtPr>
      <w:sdtEndPr>
        <w:rPr>
          <w:bCs/>
        </w:rPr>
      </w:sdtEndPr>
      <w:sdtContent>
        <w:p>
          <w:pPr>
            <w:pStyle w:val="TOCHeading"/>
            <w:rPr>
              <w:noProof/>
            </w:rPr>
          </w:pPr>
          <w:r>
            <w:rPr>
              <w:noProof/>
            </w:rPr>
            <w:t>Съдържание</w:t>
          </w:r>
        </w:p>
        <w:p>
          <w:pPr>
            <w:pStyle w:val="TOC1"/>
            <w:rPr>
              <w:rFonts w:asciiTheme="minorHAnsi" w:eastAsiaTheme="minorEastAsia" w:hAnsiTheme="minorHAnsi" w:cstheme="minorBidi"/>
              <w:bCs w:val="0"/>
              <w:sz w:val="22"/>
              <w:szCs w:val="22"/>
              <w:lang w:val="en-US" w:eastAsia="en-US"/>
            </w:rPr>
          </w:pPr>
          <w:r>
            <w:fldChar w:fldCharType="begin"/>
          </w:r>
          <w:r>
            <w:instrText xml:space="preserve"> TOC \o "1-3" \h \z \u </w:instrText>
          </w:r>
          <w:r>
            <w:fldChar w:fldCharType="separate"/>
          </w:r>
          <w:hyperlink w:anchor="_Toc27041774" w:history="1">
            <w:r>
              <w:rPr>
                <w:rStyle w:val="Hyperlink"/>
              </w:rPr>
              <w:t>1.</w:t>
            </w:r>
            <w:r>
              <w:rPr>
                <w:rFonts w:asciiTheme="minorHAnsi" w:eastAsiaTheme="minorEastAsia" w:hAnsiTheme="minorHAnsi" w:cstheme="minorBidi"/>
                <w:bCs w:val="0"/>
                <w:sz w:val="22"/>
                <w:szCs w:val="22"/>
                <w:lang w:val="en-US" w:eastAsia="en-US"/>
              </w:rPr>
              <w:tab/>
            </w:r>
            <w:r>
              <w:rPr>
                <w:rStyle w:val="Hyperlink"/>
              </w:rPr>
              <w:t>ВЪВЕДЕНИЕ</w:t>
            </w:r>
            <w:r>
              <w:rPr>
                <w:webHidden/>
              </w:rPr>
              <w:tab/>
            </w:r>
            <w:r>
              <w:rPr>
                <w:webHidden/>
              </w:rPr>
              <w:fldChar w:fldCharType="begin"/>
            </w:r>
            <w:r>
              <w:rPr>
                <w:webHidden/>
              </w:rPr>
              <w:instrText xml:space="preserve"> PAGEREF _Toc27041774 \h </w:instrText>
            </w:r>
            <w:r>
              <w:rPr>
                <w:webHidden/>
              </w:rPr>
            </w:r>
            <w:r>
              <w:rPr>
                <w:webHidden/>
              </w:rPr>
              <w:fldChar w:fldCharType="separate"/>
            </w:r>
            <w:r>
              <w:rPr>
                <w:webHidden/>
              </w:rPr>
              <w:t>2</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41775" w:history="1">
            <w:r>
              <w:rPr>
                <w:rStyle w:val="Hyperlink"/>
              </w:rPr>
              <w:t>2.</w:t>
            </w:r>
            <w:r>
              <w:rPr>
                <w:rFonts w:asciiTheme="minorHAnsi" w:eastAsiaTheme="minorEastAsia" w:hAnsiTheme="minorHAnsi" w:cstheme="minorBidi"/>
                <w:bCs w:val="0"/>
                <w:sz w:val="22"/>
                <w:szCs w:val="22"/>
                <w:lang w:val="en-US" w:eastAsia="en-US"/>
              </w:rPr>
              <w:tab/>
            </w:r>
            <w:r>
              <w:rPr>
                <w:rStyle w:val="Hyperlink"/>
              </w:rPr>
              <w:t>МЕТОДОЛОГИЯ</w:t>
            </w:r>
            <w:r>
              <w:rPr>
                <w:webHidden/>
              </w:rPr>
              <w:tab/>
            </w:r>
            <w:r>
              <w:rPr>
                <w:webHidden/>
              </w:rPr>
              <w:fldChar w:fldCharType="begin"/>
            </w:r>
            <w:r>
              <w:rPr>
                <w:webHidden/>
              </w:rPr>
              <w:instrText xml:space="preserve"> PAGEREF _Toc27041775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41776" w:history="1">
            <w:r>
              <w:rPr>
                <w:rStyle w:val="Hyperlink"/>
              </w:rPr>
              <w:t>3.</w:t>
            </w:r>
            <w:r>
              <w:rPr>
                <w:rFonts w:asciiTheme="minorHAnsi" w:eastAsiaTheme="minorEastAsia" w:hAnsiTheme="minorHAnsi" w:cstheme="minorBidi"/>
                <w:bCs w:val="0"/>
                <w:sz w:val="22"/>
                <w:szCs w:val="22"/>
                <w:lang w:val="en-US" w:eastAsia="en-US"/>
              </w:rPr>
              <w:tab/>
            </w:r>
            <w:r>
              <w:rPr>
                <w:rStyle w:val="Hyperlink"/>
              </w:rPr>
              <w:t>ПРЕГЛЕД НА СЕКТОРА НА ПЧЕЛАРСТВОТО В ЕС</w:t>
            </w:r>
            <w:r>
              <w:rPr>
                <w:webHidden/>
              </w:rPr>
              <w:tab/>
            </w:r>
            <w:r>
              <w:rPr>
                <w:webHidden/>
              </w:rPr>
              <w:fldChar w:fldCharType="begin"/>
            </w:r>
            <w:r>
              <w:rPr>
                <w:webHidden/>
              </w:rPr>
              <w:instrText xml:space="preserve"> PAGEREF _Toc27041776 \h </w:instrText>
            </w:r>
            <w:r>
              <w:rPr>
                <w:webHidden/>
              </w:rPr>
            </w:r>
            <w:r>
              <w:rPr>
                <w:webHidden/>
              </w:rPr>
              <w:fldChar w:fldCharType="separate"/>
            </w:r>
            <w:r>
              <w:rPr>
                <w:webHidden/>
              </w:rPr>
              <w:t>4</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41777" w:history="1">
            <w:r>
              <w:rPr>
                <w:rStyle w:val="Hyperlink"/>
              </w:rPr>
              <w:t>3.1</w:t>
            </w:r>
            <w:r>
              <w:rPr>
                <w:rFonts w:asciiTheme="minorHAnsi" w:eastAsiaTheme="minorEastAsia" w:hAnsiTheme="minorHAnsi" w:cstheme="minorBidi"/>
                <w:bCs w:val="0"/>
                <w:sz w:val="22"/>
                <w:szCs w:val="22"/>
                <w:lang w:val="en-US" w:eastAsia="en-US"/>
              </w:rPr>
              <w:tab/>
            </w:r>
            <w:r>
              <w:rPr>
                <w:rStyle w:val="Hyperlink"/>
              </w:rPr>
              <w:t>Производство и цени</w:t>
            </w:r>
            <w:r>
              <w:rPr>
                <w:webHidden/>
              </w:rPr>
              <w:tab/>
            </w:r>
            <w:r>
              <w:rPr>
                <w:webHidden/>
              </w:rPr>
              <w:fldChar w:fldCharType="begin"/>
            </w:r>
            <w:r>
              <w:rPr>
                <w:webHidden/>
              </w:rPr>
              <w:instrText xml:space="preserve"> PAGEREF _Toc27041777 \h </w:instrText>
            </w:r>
            <w:r>
              <w:rPr>
                <w:webHidden/>
              </w:rPr>
            </w:r>
            <w:r>
              <w:rPr>
                <w:webHidden/>
              </w:rPr>
              <w:fldChar w:fldCharType="separate"/>
            </w:r>
            <w:r>
              <w:rPr>
                <w:webHidden/>
              </w:rPr>
              <w:t>4</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41778" w:history="1">
            <w:r>
              <w:rPr>
                <w:rStyle w:val="Hyperlink"/>
              </w:rPr>
              <w:t>3.2</w:t>
            </w:r>
            <w:r>
              <w:rPr>
                <w:rFonts w:asciiTheme="minorHAnsi" w:eastAsiaTheme="minorEastAsia" w:hAnsiTheme="minorHAnsi" w:cstheme="minorBidi"/>
                <w:bCs w:val="0"/>
                <w:sz w:val="22"/>
                <w:szCs w:val="22"/>
                <w:lang w:val="en-US" w:eastAsia="en-US"/>
              </w:rPr>
              <w:tab/>
            </w:r>
            <w:r>
              <w:rPr>
                <w:rStyle w:val="Hyperlink"/>
              </w:rPr>
              <w:t>Търговия</w:t>
            </w:r>
            <w:r>
              <w:rPr>
                <w:webHidden/>
              </w:rPr>
              <w:tab/>
            </w:r>
            <w:r>
              <w:rPr>
                <w:webHidden/>
              </w:rPr>
              <w:fldChar w:fldCharType="begin"/>
            </w:r>
            <w:r>
              <w:rPr>
                <w:webHidden/>
              </w:rPr>
              <w:instrText xml:space="preserve"> PAGEREF _Toc27041778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41779" w:history="1">
            <w:r>
              <w:rPr>
                <w:rStyle w:val="Hyperlink"/>
              </w:rPr>
              <w:t>4.</w:t>
            </w:r>
            <w:r>
              <w:rPr>
                <w:rFonts w:asciiTheme="minorHAnsi" w:eastAsiaTheme="minorEastAsia" w:hAnsiTheme="minorHAnsi" w:cstheme="minorBidi"/>
                <w:bCs w:val="0"/>
                <w:sz w:val="22"/>
                <w:szCs w:val="22"/>
                <w:lang w:val="en-US" w:eastAsia="en-US"/>
              </w:rPr>
              <w:tab/>
            </w:r>
            <w:r>
              <w:rPr>
                <w:rStyle w:val="Hyperlink"/>
              </w:rPr>
              <w:t>ИЗПЪЛНЕНИЕ НА НАЦИОНАЛНИТЕ ПРОГРАМИ ЗА ПЧЕЛАРСТВОТО</w:t>
            </w:r>
            <w:r>
              <w:rPr>
                <w:webHidden/>
              </w:rPr>
              <w:tab/>
            </w:r>
            <w:r>
              <w:rPr>
                <w:webHidden/>
              </w:rPr>
              <w:fldChar w:fldCharType="begin"/>
            </w:r>
            <w:r>
              <w:rPr>
                <w:webHidden/>
              </w:rPr>
              <w:instrText xml:space="preserve"> PAGEREF _Toc27041779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41780" w:history="1">
            <w:r>
              <w:rPr>
                <w:rStyle w:val="Hyperlink"/>
              </w:rPr>
              <w:t>4.1</w:t>
            </w:r>
            <w:r>
              <w:rPr>
                <w:rFonts w:asciiTheme="minorHAnsi" w:eastAsiaTheme="minorEastAsia" w:hAnsiTheme="minorHAnsi" w:cstheme="minorBidi"/>
                <w:bCs w:val="0"/>
                <w:sz w:val="22"/>
                <w:szCs w:val="22"/>
                <w:lang w:val="en-US" w:eastAsia="en-US"/>
              </w:rPr>
              <w:tab/>
            </w:r>
            <w:r>
              <w:rPr>
                <w:rStyle w:val="Hyperlink"/>
              </w:rPr>
              <w:t>Правно основание</w:t>
            </w:r>
            <w:r>
              <w:rPr>
                <w:webHidden/>
              </w:rPr>
              <w:tab/>
            </w:r>
            <w:r>
              <w:rPr>
                <w:webHidden/>
              </w:rPr>
              <w:fldChar w:fldCharType="begin"/>
            </w:r>
            <w:r>
              <w:rPr>
                <w:webHidden/>
              </w:rPr>
              <w:instrText xml:space="preserve"> PAGEREF _Toc27041780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41781" w:history="1">
            <w:r>
              <w:rPr>
                <w:rStyle w:val="Hyperlink"/>
              </w:rPr>
              <w:t>4.2</w:t>
            </w:r>
            <w:r>
              <w:rPr>
                <w:rFonts w:asciiTheme="minorHAnsi" w:eastAsiaTheme="minorEastAsia" w:hAnsiTheme="minorHAnsi" w:cstheme="minorBidi"/>
                <w:bCs w:val="0"/>
                <w:sz w:val="22"/>
                <w:szCs w:val="22"/>
                <w:lang w:val="en-US" w:eastAsia="en-US"/>
              </w:rPr>
              <w:tab/>
            </w:r>
            <w:r>
              <w:rPr>
                <w:rStyle w:val="Hyperlink"/>
              </w:rPr>
              <w:t>Цели и мерки</w:t>
            </w:r>
            <w:r>
              <w:rPr>
                <w:webHidden/>
              </w:rPr>
              <w:tab/>
            </w:r>
            <w:r>
              <w:rPr>
                <w:webHidden/>
              </w:rPr>
              <w:fldChar w:fldCharType="begin"/>
            </w:r>
            <w:r>
              <w:rPr>
                <w:webHidden/>
              </w:rPr>
              <w:instrText xml:space="preserve"> PAGEREF _Toc27041781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41782" w:history="1">
            <w:r>
              <w:rPr>
                <w:rStyle w:val="Hyperlink"/>
                <w:b/>
              </w:rPr>
              <w:t>4.3</w:t>
            </w:r>
            <w:r>
              <w:rPr>
                <w:rFonts w:asciiTheme="minorHAnsi" w:eastAsiaTheme="minorEastAsia" w:hAnsiTheme="minorHAnsi" w:cstheme="minorBidi"/>
                <w:bCs w:val="0"/>
                <w:sz w:val="22"/>
                <w:szCs w:val="22"/>
                <w:lang w:val="en-US" w:eastAsia="en-US"/>
              </w:rPr>
              <w:tab/>
            </w:r>
            <w:r>
              <w:rPr>
                <w:rStyle w:val="Hyperlink"/>
                <w:b/>
              </w:rPr>
              <w:t>Бюджет на Съюза за националните програми за пчеларството и степен на използване</w:t>
            </w:r>
            <w:r>
              <w:rPr>
                <w:webHidden/>
              </w:rPr>
              <w:tab/>
            </w:r>
            <w:r>
              <w:rPr>
                <w:webHidden/>
              </w:rPr>
              <w:fldChar w:fldCharType="begin"/>
            </w:r>
            <w:r>
              <w:rPr>
                <w:webHidden/>
              </w:rPr>
              <w:instrText xml:space="preserve"> PAGEREF _Toc27041782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41783" w:history="1">
            <w:r>
              <w:rPr>
                <w:rStyle w:val="Hyperlink"/>
              </w:rPr>
              <w:t>4.4</w:t>
            </w:r>
            <w:r>
              <w:rPr>
                <w:rFonts w:asciiTheme="minorHAnsi" w:eastAsiaTheme="minorEastAsia" w:hAnsiTheme="minorHAnsi" w:cstheme="minorBidi"/>
                <w:bCs w:val="0"/>
                <w:sz w:val="22"/>
                <w:szCs w:val="22"/>
                <w:lang w:val="en-US" w:eastAsia="en-US"/>
              </w:rPr>
              <w:tab/>
            </w:r>
            <w:r>
              <w:rPr>
                <w:rStyle w:val="Hyperlink"/>
              </w:rPr>
              <w:t>Разпределение на финансовото участие на Съюза по държави членки</w:t>
            </w:r>
            <w:r>
              <w:rPr>
                <w:webHidden/>
              </w:rPr>
              <w:tab/>
            </w:r>
            <w:r>
              <w:rPr>
                <w:webHidden/>
              </w:rPr>
              <w:fldChar w:fldCharType="begin"/>
            </w:r>
            <w:r>
              <w:rPr>
                <w:webHidden/>
              </w:rPr>
              <w:instrText xml:space="preserve"> PAGEREF _Toc27041783 \h </w:instrText>
            </w:r>
            <w:r>
              <w:rPr>
                <w:webHidden/>
              </w:rPr>
            </w:r>
            <w:r>
              <w:rPr>
                <w:webHidden/>
              </w:rPr>
              <w:fldChar w:fldCharType="separate"/>
            </w:r>
            <w:r>
              <w:rPr>
                <w:webHidden/>
              </w:rPr>
              <w:t>10</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41784" w:history="1">
            <w:r>
              <w:rPr>
                <w:rStyle w:val="Hyperlink"/>
              </w:rPr>
              <w:t>4.5</w:t>
            </w:r>
            <w:r>
              <w:rPr>
                <w:rFonts w:asciiTheme="minorHAnsi" w:eastAsiaTheme="minorEastAsia" w:hAnsiTheme="minorHAnsi" w:cstheme="minorBidi"/>
                <w:bCs w:val="0"/>
                <w:sz w:val="22"/>
                <w:szCs w:val="22"/>
                <w:lang w:val="en-US" w:eastAsia="en-US"/>
              </w:rPr>
              <w:tab/>
            </w:r>
            <w:r>
              <w:rPr>
                <w:rStyle w:val="Hyperlink"/>
              </w:rPr>
              <w:t>Направени разходи по вид мярка</w:t>
            </w:r>
            <w:r>
              <w:rPr>
                <w:webHidden/>
              </w:rPr>
              <w:tab/>
            </w:r>
            <w:r>
              <w:rPr>
                <w:webHidden/>
              </w:rPr>
              <w:fldChar w:fldCharType="begin"/>
            </w:r>
            <w:r>
              <w:rPr>
                <w:webHidden/>
              </w:rPr>
              <w:instrText xml:space="preserve"> PAGEREF _Toc27041784 \h </w:instrText>
            </w:r>
            <w:r>
              <w:rPr>
                <w:webHidden/>
              </w:rPr>
            </w:r>
            <w:r>
              <w:rPr>
                <w:webHidden/>
              </w:rPr>
              <w:fldChar w:fldCharType="separate"/>
            </w:r>
            <w:r>
              <w:rPr>
                <w:webHidden/>
              </w:rPr>
              <w:t>11</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41785" w:history="1">
            <w:r>
              <w:rPr>
                <w:rStyle w:val="Hyperlink"/>
              </w:rPr>
              <w:t>5.</w:t>
            </w:r>
            <w:r>
              <w:rPr>
                <w:rFonts w:asciiTheme="minorHAnsi" w:eastAsiaTheme="minorEastAsia" w:hAnsiTheme="minorHAnsi" w:cstheme="minorBidi"/>
                <w:bCs w:val="0"/>
                <w:sz w:val="22"/>
                <w:szCs w:val="22"/>
                <w:lang w:val="en-US" w:eastAsia="en-US"/>
              </w:rPr>
              <w:tab/>
            </w:r>
            <w:r>
              <w:rPr>
                <w:rStyle w:val="Hyperlink"/>
              </w:rPr>
              <w:t>МЕТОДИ ЗА ОПРЕДЕЛЯНЕ НА БРОЯ НА ПЧЕЛНИТЕ КОШЕРИ</w:t>
            </w:r>
            <w:r>
              <w:rPr>
                <w:webHidden/>
              </w:rPr>
              <w:tab/>
            </w:r>
            <w:r>
              <w:rPr>
                <w:webHidden/>
              </w:rPr>
              <w:fldChar w:fldCharType="begin"/>
            </w:r>
            <w:r>
              <w:rPr>
                <w:webHidden/>
              </w:rPr>
              <w:instrText xml:space="preserve"> PAGEREF _Toc27041785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41786" w:history="1">
            <w:r>
              <w:rPr>
                <w:rStyle w:val="Hyperlink"/>
              </w:rPr>
              <w:t>6.</w:t>
            </w:r>
            <w:r>
              <w:rPr>
                <w:rFonts w:asciiTheme="minorHAnsi" w:eastAsiaTheme="minorEastAsia" w:hAnsiTheme="minorHAnsi" w:cstheme="minorBidi"/>
                <w:bCs w:val="0"/>
                <w:sz w:val="22"/>
                <w:szCs w:val="22"/>
                <w:lang w:val="en-US" w:eastAsia="en-US"/>
              </w:rPr>
              <w:tab/>
            </w:r>
            <w:r>
              <w:rPr>
                <w:rStyle w:val="Hyperlink"/>
              </w:rPr>
              <w:t>СЕКТОРЪТ НА ПЧЕЛАРСТВОТО В ОБЩАТА СЕЛСКОСТОПАНСКА ПОЛИТИКА СЛЕД 2020 Г.</w:t>
            </w:r>
            <w:r>
              <w:rPr>
                <w:webHidden/>
              </w:rPr>
              <w:tab/>
            </w:r>
            <w:r>
              <w:rPr>
                <w:webHidden/>
              </w:rPr>
              <w:fldChar w:fldCharType="begin"/>
            </w:r>
            <w:r>
              <w:rPr>
                <w:webHidden/>
              </w:rPr>
              <w:instrText xml:space="preserve"> PAGEREF _Toc27041786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41787" w:history="1">
            <w:r>
              <w:rPr>
                <w:rStyle w:val="Hyperlink"/>
              </w:rPr>
              <w:t>7.</w:t>
            </w:r>
            <w:r>
              <w:rPr>
                <w:rFonts w:asciiTheme="minorHAnsi" w:eastAsiaTheme="minorEastAsia" w:hAnsiTheme="minorHAnsi" w:cstheme="minorBidi"/>
                <w:bCs w:val="0"/>
                <w:sz w:val="22"/>
                <w:szCs w:val="22"/>
                <w:lang w:val="en-US" w:eastAsia="en-US"/>
              </w:rPr>
              <w:tab/>
            </w:r>
            <w:r>
              <w:rPr>
                <w:rStyle w:val="Hyperlink"/>
              </w:rPr>
              <w:t>ЗАКЛЮЧЕНИЕ</w:t>
            </w:r>
            <w:r>
              <w:rPr>
                <w:webHidden/>
              </w:rPr>
              <w:tab/>
            </w:r>
            <w:r>
              <w:rPr>
                <w:webHidden/>
              </w:rPr>
              <w:fldChar w:fldCharType="begin"/>
            </w:r>
            <w:r>
              <w:rPr>
                <w:webHidden/>
              </w:rPr>
              <w:instrText xml:space="preserve"> PAGEREF _Toc27041787 \h </w:instrText>
            </w:r>
            <w:r>
              <w:rPr>
                <w:webHidden/>
              </w:rPr>
            </w:r>
            <w:r>
              <w:rPr>
                <w:webHidden/>
              </w:rPr>
              <w:fldChar w:fldCharType="separate"/>
            </w:r>
            <w:r>
              <w:rPr>
                <w:webHidden/>
              </w:rPr>
              <w:t>14</w:t>
            </w:r>
            <w:r>
              <w:rPr>
                <w:webHidden/>
              </w:rPr>
              <w:fldChar w:fldCharType="end"/>
            </w:r>
          </w:hyperlink>
        </w:p>
        <w:p>
          <w:pPr>
            <w:rPr>
              <w:noProof/>
            </w:rPr>
          </w:pPr>
          <w:r>
            <w:rPr>
              <w:rFonts w:ascii="Times New Roman" w:eastAsia="Times New Roman" w:hAnsi="Times New Roman" w:cs="Times New Roman"/>
              <w:noProof/>
            </w:rPr>
            <w:fldChar w:fldCharType="end"/>
          </w:r>
        </w:p>
      </w:sdtContent>
    </w:sdt>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titlePg/>
          <w:docGrid w:linePitch="299"/>
        </w:sectPr>
      </w:pPr>
    </w:p>
    <w:p>
      <w:pPr>
        <w:pStyle w:val="Heading1"/>
        <w:rPr>
          <w:noProof/>
        </w:rPr>
      </w:pPr>
      <w:bookmarkStart w:id="2" w:name="_Toc27041774"/>
      <w:r>
        <w:rPr>
          <w:noProof/>
        </w:rPr>
        <w:t>1.</w:t>
      </w:r>
      <w:r>
        <w:rPr>
          <w:noProof/>
        </w:rPr>
        <w:tab/>
        <w:t>ВЪВЕДЕНИЕ</w:t>
      </w:r>
      <w:bookmarkEnd w:id="2"/>
    </w:p>
    <w:p>
      <w:pPr>
        <w:spacing w:after="120"/>
        <w:jc w:val="both"/>
        <w:rPr>
          <w:rFonts w:ascii="Times New Roman" w:hAnsi="Times New Roman" w:cs="Times New Roman"/>
          <w:noProof/>
          <w:sz w:val="24"/>
          <w:szCs w:val="24"/>
        </w:rPr>
      </w:pPr>
      <w:r>
        <w:rPr>
          <w:rFonts w:ascii="Times New Roman" w:hAnsi="Times New Roman"/>
          <w:noProof/>
        </w:rPr>
        <w:t xml:space="preserve">Макар и да изглежда малък в сравнение с останалите селскостопански сектори, секторът на пчеларството играе важна роля: освен че осигурява пчелен мед и други пчелни продукти, той допринася за опрашването на културите, овощните дървета, дивите растения и т.н.  </w:t>
      </w:r>
      <w:r>
        <w:rPr>
          <w:rFonts w:ascii="Times New Roman" w:hAnsi="Times New Roman"/>
          <w:bCs/>
          <w:noProof/>
        </w:rPr>
        <w:t xml:space="preserve">В рамките на общата селскостопанска политика (ОСП) са на разположение няколко инструмента за подпомагане на сектора на пчеларството, </w:t>
      </w:r>
      <w:r>
        <w:rPr>
          <w:rFonts w:ascii="Times New Roman" w:hAnsi="Times New Roman"/>
          <w:noProof/>
        </w:rPr>
        <w:t>като един от тях са програмите за пчеларството, посочени в Регламент (ЕС) № 1308/2013</w:t>
      </w:r>
      <w:r>
        <w:rPr>
          <w:rStyle w:val="FootnoteReference"/>
          <w:rFonts w:ascii="Times New Roman" w:hAnsi="Times New Roman" w:cs="Times New Roman"/>
          <w:noProof/>
        </w:rPr>
        <w:footnoteReference w:id="1"/>
      </w:r>
      <w:r>
        <w:rPr>
          <w:rFonts w:ascii="Times New Roman" w:hAnsi="Times New Roman"/>
          <w:noProof/>
        </w:rPr>
        <w:t xml:space="preserve"> (Регламента за обща организация на пазарите, или ООП). </w:t>
      </w:r>
    </w:p>
    <w:p>
      <w:pPr>
        <w:spacing w:after="120"/>
        <w:jc w:val="both"/>
        <w:rPr>
          <w:rFonts w:ascii="Times New Roman" w:hAnsi="Times New Roman" w:cs="Times New Roman"/>
          <w:noProof/>
          <w:sz w:val="24"/>
          <w:szCs w:val="24"/>
        </w:rPr>
      </w:pPr>
      <w:r>
        <w:rPr>
          <w:rFonts w:ascii="Times New Roman" w:hAnsi="Times New Roman"/>
          <w:noProof/>
        </w:rPr>
        <w:t xml:space="preserve">Съгласно член 225, буква а) от Регламента за ООП на всеки три години Комисията представя доклад на Европейския парламент и на Съвета относно изпълнението на мерките във връзка със сектора на пчеларството, както е посочено в членове 55, 56 и 57, включително относно най-актуалното развитие при системите за идентификация на пчелните кошери. Настоящият доклад е изготвен в изпълнение на тази разпоредба. Той не е придружен от законодателно предложение. </w:t>
      </w:r>
    </w:p>
    <w:p>
      <w:pPr>
        <w:spacing w:after="120"/>
        <w:jc w:val="both"/>
        <w:rPr>
          <w:rFonts w:ascii="Times New Roman" w:hAnsi="Times New Roman" w:cs="Times New Roman"/>
          <w:noProof/>
          <w:sz w:val="24"/>
          <w:szCs w:val="24"/>
        </w:rPr>
      </w:pPr>
      <w:r>
        <w:rPr>
          <w:rFonts w:ascii="Times New Roman" w:hAnsi="Times New Roman"/>
          <w:noProof/>
        </w:rPr>
        <w:t>Настоящият доклад обхваща пчеларските години 2017—2019, което съответства на периода от 1 август 2016 г. до 31 юли 2019 г.  Това са първите пчеларски години, през които се прилагат нови мерки. Докладът включва информация, получена във връзка с предходни пчеларски години, както и с планираните програми за пчеларските години 2020—2022, за които Комисията е била уведомена до 15 март 2019 г.</w:t>
      </w:r>
    </w:p>
    <w:p>
      <w:pPr>
        <w:spacing w:after="120"/>
        <w:jc w:val="both"/>
        <w:rPr>
          <w:rFonts w:ascii="Times New Roman" w:hAnsi="Times New Roman" w:cs="Times New Roman"/>
          <w:noProof/>
          <w:sz w:val="24"/>
          <w:szCs w:val="24"/>
        </w:rPr>
      </w:pPr>
      <w:r>
        <w:rPr>
          <w:rFonts w:ascii="Times New Roman" w:hAnsi="Times New Roman"/>
          <w:noProof/>
        </w:rPr>
        <w:t>Това е седмият доклад на Комисията до Европейския парламент и Съвета относно изпълнението на програмите за пчеларството. Докладът не изчерпва всички аспекти, свързани с пчеларството, а се фокусира върху програмите за пчеларството. Същевременно в него е включен кратък обзор на сектора на пчеларството в ЕС и е представено накратко предложението на Комисията за сектора на пчеларството в рамките на бъдещата обща селскостопанска политика.</w:t>
      </w:r>
    </w:p>
    <w:p>
      <w:pPr>
        <w:spacing w:after="120"/>
        <w:jc w:val="both"/>
        <w:rPr>
          <w:rFonts w:ascii="Times New Roman" w:hAnsi="Times New Roman" w:cs="Times New Roman"/>
          <w:noProof/>
          <w:sz w:val="24"/>
          <w:szCs w:val="24"/>
        </w:rPr>
      </w:pPr>
      <w:r>
        <w:rPr>
          <w:rFonts w:ascii="Times New Roman" w:hAnsi="Times New Roman"/>
          <w:noProof/>
        </w:rPr>
        <w:t>ЕС предоставя пряко подпомагане за сектора на пчеларството от 1997 г. насам</w:t>
      </w:r>
      <w:r>
        <w:rPr>
          <w:rStyle w:val="FootnoteReference"/>
          <w:rFonts w:ascii="Times New Roman" w:hAnsi="Times New Roman" w:cs="Times New Roman"/>
          <w:noProof/>
        </w:rPr>
        <w:footnoteReference w:id="2"/>
      </w:r>
      <w:r>
        <w:rPr>
          <w:rFonts w:ascii="Times New Roman" w:hAnsi="Times New Roman"/>
          <w:noProof/>
        </w:rPr>
        <w:t xml:space="preserve">, като дава възможност на държавите членки да изготвят национални програми за сектора на пчеларството. С тези програми се цели подобряване на общите условия за производство и предлагане на пазара на пчелни продукти: пчелен мед, пчелно млечице, пчелен прашец, прополис (пчелен клей) и пчелен восък. </w:t>
      </w:r>
    </w:p>
    <w:p>
      <w:pPr>
        <w:spacing w:after="120"/>
        <w:jc w:val="both"/>
        <w:rPr>
          <w:rFonts w:ascii="Times New Roman" w:hAnsi="Times New Roman" w:cs="Times New Roman"/>
          <w:noProof/>
          <w:sz w:val="24"/>
          <w:szCs w:val="24"/>
        </w:rPr>
      </w:pPr>
      <w:r>
        <w:rPr>
          <w:rFonts w:ascii="Times New Roman" w:hAnsi="Times New Roman"/>
          <w:noProof/>
        </w:rPr>
        <w:t xml:space="preserve">Програмите за пчеларството получават съфинансиране от Европейския съюз в размер на 50 % и продължителността им е три години. Програмите са доброволни, но всички държави членки са избрали да ги въведат, което показва големия интерес на държавите членки и потребностите на сектора. </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pStyle w:val="Heading1"/>
        <w:rPr>
          <w:noProof/>
        </w:rPr>
      </w:pPr>
      <w:bookmarkStart w:id="3" w:name="_Toc27041775"/>
      <w:r>
        <w:rPr>
          <w:noProof/>
        </w:rPr>
        <w:t>2.</w:t>
      </w:r>
      <w:r>
        <w:rPr>
          <w:noProof/>
        </w:rPr>
        <w:tab/>
        <w:t>МЕТОДОЛОГИЯ</w:t>
      </w:r>
      <w:bookmarkEnd w:id="3"/>
    </w:p>
    <w:p>
      <w:pPr>
        <w:pStyle w:val="Text1"/>
        <w:spacing w:before="0" w:line="276" w:lineRule="auto"/>
        <w:ind w:left="0"/>
        <w:rPr>
          <w:noProof/>
        </w:rPr>
      </w:pPr>
      <w:r>
        <w:rPr>
          <w:noProof/>
        </w:rPr>
        <w:t>Настоящият доклад се основава на следните източници на информация:</w:t>
      </w:r>
    </w:p>
    <w:p>
      <w:pPr>
        <w:pStyle w:val="Text1"/>
        <w:numPr>
          <w:ilvl w:val="0"/>
          <w:numId w:val="3"/>
        </w:numPr>
        <w:spacing w:before="0" w:line="276" w:lineRule="auto"/>
        <w:rPr>
          <w:noProof/>
        </w:rPr>
      </w:pPr>
      <w:r>
        <w:rPr>
          <w:noProof/>
        </w:rPr>
        <w:t>информация, нотифицирана от държавите членки съгласно Делегиран регламент (ЕС) 2015/1366 на Комисията по отношение на подпомагането за сектора на пчеларството</w:t>
      </w:r>
      <w:r>
        <w:rPr>
          <w:rStyle w:val="FootnoteReference"/>
          <w:noProof/>
        </w:rPr>
        <w:footnoteReference w:id="3"/>
      </w:r>
      <w:r>
        <w:rPr>
          <w:noProof/>
        </w:rPr>
        <w:t>, включително брой на пчелните кошери на техните територии;</w:t>
      </w:r>
    </w:p>
    <w:p>
      <w:pPr>
        <w:pStyle w:val="Text1"/>
        <w:numPr>
          <w:ilvl w:val="0"/>
          <w:numId w:val="3"/>
        </w:numPr>
        <w:spacing w:before="0" w:line="276" w:lineRule="auto"/>
        <w:rPr>
          <w:noProof/>
        </w:rPr>
      </w:pPr>
      <w:r>
        <w:rPr>
          <w:noProof/>
        </w:rPr>
        <w:t>информация, нотифицирана от държавите членки съгласно Регламент за изпълнение (ЕС) 2015/1368 на Комисията по отношение на помощта в сектора на пчеларството</w:t>
      </w:r>
      <w:r>
        <w:rPr>
          <w:rStyle w:val="FootnoteReference"/>
          <w:noProof/>
        </w:rPr>
        <w:footnoteReference w:id="4"/>
      </w:r>
      <w:r>
        <w:rPr>
          <w:noProof/>
        </w:rPr>
        <w:t xml:space="preserve">, включително годишни доклади за изпълнението, предвидени в член 10 от посочения регламент. Тези годишни доклади включват обобщена информация за извършените разходи в евро по време на пчеларската година, разбити по мерки, и постигнатите резултати въз основа на показатели за изпълнението на всяка приложена мярка. Тези показатели обаче не са хармонизирани на равнище ЕС и не са използвани при формулирането на заключенията в контекста на настоящия доклад;  </w:t>
      </w:r>
    </w:p>
    <w:p>
      <w:pPr>
        <w:pStyle w:val="NormalWeb"/>
        <w:numPr>
          <w:ilvl w:val="0"/>
          <w:numId w:val="3"/>
        </w:numPr>
        <w:spacing w:before="0" w:beforeAutospacing="0" w:after="120" w:afterAutospacing="0" w:line="276" w:lineRule="auto"/>
        <w:jc w:val="both"/>
        <w:rPr>
          <w:noProof/>
        </w:rPr>
      </w:pPr>
      <w:r>
        <w:rPr>
          <w:noProof/>
        </w:rPr>
        <w:t>информацията, получавана от държавите членки съгласно Регламент (ЕО) № 917/2004 на Комисията относно мерките в областта на пчеларството</w:t>
      </w:r>
      <w:r>
        <w:rPr>
          <w:rStyle w:val="FootnoteReference"/>
          <w:noProof/>
        </w:rPr>
        <w:footnoteReference w:id="5"/>
      </w:r>
      <w:r>
        <w:rPr>
          <w:noProof/>
        </w:rPr>
        <w:t xml:space="preserve">, в който са установени правилата за националните програми за пчеларството до пчеларската 2016 година; </w:t>
      </w:r>
    </w:p>
    <w:p>
      <w:pPr>
        <w:pStyle w:val="NormalWeb"/>
        <w:numPr>
          <w:ilvl w:val="0"/>
          <w:numId w:val="3"/>
        </w:numPr>
        <w:spacing w:before="0" w:beforeAutospacing="0" w:after="120" w:afterAutospacing="0" w:line="276" w:lineRule="auto"/>
        <w:jc w:val="both"/>
        <w:rPr>
          <w:noProof/>
        </w:rPr>
      </w:pPr>
      <w:r>
        <w:rPr>
          <w:noProof/>
        </w:rPr>
        <w:t>данни относно производството и международната търговия с пчелен мед от Евростат</w:t>
      </w:r>
      <w:r>
        <w:rPr>
          <w:rStyle w:val="FootnoteReference"/>
          <w:noProof/>
        </w:rPr>
        <w:footnoteReference w:id="6"/>
      </w:r>
      <w:r>
        <w:rPr>
          <w:noProof/>
        </w:rPr>
        <w:t>, базата данни Comtrade на ООН</w:t>
      </w:r>
      <w:r>
        <w:rPr>
          <w:rStyle w:val="FootnoteReference"/>
          <w:noProof/>
        </w:rPr>
        <w:footnoteReference w:id="7"/>
      </w:r>
      <w:r>
        <w:rPr>
          <w:noProof/>
        </w:rPr>
        <w:t xml:space="preserve"> и Организацията на ООН за прехрана и земеделие (ФАО)</w:t>
      </w:r>
      <w:r>
        <w:rPr>
          <w:rStyle w:val="FootnoteReference"/>
          <w:noProof/>
        </w:rPr>
        <w:footnoteReference w:id="8"/>
      </w:r>
      <w:r>
        <w:rPr>
          <w:noProof/>
        </w:rPr>
        <w:t>.</w:t>
      </w:r>
    </w:p>
    <w:p>
      <w:pPr>
        <w:pStyle w:val="Text1"/>
        <w:spacing w:before="0" w:line="276" w:lineRule="auto"/>
        <w:ind w:left="0"/>
        <w:rPr>
          <w:rStyle w:val="Heading1Char"/>
          <w:noProof/>
        </w:rPr>
      </w:pPr>
      <w:r>
        <w:rPr>
          <w:noProof/>
        </w:rPr>
        <w:t>На уебсайта на Комисията са публикувани подробни данни и обобщени таблици относно пазара на пчелен мед и националните програми за пчеларството</w:t>
      </w:r>
      <w:r>
        <w:rPr>
          <w:rStyle w:val="FootnoteReference"/>
          <w:noProof/>
        </w:rPr>
        <w:footnoteReference w:id="9"/>
      </w:r>
      <w:r>
        <w:rPr>
          <w:noProof/>
        </w:rPr>
        <w:t>.</w:t>
      </w:r>
    </w:p>
    <w:p>
      <w:pPr>
        <w:pStyle w:val="Heading1"/>
        <w:rPr>
          <w:noProof/>
        </w:rPr>
      </w:pPr>
      <w:bookmarkStart w:id="4" w:name="_Toc27041776"/>
      <w:r>
        <w:rPr>
          <w:noProof/>
        </w:rPr>
        <w:t>3.</w:t>
      </w:r>
      <w:r>
        <w:rPr>
          <w:noProof/>
        </w:rPr>
        <w:tab/>
        <w:t>ПРЕГЛЕД НА СЕКТОРА НА ПЧЕЛАРСТВОТО В ЕС</w:t>
      </w:r>
      <w:bookmarkEnd w:id="4"/>
    </w:p>
    <w:p>
      <w:pPr>
        <w:pStyle w:val="Heading2"/>
        <w:rPr>
          <w:b w:val="0"/>
          <w:noProof/>
        </w:rPr>
      </w:pPr>
      <w:bookmarkStart w:id="5" w:name="_Toc27041777"/>
      <w:r>
        <w:rPr>
          <w:rStyle w:val="Heading2Char"/>
          <w:b/>
          <w:noProof/>
        </w:rPr>
        <w:t>3.1</w:t>
      </w:r>
      <w:r>
        <w:rPr>
          <w:rStyle w:val="Heading2Char"/>
          <w:b/>
          <w:noProof/>
        </w:rPr>
        <w:tab/>
        <w:t>Производство и цени</w:t>
      </w:r>
      <w:bookmarkEnd w:id="5"/>
    </w:p>
    <w:p>
      <w:pPr>
        <w:pStyle w:val="Text1"/>
        <w:spacing w:line="276" w:lineRule="auto"/>
        <w:ind w:left="0"/>
        <w:rPr>
          <w:b/>
          <w:noProof/>
          <w:u w:val="single"/>
        </w:rPr>
      </w:pPr>
      <w:r>
        <w:rPr>
          <w:b/>
          <w:noProof/>
          <w:u w:val="single"/>
        </w:rPr>
        <w:t>Производство</w:t>
      </w:r>
    </w:p>
    <w:p>
      <w:pPr>
        <w:pStyle w:val="Text1"/>
        <w:spacing w:line="276" w:lineRule="auto"/>
        <w:ind w:left="0"/>
        <w:rPr>
          <w:noProof/>
        </w:rPr>
      </w:pPr>
      <w:r>
        <w:rPr>
          <w:noProof/>
        </w:rPr>
        <w:t xml:space="preserve">Нотифицираните данни с оглед на програмите за периода 2020—2022 г. показват, че в ЕС съществуват приблизително 17,5 милиона кошера, управлявани от 650 000 пчелари. Броят на пчеларите се е увеличил в сравнение с нотифицираните през 2016 г. данни за програмите за периода 2017—2019 г. Следва обаче да се отбележи, че не съществува хармонизиран метод за определяне на пчеларите, нито за това как да се изчислява броят им, и евентуалната промяна в този брой не отразява непременно обща тенденция в сектора. </w:t>
      </w:r>
    </w:p>
    <w:p>
      <w:pPr>
        <w:pStyle w:val="Text1"/>
        <w:spacing w:line="276" w:lineRule="auto"/>
        <w:ind w:left="0"/>
        <w:rPr>
          <w:i/>
          <w:noProof/>
        </w:rPr>
      </w:pPr>
      <w:r>
        <w:rPr>
          <w:i/>
          <w:noProof/>
        </w:rPr>
        <w:t>Фигура 1: Брой на пчеларите</w:t>
      </w:r>
    </w:p>
    <w:p>
      <w:pPr>
        <w:pStyle w:val="Text1"/>
        <w:spacing w:line="276" w:lineRule="auto"/>
        <w:ind w:left="0" w:firstLine="1304"/>
        <w:rPr>
          <w:noProof/>
        </w:rPr>
      </w:pPr>
      <w:r>
        <w:rPr>
          <w:noProof/>
          <w:lang w:val="en-GB" w:eastAsia="en-GB"/>
        </w:rPr>
        <w:drawing>
          <wp:inline distT="0" distB="0" distL="0" distR="0">
            <wp:extent cx="3962400" cy="2622550"/>
            <wp:effectExtent l="0" t="0" r="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Text1"/>
        <w:spacing w:line="276" w:lineRule="auto"/>
        <w:ind w:left="0"/>
        <w:rPr>
          <w:noProof/>
        </w:rPr>
      </w:pPr>
      <w:r>
        <w:rPr>
          <w:noProof/>
        </w:rPr>
        <w:t>Секторът е произвел 280 000 тона пчелен мед през 2018 г., което прави ЕС вторият най-голям производител на пчелен мед след Китай (550 000 тона</w:t>
      </w:r>
      <w:r>
        <w:rPr>
          <w:rStyle w:val="FootnoteReference"/>
          <w:noProof/>
        </w:rPr>
        <w:footnoteReference w:id="10"/>
      </w:r>
      <w:r>
        <w:rPr>
          <w:noProof/>
        </w:rPr>
        <w:t>). Производството в ЕС се е увеличило с 16 % от 2014 г., когато е възлизало на 240 000 тона, но ЕС все още не произвежда достатъчни количества пчелен мед, за да задоволява собственото си потребление. През 2018 г. процентът на самостоятелно задоволяване на потребностите</w:t>
      </w:r>
      <w:r>
        <w:rPr>
          <w:rStyle w:val="FootnoteReference"/>
          <w:noProof/>
        </w:rPr>
        <w:footnoteReference w:id="11"/>
      </w:r>
      <w:r>
        <w:rPr>
          <w:noProof/>
        </w:rPr>
        <w:t xml:space="preserve"> е около 60 %, като това равнище е приблизително същото, както през 2015 г. Основният доставчик на вносен пчелен мед е Китай (40 % от вноса), следван от Украйна (20 % от вноса).</w:t>
      </w:r>
    </w:p>
    <w:p>
      <w:pPr>
        <w:pStyle w:val="Text1"/>
        <w:spacing w:line="276" w:lineRule="auto"/>
        <w:ind w:left="0"/>
        <w:rPr>
          <w:noProof/>
        </w:rPr>
      </w:pPr>
    </w:p>
    <w:p>
      <w:pPr>
        <w:rPr>
          <w:rFonts w:ascii="Times New Roman" w:hAnsi="Times New Roman" w:cs="Times New Roman"/>
          <w:noProof/>
          <w:color w:val="FF0000"/>
          <w:sz w:val="24"/>
          <w:szCs w:val="24"/>
        </w:rPr>
      </w:pPr>
      <w:r>
        <w:rPr>
          <w:rFonts w:ascii="Times New Roman" w:hAnsi="Times New Roman"/>
          <w:i/>
          <w:noProof/>
        </w:rPr>
        <w:t>Фигура 2: Производство на пчелен мед в ЕС през 2017 г. и 2018 г.</w:t>
      </w:r>
      <w:r>
        <w:rPr>
          <w:noProof/>
          <w:lang w:val="en-GB" w:eastAsia="en-GB"/>
        </w:rPr>
        <w:drawing>
          <wp:inline distT="0" distB="0" distL="0" distR="0">
            <wp:extent cx="5760720" cy="3010619"/>
            <wp:effectExtent l="0" t="0" r="1143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Text1"/>
        <w:spacing w:line="276" w:lineRule="auto"/>
        <w:ind w:left="0"/>
        <w:rPr>
          <w:rFonts w:eastAsiaTheme="minorHAnsi"/>
          <w:b/>
          <w:noProof/>
          <w:u w:val="single"/>
        </w:rPr>
      </w:pPr>
      <w:r>
        <w:rPr>
          <w:b/>
          <w:noProof/>
          <w:u w:val="single"/>
        </w:rPr>
        <w:t>Цени</w:t>
      </w:r>
    </w:p>
    <w:p>
      <w:pPr>
        <w:pStyle w:val="Text1"/>
        <w:spacing w:line="276" w:lineRule="auto"/>
        <w:ind w:left="0"/>
        <w:rPr>
          <w:noProof/>
        </w:rPr>
      </w:pPr>
      <w:r>
        <w:rPr>
          <w:noProof/>
        </w:rPr>
        <w:t xml:space="preserve">Цените на пчелния мед варират значително в зависимост от държавите членки, качеството и мястото на продажба. Средната цена в ЕС за многоцветен пчелен мед </w:t>
      </w:r>
      <w:r>
        <w:rPr>
          <w:noProof/>
          <w:u w:val="single"/>
        </w:rPr>
        <w:t>в производствения обект</w:t>
      </w:r>
      <w:r>
        <w:rPr>
          <w:noProof/>
        </w:rPr>
        <w:t xml:space="preserve"> през 2018 г. е била 6,46 евро на килограм. В повечето държави членки цената е по-ниска при продажба </w:t>
      </w:r>
      <w:r>
        <w:rPr>
          <w:noProof/>
          <w:u w:val="single"/>
        </w:rPr>
        <w:t>в наливно състояние от търговците на едро</w:t>
      </w:r>
      <w:r>
        <w:rPr>
          <w:noProof/>
        </w:rPr>
        <w:t xml:space="preserve">, като въпросната средна цена в ЕС през 2018 г. е била 3,79 евро на килограм. Заслужава да се отбележи, че макар тези цени почти да не са се променили от предходното получаване на информация през 2016 г., средната стойност на </w:t>
      </w:r>
      <w:r>
        <w:rPr>
          <w:noProof/>
          <w:u w:val="single"/>
        </w:rPr>
        <w:t>производствените разходи</w:t>
      </w:r>
      <w:r>
        <w:rPr>
          <w:noProof/>
        </w:rPr>
        <w:t xml:space="preserve"> се е увеличила от 3,21 евро на килограм през 2015 г. на 3,90 евро на килограм през 2018 г., т.е. вероятно остава по-малък марж на един произведен килограм пчелен мед. Тъй като обаче държавите членки не съобщават каква част от произведения пчелен мед се продава в наливно състояние и в производствения обект, не могат да бъдат направени категорични заключения относно получената рентабилност за производителите. </w:t>
      </w:r>
    </w:p>
    <w:p>
      <w:pPr>
        <w:rPr>
          <w:rFonts w:ascii="Times New Roman" w:eastAsia="Times New Roman" w:hAnsi="Times New Roman" w:cs="Times New Roman"/>
          <w:i/>
          <w:noProof/>
          <w:sz w:val="24"/>
          <w:szCs w:val="24"/>
          <w:lang w:eastAsia="de-DE"/>
        </w:rPr>
      </w:pPr>
      <w:r>
        <w:rPr>
          <w:i/>
          <w:noProof/>
        </w:rPr>
        <w:br w:type="page"/>
      </w:r>
    </w:p>
    <w:p>
      <w:pPr>
        <w:pStyle w:val="Text1"/>
        <w:ind w:left="0"/>
        <w:rPr>
          <w:i/>
          <w:noProof/>
        </w:rPr>
      </w:pPr>
      <w:r>
        <w:rPr>
          <w:i/>
          <w:noProof/>
        </w:rPr>
        <w:t>Фигура 3: Средни цени на пчелния мед през 2018 г. Малта (MT): усреднена стойност между максимална и минимална цена</w:t>
      </w:r>
    </w:p>
    <w:p>
      <w:pPr>
        <w:pStyle w:val="Text1"/>
        <w:ind w:left="0"/>
        <w:rPr>
          <w:noProof/>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3716655</wp:posOffset>
                </wp:positionH>
                <wp:positionV relativeFrom="paragraph">
                  <wp:posOffset>108585</wp:posOffset>
                </wp:positionV>
                <wp:extent cx="1785560" cy="4699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560" cy="469900"/>
                        </a:xfrm>
                        <a:prstGeom prst="rect">
                          <a:avLst/>
                        </a:prstGeom>
                        <a:noFill/>
                        <a:ln w="9525">
                          <a:noFill/>
                          <a:miter lim="800000"/>
                          <a:headEnd/>
                          <a:tailEnd/>
                        </a:ln>
                      </wps:spPr>
                      <wps:txbx>
                        <w:txbxContent>
                          <w:p>
                            <w:pPr>
                              <w:rPr>
                                <w:b/>
                              </w:rPr>
                            </w:pPr>
                            <w:r>
                              <w:rPr>
                                <w:b/>
                              </w:rPr>
                              <w:t>Предлаган на едро в наливно състояние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65pt;margin-top:8.55pt;width:140.6pt;height: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ZqCgIAAPIDAAAOAAAAZHJzL2Uyb0RvYy54bWysU9tu2zAMfR+wfxD0vtgJ4jQxohRduw4D&#10;ugvQ7gMUWY6FSaImKbGzrx8lp2mwvhXzgyCa5CHPIbW+HowmB+mDAsvodFJSIq2ARtkdoz+f7j8s&#10;KQmR24ZrsJLRowz0evP+3bp3tZxBB7qRniCIDXXvGO1idHVRBNFJw8MEnLTobMEbHtH0u6LxvEd0&#10;o4tZWS6KHnzjPAgZAv69G510k/HbVor4vW2DjEQzir3FfPp8btNZbNa83nnuOiVObfA3dGG4slj0&#10;DHXHIyd7r15BGSU8BGjjRIApoG2VkJkDspmW/7B57LiTmQuKE9xZpvD/YMW3ww9PVMNoRYnlBkf0&#10;JIdIPsJAZkmd3oUagx4dhsUBf+OUM9PgHkD8CsTCbcftTt54D30neYPdTVNmcZE64oQEsu2/QoNl&#10;+D5CBhpab5J0KAZBdJzS8TyZ1IpIJa+WVbVAl0DffLFalXl0Ba+fs50P8bMEQ9KFUY+Tz+j88BBi&#10;6obXzyGpmIV7pXWevrakZ3RVzaqccOExKuJyamUYXZbpG9clkfxkm5wcudLjHQtoe2KdiI6U47Ad&#10;MDBJsYXmiPw9jEuIjwYvHfg/lPS4gIyG33vuJSX6i0UNV9P5PG1sNubV1QwNf+nZXnq4FQjFaKRk&#10;vN7GvOUj1xvUulVZhpdOTr3iYmV1To8gbe6lnaNenurmLwAAAP//AwBQSwMEFAAGAAgAAAAhAGbI&#10;1y7eAAAACQEAAA8AAABkcnMvZG93bnJldi54bWxMj8tOwzAQRfdI/QdrkNhRO0BCGuJUCMQWRHlI&#10;7Nx4mkSNx1HsNuHvO13BcnSP7j1TrmfXiyOOofOkIVkqEEi1tx01Gj4/Xq5zECEasqb3hBp+McC6&#10;WlyUprB+onc8bmIjuIRCYTS0MQ6FlKFu0Zmw9AMSZzs/OhP5HBtpRzNxuevljVKZdKYjXmjNgE8t&#10;1vvNwWn4et39fN+pt+bZpcPkZyXJraTWV5fz4wOIiHP8g+Gsz+pQsdPWH8gG0WtI8/SWUQ7uExAM&#10;5FmWgthqWCUJyKqU/z+oTgAAAP//AwBQSwECLQAUAAYACAAAACEAtoM4kv4AAADhAQAAEwAAAAAA&#10;AAAAAAAAAAAAAAAAW0NvbnRlbnRfVHlwZXNdLnhtbFBLAQItABQABgAIAAAAIQA4/SH/1gAAAJQB&#10;AAALAAAAAAAAAAAAAAAAAC8BAABfcmVscy8ucmVsc1BLAQItABQABgAIAAAAIQBfguZqCgIAAPID&#10;AAAOAAAAAAAAAAAAAAAAAC4CAABkcnMvZTJvRG9jLnhtbFBLAQItABQABgAIAAAAIQBmyNcu3gAA&#10;AAkBAAAPAAAAAAAAAAAAAAAAAGQEAABkcnMvZG93bnJldi54bWxQSwUGAAAAAAQABADzAAAAbwUA&#10;AAAA&#10;" filled="f" stroked="f">
                <v:textbox>
                  <w:txbxContent>
                    <w:p>
                      <w:pPr>
                        <w:rPr>
                          <w:b/>
                        </w:rPr>
                      </w:pPr>
                      <w:r>
                        <w:rPr>
                          <w:b/>
                        </w:rPr>
                        <w:t>Предлаган на едро в наливно състояние</w:t>
                      </w:r>
                    </w:p>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2072005</wp:posOffset>
                </wp:positionH>
                <wp:positionV relativeFrom="paragraph">
                  <wp:posOffset>140335</wp:posOffset>
                </wp:positionV>
                <wp:extent cx="1466191" cy="4610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191" cy="461010"/>
                        </a:xfrm>
                        <a:prstGeom prst="rect">
                          <a:avLst/>
                        </a:prstGeom>
                        <a:noFill/>
                        <a:ln w="9525">
                          <a:noFill/>
                          <a:miter lim="800000"/>
                          <a:headEnd/>
                          <a:tailEnd/>
                        </a:ln>
                      </wps:spPr>
                      <wps:txbx>
                        <w:txbxContent>
                          <w:p>
                            <w:pPr>
                              <w:rPr>
                                <w:b/>
                              </w:rPr>
                            </w:pPr>
                            <w:r>
                              <w:rPr>
                                <w:b/>
                              </w:rPr>
                              <w:t>В производствения обект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3.15pt;margin-top:11.05pt;width:115.45pt;height:3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K/DgIAAPsDAAAOAAAAZHJzL2Uyb0RvYy54bWysU9tu2zAMfR+wfxD0vtjOkrQxohRduw4D&#10;ugvQ7gMUWY6FSaImKbGzry8lp2nQvg3zgyCa5CHPIbW6Gowme+mDAstoNSkpkVZAo+yW0V+Pdx8u&#10;KQmR24ZrsJLRgwz0av3+3ap3tZxCB7qRniCIDXXvGO1idHVRBNFJw8MEnLTobMEbHtH026LxvEd0&#10;o4tpWS6KHnzjPAgZAv69HZ10nfHbVor4o22DjEQzir3FfPp8btJZrFe83nruOiWObfB/6MJwZbHo&#10;CeqWR052Xr2BMkp4CNDGiQBTQNsqITMHZFOVr9g8dNzJzAXFCe4kU/h/sOL7/qcnqmH0Y3lBieUG&#10;h/Qoh0g+wUCmSZ/ehRrDHhwGxgF/45wz1+DuQfwOxMJNx+1WXnsPfSd5g/1VKbM4Sx1xQgLZ9N+g&#10;wTJ8FyEDDa03STyUgyA6zulwmk1qRaSSs8WiWlaUCPTNFhWqlUvw+jnb+RC/SDAkXRj1OPuMzvf3&#10;IaZueP0ckopZuFNa5/lrS3pGl/PpPCeceYyKuJ5aGUYvy/SNC5NIfrZNTo5c6fGOBbQ9sk5ER8px&#10;2AxZ4CxJUmQDzQFl8DBuI74evHTg/1LS4yYyGv7suJeU6K8WpVxWs1la3WzM5hdTNPy5Z3Pu4VYg&#10;FKORkvF6E/O6j5SvUfJWZTVeOjm2jBuWRTq+hrTC53aOenmz6ycAAAD//wMAUEsDBBQABgAIAAAA&#10;IQDFV6ac3wAAAAkBAAAPAAAAZHJzL2Rvd25yZXYueG1sTI/LTsMwEEX3SPyDNUjsqF23aWnIpEIg&#10;tqCWh8TOjadJRDyOYrcJf49ZwXJ0j+49U2wn14kzDaH1jDCfKRDElbct1whvr083tyBCNGxN55kQ&#10;vinAtry8KExu/cg7Ou9jLVIJh9wgNDH2uZShasiZMPM9ccqOfnAmpnOopR3MmMpdJ7VSK+lMy2mh&#10;MT09NFR97U8O4f35+PmxVC/1o8v60U9KsttIxOur6f4ORKQp/sHwq5/UoUxOB39iG0SHsNCrRUIR&#10;tJ6DSECWrTWIA8JmuQZZFvL/B+UPAAAA//8DAFBLAQItABQABgAIAAAAIQC2gziS/gAAAOEBAAAT&#10;AAAAAAAAAAAAAAAAAAAAAABbQ29udGVudF9UeXBlc10ueG1sUEsBAi0AFAAGAAgAAAAhADj9If/W&#10;AAAAlAEAAAsAAAAAAAAAAAAAAAAALwEAAF9yZWxzLy5yZWxzUEsBAi0AFAAGAAgAAAAhAMgeMr8O&#10;AgAA+wMAAA4AAAAAAAAAAAAAAAAALgIAAGRycy9lMm9Eb2MueG1sUEsBAi0AFAAGAAgAAAAhAMVX&#10;ppzfAAAACQEAAA8AAAAAAAAAAAAAAAAAaAQAAGRycy9kb3ducmV2LnhtbFBLBQYAAAAABAAEAPMA&#10;AAB0BQAAAAA=&#10;" filled="f" stroked="f">
                <v:textbox>
                  <w:txbxContent>
                    <w:p>
                      <w:pPr>
                        <w:rPr>
                          <w:b/>
                        </w:rPr>
                      </w:pPr>
                      <w:r>
                        <w:rPr>
                          <w:b/>
                        </w:rPr>
                        <w:t>В производствения обект</w:t>
                      </w:r>
                    </w:p>
                  </w:txbxContent>
                </v:textbox>
              </v:shape>
            </w:pict>
          </mc:Fallback>
        </mc:AlternateContent>
      </w:r>
      <w:r>
        <w:rPr>
          <w:noProof/>
          <w:lang w:val="en-GB" w:eastAsia="en-GB"/>
        </w:rPr>
        <w:drawing>
          <wp:inline distT="0" distB="0" distL="0" distR="0">
            <wp:extent cx="5760720" cy="2899923"/>
            <wp:effectExtent l="0" t="0" r="1143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Heading2"/>
        <w:rPr>
          <w:noProof/>
        </w:rPr>
      </w:pPr>
    </w:p>
    <w:p>
      <w:pPr>
        <w:pStyle w:val="Heading2"/>
        <w:rPr>
          <w:noProof/>
        </w:rPr>
      </w:pPr>
      <w:bookmarkStart w:id="6" w:name="_Toc27041778"/>
      <w:r>
        <w:rPr>
          <w:noProof/>
        </w:rPr>
        <w:t>3.2</w:t>
      </w:r>
      <w:r>
        <w:rPr>
          <w:noProof/>
        </w:rPr>
        <w:tab/>
        <w:t>Търговия</w:t>
      </w:r>
      <w:bookmarkEnd w:id="6"/>
    </w:p>
    <w:p>
      <w:pPr>
        <w:pStyle w:val="Text1"/>
        <w:ind w:left="0"/>
        <w:rPr>
          <w:b/>
          <w:noProof/>
          <w:u w:val="single"/>
        </w:rPr>
      </w:pPr>
      <w:r>
        <w:rPr>
          <w:b/>
          <w:noProof/>
          <w:u w:val="single"/>
        </w:rPr>
        <w:t>Внос</w:t>
      </w:r>
    </w:p>
    <w:p>
      <w:pPr>
        <w:pStyle w:val="Text1"/>
        <w:spacing w:line="276" w:lineRule="auto"/>
        <w:ind w:left="0"/>
        <w:rPr>
          <w:noProof/>
        </w:rPr>
      </w:pPr>
      <w:r>
        <w:rPr>
          <w:noProof/>
        </w:rPr>
        <w:t>ЕС задоволява самостоятелно само 60 % от потребностите си от пчелен мед. През 2018 г. ЕС е внесъл 208 000 тона пчелен мед на обща стойност 452 милиона евро. ЕС е най-големият вносител на пчелен мед в света, като негов основен доставчик е Китай. Вносът в ЕС от Китай обаче е намалял от близо 100 000 тона през 2015 г. на 80 000 тона през 2018 г.</w:t>
      </w:r>
      <w:r>
        <w:rPr>
          <w:rStyle w:val="FootnoteReference"/>
          <w:noProof/>
        </w:rPr>
        <w:footnoteReference w:id="12"/>
      </w:r>
      <w:r>
        <w:rPr>
          <w:noProof/>
        </w:rPr>
        <w:t xml:space="preserve">. През същия период вносът от Украйна, вторият по значимост доставчик, е нараснал от 20 000 на 41 000 тона, докато обемите на внос от третия и от четвъртия по значимост доставчик, Аржентина и Мексико, са запазили равнището си от съответно 25 000 тона и 20 000 тона. </w:t>
      </w:r>
    </w:p>
    <w:p>
      <w:pPr>
        <w:pStyle w:val="Text1"/>
        <w:spacing w:line="276" w:lineRule="auto"/>
        <w:ind w:left="0"/>
        <w:rPr>
          <w:noProof/>
        </w:rPr>
      </w:pPr>
      <w:r>
        <w:rPr>
          <w:noProof/>
        </w:rPr>
        <w:t xml:space="preserve">Пчелният мед, внасян от трети държави, обикновено е по-евтин от пчелния мед, произвеждан в ЕС, като за 2018 г. средната цена на вноса е малко над 2 евро на килограм. </w:t>
      </w:r>
    </w:p>
    <w:p>
      <w:pPr>
        <w:pStyle w:val="Text1"/>
        <w:spacing w:line="276" w:lineRule="auto"/>
        <w:ind w:left="0"/>
        <w:rPr>
          <w:noProof/>
        </w:rPr>
      </w:pPr>
    </w:p>
    <w:p>
      <w:pPr>
        <w:pStyle w:val="Text1"/>
        <w:ind w:left="0"/>
        <w:rPr>
          <w:b/>
          <w:noProof/>
          <w:u w:val="single"/>
        </w:rPr>
      </w:pPr>
      <w:r>
        <w:rPr>
          <w:b/>
          <w:noProof/>
          <w:u w:val="single"/>
        </w:rPr>
        <w:t>Износ</w:t>
      </w:r>
    </w:p>
    <w:p>
      <w:pPr>
        <w:pStyle w:val="Text1"/>
        <w:spacing w:line="276" w:lineRule="auto"/>
        <w:ind w:left="0"/>
        <w:rPr>
          <w:noProof/>
        </w:rPr>
      </w:pPr>
      <w:r>
        <w:rPr>
          <w:noProof/>
        </w:rPr>
        <w:t xml:space="preserve">Количествата на износа от ЕС са незначителни в сравнение с тези на вноса, а през 2018 г. износът на пчелен мед от ЕС е в размер на приблизително 21 000 тона, като по обем това количество представлява около 7 % от производството в ЕС. Основните пазари на пчелен мед от ЕС са Швейцария, Саудитска Арабия, САЩ и Япония. През 2018 г. средната експортна цена е била 5,7 евро на килограм. </w:t>
      </w:r>
    </w:p>
    <w:p>
      <w:pPr>
        <w:pStyle w:val="Text1"/>
        <w:ind w:left="0"/>
        <w:rPr>
          <w:i/>
          <w:noProof/>
        </w:rPr>
      </w:pPr>
      <w:r>
        <w:rPr>
          <w:i/>
          <w:noProof/>
        </w:rPr>
        <w:t>Фигура 4: Средни цени в EUR/kg за пчелен мед, внасян в ЕС (синя непрекъсната линия) и изнасян от ЕС (червена прекъсната линия), през периода 2009—2018 г. Източник: база данни Comext на Евростат.</w:t>
      </w:r>
    </w:p>
    <w:p>
      <w:pPr>
        <w:pStyle w:val="Text1"/>
        <w:ind w:left="0"/>
        <w:rPr>
          <w:noProof/>
        </w:rPr>
      </w:pPr>
      <w:r>
        <w:rPr>
          <w:noProof/>
          <w:lang w:val="en-GB" w:eastAsia="en-GB"/>
        </w:rPr>
        <w:drawing>
          <wp:inline distT="0" distB="0" distL="0" distR="0">
            <wp:extent cx="5382883" cy="3299557"/>
            <wp:effectExtent l="0" t="0" r="8890" b="0"/>
            <wp:docPr id="6" name="Picture 6" descr="cid:image001.png@01D5A14B.2E4A7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5A14B.2E4A7B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397785" cy="3308691"/>
                    </a:xfrm>
                    <a:prstGeom prst="rect">
                      <a:avLst/>
                    </a:prstGeom>
                    <a:noFill/>
                    <a:ln>
                      <a:noFill/>
                    </a:ln>
                  </pic:spPr>
                </pic:pic>
              </a:graphicData>
            </a:graphic>
          </wp:inline>
        </w:drawing>
      </w:r>
    </w:p>
    <w:p>
      <w:pPr>
        <w:pStyle w:val="ManualHeading1"/>
        <w:spacing w:before="480" w:after="240"/>
        <w:ind w:left="0" w:firstLine="0"/>
        <w:jc w:val="left"/>
        <w:rPr>
          <w:b w:val="0"/>
          <w:noProof/>
        </w:rPr>
      </w:pPr>
      <w:bookmarkStart w:id="7" w:name="_Toc27041779"/>
      <w:r>
        <w:rPr>
          <w:rStyle w:val="Heading1Char"/>
          <w:b/>
          <w:noProof/>
        </w:rPr>
        <w:t>4.</w:t>
      </w:r>
      <w:r>
        <w:rPr>
          <w:rStyle w:val="Heading1Char"/>
          <w:b/>
          <w:noProof/>
        </w:rPr>
        <w:tab/>
        <w:t>ИЗПЪЛНЕНИЕ НА НАЦИОНАЛНИТЕ ПРОГРАМИ ЗА ПЧЕЛАРСТВОТО</w:t>
      </w:r>
      <w:bookmarkEnd w:id="7"/>
    </w:p>
    <w:p>
      <w:pPr>
        <w:pStyle w:val="Heading2"/>
        <w:rPr>
          <w:rStyle w:val="Heading2Char"/>
          <w:b/>
          <w:bCs/>
          <w:noProof/>
        </w:rPr>
      </w:pPr>
      <w:bookmarkStart w:id="8" w:name="_Toc27041780"/>
      <w:r>
        <w:rPr>
          <w:rStyle w:val="Heading2Char"/>
          <w:b/>
          <w:noProof/>
        </w:rPr>
        <w:t>4.1</w:t>
      </w:r>
      <w:r>
        <w:rPr>
          <w:b w:val="0"/>
          <w:noProof/>
        </w:rPr>
        <w:tab/>
      </w:r>
      <w:r>
        <w:rPr>
          <w:rStyle w:val="Heading2Char"/>
          <w:b/>
          <w:noProof/>
        </w:rPr>
        <w:t>Правно основание</w:t>
      </w:r>
      <w:bookmarkEnd w:id="8"/>
    </w:p>
    <w:p>
      <w:pPr>
        <w:spacing w:after="120"/>
        <w:jc w:val="both"/>
        <w:rPr>
          <w:rFonts w:ascii="Times New Roman" w:hAnsi="Times New Roman" w:cs="Times New Roman"/>
          <w:noProof/>
          <w:sz w:val="24"/>
          <w:szCs w:val="24"/>
        </w:rPr>
      </w:pPr>
      <w:r>
        <w:rPr>
          <w:rFonts w:ascii="Times New Roman" w:hAnsi="Times New Roman"/>
          <w:noProof/>
        </w:rPr>
        <w:t>Правното основание за националните програми за пчеларството, считано от пчеларската 2017 година, която започва на 1 август 2016 г., са членове 55—57 от Регламента за ООП, допълнени от</w:t>
      </w:r>
    </w:p>
    <w:p>
      <w:pPr>
        <w:pStyle w:val="ListParagraph"/>
        <w:numPr>
          <w:ilvl w:val="0"/>
          <w:numId w:val="1"/>
        </w:numPr>
        <w:spacing w:after="120"/>
        <w:ind w:left="360"/>
        <w:jc w:val="both"/>
        <w:rPr>
          <w:rFonts w:ascii="Times New Roman" w:hAnsi="Times New Roman" w:cs="Times New Roman"/>
          <w:noProof/>
          <w:sz w:val="24"/>
          <w:szCs w:val="24"/>
        </w:rPr>
      </w:pPr>
      <w:r>
        <w:rPr>
          <w:rFonts w:ascii="Times New Roman" w:hAnsi="Times New Roman"/>
          <w:noProof/>
        </w:rPr>
        <w:t>Делегиран регламент (ЕС) 2015/1366 на Комисията</w:t>
      </w:r>
      <w:r>
        <w:rPr>
          <w:rStyle w:val="FootnoteReference"/>
          <w:rFonts w:ascii="Times New Roman" w:hAnsi="Times New Roman" w:cs="Times New Roman"/>
          <w:noProof/>
        </w:rPr>
        <w:footnoteReference w:id="13"/>
      </w:r>
      <w:r>
        <w:rPr>
          <w:rFonts w:ascii="Times New Roman" w:hAnsi="Times New Roman"/>
          <w:noProof/>
        </w:rPr>
        <w:t>, както и от</w:t>
      </w:r>
    </w:p>
    <w:p>
      <w:pPr>
        <w:pStyle w:val="ListParagraph"/>
        <w:numPr>
          <w:ilvl w:val="0"/>
          <w:numId w:val="1"/>
        </w:numPr>
        <w:spacing w:after="120"/>
        <w:ind w:left="360"/>
        <w:jc w:val="both"/>
        <w:rPr>
          <w:rFonts w:ascii="Times New Roman" w:hAnsi="Times New Roman" w:cs="Times New Roman"/>
          <w:noProof/>
          <w:sz w:val="24"/>
          <w:szCs w:val="24"/>
        </w:rPr>
      </w:pPr>
      <w:r>
        <w:rPr>
          <w:rFonts w:ascii="Times New Roman" w:hAnsi="Times New Roman"/>
          <w:noProof/>
        </w:rPr>
        <w:t>Регламент за изпълнение (ЕС) 2015/1368 на Комисията</w:t>
      </w:r>
      <w:r>
        <w:rPr>
          <w:rStyle w:val="FootnoteReference"/>
          <w:rFonts w:ascii="Times New Roman" w:eastAsia="Times New Roman" w:hAnsi="Times New Roman" w:cs="Times New Roman"/>
          <w:noProof/>
          <w:color w:val="444444"/>
        </w:rPr>
        <w:footnoteReference w:id="14"/>
      </w:r>
      <w:r>
        <w:rPr>
          <w:rFonts w:ascii="Times New Roman" w:hAnsi="Times New Roman"/>
          <w:noProof/>
        </w:rPr>
        <w:t>.</w:t>
      </w:r>
    </w:p>
    <w:p>
      <w:pPr>
        <w:spacing w:after="120"/>
        <w:jc w:val="both"/>
        <w:rPr>
          <w:rFonts w:ascii="Times New Roman" w:eastAsia="Times New Roman" w:hAnsi="Times New Roman" w:cs="Times New Roman"/>
          <w:noProof/>
          <w:sz w:val="24"/>
          <w:szCs w:val="24"/>
        </w:rPr>
      </w:pPr>
      <w:r>
        <w:rPr>
          <w:rFonts w:ascii="Times New Roman" w:hAnsi="Times New Roman"/>
          <w:noProof/>
        </w:rPr>
        <w:t>Програмите за пчеларските години 2017—2019 и финансирането за тях бяха одобрени с Решение за изпълнение (ЕС) 2016/1102 на Комисията от 5 юли 2016 г.</w:t>
      </w:r>
      <w:r>
        <w:rPr>
          <w:rStyle w:val="FootnoteReference"/>
          <w:rFonts w:ascii="Times New Roman" w:hAnsi="Times New Roman" w:cs="Times New Roman"/>
          <w:bCs/>
          <w:noProof/>
        </w:rPr>
        <w:footnoteReference w:id="15"/>
      </w:r>
      <w:r>
        <w:rPr>
          <w:rFonts w:ascii="Times New Roman" w:hAnsi="Times New Roman"/>
          <w:bCs/>
          <w:noProof/>
        </w:rPr>
        <w:t>.</w:t>
      </w:r>
    </w:p>
    <w:p>
      <w:pPr>
        <w:pStyle w:val="NormalWeb"/>
        <w:spacing w:before="0" w:beforeAutospacing="0" w:after="120" w:afterAutospacing="0" w:line="276" w:lineRule="auto"/>
        <w:jc w:val="both"/>
        <w:rPr>
          <w:noProof/>
        </w:rPr>
      </w:pPr>
      <w:r>
        <w:rPr>
          <w:noProof/>
        </w:rPr>
        <w:t>Програмите за пчеларските години 2020—2022 и финансирането за тях бяха одобрени с Решение за изпълнение (ЕС) 2019/974 на Комисията от 12 юни 2019 г.</w:t>
      </w:r>
      <w:r>
        <w:rPr>
          <w:rStyle w:val="FootnoteReference"/>
          <w:noProof/>
          <w:color w:val="444444"/>
        </w:rPr>
        <w:footnoteReference w:id="16"/>
      </w:r>
      <w:r>
        <w:rPr>
          <w:noProof/>
        </w:rPr>
        <w:t>.</w:t>
      </w:r>
    </w:p>
    <w:p>
      <w:pPr>
        <w:pStyle w:val="Heading2"/>
        <w:rPr>
          <w:rStyle w:val="Heading2Char"/>
          <w:b/>
          <w:noProof/>
        </w:rPr>
      </w:pPr>
      <w:bookmarkStart w:id="9" w:name="_Toc27041781"/>
      <w:r>
        <w:rPr>
          <w:rStyle w:val="Heading2Char"/>
          <w:b/>
          <w:noProof/>
        </w:rPr>
        <w:t>4.2</w:t>
      </w:r>
      <w:r>
        <w:rPr>
          <w:rFonts w:ascii="Times New Roman" w:hAnsi="Times New Roman"/>
          <w:b w:val="0"/>
          <w:noProof/>
        </w:rPr>
        <w:tab/>
      </w:r>
      <w:r>
        <w:rPr>
          <w:rStyle w:val="Heading2Char"/>
          <w:b/>
          <w:noProof/>
        </w:rPr>
        <w:t>Цели и мерки</w:t>
      </w:r>
      <w:bookmarkEnd w:id="9"/>
    </w:p>
    <w:p>
      <w:pPr>
        <w:spacing w:after="120"/>
        <w:jc w:val="both"/>
        <w:rPr>
          <w:rFonts w:ascii="Times New Roman" w:hAnsi="Times New Roman" w:cs="Times New Roman"/>
          <w:b/>
          <w:noProof/>
          <w:sz w:val="24"/>
          <w:szCs w:val="24"/>
        </w:rPr>
      </w:pPr>
      <w:r>
        <w:rPr>
          <w:rFonts w:ascii="Times New Roman" w:hAnsi="Times New Roman"/>
          <w:noProof/>
        </w:rPr>
        <w:t>С програмите се цели подобряване на общите условия за производството и предлагането на пазара на пчелни продукти в Съюза. С реформата на ОСП от 2013 г. в програмите бяха внесени някои промени. Основните цели на тези промени бяха допустимите мерки да се адаптират към нуждите на сектора и да се осигури по-добро разпределение на бюджета на ЕС, като се подобрят методите, които държавите членки използват за определяне на броя на пчелните кошери на тяхна територия. Получените в резултат на това допустими мерки са описани по-долу:</w:t>
      </w:r>
    </w:p>
    <w:p>
      <w:pPr>
        <w:spacing w:after="120"/>
        <w:jc w:val="both"/>
        <w:rPr>
          <w:rFonts w:ascii="Times New Roman" w:hAnsi="Times New Roman" w:cs="Times New Roman"/>
          <w:noProof/>
          <w:sz w:val="24"/>
          <w:szCs w:val="24"/>
        </w:rPr>
      </w:pPr>
      <w:r>
        <w:rPr>
          <w:rFonts w:ascii="Times New Roman" w:hAnsi="Times New Roman"/>
          <w:noProof/>
        </w:rPr>
        <w:t xml:space="preserve">а) </w:t>
      </w:r>
      <w:r>
        <w:rPr>
          <w:rFonts w:ascii="Times New Roman" w:hAnsi="Times New Roman"/>
          <w:b/>
          <w:bCs/>
          <w:noProof/>
        </w:rPr>
        <w:t>техническа помощ за пчелари и организации на пчелари</w:t>
      </w:r>
      <w:r>
        <w:rPr>
          <w:rFonts w:ascii="Times New Roman" w:hAnsi="Times New Roman"/>
          <w:noProof/>
        </w:rPr>
        <w:t xml:space="preserve">: формулировката на тази мярка беше изменена от „сдружения на пчелари“ на „организации на пчелари“. Макар че много държави членки включват в тази мярка обучение, организиране на курсове и отпечатване на образователни брошури, тя може да включва голямо многообразие от дейности. Те обхващат подпомагане например за закупуване на техническо оборудване за първична обработка и специално подпомагане за млади пчелари; </w:t>
      </w:r>
    </w:p>
    <w:p>
      <w:pPr>
        <w:spacing w:after="120"/>
        <w:jc w:val="both"/>
        <w:rPr>
          <w:rFonts w:ascii="Times New Roman" w:hAnsi="Times New Roman" w:cs="Times New Roman"/>
          <w:noProof/>
          <w:sz w:val="24"/>
          <w:szCs w:val="24"/>
        </w:rPr>
      </w:pPr>
      <w:r>
        <w:rPr>
          <w:rFonts w:ascii="Times New Roman" w:hAnsi="Times New Roman"/>
          <w:noProof/>
        </w:rPr>
        <w:t xml:space="preserve">б) </w:t>
      </w:r>
      <w:r>
        <w:rPr>
          <w:rFonts w:ascii="Times New Roman" w:hAnsi="Times New Roman"/>
          <w:b/>
          <w:bCs/>
          <w:noProof/>
        </w:rPr>
        <w:t>борба срещу агресорите и болестите в кошера, особено срещу вароатозата</w:t>
      </w:r>
      <w:r>
        <w:rPr>
          <w:rFonts w:ascii="Times New Roman" w:hAnsi="Times New Roman"/>
          <w:noProof/>
        </w:rPr>
        <w:t>: обхватът на тази мярка беше разширен от контрол върху вароатозата до борба с други агресори и болести в кошера, които могат да включват например азиатския стършел (</w:t>
      </w:r>
      <w:r>
        <w:rPr>
          <w:rFonts w:ascii="Times New Roman" w:hAnsi="Times New Roman"/>
          <w:i/>
          <w:noProof/>
        </w:rPr>
        <w:t>Vespa velutina)</w:t>
      </w:r>
      <w:r>
        <w:rPr>
          <w:rFonts w:ascii="Times New Roman" w:hAnsi="Times New Roman"/>
          <w:noProof/>
        </w:rPr>
        <w:t xml:space="preserve"> или малкия кошерен бръмбар (</w:t>
      </w:r>
      <w:r>
        <w:rPr>
          <w:rFonts w:ascii="Times New Roman" w:hAnsi="Times New Roman"/>
          <w:i/>
          <w:noProof/>
        </w:rPr>
        <w:t>Aethina tumida</w:t>
      </w:r>
      <w:r>
        <w:rPr>
          <w:rFonts w:ascii="Times New Roman" w:hAnsi="Times New Roman"/>
          <w:noProof/>
        </w:rPr>
        <w:t xml:space="preserve">). Въпреки това повечето програми, включващи тази мярка, продължават да бъдат съсредоточени върху контрола на вароатозата. Това често се постига чрез подкрепа за методи, насочени към намаляване на паразитното натоварване, но действията включват и мерки за информиране на пчеларите относно значението на борбата с пчелния акар; </w:t>
      </w:r>
    </w:p>
    <w:p>
      <w:pPr>
        <w:spacing w:after="120"/>
        <w:jc w:val="both"/>
        <w:rPr>
          <w:rFonts w:ascii="Times New Roman" w:hAnsi="Times New Roman" w:cs="Times New Roman"/>
          <w:noProof/>
          <w:sz w:val="24"/>
          <w:szCs w:val="24"/>
        </w:rPr>
      </w:pPr>
      <w:r>
        <w:rPr>
          <w:rFonts w:ascii="Times New Roman" w:hAnsi="Times New Roman"/>
          <w:noProof/>
        </w:rPr>
        <w:t xml:space="preserve">в) </w:t>
      </w:r>
      <w:r>
        <w:rPr>
          <w:rFonts w:ascii="Times New Roman" w:hAnsi="Times New Roman"/>
          <w:b/>
          <w:bCs/>
          <w:noProof/>
        </w:rPr>
        <w:t>рационализиране на подвижното пчеларство</w:t>
      </w:r>
      <w:r>
        <w:rPr>
          <w:rFonts w:ascii="Times New Roman" w:hAnsi="Times New Roman"/>
          <w:noProof/>
        </w:rPr>
        <w:t xml:space="preserve">: това действие има за цел да се подпомагат работата по придвижване на пчелните кошери в Съюза, както и предоставянето на места за пчеларите през сезона на цъфтеж. Управлението на подвижното пчеларство може да бъде улеснено чрез мерки като идентификация на пчелните кошери и рамките, регистър на подвижното пчеларство, инвестиции в материали, улесняващи подвижното пчеларство, и опис на разновидностите цветни растения; </w:t>
      </w:r>
    </w:p>
    <w:p>
      <w:pPr>
        <w:spacing w:after="120"/>
        <w:jc w:val="both"/>
        <w:rPr>
          <w:rFonts w:ascii="Times New Roman" w:hAnsi="Times New Roman" w:cs="Times New Roman"/>
          <w:noProof/>
          <w:sz w:val="24"/>
          <w:szCs w:val="24"/>
        </w:rPr>
      </w:pPr>
      <w:r>
        <w:rPr>
          <w:rFonts w:ascii="Times New Roman" w:hAnsi="Times New Roman"/>
          <w:noProof/>
        </w:rPr>
        <w:t xml:space="preserve">г) </w:t>
      </w:r>
      <w:r>
        <w:rPr>
          <w:rFonts w:ascii="Times New Roman" w:hAnsi="Times New Roman"/>
          <w:b/>
          <w:bCs/>
          <w:noProof/>
        </w:rPr>
        <w:t>мерки за подпомагане на лабораториите за анализ на пчелните продукти с цел да се помогне на пчеларите да продават своите продукти и да увеличат тяхната стойност</w:t>
      </w:r>
      <w:r>
        <w:rPr>
          <w:rFonts w:ascii="Times New Roman" w:hAnsi="Times New Roman"/>
          <w:noProof/>
        </w:rPr>
        <w:t>: обхватът на тази мярка беше разширен от подпомагане на анализите на физико-химичните свойства на пчелния мед до включването на други пчелни продукти</w:t>
      </w:r>
      <w:r>
        <w:rPr>
          <w:rStyle w:val="FootnoteReference"/>
          <w:rFonts w:ascii="Times New Roman" w:hAnsi="Times New Roman" w:cs="Times New Roman"/>
          <w:noProof/>
        </w:rPr>
        <w:footnoteReference w:id="17"/>
      </w:r>
      <w:r>
        <w:rPr>
          <w:rFonts w:ascii="Times New Roman" w:hAnsi="Times New Roman"/>
          <w:noProof/>
        </w:rPr>
        <w:t xml:space="preserve">, като например пчелно млечице, пчелен прашец, прополис (пчелен клей) или пчелен восък. Освен това с Регламента за ООП бе добавена разпоредба в смисъл, че мярката следва да помогне на пчеларите да продават своите продукти и да увеличат тяхната стойност. Мярката може да се използва за финансиране на изпитвания например на ботаническия произход на пчелния мед, тъй като познаването на точния му състав може да позволи на пчеларите да получат по-висока цена за своя продукт. </w:t>
      </w:r>
    </w:p>
    <w:p>
      <w:pPr>
        <w:spacing w:after="120"/>
        <w:jc w:val="both"/>
        <w:rPr>
          <w:rFonts w:ascii="Times New Roman" w:hAnsi="Times New Roman" w:cs="Times New Roman"/>
          <w:noProof/>
          <w:sz w:val="24"/>
          <w:szCs w:val="24"/>
        </w:rPr>
      </w:pPr>
      <w:r>
        <w:rPr>
          <w:rFonts w:ascii="Times New Roman" w:hAnsi="Times New Roman"/>
          <w:noProof/>
        </w:rPr>
        <w:t xml:space="preserve">д) </w:t>
      </w:r>
      <w:r>
        <w:rPr>
          <w:rFonts w:ascii="Times New Roman" w:hAnsi="Times New Roman"/>
          <w:b/>
          <w:bCs/>
          <w:noProof/>
        </w:rPr>
        <w:t>подновяването на пчелните кошери</w:t>
      </w:r>
      <w:r>
        <w:rPr>
          <w:rFonts w:ascii="Times New Roman" w:hAnsi="Times New Roman"/>
          <w:noProof/>
        </w:rPr>
        <w:t xml:space="preserve"> дава възможност за частично компенсиране на загубите на пчели и съответно за избягване на спадове в производството: мярката може да включва финансиране на дейности за насърчаване на производството на пчелни майки и закупуването на пчелни колонии или на нови кошери;</w:t>
      </w:r>
    </w:p>
    <w:p>
      <w:pPr>
        <w:spacing w:after="120"/>
        <w:jc w:val="both"/>
        <w:rPr>
          <w:rFonts w:ascii="Times New Roman" w:hAnsi="Times New Roman" w:cs="Times New Roman"/>
          <w:noProof/>
          <w:sz w:val="24"/>
          <w:szCs w:val="24"/>
        </w:rPr>
      </w:pPr>
      <w:r>
        <w:rPr>
          <w:rFonts w:ascii="Times New Roman" w:hAnsi="Times New Roman"/>
          <w:noProof/>
        </w:rPr>
        <w:t xml:space="preserve">е) </w:t>
      </w:r>
      <w:r>
        <w:rPr>
          <w:rFonts w:ascii="Times New Roman" w:hAnsi="Times New Roman"/>
          <w:b/>
          <w:bCs/>
          <w:noProof/>
        </w:rPr>
        <w:t>сътрудничество със специализирани органи за осъществяването на приложни изследователски програми в областта на пчеларството и пчелните продукти</w:t>
      </w:r>
      <w:r>
        <w:rPr>
          <w:rFonts w:ascii="Times New Roman" w:hAnsi="Times New Roman"/>
          <w:noProof/>
        </w:rPr>
        <w:t xml:space="preserve">: тази мярка предоставя възможност на държавите членки за подпомагане на специфични научноизследователски проекти. Те могат да имат за цел подобряването на качеството на пчелния мед и/или разпространението на резултатите от такива проекти;  </w:t>
      </w:r>
    </w:p>
    <w:p>
      <w:pPr>
        <w:spacing w:after="120"/>
        <w:jc w:val="both"/>
        <w:rPr>
          <w:rFonts w:ascii="Times New Roman" w:hAnsi="Times New Roman" w:cs="Times New Roman"/>
          <w:noProof/>
          <w:sz w:val="24"/>
          <w:szCs w:val="24"/>
        </w:rPr>
      </w:pPr>
      <w:r>
        <w:rPr>
          <w:rFonts w:ascii="Times New Roman" w:hAnsi="Times New Roman"/>
          <w:noProof/>
        </w:rPr>
        <w:t xml:space="preserve">ж) </w:t>
      </w:r>
      <w:r>
        <w:rPr>
          <w:rFonts w:ascii="Times New Roman" w:hAnsi="Times New Roman"/>
          <w:b/>
          <w:bCs/>
          <w:noProof/>
        </w:rPr>
        <w:t>наблюдение на пазара</w:t>
      </w:r>
      <w:r>
        <w:rPr>
          <w:rFonts w:ascii="Times New Roman" w:hAnsi="Times New Roman"/>
          <w:noProof/>
        </w:rPr>
        <w:t xml:space="preserve">: това е нова мярка, която дава възможност за инвестиции в наблюдението на пчелните продукти и техните цени. Чрез нея могат да бъдат подобрени условията за производство и да се подпомогнат националните стратегии за наблюдение на положението на пазара; </w:t>
      </w:r>
    </w:p>
    <w:p>
      <w:pPr>
        <w:spacing w:after="120"/>
        <w:jc w:val="both"/>
        <w:rPr>
          <w:rFonts w:ascii="Times New Roman" w:hAnsi="Times New Roman" w:cs="Times New Roman"/>
          <w:noProof/>
          <w:sz w:val="24"/>
          <w:szCs w:val="24"/>
        </w:rPr>
      </w:pPr>
      <w:r>
        <w:rPr>
          <w:rFonts w:ascii="Times New Roman" w:hAnsi="Times New Roman"/>
          <w:noProof/>
        </w:rPr>
        <w:t xml:space="preserve">з) </w:t>
      </w:r>
      <w:r>
        <w:rPr>
          <w:rFonts w:ascii="Times New Roman" w:hAnsi="Times New Roman"/>
          <w:b/>
          <w:bCs/>
          <w:noProof/>
        </w:rPr>
        <w:t>подобряване на качеството на продуктите за по-добро използване на техния потенциал на пазара</w:t>
      </w:r>
      <w:r>
        <w:rPr>
          <w:rFonts w:ascii="Times New Roman" w:hAnsi="Times New Roman"/>
          <w:noProof/>
        </w:rPr>
        <w:t>:</w:t>
      </w:r>
      <w:r>
        <w:rPr>
          <w:rFonts w:ascii="Times New Roman" w:hAnsi="Times New Roman"/>
          <w:b/>
          <w:noProof/>
        </w:rPr>
        <w:t xml:space="preserve"> </w:t>
      </w:r>
      <w:r>
        <w:rPr>
          <w:rFonts w:ascii="Times New Roman" w:hAnsi="Times New Roman"/>
          <w:noProof/>
        </w:rPr>
        <w:t>това е нова мярка, въведена с Регламента за ООП, която може да се използва например за разработване на пазарния потенциал на пчелния мед, но и на други пчелни продукти.</w:t>
      </w:r>
    </w:p>
    <w:p>
      <w:pPr>
        <w:spacing w:before="240" w:after="120" w:line="240" w:lineRule="auto"/>
        <w:jc w:val="both"/>
        <w:outlineLvl w:val="1"/>
        <w:rPr>
          <w:rStyle w:val="Heading2Char"/>
          <w:bCs w:val="0"/>
          <w:noProof/>
        </w:rPr>
      </w:pPr>
      <w:bookmarkStart w:id="10" w:name="_Toc27041782"/>
      <w:r>
        <w:rPr>
          <w:rStyle w:val="Heading2Char"/>
          <w:bCs w:val="0"/>
          <w:noProof/>
        </w:rPr>
        <w:t>4.3</w:t>
      </w:r>
      <w:r>
        <w:rPr>
          <w:rStyle w:val="Heading2Char"/>
          <w:bCs w:val="0"/>
          <w:noProof/>
        </w:rPr>
        <w:tab/>
        <w:t>Бюджет на Съюза за националните програми за пчеларството и степен на използване</w:t>
      </w:r>
      <w:bookmarkEnd w:id="10"/>
    </w:p>
    <w:p>
      <w:pPr>
        <w:spacing w:after="120"/>
        <w:jc w:val="both"/>
        <w:rPr>
          <w:rFonts w:ascii="Times New Roman" w:hAnsi="Times New Roman" w:cs="Times New Roman"/>
          <w:noProof/>
          <w:sz w:val="24"/>
          <w:szCs w:val="24"/>
        </w:rPr>
      </w:pPr>
      <w:r>
        <w:rPr>
          <w:rFonts w:ascii="Times New Roman" w:hAnsi="Times New Roman"/>
          <w:noProof/>
        </w:rPr>
        <w:t>Финансовите средства от Съюза, предназначени за сектора на пчеларството, са относително малко, но бяха увеличени от 36 милиона евро годишно за програмите за пчеларството през периода 2017—2019 г. на 40 милиона евро годишно за такива програми за периода 2020—2022 г.</w:t>
      </w:r>
    </w:p>
    <w:p>
      <w:pPr>
        <w:spacing w:after="120"/>
        <w:jc w:val="both"/>
        <w:rPr>
          <w:rFonts w:ascii="Times New Roman" w:hAnsi="Times New Roman" w:cs="Times New Roman"/>
          <w:noProof/>
          <w:sz w:val="24"/>
          <w:szCs w:val="24"/>
        </w:rPr>
      </w:pPr>
      <w:r>
        <w:rPr>
          <w:rFonts w:ascii="Times New Roman" w:hAnsi="Times New Roman"/>
          <w:noProof/>
        </w:rPr>
        <w:t>Финансовото участие на Съюза в програмите за пчеларството е в размер на 50 % от разходите, поети от държавите членки. В конкретно изражение това означава, че за пчеларските 2017 г. и 2018 г. по програми за пчеларството са предоставени общо 72 милиона евро всяка година. Въпреки че финансирането не е напълно усвоено, степента на използване е висока. За сравнение, в долната таблица е включена 2016 пчеларска година.</w:t>
      </w:r>
    </w:p>
    <w:p>
      <w:pPr>
        <w:rPr>
          <w:rFonts w:ascii="Times New Roman" w:hAnsi="Times New Roman" w:cs="Times New Roman"/>
          <w:i/>
          <w:noProof/>
          <w:sz w:val="24"/>
          <w:szCs w:val="24"/>
        </w:rPr>
      </w:pPr>
      <w:r>
        <w:rPr>
          <w:rFonts w:ascii="Times New Roman" w:hAnsi="Times New Roman"/>
          <w:i/>
          <w:noProof/>
        </w:rPr>
        <w:t>Таблица 1: Финансови средства от Съюза и степен на използване за програмите за пчеларството</w:t>
      </w:r>
    </w:p>
    <w:tbl>
      <w:tblPr>
        <w:tblStyle w:val="TableGrid"/>
        <w:tblW w:w="9606" w:type="dxa"/>
        <w:tblLook w:val="04A0" w:firstRow="1" w:lastRow="0" w:firstColumn="1" w:lastColumn="0" w:noHBand="0" w:noVBand="1"/>
      </w:tblPr>
      <w:tblGrid>
        <w:gridCol w:w="2376"/>
        <w:gridCol w:w="1418"/>
        <w:gridCol w:w="1417"/>
        <w:gridCol w:w="1340"/>
        <w:gridCol w:w="1381"/>
        <w:gridCol w:w="1674"/>
      </w:tblGrid>
      <w:tr>
        <w:trPr>
          <w:trHeight w:val="971"/>
        </w:trPr>
        <w:tc>
          <w:tcPr>
            <w:tcW w:w="2376" w:type="dxa"/>
          </w:tcPr>
          <w:p>
            <w:pPr>
              <w:rPr>
                <w:rFonts w:ascii="Times New Roman" w:hAnsi="Times New Roman" w:cs="Times New Roman"/>
                <w:noProof/>
                <w:sz w:val="24"/>
                <w:szCs w:val="24"/>
              </w:rPr>
            </w:pPr>
            <w:r>
              <w:rPr>
                <w:rFonts w:ascii="Times New Roman" w:hAnsi="Times New Roman"/>
                <w:noProof/>
              </w:rPr>
              <w:t xml:space="preserve">Налични финансови средства от Съюза </w:t>
            </w:r>
            <w:r>
              <w:rPr>
                <w:rFonts w:ascii="Times New Roman" w:hAnsi="Times New Roman"/>
                <w:noProof/>
                <w:u w:val="single"/>
              </w:rPr>
              <w:t>за пчеларска година</w:t>
            </w:r>
          </w:p>
        </w:tc>
        <w:tc>
          <w:tcPr>
            <w:tcW w:w="1418" w:type="dxa"/>
          </w:tcPr>
          <w:p>
            <w:pPr>
              <w:rPr>
                <w:rFonts w:ascii="Times New Roman" w:hAnsi="Times New Roman"/>
                <w:noProof/>
              </w:rPr>
            </w:pPr>
            <w:r>
              <w:rPr>
                <w:rFonts w:ascii="Times New Roman" w:hAnsi="Times New Roman"/>
                <w:noProof/>
              </w:rPr>
              <w:t>Пчеларска година</w:t>
            </w:r>
          </w:p>
          <w:p>
            <w:pPr>
              <w:rPr>
                <w:rFonts w:ascii="Times New Roman" w:hAnsi="Times New Roman" w:cs="Times New Roman"/>
                <w:noProof/>
                <w:sz w:val="24"/>
                <w:szCs w:val="24"/>
              </w:rPr>
            </w:pPr>
            <w:r>
              <w:rPr>
                <w:rFonts w:ascii="Times New Roman" w:hAnsi="Times New Roman"/>
                <w:noProof/>
              </w:rPr>
              <w:t>2016</w:t>
            </w:r>
          </w:p>
          <w:p>
            <w:pPr>
              <w:rPr>
                <w:rFonts w:ascii="Times New Roman" w:hAnsi="Times New Roman" w:cs="Times New Roman"/>
                <w:noProof/>
                <w:sz w:val="24"/>
                <w:szCs w:val="24"/>
              </w:rPr>
            </w:pPr>
            <w:r>
              <w:rPr>
                <w:rFonts w:ascii="Times New Roman" w:hAnsi="Times New Roman"/>
                <w:noProof/>
              </w:rPr>
              <w:t>Програми за периода 2014—2016 г.</w:t>
            </w:r>
          </w:p>
        </w:tc>
        <w:tc>
          <w:tcPr>
            <w:tcW w:w="1417" w:type="dxa"/>
          </w:tcPr>
          <w:p>
            <w:pPr>
              <w:rPr>
                <w:rFonts w:ascii="Times New Roman" w:hAnsi="Times New Roman"/>
                <w:noProof/>
              </w:rPr>
            </w:pPr>
            <w:r>
              <w:rPr>
                <w:rFonts w:ascii="Times New Roman" w:hAnsi="Times New Roman"/>
                <w:noProof/>
              </w:rPr>
              <w:t>Пчеларска година</w:t>
            </w:r>
          </w:p>
          <w:p>
            <w:pPr>
              <w:rPr>
                <w:rFonts w:ascii="Times New Roman" w:hAnsi="Times New Roman" w:cs="Times New Roman"/>
                <w:noProof/>
                <w:sz w:val="24"/>
                <w:szCs w:val="24"/>
              </w:rPr>
            </w:pPr>
            <w:r>
              <w:rPr>
                <w:rFonts w:ascii="Times New Roman" w:hAnsi="Times New Roman"/>
                <w:noProof/>
              </w:rPr>
              <w:t>2017</w:t>
            </w:r>
          </w:p>
          <w:p>
            <w:pPr>
              <w:rPr>
                <w:rFonts w:ascii="Times New Roman" w:hAnsi="Times New Roman" w:cs="Times New Roman"/>
                <w:noProof/>
                <w:sz w:val="24"/>
                <w:szCs w:val="24"/>
              </w:rPr>
            </w:pPr>
            <w:r>
              <w:rPr>
                <w:rFonts w:ascii="Times New Roman" w:hAnsi="Times New Roman"/>
                <w:noProof/>
              </w:rPr>
              <w:t>Програми за периода 2017—2019 г.</w:t>
            </w:r>
          </w:p>
        </w:tc>
        <w:tc>
          <w:tcPr>
            <w:tcW w:w="1340" w:type="dxa"/>
          </w:tcPr>
          <w:p>
            <w:pPr>
              <w:rPr>
                <w:rFonts w:ascii="Times New Roman" w:hAnsi="Times New Roman"/>
                <w:noProof/>
              </w:rPr>
            </w:pPr>
            <w:r>
              <w:rPr>
                <w:rFonts w:ascii="Times New Roman" w:hAnsi="Times New Roman"/>
                <w:noProof/>
              </w:rPr>
              <w:t>Пчеларска година</w:t>
            </w:r>
          </w:p>
          <w:p>
            <w:pPr>
              <w:rPr>
                <w:rFonts w:ascii="Times New Roman" w:hAnsi="Times New Roman" w:cs="Times New Roman"/>
                <w:noProof/>
                <w:sz w:val="24"/>
                <w:szCs w:val="24"/>
              </w:rPr>
            </w:pPr>
            <w:r>
              <w:rPr>
                <w:rFonts w:ascii="Times New Roman" w:hAnsi="Times New Roman"/>
                <w:noProof/>
              </w:rPr>
              <w:t>2018</w:t>
            </w:r>
          </w:p>
          <w:p>
            <w:pPr>
              <w:rPr>
                <w:rFonts w:ascii="Times New Roman" w:hAnsi="Times New Roman" w:cs="Times New Roman"/>
                <w:noProof/>
                <w:sz w:val="24"/>
                <w:szCs w:val="24"/>
              </w:rPr>
            </w:pPr>
            <w:r>
              <w:rPr>
                <w:rFonts w:ascii="Times New Roman" w:hAnsi="Times New Roman"/>
                <w:noProof/>
              </w:rPr>
              <w:t>Програми за периода 2017—2019 г.</w:t>
            </w:r>
          </w:p>
        </w:tc>
        <w:tc>
          <w:tcPr>
            <w:tcW w:w="1381" w:type="dxa"/>
          </w:tcPr>
          <w:p>
            <w:pPr>
              <w:rPr>
                <w:rFonts w:ascii="Times New Roman" w:hAnsi="Times New Roman"/>
                <w:noProof/>
              </w:rPr>
            </w:pPr>
            <w:r>
              <w:rPr>
                <w:rFonts w:ascii="Times New Roman" w:hAnsi="Times New Roman"/>
                <w:noProof/>
              </w:rPr>
              <w:t>Пчеларска година</w:t>
            </w:r>
          </w:p>
          <w:p>
            <w:pPr>
              <w:rPr>
                <w:rFonts w:ascii="Times New Roman" w:hAnsi="Times New Roman" w:cs="Times New Roman"/>
                <w:noProof/>
                <w:sz w:val="24"/>
                <w:szCs w:val="24"/>
              </w:rPr>
            </w:pPr>
            <w:r>
              <w:rPr>
                <w:rFonts w:ascii="Times New Roman" w:hAnsi="Times New Roman"/>
                <w:noProof/>
              </w:rPr>
              <w:t>2019</w:t>
            </w:r>
          </w:p>
          <w:p>
            <w:pPr>
              <w:rPr>
                <w:rFonts w:ascii="Times New Roman" w:hAnsi="Times New Roman" w:cs="Times New Roman"/>
                <w:noProof/>
                <w:sz w:val="24"/>
                <w:szCs w:val="24"/>
              </w:rPr>
            </w:pPr>
            <w:r>
              <w:rPr>
                <w:rFonts w:ascii="Times New Roman" w:hAnsi="Times New Roman"/>
                <w:noProof/>
              </w:rPr>
              <w:t>Програми за периода 2017—2019 г.</w:t>
            </w:r>
          </w:p>
        </w:tc>
        <w:tc>
          <w:tcPr>
            <w:tcW w:w="1674" w:type="dxa"/>
          </w:tcPr>
          <w:p>
            <w:pPr>
              <w:rPr>
                <w:rFonts w:ascii="Times New Roman" w:hAnsi="Times New Roman"/>
                <w:noProof/>
              </w:rPr>
            </w:pPr>
            <w:r>
              <w:rPr>
                <w:rFonts w:ascii="Times New Roman" w:hAnsi="Times New Roman"/>
                <w:noProof/>
              </w:rPr>
              <w:t>Пчеларски години</w:t>
            </w:r>
          </w:p>
          <w:p>
            <w:pPr>
              <w:rPr>
                <w:rFonts w:ascii="Times New Roman" w:hAnsi="Times New Roman" w:cs="Times New Roman"/>
                <w:noProof/>
                <w:sz w:val="24"/>
                <w:szCs w:val="24"/>
              </w:rPr>
            </w:pPr>
            <w:r>
              <w:rPr>
                <w:rFonts w:ascii="Times New Roman" w:hAnsi="Times New Roman"/>
                <w:noProof/>
              </w:rPr>
              <w:t>2020—2022</w:t>
            </w:r>
          </w:p>
        </w:tc>
      </w:tr>
      <w:tr>
        <w:trPr>
          <w:trHeight w:val="323"/>
        </w:trPr>
        <w:tc>
          <w:tcPr>
            <w:tcW w:w="2376" w:type="dxa"/>
          </w:tcPr>
          <w:p>
            <w:pPr>
              <w:rPr>
                <w:rFonts w:ascii="Times New Roman" w:hAnsi="Times New Roman" w:cs="Times New Roman"/>
                <w:noProof/>
                <w:sz w:val="24"/>
                <w:szCs w:val="24"/>
              </w:rPr>
            </w:pPr>
            <w:r>
              <w:rPr>
                <w:rFonts w:ascii="Times New Roman" w:hAnsi="Times New Roman"/>
                <w:noProof/>
              </w:rPr>
              <w:t>в EUR</w:t>
            </w:r>
          </w:p>
        </w:tc>
        <w:tc>
          <w:tcPr>
            <w:tcW w:w="1418" w:type="dxa"/>
          </w:tcPr>
          <w:p>
            <w:pPr>
              <w:rPr>
                <w:rFonts w:ascii="Times New Roman" w:hAnsi="Times New Roman" w:cs="Times New Roman"/>
                <w:noProof/>
                <w:sz w:val="24"/>
                <w:szCs w:val="24"/>
              </w:rPr>
            </w:pPr>
            <w:r>
              <w:rPr>
                <w:rFonts w:ascii="Times New Roman" w:hAnsi="Times New Roman"/>
                <w:noProof/>
              </w:rPr>
              <w:t>33 100 000</w:t>
            </w:r>
          </w:p>
        </w:tc>
        <w:tc>
          <w:tcPr>
            <w:tcW w:w="1417" w:type="dxa"/>
          </w:tcPr>
          <w:p>
            <w:pPr>
              <w:rPr>
                <w:rFonts w:ascii="Times New Roman" w:hAnsi="Times New Roman" w:cs="Times New Roman"/>
                <w:noProof/>
                <w:sz w:val="24"/>
                <w:szCs w:val="24"/>
              </w:rPr>
            </w:pPr>
            <w:r>
              <w:rPr>
                <w:rFonts w:ascii="Times New Roman" w:hAnsi="Times New Roman"/>
                <w:noProof/>
              </w:rPr>
              <w:t>36 000 000</w:t>
            </w:r>
          </w:p>
        </w:tc>
        <w:tc>
          <w:tcPr>
            <w:tcW w:w="1340" w:type="dxa"/>
          </w:tcPr>
          <w:p>
            <w:pPr>
              <w:rPr>
                <w:rFonts w:ascii="Times New Roman" w:hAnsi="Times New Roman" w:cs="Times New Roman"/>
                <w:noProof/>
                <w:sz w:val="24"/>
                <w:szCs w:val="24"/>
              </w:rPr>
            </w:pPr>
            <w:r>
              <w:rPr>
                <w:rFonts w:ascii="Times New Roman" w:hAnsi="Times New Roman"/>
                <w:noProof/>
              </w:rPr>
              <w:t>36 000 000</w:t>
            </w:r>
          </w:p>
        </w:tc>
        <w:tc>
          <w:tcPr>
            <w:tcW w:w="1381" w:type="dxa"/>
          </w:tcPr>
          <w:p>
            <w:pPr>
              <w:rPr>
                <w:rFonts w:ascii="Times New Roman" w:hAnsi="Times New Roman" w:cs="Times New Roman"/>
                <w:noProof/>
                <w:sz w:val="24"/>
                <w:szCs w:val="24"/>
              </w:rPr>
            </w:pPr>
            <w:r>
              <w:rPr>
                <w:rFonts w:ascii="Times New Roman" w:hAnsi="Times New Roman"/>
                <w:noProof/>
              </w:rPr>
              <w:t>36 000 000</w:t>
            </w:r>
          </w:p>
        </w:tc>
        <w:tc>
          <w:tcPr>
            <w:tcW w:w="1674" w:type="dxa"/>
          </w:tcPr>
          <w:p>
            <w:pPr>
              <w:rPr>
                <w:rFonts w:ascii="Times New Roman" w:hAnsi="Times New Roman" w:cs="Times New Roman"/>
                <w:noProof/>
                <w:sz w:val="24"/>
                <w:szCs w:val="24"/>
              </w:rPr>
            </w:pPr>
            <w:r>
              <w:rPr>
                <w:rFonts w:ascii="Times New Roman" w:hAnsi="Times New Roman"/>
                <w:noProof/>
              </w:rPr>
              <w:t>40 000 000</w:t>
            </w:r>
          </w:p>
        </w:tc>
      </w:tr>
      <w:tr>
        <w:trPr>
          <w:trHeight w:val="161"/>
        </w:trPr>
        <w:tc>
          <w:tcPr>
            <w:tcW w:w="2376" w:type="dxa"/>
          </w:tcPr>
          <w:p>
            <w:pPr>
              <w:rPr>
                <w:rFonts w:ascii="Times New Roman" w:hAnsi="Times New Roman" w:cs="Times New Roman"/>
                <w:noProof/>
                <w:sz w:val="24"/>
                <w:szCs w:val="24"/>
              </w:rPr>
            </w:pPr>
            <w:r>
              <w:rPr>
                <w:rFonts w:ascii="Times New Roman" w:hAnsi="Times New Roman"/>
                <w:noProof/>
              </w:rPr>
              <w:t>Размер на финансовите средства от Съюза, използвани от държавите членки, в EUR</w:t>
            </w:r>
          </w:p>
        </w:tc>
        <w:tc>
          <w:tcPr>
            <w:tcW w:w="1418" w:type="dxa"/>
          </w:tcPr>
          <w:p>
            <w:pPr>
              <w:rPr>
                <w:rFonts w:ascii="Times New Roman" w:hAnsi="Times New Roman" w:cs="Times New Roman"/>
                <w:noProof/>
                <w:sz w:val="24"/>
                <w:szCs w:val="24"/>
              </w:rPr>
            </w:pPr>
            <w:r>
              <w:rPr>
                <w:rFonts w:ascii="Times New Roman" w:hAnsi="Times New Roman"/>
                <w:noProof/>
              </w:rPr>
              <w:t>31 102 215</w:t>
            </w:r>
          </w:p>
          <w:p>
            <w:pPr>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noProof/>
              </w:rPr>
              <w:t>32 372 777</w:t>
            </w:r>
          </w:p>
        </w:tc>
        <w:tc>
          <w:tcPr>
            <w:tcW w:w="1340" w:type="dxa"/>
          </w:tcPr>
          <w:p>
            <w:pPr>
              <w:rPr>
                <w:rFonts w:ascii="Times New Roman" w:hAnsi="Times New Roman" w:cs="Times New Roman"/>
                <w:noProof/>
                <w:sz w:val="24"/>
                <w:szCs w:val="24"/>
              </w:rPr>
            </w:pPr>
            <w:r>
              <w:rPr>
                <w:rFonts w:ascii="Times New Roman" w:hAnsi="Times New Roman"/>
                <w:noProof/>
              </w:rPr>
              <w:t>33 974 000</w:t>
            </w:r>
          </w:p>
        </w:tc>
        <w:tc>
          <w:tcPr>
            <w:tcW w:w="1381" w:type="dxa"/>
          </w:tcPr>
          <w:p>
            <w:pPr>
              <w:rPr>
                <w:rFonts w:ascii="Times New Roman" w:hAnsi="Times New Roman" w:cs="Times New Roman"/>
                <w:noProof/>
                <w:sz w:val="24"/>
                <w:szCs w:val="24"/>
              </w:rPr>
            </w:pPr>
            <w:r>
              <w:rPr>
                <w:rFonts w:ascii="Times New Roman" w:hAnsi="Times New Roman"/>
                <w:noProof/>
              </w:rPr>
              <w:t>Ще бъдат съобщени до 15 март 2020 г.</w:t>
            </w:r>
          </w:p>
        </w:tc>
        <w:tc>
          <w:tcPr>
            <w:tcW w:w="1674" w:type="dxa"/>
          </w:tcPr>
          <w:p>
            <w:pPr>
              <w:rPr>
                <w:rFonts w:ascii="Times New Roman" w:hAnsi="Times New Roman" w:cs="Times New Roman"/>
                <w:noProof/>
                <w:sz w:val="24"/>
                <w:szCs w:val="24"/>
              </w:rPr>
            </w:pPr>
            <w:r>
              <w:rPr>
                <w:rFonts w:ascii="Times New Roman" w:hAnsi="Times New Roman"/>
                <w:noProof/>
              </w:rPr>
              <w:t>Ще бъдат съобщени към 15 март 2021 г.</w:t>
            </w:r>
          </w:p>
        </w:tc>
      </w:tr>
      <w:tr>
        <w:trPr>
          <w:trHeight w:val="161"/>
        </w:trPr>
        <w:tc>
          <w:tcPr>
            <w:tcW w:w="2376" w:type="dxa"/>
          </w:tcPr>
          <w:p>
            <w:pPr>
              <w:rPr>
                <w:rFonts w:ascii="Times New Roman" w:hAnsi="Times New Roman" w:cs="Times New Roman"/>
                <w:noProof/>
                <w:sz w:val="24"/>
                <w:szCs w:val="24"/>
              </w:rPr>
            </w:pPr>
            <w:r>
              <w:rPr>
                <w:rFonts w:ascii="Times New Roman" w:hAnsi="Times New Roman"/>
                <w:noProof/>
              </w:rPr>
              <w:t>Степен на използване</w:t>
            </w:r>
          </w:p>
        </w:tc>
        <w:tc>
          <w:tcPr>
            <w:tcW w:w="1418" w:type="dxa"/>
          </w:tcPr>
          <w:p>
            <w:pPr>
              <w:rPr>
                <w:rFonts w:ascii="Times New Roman" w:hAnsi="Times New Roman" w:cs="Times New Roman"/>
                <w:noProof/>
                <w:sz w:val="24"/>
                <w:szCs w:val="24"/>
              </w:rPr>
            </w:pPr>
            <w:r>
              <w:rPr>
                <w:rFonts w:ascii="Times New Roman" w:hAnsi="Times New Roman"/>
                <w:noProof/>
              </w:rPr>
              <w:t xml:space="preserve">94 % </w:t>
            </w:r>
          </w:p>
        </w:tc>
        <w:tc>
          <w:tcPr>
            <w:tcW w:w="1417" w:type="dxa"/>
          </w:tcPr>
          <w:p>
            <w:pPr>
              <w:rPr>
                <w:rFonts w:ascii="Times New Roman" w:hAnsi="Times New Roman" w:cs="Times New Roman"/>
                <w:noProof/>
                <w:sz w:val="24"/>
                <w:szCs w:val="24"/>
              </w:rPr>
            </w:pPr>
            <w:r>
              <w:rPr>
                <w:rFonts w:ascii="Times New Roman" w:hAnsi="Times New Roman"/>
                <w:noProof/>
              </w:rPr>
              <w:t>90 %</w:t>
            </w:r>
          </w:p>
        </w:tc>
        <w:tc>
          <w:tcPr>
            <w:tcW w:w="1340" w:type="dxa"/>
          </w:tcPr>
          <w:p>
            <w:pPr>
              <w:rPr>
                <w:rFonts w:ascii="Times New Roman" w:hAnsi="Times New Roman" w:cs="Times New Roman"/>
                <w:noProof/>
                <w:sz w:val="24"/>
                <w:szCs w:val="24"/>
              </w:rPr>
            </w:pPr>
            <w:r>
              <w:rPr>
                <w:rFonts w:ascii="Times New Roman" w:hAnsi="Times New Roman"/>
                <w:noProof/>
              </w:rPr>
              <w:t>94 %</w:t>
            </w:r>
          </w:p>
        </w:tc>
        <w:tc>
          <w:tcPr>
            <w:tcW w:w="1381" w:type="dxa"/>
          </w:tcPr>
          <w:p>
            <w:pPr>
              <w:rPr>
                <w:rFonts w:ascii="Times New Roman" w:hAnsi="Times New Roman" w:cs="Times New Roman"/>
                <w:noProof/>
                <w:sz w:val="24"/>
                <w:szCs w:val="24"/>
              </w:rPr>
            </w:pPr>
          </w:p>
        </w:tc>
        <w:tc>
          <w:tcPr>
            <w:tcW w:w="1674" w:type="dxa"/>
          </w:tcPr>
          <w:p>
            <w:pPr>
              <w:rPr>
                <w:rFonts w:ascii="Times New Roman" w:hAnsi="Times New Roman" w:cs="Times New Roman"/>
                <w:noProof/>
                <w:sz w:val="24"/>
                <w:szCs w:val="24"/>
              </w:rPr>
            </w:pPr>
          </w:p>
        </w:tc>
      </w:tr>
    </w:tbl>
    <w:p>
      <w:pPr>
        <w:pStyle w:val="Heading2"/>
        <w:rPr>
          <w:noProof/>
        </w:rPr>
      </w:pPr>
      <w:bookmarkStart w:id="11" w:name="_Toc27041783"/>
      <w:r>
        <w:rPr>
          <w:noProof/>
        </w:rPr>
        <w:t>4.4</w:t>
      </w:r>
      <w:r>
        <w:rPr>
          <w:noProof/>
        </w:rPr>
        <w:tab/>
        <w:t>Разпределение на финансовото участие на Съюза по държави членки</w:t>
      </w:r>
      <w:bookmarkEnd w:id="11"/>
    </w:p>
    <w:p>
      <w:pPr>
        <w:spacing w:after="120"/>
        <w:jc w:val="both"/>
        <w:rPr>
          <w:rFonts w:ascii="Times New Roman" w:hAnsi="Times New Roman" w:cs="Times New Roman"/>
          <w:noProof/>
          <w:sz w:val="24"/>
          <w:szCs w:val="24"/>
        </w:rPr>
      </w:pPr>
      <w:r>
        <w:rPr>
          <w:rFonts w:ascii="Times New Roman" w:hAnsi="Times New Roman"/>
          <w:noProof/>
        </w:rPr>
        <w:t xml:space="preserve">Правилата за разпределяне на финансовото участие на Съюза по програмите за пчеларството са установени в член 4 от Делегиран регламент (ЕС) 2015/1366 на Комисията. Основният критерий за разпределянето му е делът на пчелните кошери във всяка държава членка, участваща в програмата. Това е една от причините за правилата за задължително определяне от страна на държавите членки на броя на пчелните кошери и уведомяване на Комисията за тях, описани по-подробно в раздел 5 от настоящия доклад. </w:t>
      </w:r>
    </w:p>
    <w:p>
      <w:pPr>
        <w:spacing w:after="120"/>
        <w:jc w:val="both"/>
        <w:rPr>
          <w:rFonts w:ascii="Times New Roman" w:hAnsi="Times New Roman" w:cs="Times New Roman"/>
          <w:noProof/>
          <w:sz w:val="24"/>
          <w:szCs w:val="24"/>
          <w:highlight w:val="yellow"/>
        </w:rPr>
      </w:pPr>
      <w:r>
        <w:rPr>
          <w:rFonts w:ascii="Times New Roman" w:hAnsi="Times New Roman"/>
          <w:noProof/>
        </w:rPr>
        <w:t xml:space="preserve">Минималното финансово участие на Съюза за всяка програма за пчеларството е 25 000 евро. Оставащото финансиране от Съюза се разпределя в зависимост от дела на пчелните кошери, за които държавите членки са подали уведомления. Ако обаче държава членка поиска по-малка сума от онази, на която би имала право въз основа на своя дял пчелни кошери, оставащото финансиране от Съюза може да бъде разпределено на държавите членки, които са поискали по-голяма сума от техния теоретичен дял от финансирането. </w:t>
      </w:r>
    </w:p>
    <w:p>
      <w:pPr>
        <w:spacing w:after="120"/>
        <w:jc w:val="both"/>
        <w:rPr>
          <w:rFonts w:ascii="Times New Roman" w:hAnsi="Times New Roman" w:cs="Times New Roman"/>
          <w:noProof/>
          <w:sz w:val="24"/>
          <w:szCs w:val="24"/>
        </w:rPr>
      </w:pPr>
      <w:r>
        <w:rPr>
          <w:rFonts w:ascii="Times New Roman" w:hAnsi="Times New Roman"/>
          <w:noProof/>
        </w:rPr>
        <w:t>В съответствие с член 8, параграф 2 от Регламент (ЕС) 2015/1368 разпределението на финансирането от Съюза по програмите за пчеларството за периода 2017—2019 г. е направено въз основа на броя на пчелните кошери, съобщени от държавите членки през 2013 г. За програмите за пчеларството за периода 2020—2022 г., за които Комисията е била уведомена през 2019 г., разпределението се основава на броя на пчелните кошери, за които са изпратени уведомления през 2017 г. и 2018 г. (двете календарни години непосредствено преди годината, през която Комисията е била уведомена за националните програми за пчеларството).</w:t>
      </w:r>
    </w:p>
    <w:p>
      <w:pPr>
        <w:jc w:val="both"/>
        <w:rPr>
          <w:rFonts w:ascii="Times New Roman" w:hAnsi="Times New Roman" w:cs="Times New Roman"/>
          <w:noProof/>
          <w:sz w:val="24"/>
          <w:szCs w:val="24"/>
        </w:rPr>
      </w:pPr>
      <w:r>
        <w:rPr>
          <w:rFonts w:ascii="Times New Roman" w:hAnsi="Times New Roman"/>
          <w:i/>
          <w:noProof/>
        </w:rPr>
        <w:t>Фигура 5: Разпределение на финансовото участие на Съюза по държави членки за пчеларски години 2020—2022</w:t>
      </w:r>
    </w:p>
    <w:p>
      <w:pPr>
        <w:jc w:val="both"/>
        <w:rPr>
          <w:rFonts w:ascii="Times New Roman" w:hAnsi="Times New Roman" w:cs="Times New Roman"/>
          <w:noProof/>
          <w:sz w:val="24"/>
          <w:szCs w:val="24"/>
        </w:rPr>
      </w:pPr>
      <w:r>
        <w:rPr>
          <w:noProof/>
          <w:lang w:val="en-GB" w:eastAsia="en-GB"/>
        </w:rPr>
        <w:drawing>
          <wp:inline distT="0" distB="0" distL="0" distR="0">
            <wp:extent cx="6047509" cy="3917373"/>
            <wp:effectExtent l="0" t="0" r="1079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Heading2"/>
        <w:rPr>
          <w:noProof/>
        </w:rPr>
      </w:pPr>
      <w:bookmarkStart w:id="12" w:name="_Toc27041784"/>
      <w:r>
        <w:rPr>
          <w:noProof/>
        </w:rPr>
        <w:t>4.5</w:t>
      </w:r>
      <w:r>
        <w:rPr>
          <w:noProof/>
        </w:rPr>
        <w:tab/>
        <w:t>Направени разходи по вид мярка</w:t>
      </w:r>
      <w:bookmarkEnd w:id="12"/>
    </w:p>
    <w:p>
      <w:pPr>
        <w:spacing w:after="120"/>
        <w:jc w:val="both"/>
        <w:rPr>
          <w:rFonts w:ascii="Times New Roman" w:hAnsi="Times New Roman" w:cs="Times New Roman"/>
          <w:noProof/>
          <w:sz w:val="24"/>
          <w:szCs w:val="24"/>
        </w:rPr>
      </w:pPr>
      <w:r>
        <w:rPr>
          <w:rFonts w:ascii="Times New Roman" w:hAnsi="Times New Roman"/>
          <w:noProof/>
        </w:rPr>
        <w:t>В съответствие с член 10 от Регламент (ЕС) 2015/1368 държавите членки предават ежегодно в срок до 15 март годишен доклад за изпълнението през предходната пчеларска година. Първите два годишни доклада за пчеларските години 2017</w:t>
      </w:r>
      <w:r>
        <w:rPr>
          <w:rStyle w:val="FootnoteReference"/>
          <w:rFonts w:ascii="Times New Roman" w:hAnsi="Times New Roman" w:cs="Times New Roman"/>
          <w:noProof/>
        </w:rPr>
        <w:footnoteReference w:id="18"/>
      </w:r>
      <w:r>
        <w:rPr>
          <w:rFonts w:ascii="Times New Roman" w:hAnsi="Times New Roman"/>
          <w:noProof/>
        </w:rPr>
        <w:t xml:space="preserve"> и 2018</w:t>
      </w:r>
      <w:r>
        <w:rPr>
          <w:rStyle w:val="FootnoteReference"/>
          <w:rFonts w:ascii="Times New Roman" w:hAnsi="Times New Roman" w:cs="Times New Roman"/>
          <w:noProof/>
        </w:rPr>
        <w:footnoteReference w:id="19"/>
      </w:r>
      <w:r>
        <w:rPr>
          <w:rFonts w:ascii="Times New Roman" w:hAnsi="Times New Roman"/>
          <w:noProof/>
        </w:rPr>
        <w:t xml:space="preserve"> бяха предадени съответно през 2018 г. и 2019 г. Разбивката на разходите по видове мерки за пчеларска година 2018 е представена на кръговата диаграма по-долу </w:t>
      </w:r>
      <w:r>
        <w:rPr>
          <w:rFonts w:ascii="Times New Roman" w:hAnsi="Times New Roman"/>
          <w:i/>
          <w:noProof/>
        </w:rPr>
        <w:t>(фигура 6)</w:t>
      </w:r>
      <w:r>
        <w:rPr>
          <w:rFonts w:ascii="Times New Roman" w:hAnsi="Times New Roman"/>
          <w:noProof/>
        </w:rPr>
        <w:t>. С цел хронологична съпоставка са включени и разходите по видове мерки за  пчеларска година 2015</w:t>
      </w:r>
      <w:r>
        <w:rPr>
          <w:rFonts w:ascii="Times New Roman" w:hAnsi="Times New Roman"/>
          <w:i/>
          <w:noProof/>
        </w:rPr>
        <w:t>(фигура 7)</w:t>
      </w:r>
      <w:r>
        <w:rPr>
          <w:rFonts w:ascii="Times New Roman" w:hAnsi="Times New Roman"/>
          <w:noProof/>
        </w:rPr>
        <w:t>, които показват, че макар на онзи етап програмите са можели да съдържат само шест мерки, общото разпределение, измерено в проценти, се запазва сходно.</w:t>
      </w:r>
      <w:r>
        <w:rPr>
          <w:rFonts w:ascii="Times New Roman" w:hAnsi="Times New Roman"/>
          <w:noProof/>
        </w:rPr>
        <w:tab/>
      </w:r>
    </w:p>
    <w:p>
      <w:pPr>
        <w:spacing w:after="120"/>
        <w:jc w:val="both"/>
        <w:rPr>
          <w:rFonts w:ascii="Times New Roman" w:hAnsi="Times New Roman" w:cs="Times New Roman"/>
          <w:noProof/>
          <w:sz w:val="24"/>
          <w:szCs w:val="24"/>
        </w:rPr>
      </w:pPr>
      <w:r>
        <w:rPr>
          <w:rFonts w:ascii="Times New Roman" w:hAnsi="Times New Roman"/>
          <w:noProof/>
        </w:rPr>
        <w:t xml:space="preserve">През 2018 г., както и през предходните години, най-голяма част от наличното финансиране, т.е. общо близо 60 %, бе разпределена за двете мерки за </w:t>
      </w:r>
      <w:r>
        <w:rPr>
          <w:rFonts w:ascii="Times New Roman" w:hAnsi="Times New Roman"/>
          <w:b/>
          <w:noProof/>
        </w:rPr>
        <w:t>техническа помощ</w:t>
      </w:r>
      <w:r>
        <w:rPr>
          <w:rFonts w:ascii="Times New Roman" w:hAnsi="Times New Roman"/>
          <w:noProof/>
        </w:rPr>
        <w:t xml:space="preserve"> и за </w:t>
      </w:r>
      <w:r>
        <w:rPr>
          <w:rFonts w:ascii="Times New Roman" w:hAnsi="Times New Roman"/>
          <w:b/>
          <w:noProof/>
        </w:rPr>
        <w:t>борба срещу агресорите в кошера</w:t>
      </w:r>
      <w:r>
        <w:rPr>
          <w:rFonts w:ascii="Times New Roman" w:hAnsi="Times New Roman"/>
          <w:noProof/>
        </w:rPr>
        <w:t xml:space="preserve">. Този факт отразява продължаващата нужда на сектора от инвестиции в пчеларско оборудване, осъвременяване на пчеларските практики с оглед на борбата срещу болестите и агресорите в пчелните кошери, както и нуждата да се осигурява обучение за пчеларите. </w:t>
      </w:r>
    </w:p>
    <w:p>
      <w:pPr>
        <w:spacing w:after="120"/>
        <w:jc w:val="both"/>
        <w:rPr>
          <w:rFonts w:ascii="Times New Roman" w:hAnsi="Times New Roman" w:cs="Times New Roman"/>
          <w:noProof/>
          <w:sz w:val="24"/>
          <w:szCs w:val="24"/>
        </w:rPr>
      </w:pPr>
      <w:r>
        <w:rPr>
          <w:rFonts w:ascii="Times New Roman" w:hAnsi="Times New Roman"/>
          <w:noProof/>
        </w:rPr>
        <w:t xml:space="preserve">Както и през предходните години, двете мерки за </w:t>
      </w:r>
      <w:r>
        <w:rPr>
          <w:rFonts w:ascii="Times New Roman" w:hAnsi="Times New Roman"/>
          <w:b/>
          <w:noProof/>
        </w:rPr>
        <w:t>подновяване на пчелните кошери</w:t>
      </w:r>
      <w:r>
        <w:rPr>
          <w:rFonts w:ascii="Times New Roman" w:hAnsi="Times New Roman"/>
          <w:noProof/>
        </w:rPr>
        <w:t xml:space="preserve"> и за </w:t>
      </w:r>
      <w:r>
        <w:rPr>
          <w:rFonts w:ascii="Times New Roman" w:hAnsi="Times New Roman"/>
          <w:b/>
          <w:noProof/>
        </w:rPr>
        <w:t>рационализиране на подвижното пчеларство</w:t>
      </w:r>
      <w:r>
        <w:rPr>
          <w:rFonts w:ascii="Times New Roman" w:hAnsi="Times New Roman"/>
          <w:noProof/>
        </w:rPr>
        <w:t xml:space="preserve"> заемат третото и четвъртото място по популярност, като на двете взети заедно се падат 30 % от финансирането. В някои държави членки подвижното пчеларство е изключително важна пчеларска практика, която е необходима за задоволяването на хранителните потребности на медоносните пчели през целия пчеларски сезон и за осигуряването на функциите по опрашване. </w:t>
      </w:r>
    </w:p>
    <w:p>
      <w:pPr>
        <w:spacing w:after="120"/>
        <w:jc w:val="both"/>
        <w:rPr>
          <w:rFonts w:ascii="Times New Roman" w:hAnsi="Times New Roman" w:cs="Times New Roman"/>
          <w:noProof/>
          <w:sz w:val="24"/>
          <w:szCs w:val="24"/>
        </w:rPr>
      </w:pPr>
      <w:r>
        <w:rPr>
          <w:rFonts w:ascii="Times New Roman" w:hAnsi="Times New Roman"/>
          <w:b/>
          <w:bCs/>
          <w:noProof/>
        </w:rPr>
        <w:t>Мярката за приложни изследвания</w:t>
      </w:r>
      <w:r>
        <w:rPr>
          <w:rFonts w:ascii="Times New Roman" w:hAnsi="Times New Roman"/>
          <w:noProof/>
        </w:rPr>
        <w:t xml:space="preserve"> и </w:t>
      </w:r>
      <w:r>
        <w:rPr>
          <w:rFonts w:ascii="Times New Roman" w:hAnsi="Times New Roman"/>
          <w:b/>
          <w:bCs/>
          <w:noProof/>
        </w:rPr>
        <w:t>мярката за анализи на пчелния мед</w:t>
      </w:r>
      <w:r>
        <w:rPr>
          <w:rFonts w:ascii="Times New Roman" w:hAnsi="Times New Roman"/>
          <w:noProof/>
        </w:rPr>
        <w:t xml:space="preserve"> остават на пето и на шесто място, съответно с 3,48 % и 2,45 % от наличното финансиране през 2018 г.</w:t>
      </w:r>
    </w:p>
    <w:p>
      <w:pPr>
        <w:spacing w:after="120"/>
        <w:jc w:val="both"/>
        <w:rPr>
          <w:rFonts w:ascii="Times New Roman" w:hAnsi="Times New Roman" w:cs="Times New Roman"/>
          <w:noProof/>
          <w:sz w:val="24"/>
          <w:szCs w:val="24"/>
        </w:rPr>
      </w:pPr>
      <w:r>
        <w:rPr>
          <w:rFonts w:ascii="Times New Roman" w:hAnsi="Times New Roman"/>
          <w:noProof/>
        </w:rPr>
        <w:t xml:space="preserve">Двете нови мерки, за </w:t>
      </w:r>
      <w:r>
        <w:rPr>
          <w:rFonts w:ascii="Times New Roman" w:hAnsi="Times New Roman"/>
          <w:b/>
          <w:noProof/>
        </w:rPr>
        <w:t>подобряване на качеството на продуктите</w:t>
      </w:r>
      <w:r>
        <w:rPr>
          <w:rFonts w:ascii="Times New Roman" w:hAnsi="Times New Roman"/>
          <w:noProof/>
        </w:rPr>
        <w:t xml:space="preserve"> (0,69 % от общите разходи) и за </w:t>
      </w:r>
      <w:r>
        <w:rPr>
          <w:rFonts w:ascii="Times New Roman" w:hAnsi="Times New Roman"/>
          <w:b/>
          <w:bCs/>
          <w:noProof/>
        </w:rPr>
        <w:t>наблюдение на пазара</w:t>
      </w:r>
      <w:r>
        <w:rPr>
          <w:rFonts w:ascii="Times New Roman" w:hAnsi="Times New Roman"/>
          <w:noProof/>
        </w:rPr>
        <w:t xml:space="preserve">, взети заедно, са получили под 1 % от финансирането. </w:t>
      </w:r>
    </w:p>
    <w:p>
      <w:pPr>
        <w:rPr>
          <w:rFonts w:ascii="Times New Roman" w:hAnsi="Times New Roman" w:cs="Times New Roman"/>
          <w:i/>
          <w:noProof/>
          <w:sz w:val="8"/>
          <w:szCs w:val="24"/>
        </w:rPr>
      </w:pPr>
      <w:r>
        <w:rPr>
          <w:rFonts w:ascii="Times New Roman" w:hAnsi="Times New Roman"/>
          <w:i/>
          <w:noProof/>
        </w:rPr>
        <w:t>Фигура 6: Разходи по мерки през пчеларска година 2018, изразени в проценти</w:t>
      </w:r>
      <w:r>
        <w:rPr>
          <w:rFonts w:ascii="Times New Roman" w:hAnsi="Times New Roman"/>
          <w:i/>
          <w:noProof/>
        </w:rPr>
        <w:br/>
      </w:r>
    </w:p>
    <w:p>
      <w:pPr>
        <w:rPr>
          <w:rFonts w:ascii="Times New Roman" w:hAnsi="Times New Roman" w:cs="Times New Roman"/>
          <w:noProof/>
          <w:sz w:val="24"/>
          <w:szCs w:val="24"/>
        </w:rPr>
      </w:pPr>
      <w:r>
        <w:rPr>
          <w:noProof/>
          <w:lang w:val="en-GB" w:eastAsia="en-GB"/>
        </w:rPr>
        <w:drawing>
          <wp:inline distT="0" distB="0" distL="0" distR="0">
            <wp:extent cx="3987053" cy="2938182"/>
            <wp:effectExtent l="0" t="0" r="13970"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before="600"/>
        <w:jc w:val="both"/>
        <w:rPr>
          <w:rFonts w:ascii="Times New Roman" w:hAnsi="Times New Roman" w:cs="Times New Roman"/>
          <w:i/>
          <w:noProof/>
          <w:sz w:val="24"/>
          <w:szCs w:val="24"/>
        </w:rPr>
      </w:pPr>
      <w:r>
        <w:rPr>
          <w:rFonts w:ascii="Times New Roman" w:hAnsi="Times New Roman"/>
          <w:i/>
          <w:noProof/>
        </w:rPr>
        <w:t>Фигура 7: Разходи по мерки през пчеларска година 2015, изразени в проценти</w:t>
      </w:r>
    </w:p>
    <w:p>
      <w:pPr>
        <w:jc w:val="both"/>
        <w:rPr>
          <w:rFonts w:ascii="Times New Roman" w:hAnsi="Times New Roman" w:cs="Times New Roman"/>
          <w:noProof/>
          <w:sz w:val="24"/>
          <w:szCs w:val="24"/>
        </w:rPr>
      </w:pPr>
      <w:r>
        <w:rPr>
          <w:noProof/>
          <w:lang w:val="en-GB" w:eastAsia="en-GB"/>
        </w:rPr>
        <w:drawing>
          <wp:inline distT="0" distB="0" distL="0" distR="0">
            <wp:extent cx="4000500" cy="30384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Heading1"/>
        <w:rPr>
          <w:noProof/>
        </w:rPr>
      </w:pPr>
      <w:bookmarkStart w:id="13" w:name="_Toc27041785"/>
      <w:r>
        <w:rPr>
          <w:noProof/>
        </w:rPr>
        <w:t>5.</w:t>
      </w:r>
      <w:r>
        <w:rPr>
          <w:noProof/>
        </w:rPr>
        <w:tab/>
        <w:t>МЕТОДИ ЗА ОПРЕДЕЛЯНЕ НА БРОЯ НА ПЧЕЛНИТЕ КОШЕРИ</w:t>
      </w:r>
      <w:bookmarkEnd w:id="13"/>
      <w:r>
        <w:rPr>
          <w:noProof/>
        </w:rPr>
        <w:t xml:space="preserve"> </w:t>
      </w:r>
    </w:p>
    <w:p>
      <w:pPr>
        <w:spacing w:after="120"/>
        <w:jc w:val="both"/>
        <w:rPr>
          <w:rFonts w:ascii="Times New Roman" w:hAnsi="Times New Roman" w:cs="Times New Roman"/>
          <w:noProof/>
          <w:sz w:val="24"/>
          <w:szCs w:val="24"/>
        </w:rPr>
      </w:pPr>
      <w:r>
        <w:rPr>
          <w:rFonts w:ascii="Times New Roman" w:hAnsi="Times New Roman"/>
          <w:noProof/>
        </w:rPr>
        <w:t>Както е описано в раздел 4.2 от настоящия доклад, бяха въведени промени, за да се осигури по-добро разпределение на бюджета на ЕС, като се подобрят методите, които държавите членки използват за определяне на броя на пчелните кошери на тяхната територия. В съответствие с правомощията, предоставени от разпоредбата на член 56, параграф 1, буква б) от Регламента за ООП, Комисията прие делегиран акт за определяне на базата за разпределяне на финансовия принос на Съюза по програмите за пчеларството на държавите членки въз основа на броя на пчелните кошери</w:t>
      </w:r>
      <w:r>
        <w:rPr>
          <w:rStyle w:val="FootnoteReference"/>
          <w:rFonts w:ascii="Times New Roman" w:hAnsi="Times New Roman" w:cs="Times New Roman"/>
          <w:noProof/>
        </w:rPr>
        <w:footnoteReference w:id="20"/>
      </w:r>
      <w:r>
        <w:rPr>
          <w:rFonts w:ascii="Times New Roman" w:hAnsi="Times New Roman"/>
          <w:noProof/>
        </w:rPr>
        <w:t>. С делегирания акт се въвежда следното определение за „пчелен кошер“: „</w:t>
      </w:r>
      <w:r>
        <w:rPr>
          <w:rFonts w:ascii="Times New Roman" w:hAnsi="Times New Roman"/>
          <w:i/>
          <w:iCs/>
          <w:noProof/>
        </w:rPr>
        <w:t>... жилището, заселено с пчелно семейство, използвано за производство на пчелен мед и други пчелни продукти или материал за размножаване на пчели, както и всички елементи, необходими за оцеляването на пчелното семейство</w:t>
      </w:r>
      <w:r>
        <w:rPr>
          <w:rFonts w:ascii="Times New Roman" w:hAnsi="Times New Roman"/>
          <w:noProof/>
        </w:rPr>
        <w:t>“.</w:t>
      </w:r>
      <w:r>
        <w:rPr>
          <w:rFonts w:ascii="Times New Roman" w:hAnsi="Times New Roman"/>
          <w:i/>
          <w:noProof/>
        </w:rPr>
        <w:t xml:space="preserve"> </w:t>
      </w:r>
      <w:r>
        <w:rPr>
          <w:rFonts w:ascii="Times New Roman" w:hAnsi="Times New Roman"/>
          <w:noProof/>
        </w:rPr>
        <w:t xml:space="preserve">Освен това с акта се определя задължение за държавите членки, които представят национални програми за пчеларството, да разполагат с надежден метод, чрез който между 1 септември и 31 декември всяка година да определят броя на подготвените за зимуване пчелни кошери на тяхна територия. </w:t>
      </w:r>
    </w:p>
    <w:p>
      <w:pPr>
        <w:spacing w:after="120"/>
        <w:jc w:val="both"/>
        <w:rPr>
          <w:rFonts w:ascii="Times New Roman" w:hAnsi="Times New Roman" w:cs="Times New Roman"/>
          <w:noProof/>
          <w:sz w:val="24"/>
          <w:szCs w:val="24"/>
        </w:rPr>
      </w:pPr>
      <w:r>
        <w:rPr>
          <w:rFonts w:ascii="Times New Roman" w:hAnsi="Times New Roman"/>
          <w:noProof/>
        </w:rPr>
        <w:t>Като се има предвид, че преди прилагането на този делегиран акт не е съществувало хармонизирано правило във връзка с описаните по-горе въпроси, броят на пчелните кошери, за които са подадени уведомления преди прилагането му през 2017 г., не трябва да бъде пряко сравняван с броя на пчелните кошери, за които са подадени уведомления към март 2017 г.  Въпреки това дългосрочната тенденция през изминалия период показва, че броят на пчелните кошери в Европейския съюз е нараствал през последното десетилетие. Тази положителна тенденция може да се наблюдава в почти всички държави членки.</w:t>
      </w:r>
    </w:p>
    <w:p>
      <w:pPr>
        <w:rPr>
          <w:rFonts w:ascii="Times New Roman" w:hAnsi="Times New Roman" w:cs="Times New Roman"/>
          <w:noProof/>
          <w:sz w:val="20"/>
          <w:szCs w:val="20"/>
        </w:rPr>
      </w:pPr>
      <w:r>
        <w:rPr>
          <w:noProof/>
          <w:lang w:val="en-GB" w:eastAsia="en-GB"/>
        </w:rPr>
        <w:drawing>
          <wp:anchor distT="0" distB="0" distL="114300" distR="114300" simplePos="0" relativeHeight="251660800" behindDoc="0" locked="0" layoutInCell="1" allowOverlap="1">
            <wp:simplePos x="0" y="0"/>
            <wp:positionH relativeFrom="column">
              <wp:posOffset>-156551</wp:posOffset>
            </wp:positionH>
            <wp:positionV relativeFrom="paragraph">
              <wp:posOffset>242428</wp:posOffset>
            </wp:positionV>
            <wp:extent cx="5970905" cy="3908425"/>
            <wp:effectExtent l="0" t="0" r="0" b="0"/>
            <wp:wrapThrough wrapText="bothSides">
              <wp:wrapPolygon edited="0">
                <wp:start x="0" y="0"/>
                <wp:lineTo x="0" y="21477"/>
                <wp:lineTo x="21501" y="21477"/>
                <wp:lineTo x="2150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7220" t="11371" r="57319" b="6106"/>
                    <a:stretch/>
                  </pic:blipFill>
                  <pic:spPr bwMode="auto">
                    <a:xfrm>
                      <a:off x="0" y="0"/>
                      <a:ext cx="5970905" cy="3908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i/>
          <w:noProof/>
        </w:rPr>
        <w:t xml:space="preserve">Фигура 8: Промяна в броя на пчелните кошери в ЕС, изразена в хиляди </w:t>
      </w:r>
    </w:p>
    <w:p>
      <w:pPr>
        <w:rPr>
          <w:rFonts w:ascii="Times New Roman" w:hAnsi="Times New Roman" w:cs="Times New Roman"/>
          <w:noProof/>
          <w:sz w:val="24"/>
          <w:szCs w:val="24"/>
        </w:rPr>
      </w:pPr>
      <w:r>
        <w:rPr>
          <w:rFonts w:ascii="Times New Roman" w:hAnsi="Times New Roman"/>
          <w:noProof/>
        </w:rPr>
        <w:t xml:space="preserve">В съответствие с Регламент за изпълнение (ЕС) 2015/1368 на Комисията в своите национални програми за пчеларството държавите членки представят описание на метода, използван за определяне на броя на пчелните кошери на тяхната територия. </w:t>
      </w:r>
    </w:p>
    <w:p>
      <w:pPr>
        <w:spacing w:after="120"/>
        <w:jc w:val="both"/>
        <w:rPr>
          <w:rFonts w:ascii="Times New Roman" w:hAnsi="Times New Roman" w:cs="Times New Roman"/>
          <w:noProof/>
          <w:sz w:val="24"/>
          <w:szCs w:val="24"/>
        </w:rPr>
      </w:pPr>
      <w:r>
        <w:rPr>
          <w:rFonts w:ascii="Times New Roman" w:hAnsi="Times New Roman"/>
          <w:noProof/>
        </w:rPr>
        <w:t xml:space="preserve">Общо 17 държави членки използват задължителни методи за определяне на броя на пчелните кошери, включително държавите членки с най-голям брой кошери, като Испания, Румъния, Италия, Франция и Гърция.  Задължителните методи могат да включват задължителното вписване на пчеларите и/или пчелните кошери в специален регистър, създаден за тази конкретна цел, или използването на данни от други задължителни регистри, като например ветеринарни информационни системи. </w:t>
      </w:r>
    </w:p>
    <w:p>
      <w:pPr>
        <w:spacing w:after="120"/>
        <w:jc w:val="both"/>
        <w:rPr>
          <w:rFonts w:ascii="Times New Roman" w:hAnsi="Times New Roman" w:cs="Times New Roman"/>
          <w:noProof/>
          <w:sz w:val="24"/>
          <w:szCs w:val="24"/>
        </w:rPr>
      </w:pPr>
      <w:r>
        <w:rPr>
          <w:rFonts w:ascii="Times New Roman" w:hAnsi="Times New Roman"/>
          <w:noProof/>
        </w:rPr>
        <w:t xml:space="preserve">Общо 11 държави членки използват вместо това други методи, различни от задължителна регистрация. В това число са държавите членки с по-малък брой пчелни кошери, като Швеция, Дания, Ирландия и Естония. Тези държави членки могат да разчитат на информация, получена от организации на пчелари, от проучвания, преброявания или комбинация от тези методи. </w:t>
      </w:r>
    </w:p>
    <w:p>
      <w:pPr>
        <w:spacing w:after="120"/>
        <w:jc w:val="both"/>
        <w:rPr>
          <w:rFonts w:ascii="Times New Roman" w:hAnsi="Times New Roman" w:cs="Times New Roman"/>
          <w:noProof/>
          <w:sz w:val="24"/>
          <w:szCs w:val="24"/>
        </w:rPr>
      </w:pPr>
      <w:r>
        <w:rPr>
          <w:rFonts w:ascii="Times New Roman" w:hAnsi="Times New Roman"/>
          <w:noProof/>
        </w:rPr>
        <w:t xml:space="preserve">Като цяло задължителната регистрация на пчелните кошери се счита за най-надеждния метод, но тя създава административна тежест за пчеларите и държавите членки: според националното право пчеларите са задължени да регистрират своята дейност и да декларират броя на пчелните си кошери пред администрацията. </w:t>
      </w:r>
    </w:p>
    <w:p>
      <w:pPr>
        <w:spacing w:after="120"/>
        <w:jc w:val="both"/>
        <w:rPr>
          <w:rFonts w:ascii="Times New Roman" w:hAnsi="Times New Roman" w:cs="Times New Roman"/>
          <w:noProof/>
          <w:sz w:val="24"/>
          <w:szCs w:val="24"/>
        </w:rPr>
      </w:pPr>
      <w:r>
        <w:rPr>
          <w:rFonts w:ascii="Times New Roman" w:hAnsi="Times New Roman"/>
          <w:noProof/>
        </w:rPr>
        <w:t>Надеждността на другите методи за определяне на броя на пчелните кошери зависи от качеството на базата данни, която се поддържа от организациите на пчелари, и от представителността на извадката от данни за пчеларите, която е избрана, за да се осигури информация за броя на техните пчелни кошери.</w:t>
      </w:r>
    </w:p>
    <w:p>
      <w:pPr>
        <w:pStyle w:val="Heading1"/>
        <w:rPr>
          <w:rStyle w:val="Heading1Char"/>
          <w:b/>
          <w:noProof/>
          <w:sz w:val="24"/>
        </w:rPr>
      </w:pPr>
      <w:bookmarkStart w:id="14" w:name="_Toc27041786"/>
      <w:r>
        <w:rPr>
          <w:noProof/>
        </w:rPr>
        <w:t>6.</w:t>
      </w:r>
      <w:r>
        <w:rPr>
          <w:noProof/>
        </w:rPr>
        <w:tab/>
        <w:t xml:space="preserve">СЕКТОРЪТ НА ПЧЕЛАРСТВОТО В ОБЩАТА СЕЛСКОСТОПАНСКА ПОЛИТИКА </w:t>
      </w:r>
      <w:r>
        <w:rPr>
          <w:rStyle w:val="Heading1Char"/>
          <w:b/>
          <w:noProof/>
        </w:rPr>
        <w:t>СЛЕД 2020 Г.</w:t>
      </w:r>
      <w:bookmarkEnd w:id="14"/>
      <w:r>
        <w:rPr>
          <w:rStyle w:val="Heading1Char"/>
          <w:b/>
          <w:noProof/>
        </w:rPr>
        <w:t xml:space="preserve"> </w:t>
      </w:r>
    </w:p>
    <w:p>
      <w:pPr>
        <w:spacing w:after="120"/>
        <w:jc w:val="both"/>
        <w:rPr>
          <w:rFonts w:ascii="Times New Roman" w:hAnsi="Times New Roman" w:cs="Times New Roman"/>
          <w:noProof/>
          <w:sz w:val="24"/>
        </w:rPr>
      </w:pPr>
      <w:r>
        <w:rPr>
          <w:rFonts w:ascii="Times New Roman" w:hAnsi="Times New Roman"/>
          <w:noProof/>
        </w:rPr>
        <w:t>В своето предложение относно ОСП след 2020 г.</w:t>
      </w:r>
      <w:r>
        <w:rPr>
          <w:rStyle w:val="FootnoteReference"/>
          <w:rFonts w:ascii="Times New Roman" w:hAnsi="Times New Roman" w:cs="Times New Roman"/>
          <w:noProof/>
        </w:rPr>
        <w:footnoteReference w:id="21"/>
      </w:r>
      <w:r>
        <w:rPr>
          <w:rFonts w:ascii="Times New Roman" w:hAnsi="Times New Roman"/>
          <w:noProof/>
        </w:rPr>
        <w:t xml:space="preserve"> Комисията предлага програмите за пчеларството да бъдат изместени от Регламента за обща организация на пазарите в Регламента относно стратегическите планове по ОСП</w:t>
      </w:r>
      <w:r>
        <w:rPr>
          <w:rStyle w:val="FootnoteReference"/>
          <w:rFonts w:ascii="Times New Roman" w:hAnsi="Times New Roman" w:cs="Times New Roman"/>
          <w:noProof/>
        </w:rPr>
        <w:footnoteReference w:id="22"/>
      </w:r>
      <w:r>
        <w:rPr>
          <w:rFonts w:ascii="Times New Roman" w:hAnsi="Times New Roman"/>
          <w:noProof/>
        </w:rPr>
        <w:t>. Това ще увеличи видимостта на сектора на пчеларството и ще гарантира, че неговият принос към общите цели на общата селскостопанска политика се взема под внимание.</w:t>
      </w:r>
    </w:p>
    <w:p>
      <w:pPr>
        <w:spacing w:after="120"/>
        <w:jc w:val="both"/>
        <w:rPr>
          <w:rFonts w:ascii="Times New Roman" w:hAnsi="Times New Roman" w:cs="Times New Roman"/>
          <w:noProof/>
          <w:sz w:val="24"/>
        </w:rPr>
      </w:pPr>
      <w:r>
        <w:rPr>
          <w:rFonts w:ascii="Times New Roman" w:hAnsi="Times New Roman"/>
          <w:noProof/>
        </w:rPr>
        <w:t>Предложението включва също така увеличаване на финансирането по програмите за пчеларството на 60 милиона евро годишно. Това означава, че през 7-годишния период на бъдещата ОСП на разположение на сектора ще бъде предоставено финансиране от Съюза, заедно с финансово участие на държавите членки, на обща стойност 840 милиона евро. Друга промяна, която се въвежда с предложението, е това, че годишното финансиране, разпределено по програмите за пчеларството на държавите членки, е определено в основния акт</w:t>
      </w:r>
      <w:r>
        <w:rPr>
          <w:rStyle w:val="FootnoteReference"/>
          <w:rFonts w:ascii="Times New Roman" w:hAnsi="Times New Roman" w:cs="Times New Roman"/>
          <w:noProof/>
        </w:rPr>
        <w:footnoteReference w:id="23"/>
      </w:r>
      <w:r>
        <w:rPr>
          <w:rFonts w:ascii="Times New Roman" w:hAnsi="Times New Roman"/>
          <w:noProof/>
        </w:rPr>
        <w:t xml:space="preserve">. </w:t>
      </w:r>
    </w:p>
    <w:p>
      <w:pPr>
        <w:spacing w:after="120"/>
        <w:jc w:val="both"/>
        <w:rPr>
          <w:rFonts w:ascii="Times New Roman" w:hAnsi="Times New Roman" w:cs="Times New Roman"/>
          <w:noProof/>
          <w:sz w:val="24"/>
        </w:rPr>
      </w:pPr>
      <w:r>
        <w:rPr>
          <w:rFonts w:ascii="Times New Roman" w:hAnsi="Times New Roman"/>
          <w:noProof/>
        </w:rPr>
        <w:t xml:space="preserve">Продължава да е необходимо броят на пчелните кошери в държавите членки да бъде известен, за да се проследява тенденцията, да се оценява въздействието на мерките за подпомагане върху сектора на пчеларството и да се информират европейските граждани. Поради това в предложението на Комисията продължава да присъства задължението държавите членки да отчитат броя на пчелните кошери и да съобщават резултатите на Комисията.  </w:t>
      </w:r>
    </w:p>
    <w:p>
      <w:pPr>
        <w:spacing w:after="120"/>
        <w:jc w:val="both"/>
        <w:rPr>
          <w:rFonts w:ascii="Calibri" w:hAnsi="Calibri"/>
          <w:noProof/>
          <w:color w:val="1F497D"/>
        </w:rPr>
      </w:pPr>
      <w:r>
        <w:rPr>
          <w:rFonts w:ascii="Times New Roman" w:hAnsi="Times New Roman"/>
          <w:noProof/>
        </w:rPr>
        <w:t>Докато в рамките на Регламента за ООП програмите за пчеларството бяха доброволни, Комисията предлага те да станат задължителни в стратегическите планове по ОСП на държавите членки.</w:t>
      </w:r>
    </w:p>
    <w:p>
      <w:pPr>
        <w:pStyle w:val="Heading1"/>
        <w:rPr>
          <w:rStyle w:val="Heading1Char"/>
          <w:b/>
          <w:bCs/>
          <w:noProof/>
        </w:rPr>
      </w:pPr>
      <w:bookmarkStart w:id="15" w:name="_Toc27041787"/>
      <w:r>
        <w:rPr>
          <w:rStyle w:val="Heading1Char"/>
          <w:b/>
          <w:bCs/>
          <w:noProof/>
        </w:rPr>
        <w:t>7.</w:t>
      </w:r>
      <w:r>
        <w:rPr>
          <w:rStyle w:val="Heading1Char"/>
          <w:b/>
          <w:bCs/>
          <w:noProof/>
        </w:rPr>
        <w:tab/>
        <w:t>ЗАКЛЮЧЕНИЕ</w:t>
      </w:r>
      <w:bookmarkEnd w:id="15"/>
    </w:p>
    <w:p>
      <w:pPr>
        <w:spacing w:after="120"/>
        <w:jc w:val="both"/>
        <w:rPr>
          <w:rFonts w:ascii="Times New Roman" w:hAnsi="Times New Roman" w:cs="Times New Roman"/>
          <w:noProof/>
          <w:sz w:val="24"/>
        </w:rPr>
      </w:pPr>
      <w:r>
        <w:rPr>
          <w:rFonts w:ascii="Times New Roman" w:hAnsi="Times New Roman"/>
          <w:noProof/>
        </w:rPr>
        <w:t>Въпреки че в рамките на Регламента за ООП програмите за пчеларството запазват своя доброволен характер, всички държави членки продължават да въвеждат такива програми, разработени в сътрудничество със сектора. Програмите се различават в отделните държави членки в зависимост от потребностите на конкретната държава членка, но мерките, по които се предоставя най-голяма част от подпомагането — за техническа помощ и за борба срещу агресорите в кошера — остават непроменени след последния доклад през 2016 г.</w:t>
      </w:r>
    </w:p>
    <w:p>
      <w:pPr>
        <w:spacing w:after="120"/>
        <w:jc w:val="both"/>
        <w:rPr>
          <w:rFonts w:ascii="Times New Roman" w:hAnsi="Times New Roman" w:cs="Times New Roman"/>
          <w:noProof/>
          <w:sz w:val="24"/>
          <w:szCs w:val="24"/>
        </w:rPr>
      </w:pPr>
      <w:r>
        <w:rPr>
          <w:rFonts w:ascii="Times New Roman" w:hAnsi="Times New Roman"/>
          <w:noProof/>
        </w:rPr>
        <w:t>Финансирането за сектора продължава да се увеличава през последните програмни периоди, а степента на усвояване се запазва висока, което показва целесъобразността на избраните мерки.</w:t>
      </w:r>
    </w:p>
    <w:p>
      <w:pPr>
        <w:spacing w:after="120"/>
        <w:jc w:val="both"/>
        <w:rPr>
          <w:noProof/>
        </w:rPr>
      </w:pPr>
      <w:r>
        <w:rPr>
          <w:rFonts w:ascii="Times New Roman" w:hAnsi="Times New Roman"/>
          <w:noProof/>
        </w:rPr>
        <w:t>Броят на пчелните кошери е един от показателите за въздействието на мерките за подпомагане и този брой продължава да расте. Когато обаче се разгледа рентабилността на сектора като цяло, средните цени в ЕС не са се увеличили, докато производствените разходи нарастват, а цените на вноса намаляват. Това създава предизвикателства пред сектора и показва, че необходимостта от подпомагане продължава, също и предвид важната роля на пчелите за околната среда и селското стопанство.</w:t>
      </w:r>
    </w:p>
    <w:sectPr>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62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75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48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rPr>
          <w:szCs w:val="24"/>
        </w:rPr>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(ОВ L 347, 20.12.2013 г., стр. 671).</w:t>
      </w:r>
    </w:p>
  </w:footnote>
  <w:footnote w:id="2">
    <w:p>
      <w:pPr>
        <w:pStyle w:val="FootnoteText"/>
        <w:spacing w:after="60"/>
      </w:pPr>
      <w:r>
        <w:rPr>
          <w:rStyle w:val="FootnoteReference"/>
        </w:rPr>
        <w:footnoteRef/>
      </w:r>
      <w:r>
        <w:t xml:space="preserve"> </w:t>
      </w:r>
      <w:r>
        <w:tab/>
        <w:t>Регламент (ЕО) № 1221/97 на Съвета от 25 юни 1997 г. относно определянето на общи правила за прилагането на мерки за подобряване на производството и търговията с пчелен мед, ОВ L 173, 1.7.1997 г., стр. 1.</w:t>
      </w:r>
    </w:p>
  </w:footnote>
  <w:footnote w:id="3">
    <w:p>
      <w:pPr>
        <w:spacing w:after="6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Делегиран регламент (ЕС) 2015/1366 на Комисията от 11 май 2015 г. за допълнение на Регламент (ЕС) № 1308/2013 на Европейския парламент и на Съвета по отношение на подпомагането за сектора на пчеларството, </w:t>
      </w:r>
      <w:r>
        <w:rPr>
          <w:rFonts w:ascii="Times New Roman" w:hAnsi="Times New Roman"/>
          <w:i/>
          <w:iCs/>
          <w:sz w:val="20"/>
          <w:szCs w:val="20"/>
        </w:rPr>
        <w:t>ОВ L 211, 8.8.2015 г., стр. 3—6.</w:t>
      </w:r>
    </w:p>
  </w:footnote>
  <w:footnote w:id="4">
    <w:p>
      <w:pPr>
        <w:pStyle w:val="FootnoteText"/>
        <w:spacing w:after="60"/>
        <w:ind w:left="0" w:firstLine="0"/>
      </w:pPr>
      <w:r>
        <w:rPr>
          <w:rStyle w:val="FootnoteReference"/>
        </w:rPr>
        <w:footnoteRef/>
      </w:r>
      <w:r>
        <w:t xml:space="preserve"> Регламент за изпълнение (ЕС) 2015/1368 на Комисията от 6 август 2015 г. за определяне на правила за прилагането на Регламент (ЕС) № 1308/2013 на Европейския парламент и на Съвета по отношение на помощта в сектора на пчеларството, </w:t>
      </w:r>
      <w:r>
        <w:rPr>
          <w:i/>
          <w:iCs/>
        </w:rPr>
        <w:t>OB L 211, 8.8.2015 г., стр. 9—16</w:t>
      </w:r>
      <w:r>
        <w:t>.</w:t>
      </w:r>
    </w:p>
  </w:footnote>
  <w:footnote w:id="5">
    <w:p>
      <w:pPr>
        <w:pStyle w:val="NormalWeb"/>
        <w:spacing w:before="0" w:beforeAutospacing="0" w:after="60" w:afterAutospacing="0"/>
      </w:pPr>
      <w:r>
        <w:rPr>
          <w:rStyle w:val="FootnoteReference"/>
          <w:sz w:val="20"/>
          <w:szCs w:val="20"/>
        </w:rPr>
        <w:footnoteRef/>
      </w:r>
      <w:r>
        <w:rPr>
          <w:sz w:val="20"/>
          <w:szCs w:val="20"/>
        </w:rPr>
        <w:t xml:space="preserve"> </w:t>
      </w:r>
      <w:r>
        <w:t xml:space="preserve">Регламент (ЕО) № 917/2004 на Комисията от 29 април 2004 г. относно подробни правила за прилагането на Регламент (ЕО) № 797/2004 на Съвета относно мерките за подобряване на общите условия за производство и търговия с пчелни продукти, </w:t>
      </w:r>
      <w:r>
        <w:rPr>
          <w:i/>
          <w:iCs/>
        </w:rPr>
        <w:t>ОВ L 163, 30.4.2004 г., стр. 83—87</w:t>
      </w:r>
      <w:r>
        <w:t>.</w:t>
      </w:r>
    </w:p>
  </w:footnote>
  <w:footnote w:id="6">
    <w:p>
      <w:pPr>
        <w:pStyle w:val="FootnoteText"/>
        <w:spacing w:after="60"/>
        <w:ind w:left="0" w:firstLine="0"/>
      </w:pPr>
      <w:r>
        <w:rPr>
          <w:rStyle w:val="FootnoteReference"/>
        </w:rPr>
        <w:footnoteRef/>
      </w:r>
      <w:r>
        <w:t xml:space="preserve">  https://ec.europa.eu/eurostat</w:t>
      </w:r>
    </w:p>
  </w:footnote>
  <w:footnote w:id="7">
    <w:p>
      <w:pPr>
        <w:pStyle w:val="FootnoteText"/>
        <w:spacing w:after="60"/>
        <w:ind w:left="0" w:firstLine="0"/>
      </w:pPr>
      <w:r>
        <w:rPr>
          <w:rStyle w:val="FootnoteReference"/>
        </w:rPr>
        <w:footnoteRef/>
      </w:r>
      <w:r>
        <w:t xml:space="preserve">  https://comtrade.un.org/</w:t>
      </w:r>
    </w:p>
  </w:footnote>
  <w:footnote w:id="8">
    <w:p>
      <w:pPr>
        <w:pStyle w:val="FootnoteText"/>
      </w:pPr>
      <w:r>
        <w:rPr>
          <w:rStyle w:val="FootnoteReference"/>
        </w:rPr>
        <w:footnoteRef/>
      </w:r>
      <w:r>
        <w:t xml:space="preserve">  http://www.fao.org/home/en/</w:t>
      </w:r>
    </w:p>
  </w:footnote>
  <w:footnote w:id="9">
    <w:p>
      <w:pPr>
        <w:pStyle w:val="Text1"/>
        <w:spacing w:before="0" w:after="60"/>
        <w:ind w:left="0"/>
        <w:rPr>
          <w:sz w:val="20"/>
          <w:szCs w:val="20"/>
        </w:rPr>
      </w:pPr>
      <w:r>
        <w:rPr>
          <w:rStyle w:val="FootnoteReference"/>
        </w:rPr>
        <w:footnoteRef/>
      </w:r>
      <w:r>
        <w:t xml:space="preserve"> </w:t>
      </w:r>
      <w:hyperlink r:id="rId1" w:history="1">
        <w:r>
          <w:rPr>
            <w:rStyle w:val="Hyperlink"/>
            <w:sz w:val="20"/>
            <w:szCs w:val="20"/>
          </w:rPr>
          <w:t>https://ec.europa.eu/info/food-farming-fisheries/animals-and-animal-products/animal-products/honey_en</w:t>
        </w:r>
      </w:hyperlink>
    </w:p>
  </w:footnote>
  <w:footnote w:id="10">
    <w:p>
      <w:pPr>
        <w:pStyle w:val="FootnoteText"/>
        <w:spacing w:after="60"/>
        <w:ind w:left="0" w:firstLine="0"/>
      </w:pPr>
      <w:r>
        <w:rPr>
          <w:rStyle w:val="FootnoteReference"/>
        </w:rPr>
        <w:footnoteRef/>
      </w:r>
      <w:r>
        <w:t xml:space="preserve">  Източник: ФАО</w:t>
      </w:r>
    </w:p>
  </w:footnote>
  <w:footnote w:id="11">
    <w:p>
      <w:pPr>
        <w:pStyle w:val="FootnoteText"/>
        <w:spacing w:after="60"/>
        <w:ind w:left="0" w:firstLine="0"/>
      </w:pPr>
      <w:r>
        <w:rPr>
          <w:rStyle w:val="FootnoteReference"/>
        </w:rPr>
        <w:footnoteRef/>
      </w:r>
      <w:r>
        <w:t xml:space="preserve">  Процент на самостоятелно задоволяване на потребностите = производство в ЕС / (производство+внос-износ)</w:t>
      </w:r>
    </w:p>
  </w:footnote>
  <w:footnote w:id="12">
    <w:p>
      <w:pPr>
        <w:pStyle w:val="FootnoteText"/>
        <w:spacing w:after="120"/>
      </w:pPr>
      <w:r>
        <w:rPr>
          <w:rStyle w:val="FootnoteReference"/>
        </w:rPr>
        <w:footnoteRef/>
      </w:r>
      <w:r>
        <w:t xml:space="preserve"> Източник: базата данни Comext на Евростат, </w:t>
      </w:r>
      <w:hyperlink r:id="rId2" w:history="1">
        <w:r>
          <w:rPr>
            <w:rStyle w:val="Hyperlink"/>
          </w:rPr>
          <w:t>https://trade.ec.europa.eu/tradehelp/statistics</w:t>
        </w:r>
      </w:hyperlink>
    </w:p>
  </w:footnote>
  <w:footnote w:id="13">
    <w:p>
      <w:pPr>
        <w:spacing w:after="6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Делегиран регламент (ЕС) 2015/1366 на Комисията от 11 май 2015 г. за допълнение на Регламент (ЕС) № 1308/2013 на Европейския парламент и на Съвета по отношение на подпомагането за сектора на пчеларството, </w:t>
      </w:r>
      <w:r>
        <w:rPr>
          <w:rFonts w:ascii="Times New Roman" w:hAnsi="Times New Roman"/>
          <w:i/>
          <w:iCs/>
          <w:sz w:val="20"/>
          <w:szCs w:val="20"/>
        </w:rPr>
        <w:t>ОВ L 211, 8.8.2015 г., стр. 3—6.</w:t>
      </w:r>
    </w:p>
  </w:footnote>
  <w:footnote w:id="14">
    <w:p>
      <w:pPr>
        <w:spacing w:after="6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Регламент за изпълнение (ЕС) 2015/1368 на Комисията от 6 август 2015 г. за определяне на правила за прилагането на Регламент (ЕС) № 1308/2013 на Европейския парламент и на Съвета по отношение на помощта в сектора на пчеларството, </w:t>
      </w:r>
      <w:r>
        <w:rPr>
          <w:rFonts w:ascii="Times New Roman" w:hAnsi="Times New Roman"/>
          <w:i/>
          <w:iCs/>
          <w:sz w:val="20"/>
          <w:szCs w:val="20"/>
        </w:rPr>
        <w:t>OB L 211, 8.8.2015 г., стр. 9—16.</w:t>
      </w:r>
    </w:p>
  </w:footnote>
  <w:footnote w:id="15">
    <w:p>
      <w:pPr>
        <w:pStyle w:val="NormalWeb"/>
        <w:spacing w:before="0" w:beforeAutospacing="0" w:after="60" w:afterAutospacing="0"/>
        <w:jc w:val="both"/>
        <w:rPr>
          <w:sz w:val="20"/>
          <w:szCs w:val="20"/>
        </w:rPr>
      </w:pPr>
      <w:r>
        <w:rPr>
          <w:rStyle w:val="FootnoteReference"/>
          <w:sz w:val="20"/>
          <w:szCs w:val="20"/>
        </w:rPr>
        <w:footnoteRef/>
      </w:r>
      <w:r>
        <w:rPr>
          <w:sz w:val="20"/>
          <w:szCs w:val="20"/>
        </w:rPr>
        <w:t xml:space="preserve"> </w:t>
      </w:r>
      <w:r>
        <w:t xml:space="preserve">Решение за изпълнение (ЕС) 2016/1102 на Комисията от 5 юли 2016 г. за одобряване на националните програми за подобряване на производството и предлагането на пазара на пчелни продукти, представени от държавите членки съгласно Регламент (ЕС) № 1308/2013 на Европейския парламент и на Съвета </w:t>
      </w:r>
      <w:r>
        <w:rPr>
          <w:i/>
          <w:iCs/>
        </w:rPr>
        <w:t>(нотифицирано под номер С(2016) 4133), ОВ L 182, 7.7.2016 г., стр. 55—57</w:t>
      </w:r>
      <w:r>
        <w:rPr>
          <w:i/>
          <w:iCs/>
          <w:sz w:val="20"/>
          <w:szCs w:val="20"/>
        </w:rPr>
        <w:t xml:space="preserve"> </w:t>
      </w:r>
    </w:p>
  </w:footnote>
  <w:footnote w:id="16">
    <w:p>
      <w:pPr>
        <w:spacing w:after="60" w:line="240" w:lineRule="auto"/>
        <w:jc w:val="both"/>
      </w:pPr>
      <w:r>
        <w:rPr>
          <w:rStyle w:val="FootnoteReference"/>
          <w:rFonts w:ascii="Times New Roman" w:hAnsi="Times New Roman" w:cs="Times New Roman"/>
          <w:sz w:val="20"/>
          <w:szCs w:val="20"/>
        </w:rPr>
        <w:footnoteRef/>
      </w:r>
      <w:r>
        <w:rPr>
          <w:rFonts w:ascii="Times New Roman" w:hAnsi="Times New Roman"/>
          <w:sz w:val="20"/>
          <w:szCs w:val="20"/>
        </w:rPr>
        <w:t xml:space="preserve"> Решение за изпълнение (ЕС) 2019/974 на Комисията от 12 юни 2019 г. за одобряване на националните програми за подобряване на производството и предлагането на пазара на пчелни продукти, представени от държавите членки съгласно Регламент (ЕС) № 1308/2013 на Европейския парламент и на Съвета </w:t>
      </w:r>
      <w:r>
        <w:rPr>
          <w:rFonts w:ascii="Times New Roman" w:hAnsi="Times New Roman"/>
          <w:i/>
          <w:iCs/>
          <w:sz w:val="20"/>
          <w:szCs w:val="20"/>
        </w:rPr>
        <w:t>(нотифицирано под номер С(2019) 4177), ОВ L 157, 14.6.2019 г., стр. 28—30.</w:t>
      </w:r>
    </w:p>
  </w:footnote>
  <w:footnote w:id="17">
    <w:p>
      <w:pPr>
        <w:pStyle w:val="FootnoteText"/>
        <w:spacing w:after="60"/>
        <w:ind w:left="0" w:firstLine="0"/>
      </w:pPr>
      <w:r>
        <w:rPr>
          <w:rStyle w:val="FootnoteReference"/>
        </w:rPr>
        <w:footnoteRef/>
      </w:r>
      <w:r>
        <w:t xml:space="preserve"> Пчелните продукти, които са обхванати от програмите за пчеларството, са посочени в част XXII от приложение I към Регламент (ЕС) № 1308/2013; това са мед, пчелно млечице, прополис (пчелен клей) и пчелен восък.</w:t>
      </w:r>
    </w:p>
  </w:footnote>
  <w:footnote w:id="18">
    <w:p>
      <w:pPr>
        <w:pStyle w:val="FootnoteText"/>
      </w:pPr>
      <w:r>
        <w:rPr>
          <w:rStyle w:val="FootnoteReference"/>
        </w:rPr>
        <w:footnoteRef/>
      </w:r>
      <w:r>
        <w:t xml:space="preserve"> Периода от 1 август 2016 г. до 31 юли 2017 г.</w:t>
      </w:r>
    </w:p>
  </w:footnote>
  <w:footnote w:id="19">
    <w:p>
      <w:pPr>
        <w:pStyle w:val="FootnoteText"/>
      </w:pPr>
      <w:r>
        <w:rPr>
          <w:rStyle w:val="FootnoteReference"/>
        </w:rPr>
        <w:footnoteRef/>
      </w:r>
      <w:r>
        <w:t xml:space="preserve"> Периода от 1 август 2017 г. до 31 юли 2018 г.</w:t>
      </w:r>
    </w:p>
  </w:footnote>
  <w:footnote w:id="20">
    <w:p>
      <w:pPr>
        <w:pStyle w:val="FootnoteText"/>
      </w:pPr>
      <w:r>
        <w:rPr>
          <w:rStyle w:val="FootnoteReference"/>
        </w:rPr>
        <w:footnoteRef/>
      </w:r>
      <w:r>
        <w:t xml:space="preserve"> Делегиран регламент (EC) 2015/1366 на Комисията</w:t>
      </w:r>
    </w:p>
  </w:footnote>
  <w:footnote w:id="21">
    <w:p>
      <w:pPr>
        <w:spacing w:after="60"/>
        <w:rPr>
          <w:rFonts w:ascii="Calibri" w:hAnsi="Calibri"/>
          <w:sz w:val="20"/>
          <w:szCs w:val="20"/>
        </w:rPr>
      </w:pPr>
      <w:r>
        <w:rPr>
          <w:rStyle w:val="FootnoteReference"/>
          <w:sz w:val="20"/>
          <w:szCs w:val="20"/>
        </w:rPr>
        <w:footnoteRef/>
      </w:r>
      <w:r>
        <w:rPr>
          <w:sz w:val="20"/>
          <w:szCs w:val="20"/>
        </w:rPr>
        <w:t xml:space="preserve"> </w:t>
      </w:r>
      <w:r>
        <w:rPr>
          <w:rStyle w:val="Hyperlink"/>
          <w:rFonts w:ascii="Times New Roman" w:hAnsi="Times New Roman"/>
          <w:sz w:val="20"/>
          <w:szCs w:val="20"/>
        </w:rPr>
        <w:t>https://ec.europa.eu/info/food-farming-fisheries/key-policies/common-agricultural-policy/future-cap_bg</w:t>
      </w:r>
    </w:p>
  </w:footnote>
  <w:footnote w:id="22">
    <w:p>
      <w:pPr>
        <w:pStyle w:val="FootnoteText"/>
        <w:spacing w:after="120"/>
      </w:pPr>
      <w:r>
        <w:rPr>
          <w:rStyle w:val="FootnoteReference"/>
        </w:rPr>
        <w:footnoteRef/>
      </w:r>
      <w:r>
        <w:t xml:space="preserve"> </w:t>
      </w:r>
      <w:hyperlink r:id="rId3" w:history="1">
        <w:r>
          <w:rPr>
            <w:rStyle w:val="Hyperlink"/>
          </w:rPr>
          <w:t>https://eur-lex.europa.eu/legal-content/BG/TXT/?uri=COM%3A2018%3A392%3AFIN</w:t>
        </w:r>
      </w:hyperlink>
    </w:p>
  </w:footnote>
  <w:footnote w:id="23">
    <w:p>
      <w:pPr>
        <w:pStyle w:val="FootnoteText"/>
        <w:spacing w:after="120"/>
      </w:pPr>
      <w:r>
        <w:rPr>
          <w:rStyle w:val="FootnoteReference"/>
        </w:rPr>
        <w:footnoteRef/>
      </w:r>
      <w:r>
        <w:t xml:space="preserve"> Приложение VIII към предложението на Комисията относно ОСП след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53B7"/>
    <w:multiLevelType w:val="hybridMultilevel"/>
    <w:tmpl w:val="B99E7B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5F10EF1"/>
    <w:multiLevelType w:val="hybridMultilevel"/>
    <w:tmpl w:val="0CF0CF04"/>
    <w:lvl w:ilvl="0" w:tplc="24FC4832">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6F381228"/>
    <w:multiLevelType w:val="hybridMultilevel"/>
    <w:tmpl w:val="244AA6F2"/>
    <w:lvl w:ilvl="0" w:tplc="57AA8F26">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B613A02-7CAA-49F0-AEDD-1939F15558B7"/>
    <w:docVar w:name="LW_COVERPAGE_TYPE" w:val="1"/>
    <w:docVar w:name="LW_CROSSREFERENCE" w:val="&lt;UNUSED&gt;"/>
    <w:docVar w:name="LW_DocType" w:val="NORMAL"/>
    <w:docVar w:name="LW_EMISSION" w:val="17.12.2019"/>
    <w:docVar w:name="LW_EMISSION_ISODATE" w:val="2019-12-1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0?\u1079?\u1087?\u1098?\u1083?\u1085?\u1077?\u1085?\u1080?\u1077?\u1090?\u1086? \u1085?\u1072? \u1087?\u1088?\u1086?\u1075?\u1088?\u1072?\u1084?\u1080?\u1090?\u1077? \u1079?\u1072? \u1087?\u1095?\u1077?\u1083?\u1072?\u1088?\u1089?\u1090?\u1074?\u1086?\u1090?\u1086?&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bg-BG"/>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lang w:val="bg-BG"/>
    </w:rPr>
  </w:style>
  <w:style w:type="paragraph" w:styleId="FootnoteText">
    <w:name w:val="footnote text"/>
    <w:aliases w:val="Footnote,Footnote Text Char Char,Fußnotentext Char Char1 Char,Fußnotentext Char1 Char1 Char Char,Fußnotentext Char Char Char Char Char Char,Fußnotentext Char1 Char Char Char Char1 Char,Footnote text,o Car Car"/>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Char,Footnote Text Char Char Char,Fußnotentext Char Char1 Char Char,Fußnotentext Char1 Char1 Char Char Char,Fußnotentext Char Char Char Char Char Char Char,Fußnotentext Char1 Char Char Char Char1 Char Char,Footnote text Char"/>
    <w:basedOn w:val="DefaultParagraphFont"/>
    <w:link w:val="FootnoteText"/>
    <w:semiHidden/>
    <w:rPr>
      <w:rFonts w:ascii="Times New Roman" w:eastAsia="Times New Roman" w:hAnsi="Times New Roman" w:cs="Times New Roman"/>
      <w:sz w:val="20"/>
      <w:szCs w:val="20"/>
      <w:lang w:val="bg-BG"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FootnoteReference">
    <w:name w:val="footnote reference"/>
    <w:aliases w:val="Ref,de nota al pie,-E Fußnotenzeichen,Footnote Reference Superscript,EN Footnote Reference,Times 10 Point, Exposant 3 Point,Footnote symbol,Footnote reference number,note TESI,Exposant 3 Point"/>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customStyle="1" w:styleId="textundertitle">
    <w:name w:val="textundertitle"/>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bg-BG"/>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lang w:val="bg-BG"/>
    </w:rPr>
  </w:style>
  <w:style w:type="paragraph" w:styleId="FootnoteText">
    <w:name w:val="footnote text"/>
    <w:aliases w:val="Footnote,Footnote Text Char Char,Fußnotentext Char Char1 Char,Fußnotentext Char1 Char1 Char Char,Fußnotentext Char Char Char Char Char Char,Fußnotentext Char1 Char Char Char Char1 Char,Footnote text,o Car Car"/>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Char,Footnote Text Char Char Char,Fußnotentext Char Char1 Char Char,Fußnotentext Char1 Char1 Char Char Char,Fußnotentext Char Char Char Char Char Char Char,Fußnotentext Char1 Char Char Char Char1 Char Char,Footnote text Char"/>
    <w:basedOn w:val="DefaultParagraphFont"/>
    <w:link w:val="FootnoteText"/>
    <w:semiHidden/>
    <w:rPr>
      <w:rFonts w:ascii="Times New Roman" w:eastAsia="Times New Roman" w:hAnsi="Times New Roman" w:cs="Times New Roman"/>
      <w:sz w:val="20"/>
      <w:szCs w:val="20"/>
      <w:lang w:val="bg-BG"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FootnoteReference">
    <w:name w:val="footnote reference"/>
    <w:aliases w:val="Ref,de nota al pie,-E Fußnotenzeichen,Footnote Reference Superscript,EN Footnote Reference,Times 10 Point, Exposant 3 Point,Footnote symbol,Footnote reference number,note TESI,Exposant 3 Point"/>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customStyle="1" w:styleId="textundertitle">
    <w:name w:val="textundertitle"/>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39355">
      <w:bodyDiv w:val="1"/>
      <w:marLeft w:val="0"/>
      <w:marRight w:val="0"/>
      <w:marTop w:val="0"/>
      <w:marBottom w:val="0"/>
      <w:divBdr>
        <w:top w:val="none" w:sz="0" w:space="0" w:color="auto"/>
        <w:left w:val="none" w:sz="0" w:space="0" w:color="auto"/>
        <w:bottom w:val="none" w:sz="0" w:space="0" w:color="auto"/>
        <w:right w:val="none" w:sz="0" w:space="0" w:color="auto"/>
      </w:divBdr>
    </w:div>
    <w:div w:id="1135215778">
      <w:bodyDiv w:val="1"/>
      <w:marLeft w:val="0"/>
      <w:marRight w:val="0"/>
      <w:marTop w:val="0"/>
      <w:marBottom w:val="0"/>
      <w:divBdr>
        <w:top w:val="none" w:sz="0" w:space="0" w:color="auto"/>
        <w:left w:val="none" w:sz="0" w:space="0" w:color="auto"/>
        <w:bottom w:val="none" w:sz="0" w:space="0" w:color="auto"/>
        <w:right w:val="none" w:sz="0" w:space="0" w:color="auto"/>
      </w:divBdr>
    </w:div>
    <w:div w:id="20924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cid:image001.png@01D5A14B.2E4A7B70"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5.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4.xml"/><Relationship Id="rId30" Type="http://schemas.openxmlformats.org/officeDocument/2006/relationships/image" Target="media/image5.png"/><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uri=COM%3A2018%3A392%3AFIN" TargetMode="External"/><Relationship Id="rId2" Type="http://schemas.openxmlformats.org/officeDocument/2006/relationships/hyperlink" Target="https://trade.ec.europa.eu/tradehelp/statistics" TargetMode="External"/><Relationship Id="rId1" Type="http://schemas.openxmlformats.org/officeDocument/2006/relationships/hyperlink" Target="https://ec.europa.eu/info/food-farming-fisheries/animals-and-animal-products/animal-products/honey_e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AGRI\g\3\3.11.01.03%20HONEY\HONEY.GEN\HONEY.STAT\HONEY.STAT-Other%20stats\New%20Data\data_2019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AGRI\g\3\3.11.01.03%20HONEY\HONEY.GEN\HONEY.STAT\HONEY.STAT-Other%20stats\New%20Data\data_201903.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image" Target="../media/image2.png"/></Relationships>
</file>

<file path=word/charts/_rels/chart4.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AGRI\g\3\3.11.01.03%20HONEY\HONEY.INTMARKET\HONEY.NAT.PROGR\HONEY.NAT.PROGR-Programmes\2019\Final%20miel%20progr%202019_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AGRI\G\3\3.11.01.03%20HONEY\HONEY.GEN\HONEY.STAT\HONEY.STAT-Other%20stats\Expenditures\Expenditures%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AGRI\G\3\3.11.01.03%20HONEY\HONEY.GEN\HONEY.STAT\HONEY.STAT-Other%20stats\Expenditures\Expenditures%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187412597047417"/>
          <c:y val="7.1328886035671418E-2"/>
          <c:w val="0.80738517921480291"/>
          <c:h val="0.73687061814730892"/>
        </c:manualLayout>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105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Beekeepers!$B$36:$B$40</c:f>
              <c:strCache>
                <c:ptCount val="5"/>
                <c:pt idx="0">
                  <c:v>2008-2010</c:v>
                </c:pt>
                <c:pt idx="1">
                  <c:v>2011-2013</c:v>
                </c:pt>
                <c:pt idx="2">
                  <c:v>2014-2016</c:v>
                </c:pt>
                <c:pt idx="3">
                  <c:v>2017-2019</c:v>
                </c:pt>
                <c:pt idx="4">
                  <c:v>2020-2022</c:v>
                </c:pt>
              </c:strCache>
            </c:strRef>
          </c:cat>
          <c:val>
            <c:numRef>
              <c:f>Beekeepers!$C$36:$C$40</c:f>
              <c:numCache>
                <c:formatCode>#,##0</c:formatCode>
                <c:ptCount val="5"/>
                <c:pt idx="0">
                  <c:v>624872</c:v>
                </c:pt>
                <c:pt idx="1">
                  <c:v>635638</c:v>
                </c:pt>
                <c:pt idx="2">
                  <c:v>631236</c:v>
                </c:pt>
                <c:pt idx="3">
                  <c:v>606082</c:v>
                </c:pt>
                <c:pt idx="4" formatCode="_-* #,##0_-;\-* #,##0_-;_-* &quot;-&quot;??_-;_-@_-">
                  <c:v>655333</c:v>
                </c:pt>
              </c:numCache>
            </c:numRef>
          </c:val>
          <c:extLst xmlns:c16r2="http://schemas.microsoft.com/office/drawing/2015/06/chart">
            <c:ext xmlns:c16="http://schemas.microsoft.com/office/drawing/2014/chart" uri="{C3380CC4-5D6E-409C-BE32-E72D297353CC}">
              <c16:uniqueId val="{00000000-1C68-455B-A25C-C5C934D09118}"/>
            </c:ext>
          </c:extLst>
        </c:ser>
        <c:dLbls>
          <c:showLegendKey val="0"/>
          <c:showVal val="0"/>
          <c:showCatName val="0"/>
          <c:showSerName val="0"/>
          <c:showPercent val="0"/>
          <c:showBubbleSize val="0"/>
        </c:dLbls>
        <c:gapWidth val="21"/>
        <c:axId val="75282304"/>
        <c:axId val="75283840"/>
      </c:barChart>
      <c:catAx>
        <c:axId val="75282304"/>
        <c:scaling>
          <c:orientation val="minMax"/>
        </c:scaling>
        <c:delete val="0"/>
        <c:axPos val="b"/>
        <c:numFmt formatCode="General" sourceLinked="0"/>
        <c:majorTickMark val="out"/>
        <c:minorTickMark val="none"/>
        <c:tickLblPos val="nextTo"/>
        <c:txPr>
          <a:bodyPr/>
          <a:lstStyle/>
          <a:p>
            <a:pPr>
              <a:defRPr sz="900" b="1"/>
            </a:pPr>
            <a:endParaRPr lang="en-US"/>
          </a:p>
        </c:txPr>
        <c:crossAx val="75283840"/>
        <c:crosses val="autoZero"/>
        <c:auto val="1"/>
        <c:lblAlgn val="ctr"/>
        <c:lblOffset val="100"/>
        <c:noMultiLvlLbl val="0"/>
      </c:catAx>
      <c:valAx>
        <c:axId val="75283840"/>
        <c:scaling>
          <c:orientation val="minMax"/>
        </c:scaling>
        <c:delete val="0"/>
        <c:axPos val="l"/>
        <c:majorGridlines>
          <c:spPr>
            <a:ln>
              <a:solidFill>
                <a:schemeClr val="bg1">
                  <a:lumMod val="75000"/>
                </a:schemeClr>
              </a:solidFill>
            </a:ln>
          </c:spPr>
        </c:majorGridlines>
        <c:numFmt formatCode="#,##0" sourceLinked="1"/>
        <c:majorTickMark val="out"/>
        <c:minorTickMark val="none"/>
        <c:tickLblPos val="nextTo"/>
        <c:txPr>
          <a:bodyPr/>
          <a:lstStyle/>
          <a:p>
            <a:pPr>
              <a:defRPr sz="900"/>
            </a:pPr>
            <a:endParaRPr lang="en-US"/>
          </a:p>
        </c:txPr>
        <c:crossAx val="7528230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100"/>
            </a:pPr>
            <a:r>
              <a:rPr lang="sv-SE" sz="1400"/>
              <a:t> </a:t>
            </a:r>
            <a:r>
              <a:rPr lang="bg-BG" sz="1100" b="1" i="0" u="none" strike="noStrike" baseline="0">
                <a:effectLst/>
              </a:rPr>
              <a:t>Производство в ЕС: 275 хиляди тона през 2017 г. и 281 хиляди тона през 2018 г.</a:t>
            </a:r>
            <a:endParaRPr lang="sv-SE" sz="1100"/>
          </a:p>
        </c:rich>
      </c:tx>
      <c:layout>
        <c:manualLayout>
          <c:xMode val="edge"/>
          <c:yMode val="edge"/>
          <c:x val="0.13857174103237097"/>
          <c:y val="8.9249917373490101E-3"/>
        </c:manualLayout>
      </c:layout>
      <c:overlay val="0"/>
    </c:title>
    <c:autoTitleDeleted val="0"/>
    <c:plotArea>
      <c:layout>
        <c:manualLayout>
          <c:layoutTarget val="inner"/>
          <c:xMode val="edge"/>
          <c:yMode val="edge"/>
          <c:x val="9.9190394936192819E-2"/>
          <c:y val="0.13684616479180603"/>
          <c:w val="0.88086852332364307"/>
          <c:h val="0.77330131571353611"/>
        </c:manualLayout>
      </c:layout>
      <c:barChart>
        <c:barDir val="col"/>
        <c:grouping val="clustered"/>
        <c:varyColors val="0"/>
        <c:ser>
          <c:idx val="1"/>
          <c:order val="0"/>
          <c:tx>
            <c:strRef>
              <c:f>production!$B$2</c:f>
              <c:strCache>
                <c:ptCount val="1"/>
                <c:pt idx="0">
                  <c:v>2017</c:v>
                </c:pt>
              </c:strCache>
            </c:strRef>
          </c:tx>
          <c:invertIfNegative val="0"/>
          <c:val>
            <c:numRef>
              <c:f>production!$B$3:$B$31</c:f>
              <c:numCache>
                <c:formatCode>#\ ##0.0</c:formatCode>
                <c:ptCount val="29"/>
                <c:pt idx="0">
                  <c:v>30.177</c:v>
                </c:pt>
                <c:pt idx="1">
                  <c:v>30.205599999999997</c:v>
                </c:pt>
                <c:pt idx="2">
                  <c:v>28.604752999999999</c:v>
                </c:pt>
                <c:pt idx="3">
                  <c:v>32</c:v>
                </c:pt>
                <c:pt idx="4">
                  <c:v>15</c:v>
                </c:pt>
                <c:pt idx="5">
                  <c:v>15.2</c:v>
                </c:pt>
                <c:pt idx="6">
                  <c:v>24.4</c:v>
                </c:pt>
                <c:pt idx="7">
                  <c:v>15</c:v>
                </c:pt>
                <c:pt idx="8">
                  <c:v>10.338365</c:v>
                </c:pt>
                <c:pt idx="9">
                  <c:v>14.246</c:v>
                </c:pt>
                <c:pt idx="10">
                  <c:v>9.3390000000000004</c:v>
                </c:pt>
                <c:pt idx="11">
                  <c:v>8.7119999999999997</c:v>
                </c:pt>
                <c:pt idx="12">
                  <c:v>8.1280000000000001</c:v>
                </c:pt>
                <c:pt idx="13">
                  <c:v>4.6391999999999998</c:v>
                </c:pt>
                <c:pt idx="14">
                  <c:v>5.5</c:v>
                </c:pt>
                <c:pt idx="15">
                  <c:v>4.4295850000000003</c:v>
                </c:pt>
                <c:pt idx="16">
                  <c:v>4</c:v>
                </c:pt>
                <c:pt idx="17">
                  <c:v>3.5</c:v>
                </c:pt>
                <c:pt idx="18">
                  <c:v>1.5</c:v>
                </c:pt>
                <c:pt idx="19">
                  <c:v>2.6059999999999999</c:v>
                </c:pt>
                <c:pt idx="20">
                  <c:v>1.639</c:v>
                </c:pt>
                <c:pt idx="21">
                  <c:v>1.37</c:v>
                </c:pt>
                <c:pt idx="22">
                  <c:v>1.6353599999999999</c:v>
                </c:pt>
                <c:pt idx="23">
                  <c:v>0.80400000000000005</c:v>
                </c:pt>
                <c:pt idx="24">
                  <c:v>1.1647000000000001</c:v>
                </c:pt>
                <c:pt idx="25">
                  <c:v>0.51539599999999997</c:v>
                </c:pt>
                <c:pt idx="26">
                  <c:v>0.19</c:v>
                </c:pt>
                <c:pt idx="27">
                  <c:v>9.2850000000000002E-2</c:v>
                </c:pt>
              </c:numCache>
            </c:numRef>
          </c:val>
          <c:extLst xmlns:c16r2="http://schemas.microsoft.com/office/drawing/2015/06/chart">
            <c:ext xmlns:c16="http://schemas.microsoft.com/office/drawing/2014/chart" uri="{C3380CC4-5D6E-409C-BE32-E72D297353CC}">
              <c16:uniqueId val="{00000000-AD56-4529-9066-5C7C7F944C5D}"/>
            </c:ext>
          </c:extLst>
        </c:ser>
        <c:ser>
          <c:idx val="0"/>
          <c:order val="1"/>
          <c:tx>
            <c:strRef>
              <c:f>production!$C$2</c:f>
              <c:strCache>
                <c:ptCount val="1"/>
                <c:pt idx="0">
                  <c:v>2018</c:v>
                </c:pt>
              </c:strCache>
            </c:strRef>
          </c:tx>
          <c:invertIfNegative val="0"/>
          <c:dLbls>
            <c:spPr>
              <a:noFill/>
              <a:ln>
                <a:noFill/>
              </a:ln>
              <a:effectLst/>
            </c:spPr>
            <c:txPr>
              <a:bodyPr/>
              <a:lstStyle/>
              <a:p>
                <a:pPr>
                  <a:defRPr sz="800" b="1">
                    <a:solidFill>
                      <a:srgbClr val="0070C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production!$A$3:$A$31</c:f>
              <c:strCache>
                <c:ptCount val="28"/>
                <c:pt idx="0">
                  <c:v>RO</c:v>
                </c:pt>
                <c:pt idx="1">
                  <c:v>ES</c:v>
                </c:pt>
                <c:pt idx="2">
                  <c:v>DE</c:v>
                </c:pt>
                <c:pt idx="3">
                  <c:v>HU</c:v>
                </c:pt>
                <c:pt idx="4">
                  <c:v>IT</c:v>
                </c:pt>
                <c:pt idx="5">
                  <c:v>PL</c:v>
                </c:pt>
                <c:pt idx="6">
                  <c:v>FR</c:v>
                </c:pt>
                <c:pt idx="7">
                  <c:v>EL</c:v>
                </c:pt>
                <c:pt idx="8">
                  <c:v>BG</c:v>
                </c:pt>
                <c:pt idx="9">
                  <c:v>PT</c:v>
                </c:pt>
                <c:pt idx="10">
                  <c:v>CZ</c:v>
                </c:pt>
                <c:pt idx="11">
                  <c:v>MT</c:v>
                </c:pt>
                <c:pt idx="12">
                  <c:v>HR</c:v>
                </c:pt>
                <c:pt idx="13">
                  <c:v>UK</c:v>
                </c:pt>
                <c:pt idx="14">
                  <c:v>AT</c:v>
                </c:pt>
                <c:pt idx="15">
                  <c:v>SK</c:v>
                </c:pt>
                <c:pt idx="16">
                  <c:v>LT</c:v>
                </c:pt>
                <c:pt idx="17">
                  <c:v>SE</c:v>
                </c:pt>
                <c:pt idx="18">
                  <c:v>DK</c:v>
                </c:pt>
                <c:pt idx="19">
                  <c:v>FI</c:v>
                </c:pt>
                <c:pt idx="20">
                  <c:v>LV</c:v>
                </c:pt>
                <c:pt idx="21">
                  <c:v>BE</c:v>
                </c:pt>
                <c:pt idx="22">
                  <c:v>NL</c:v>
                </c:pt>
                <c:pt idx="23">
                  <c:v>SI</c:v>
                </c:pt>
                <c:pt idx="24">
                  <c:v>EE</c:v>
                </c:pt>
                <c:pt idx="25">
                  <c:v>CY</c:v>
                </c:pt>
                <c:pt idx="26">
                  <c:v>IE</c:v>
                </c:pt>
                <c:pt idx="27">
                  <c:v>LU</c:v>
                </c:pt>
              </c:strCache>
            </c:strRef>
          </c:cat>
          <c:val>
            <c:numRef>
              <c:f>production!$C$3:$C$31</c:f>
              <c:numCache>
                <c:formatCode>#\ ##0.0</c:formatCode>
                <c:ptCount val="29"/>
                <c:pt idx="0">
                  <c:v>30.875</c:v>
                </c:pt>
                <c:pt idx="1">
                  <c:v>29.3932</c:v>
                </c:pt>
                <c:pt idx="2">
                  <c:v>28.651066</c:v>
                </c:pt>
                <c:pt idx="3">
                  <c:v>26</c:v>
                </c:pt>
                <c:pt idx="4">
                  <c:v>23</c:v>
                </c:pt>
                <c:pt idx="5">
                  <c:v>22.3</c:v>
                </c:pt>
                <c:pt idx="6">
                  <c:v>19.788</c:v>
                </c:pt>
                <c:pt idx="7">
                  <c:v>15</c:v>
                </c:pt>
                <c:pt idx="8">
                  <c:v>11.807269</c:v>
                </c:pt>
                <c:pt idx="9">
                  <c:v>10.756</c:v>
                </c:pt>
                <c:pt idx="10">
                  <c:v>10.113340000000001</c:v>
                </c:pt>
                <c:pt idx="11">
                  <c:v>8.7119999999999997</c:v>
                </c:pt>
                <c:pt idx="12">
                  <c:v>7.44</c:v>
                </c:pt>
                <c:pt idx="13">
                  <c:v>6.5519999999999996</c:v>
                </c:pt>
                <c:pt idx="14">
                  <c:v>5</c:v>
                </c:pt>
                <c:pt idx="15">
                  <c:v>4.1125800000000003</c:v>
                </c:pt>
                <c:pt idx="16">
                  <c:v>4</c:v>
                </c:pt>
                <c:pt idx="17">
                  <c:v>3.5</c:v>
                </c:pt>
                <c:pt idx="18">
                  <c:v>2.5</c:v>
                </c:pt>
                <c:pt idx="19">
                  <c:v>2.0590000000000002</c:v>
                </c:pt>
                <c:pt idx="20">
                  <c:v>1.998</c:v>
                </c:pt>
                <c:pt idx="21">
                  <c:v>1.84</c:v>
                </c:pt>
                <c:pt idx="22">
                  <c:v>1.7927</c:v>
                </c:pt>
                <c:pt idx="23">
                  <c:v>1.7462899999999999</c:v>
                </c:pt>
                <c:pt idx="24">
                  <c:v>1.2528999999999999</c:v>
                </c:pt>
                <c:pt idx="25">
                  <c:v>0.584144</c:v>
                </c:pt>
                <c:pt idx="26">
                  <c:v>0.25700000000000001</c:v>
                </c:pt>
                <c:pt idx="27">
                  <c:v>0.13150000000000001</c:v>
                </c:pt>
              </c:numCache>
            </c:numRef>
          </c:val>
          <c:extLst xmlns:c16r2="http://schemas.microsoft.com/office/drawing/2015/06/chart">
            <c:ext xmlns:c16="http://schemas.microsoft.com/office/drawing/2014/chart" uri="{C3380CC4-5D6E-409C-BE32-E72D297353CC}">
              <c16:uniqueId val="{00000001-AD56-4529-9066-5C7C7F944C5D}"/>
            </c:ext>
          </c:extLst>
        </c:ser>
        <c:dLbls>
          <c:showLegendKey val="0"/>
          <c:showVal val="0"/>
          <c:showCatName val="0"/>
          <c:showSerName val="0"/>
          <c:showPercent val="0"/>
          <c:showBubbleSize val="0"/>
        </c:dLbls>
        <c:gapWidth val="19"/>
        <c:axId val="92119808"/>
        <c:axId val="92121344"/>
      </c:barChart>
      <c:catAx>
        <c:axId val="92119808"/>
        <c:scaling>
          <c:orientation val="minMax"/>
        </c:scaling>
        <c:delete val="0"/>
        <c:axPos val="b"/>
        <c:majorTickMark val="out"/>
        <c:minorTickMark val="none"/>
        <c:tickLblPos val="nextTo"/>
        <c:txPr>
          <a:bodyPr/>
          <a:lstStyle/>
          <a:p>
            <a:pPr>
              <a:defRPr sz="900"/>
            </a:pPr>
            <a:endParaRPr lang="en-US"/>
          </a:p>
        </c:txPr>
        <c:crossAx val="92121344"/>
        <c:crosses val="autoZero"/>
        <c:auto val="1"/>
        <c:lblAlgn val="ctr"/>
        <c:lblOffset val="100"/>
        <c:noMultiLvlLbl val="0"/>
      </c:catAx>
      <c:valAx>
        <c:axId val="92121344"/>
        <c:scaling>
          <c:orientation val="minMax"/>
        </c:scaling>
        <c:delete val="0"/>
        <c:axPos val="l"/>
        <c:majorGridlines/>
        <c:title>
          <c:tx>
            <c:rich>
              <a:bodyPr rot="-5400000" vert="horz"/>
              <a:lstStyle/>
              <a:p>
                <a:pPr>
                  <a:defRPr/>
                </a:pPr>
                <a:r>
                  <a:rPr lang="bg-BG"/>
                  <a:t>Хиляди</a:t>
                </a:r>
                <a:r>
                  <a:rPr lang="bg-BG" baseline="0"/>
                  <a:t> тона</a:t>
                </a:r>
                <a:endParaRPr lang="en-US"/>
              </a:p>
            </c:rich>
          </c:tx>
          <c:overlay val="0"/>
        </c:title>
        <c:numFmt formatCode="#,##0" sourceLinked="0"/>
        <c:majorTickMark val="out"/>
        <c:minorTickMark val="none"/>
        <c:tickLblPos val="nextTo"/>
        <c:crossAx val="92119808"/>
        <c:crosses val="autoZero"/>
        <c:crossBetween val="between"/>
      </c:valAx>
      <c:spPr>
        <a:solidFill>
          <a:schemeClr val="bg1"/>
        </a:solidFill>
      </c:spPr>
    </c:plotArea>
    <c:legend>
      <c:legendPos val="l"/>
      <c:layout>
        <c:manualLayout>
          <c:xMode val="edge"/>
          <c:yMode val="edge"/>
          <c:x val="0.76293793605140958"/>
          <c:y val="0.13173423833758663"/>
          <c:w val="0.1491311712081041"/>
          <c:h val="0.11954612922880851"/>
        </c:manualLayout>
      </c:layout>
      <c:overlay val="1"/>
      <c:txPr>
        <a:bodyPr/>
        <a:lstStyle/>
        <a:p>
          <a:pPr>
            <a:defRPr sz="11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0"/>
    <c:plotArea>
      <c:layout>
        <c:manualLayout>
          <c:layoutTarget val="inner"/>
          <c:xMode val="edge"/>
          <c:yMode val="edge"/>
          <c:x val="9.0257622763566761E-2"/>
          <c:y val="4.4057617797775277E-2"/>
          <c:w val="0.86631529044926536"/>
          <c:h val="0.85653105861767276"/>
        </c:manualLayout>
      </c:layout>
      <c:barChart>
        <c:barDir val="col"/>
        <c:grouping val="clustered"/>
        <c:varyColors val="0"/>
        <c:ser>
          <c:idx val="0"/>
          <c:order val="0"/>
          <c:tx>
            <c:strRef>
              <c:f>Sheet1!$B$1</c:f>
              <c:strCache>
                <c:ptCount val="1"/>
                <c:pt idx="0">
                  <c:v>Site of production</c:v>
                </c:pt>
              </c:strCache>
            </c:strRef>
          </c:tx>
          <c:invertIfNegative val="0"/>
          <c:dPt>
            <c:idx val="17"/>
            <c:invertIfNegative val="0"/>
            <c:bubble3D val="0"/>
            <c:spPr>
              <a:blipFill>
                <a:blip xmlns:r="http://schemas.openxmlformats.org/officeDocument/2006/relationships" r:embed="rId1"/>
                <a:stretch>
                  <a:fillRect/>
                </a:stretch>
              </a:blipFill>
            </c:spPr>
            <c:extLst xmlns:c16r2="http://schemas.microsoft.com/office/drawing/2015/06/chart">
              <c:ext xmlns:c16="http://schemas.microsoft.com/office/drawing/2014/chart" uri="{C3380CC4-5D6E-409C-BE32-E72D297353CC}">
                <c16:uniqueId val="{00000001-BE2E-48AA-88B1-0104566B587A}"/>
              </c:ext>
            </c:extLst>
          </c:dPt>
          <c:dLbls>
            <c:numFmt formatCode="#,##0.0" sourceLinked="0"/>
            <c:spPr>
              <a:noFill/>
              <a:ln>
                <a:noFill/>
              </a:ln>
              <a:effectLst/>
            </c:spPr>
            <c:txPr>
              <a:bodyPr rot="-1500000"/>
              <a:lstStyle/>
              <a:p>
                <a:pPr>
                  <a:defRPr sz="10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Sheet1!$A$2:$A$30</c:f>
              <c:strCache>
                <c:ptCount val="29"/>
                <c:pt idx="0">
                  <c:v>IE</c:v>
                </c:pt>
                <c:pt idx="1">
                  <c:v>MT</c:v>
                </c:pt>
                <c:pt idx="2">
                  <c:v>NL</c:v>
                </c:pt>
                <c:pt idx="3">
                  <c:v>UK</c:v>
                </c:pt>
                <c:pt idx="4">
                  <c:v>FI</c:v>
                </c:pt>
                <c:pt idx="5">
                  <c:v>BE</c:v>
                </c:pt>
                <c:pt idx="6">
                  <c:v>LU</c:v>
                </c:pt>
                <c:pt idx="7">
                  <c:v>AT</c:v>
                </c:pt>
                <c:pt idx="8">
                  <c:v>SI</c:v>
                </c:pt>
                <c:pt idx="9">
                  <c:v>DK</c:v>
                </c:pt>
                <c:pt idx="10">
                  <c:v>FR</c:v>
                </c:pt>
                <c:pt idx="11">
                  <c:v>EL</c:v>
                </c:pt>
                <c:pt idx="12">
                  <c:v>CY</c:v>
                </c:pt>
                <c:pt idx="13">
                  <c:v>EE</c:v>
                </c:pt>
                <c:pt idx="14">
                  <c:v>CZ</c:v>
                </c:pt>
                <c:pt idx="15">
                  <c:v>ES</c:v>
                </c:pt>
                <c:pt idx="16">
                  <c:v>SK</c:v>
                </c:pt>
                <c:pt idx="17">
                  <c:v>EU</c:v>
                </c:pt>
                <c:pt idx="18">
                  <c:v>DE</c:v>
                </c:pt>
                <c:pt idx="19">
                  <c:v>HR</c:v>
                </c:pt>
                <c:pt idx="20">
                  <c:v>PL</c:v>
                </c:pt>
                <c:pt idx="21">
                  <c:v>LT</c:v>
                </c:pt>
                <c:pt idx="22">
                  <c:v>SE</c:v>
                </c:pt>
                <c:pt idx="23">
                  <c:v>HU</c:v>
                </c:pt>
                <c:pt idx="24">
                  <c:v>IT</c:v>
                </c:pt>
                <c:pt idx="25">
                  <c:v>LV</c:v>
                </c:pt>
                <c:pt idx="26">
                  <c:v>PT</c:v>
                </c:pt>
                <c:pt idx="27">
                  <c:v>BG</c:v>
                </c:pt>
                <c:pt idx="28">
                  <c:v>RO</c:v>
                </c:pt>
              </c:strCache>
            </c:strRef>
          </c:cat>
          <c:val>
            <c:numRef>
              <c:f>Sheet1!$B$2:$B$30</c:f>
              <c:numCache>
                <c:formatCode>_(* #,##0.00_);_(* \(#,##0.00\);_(* "-"??_);_(@_)</c:formatCode>
                <c:ptCount val="29"/>
                <c:pt idx="0">
                  <c:v>19.25</c:v>
                </c:pt>
                <c:pt idx="1">
                  <c:v>17.5</c:v>
                </c:pt>
                <c:pt idx="2">
                  <c:v>15</c:v>
                </c:pt>
                <c:pt idx="3">
                  <c:v>14.15</c:v>
                </c:pt>
                <c:pt idx="4">
                  <c:v>13.35</c:v>
                </c:pt>
                <c:pt idx="5">
                  <c:v>13</c:v>
                </c:pt>
                <c:pt idx="6">
                  <c:v>11.9</c:v>
                </c:pt>
                <c:pt idx="7">
                  <c:v>10.5</c:v>
                </c:pt>
                <c:pt idx="8">
                  <c:v>10.5</c:v>
                </c:pt>
                <c:pt idx="9">
                  <c:v>10.039999999999999</c:v>
                </c:pt>
                <c:pt idx="10">
                  <c:v>9.4</c:v>
                </c:pt>
                <c:pt idx="11">
                  <c:v>9</c:v>
                </c:pt>
                <c:pt idx="12">
                  <c:v>8.76</c:v>
                </c:pt>
                <c:pt idx="13">
                  <c:v>7.76</c:v>
                </c:pt>
                <c:pt idx="14">
                  <c:v>6.62</c:v>
                </c:pt>
                <c:pt idx="15">
                  <c:v>6.5</c:v>
                </c:pt>
                <c:pt idx="16">
                  <c:v>6.5</c:v>
                </c:pt>
                <c:pt idx="17">
                  <c:v>6.4568370292435535</c:v>
                </c:pt>
                <c:pt idx="18">
                  <c:v>6.22</c:v>
                </c:pt>
                <c:pt idx="19">
                  <c:v>6.07</c:v>
                </c:pt>
                <c:pt idx="20">
                  <c:v>5.81</c:v>
                </c:pt>
                <c:pt idx="21">
                  <c:v>5.5</c:v>
                </c:pt>
                <c:pt idx="22">
                  <c:v>5.2</c:v>
                </c:pt>
                <c:pt idx="23">
                  <c:v>5.16</c:v>
                </c:pt>
                <c:pt idx="24">
                  <c:v>5.08</c:v>
                </c:pt>
                <c:pt idx="25">
                  <c:v>4.63</c:v>
                </c:pt>
                <c:pt idx="26">
                  <c:v>4.0599999999999996</c:v>
                </c:pt>
                <c:pt idx="27">
                  <c:v>3.52</c:v>
                </c:pt>
                <c:pt idx="28">
                  <c:v>2.25</c:v>
                </c:pt>
              </c:numCache>
            </c:numRef>
          </c:val>
          <c:extLst xmlns:c16r2="http://schemas.microsoft.com/office/drawing/2015/06/chart">
            <c:ext xmlns:c16="http://schemas.microsoft.com/office/drawing/2014/chart" uri="{C3380CC4-5D6E-409C-BE32-E72D297353CC}">
              <c16:uniqueId val="{00000002-BE2E-48AA-88B1-0104566B587A}"/>
            </c:ext>
          </c:extLst>
        </c:ser>
        <c:ser>
          <c:idx val="1"/>
          <c:order val="1"/>
          <c:tx>
            <c:strRef>
              <c:f>Sheet1!$C$1</c:f>
              <c:strCache>
                <c:ptCount val="1"/>
                <c:pt idx="0">
                  <c:v>Bulk at wholesalers</c:v>
                </c:pt>
              </c:strCache>
            </c:strRef>
          </c:tx>
          <c:invertIfNegative val="0"/>
          <c:dPt>
            <c:idx val="17"/>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4-BE2E-48AA-88B1-0104566B587A}"/>
              </c:ext>
            </c:extLst>
          </c:dPt>
          <c:cat>
            <c:strRef>
              <c:f>Sheet1!$A$2:$A$30</c:f>
              <c:strCache>
                <c:ptCount val="29"/>
                <c:pt idx="0">
                  <c:v>IE</c:v>
                </c:pt>
                <c:pt idx="1">
                  <c:v>MT</c:v>
                </c:pt>
                <c:pt idx="2">
                  <c:v>NL</c:v>
                </c:pt>
                <c:pt idx="3">
                  <c:v>UK</c:v>
                </c:pt>
                <c:pt idx="4">
                  <c:v>FI</c:v>
                </c:pt>
                <c:pt idx="5">
                  <c:v>BE</c:v>
                </c:pt>
                <c:pt idx="6">
                  <c:v>LU</c:v>
                </c:pt>
                <c:pt idx="7">
                  <c:v>AT</c:v>
                </c:pt>
                <c:pt idx="8">
                  <c:v>SI</c:v>
                </c:pt>
                <c:pt idx="9">
                  <c:v>DK</c:v>
                </c:pt>
                <c:pt idx="10">
                  <c:v>FR</c:v>
                </c:pt>
                <c:pt idx="11">
                  <c:v>EL</c:v>
                </c:pt>
                <c:pt idx="12">
                  <c:v>CY</c:v>
                </c:pt>
                <c:pt idx="13">
                  <c:v>EE</c:v>
                </c:pt>
                <c:pt idx="14">
                  <c:v>CZ</c:v>
                </c:pt>
                <c:pt idx="15">
                  <c:v>ES</c:v>
                </c:pt>
                <c:pt idx="16">
                  <c:v>SK</c:v>
                </c:pt>
                <c:pt idx="17">
                  <c:v>EU</c:v>
                </c:pt>
                <c:pt idx="18">
                  <c:v>DE</c:v>
                </c:pt>
                <c:pt idx="19">
                  <c:v>HR</c:v>
                </c:pt>
                <c:pt idx="20">
                  <c:v>PL</c:v>
                </c:pt>
                <c:pt idx="21">
                  <c:v>LT</c:v>
                </c:pt>
                <c:pt idx="22">
                  <c:v>SE</c:v>
                </c:pt>
                <c:pt idx="23">
                  <c:v>HU</c:v>
                </c:pt>
                <c:pt idx="24">
                  <c:v>IT</c:v>
                </c:pt>
                <c:pt idx="25">
                  <c:v>LV</c:v>
                </c:pt>
                <c:pt idx="26">
                  <c:v>PT</c:v>
                </c:pt>
                <c:pt idx="27">
                  <c:v>BG</c:v>
                </c:pt>
                <c:pt idx="28">
                  <c:v>RO</c:v>
                </c:pt>
              </c:strCache>
            </c:strRef>
          </c:cat>
          <c:val>
            <c:numRef>
              <c:f>Sheet1!$C$2:$C$30</c:f>
              <c:numCache>
                <c:formatCode>_(* #,##0.00_);_(* \(#,##0.00\);_(* "-"??_);_(@_)</c:formatCode>
                <c:ptCount val="29"/>
                <c:pt idx="0">
                  <c:v>9.35</c:v>
                </c:pt>
                <c:pt idx="1">
                  <c:v>9</c:v>
                </c:pt>
                <c:pt idx="2">
                  <c:v>7</c:v>
                </c:pt>
                <c:pt idx="3">
                  <c:v>10.039999999999999</c:v>
                </c:pt>
                <c:pt idx="4">
                  <c:v>6.03</c:v>
                </c:pt>
                <c:pt idx="5">
                  <c:v>9</c:v>
                </c:pt>
                <c:pt idx="6">
                  <c:v>6.5</c:v>
                </c:pt>
                <c:pt idx="7">
                  <c:v>5.5</c:v>
                </c:pt>
                <c:pt idx="8">
                  <c:v>4.78</c:v>
                </c:pt>
                <c:pt idx="9">
                  <c:v>4.42</c:v>
                </c:pt>
                <c:pt idx="10">
                  <c:v>4.5999999999999996</c:v>
                </c:pt>
                <c:pt idx="11">
                  <c:v>4.5</c:v>
                </c:pt>
                <c:pt idx="12">
                  <c:v>6.08</c:v>
                </c:pt>
                <c:pt idx="13">
                  <c:v>5.44</c:v>
                </c:pt>
                <c:pt idx="14">
                  <c:v>3.51</c:v>
                </c:pt>
                <c:pt idx="15">
                  <c:v>3.2</c:v>
                </c:pt>
                <c:pt idx="16">
                  <c:v>3.5</c:v>
                </c:pt>
                <c:pt idx="17">
                  <c:v>3.7862745641973903</c:v>
                </c:pt>
                <c:pt idx="18">
                  <c:v>5.28</c:v>
                </c:pt>
                <c:pt idx="19">
                  <c:v>3.1</c:v>
                </c:pt>
                <c:pt idx="20">
                  <c:v>2.79</c:v>
                </c:pt>
                <c:pt idx="21">
                  <c:v>3</c:v>
                </c:pt>
                <c:pt idx="22">
                  <c:v>6.3</c:v>
                </c:pt>
                <c:pt idx="23">
                  <c:v>1.97</c:v>
                </c:pt>
                <c:pt idx="24">
                  <c:v>6.1</c:v>
                </c:pt>
                <c:pt idx="25">
                  <c:v>3.03</c:v>
                </c:pt>
                <c:pt idx="26">
                  <c:v>4.12</c:v>
                </c:pt>
                <c:pt idx="27">
                  <c:v>2.5299999999999998</c:v>
                </c:pt>
                <c:pt idx="28">
                  <c:v>1.82</c:v>
                </c:pt>
              </c:numCache>
            </c:numRef>
          </c:val>
          <c:extLst xmlns:c16r2="http://schemas.microsoft.com/office/drawing/2015/06/chart">
            <c:ext xmlns:c16="http://schemas.microsoft.com/office/drawing/2014/chart" uri="{C3380CC4-5D6E-409C-BE32-E72D297353CC}">
              <c16:uniqueId val="{00000005-BE2E-48AA-88B1-0104566B587A}"/>
            </c:ext>
          </c:extLst>
        </c:ser>
        <c:dLbls>
          <c:showLegendKey val="0"/>
          <c:showVal val="0"/>
          <c:showCatName val="0"/>
          <c:showSerName val="0"/>
          <c:showPercent val="0"/>
          <c:showBubbleSize val="0"/>
        </c:dLbls>
        <c:gapWidth val="29"/>
        <c:axId val="92246400"/>
        <c:axId val="92247936"/>
      </c:barChart>
      <c:catAx>
        <c:axId val="92246400"/>
        <c:scaling>
          <c:orientation val="minMax"/>
        </c:scaling>
        <c:delete val="0"/>
        <c:axPos val="b"/>
        <c:numFmt formatCode="General" sourceLinked="0"/>
        <c:majorTickMark val="out"/>
        <c:minorTickMark val="none"/>
        <c:tickLblPos val="nextTo"/>
        <c:txPr>
          <a:bodyPr rot="0" vert="horz"/>
          <a:lstStyle/>
          <a:p>
            <a:pPr>
              <a:defRPr b="0"/>
            </a:pPr>
            <a:endParaRPr lang="en-US"/>
          </a:p>
        </c:txPr>
        <c:crossAx val="92247936"/>
        <c:crosses val="autoZero"/>
        <c:auto val="1"/>
        <c:lblAlgn val="ctr"/>
        <c:lblOffset val="100"/>
        <c:noMultiLvlLbl val="0"/>
      </c:catAx>
      <c:valAx>
        <c:axId val="92247936"/>
        <c:scaling>
          <c:orientation val="minMax"/>
        </c:scaling>
        <c:delete val="0"/>
        <c:axPos val="l"/>
        <c:majorGridlines/>
        <c:title>
          <c:tx>
            <c:rich>
              <a:bodyPr rot="-5400000" vert="horz"/>
              <a:lstStyle/>
              <a:p>
                <a:pPr>
                  <a:defRPr/>
                </a:pPr>
                <a:r>
                  <a:rPr lang="en-GB"/>
                  <a:t>EUR/kg</a:t>
                </a:r>
              </a:p>
            </c:rich>
          </c:tx>
          <c:overlay val="0"/>
        </c:title>
        <c:numFmt formatCode="#,##0" sourceLinked="0"/>
        <c:majorTickMark val="out"/>
        <c:minorTickMark val="none"/>
        <c:tickLblPos val="nextTo"/>
        <c:crossAx val="92246400"/>
        <c:crosses val="autoZero"/>
        <c:crossBetween val="between"/>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bg-BG" sz="1600" b="1" i="0" baseline="0">
                <a:effectLst/>
              </a:rPr>
              <a:t>Разпределен бюджет по държави членки за 2020 г.</a:t>
            </a:r>
            <a:endParaRPr lang="en-US" sz="1600">
              <a:effectLst/>
            </a:endParaRPr>
          </a:p>
        </c:rich>
      </c:tx>
      <c:layout>
        <c:manualLayout>
          <c:xMode val="edge"/>
          <c:yMode val="edge"/>
          <c:x val="0.12297587027180774"/>
          <c:y val="0"/>
        </c:manualLayout>
      </c:layout>
      <c:overlay val="0"/>
      <c:spPr>
        <a:noFill/>
        <a:ln>
          <a:noFill/>
        </a:ln>
        <a:effectLst/>
      </c:spPr>
    </c:title>
    <c:autoTitleDeleted val="0"/>
    <c:plotArea>
      <c:layout>
        <c:manualLayout>
          <c:layoutTarget val="inner"/>
          <c:xMode val="edge"/>
          <c:yMode val="edge"/>
          <c:x val="0.12635488005859732"/>
          <c:y val="0.1194524959742351"/>
          <c:w val="0.85090610185354743"/>
          <c:h val="0.7220989767583400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'Slide 2'!$AA$1:$AA$28</c:f>
              <c:strCache>
                <c:ptCount val="28"/>
                <c:pt idx="0">
                  <c:v>ES</c:v>
                </c:pt>
                <c:pt idx="1">
                  <c:v>RO</c:v>
                </c:pt>
                <c:pt idx="2">
                  <c:v>PL</c:v>
                </c:pt>
                <c:pt idx="3">
                  <c:v>IT</c:v>
                </c:pt>
                <c:pt idx="4">
                  <c:v>FR</c:v>
                </c:pt>
                <c:pt idx="5">
                  <c:v>EL</c:v>
                </c:pt>
                <c:pt idx="6">
                  <c:v>HU</c:v>
                </c:pt>
                <c:pt idx="7">
                  <c:v>PT</c:v>
                </c:pt>
                <c:pt idx="8">
                  <c:v>DE</c:v>
                </c:pt>
                <c:pt idx="9">
                  <c:v>BG</c:v>
                </c:pt>
                <c:pt idx="10">
                  <c:v>CZ</c:v>
                </c:pt>
                <c:pt idx="11">
                  <c:v>HR</c:v>
                </c:pt>
                <c:pt idx="12">
                  <c:v>AT</c:v>
                </c:pt>
                <c:pt idx="13">
                  <c:v>SK</c:v>
                </c:pt>
                <c:pt idx="14">
                  <c:v>UK</c:v>
                </c:pt>
                <c:pt idx="15">
                  <c:v>LT</c:v>
                </c:pt>
                <c:pt idx="16">
                  <c:v>SI</c:v>
                </c:pt>
                <c:pt idx="17">
                  <c:v>SE</c:v>
                </c:pt>
                <c:pt idx="18">
                  <c:v>LV</c:v>
                </c:pt>
                <c:pt idx="19">
                  <c:v>NL</c:v>
                </c:pt>
                <c:pt idx="20">
                  <c:v>DK</c:v>
                </c:pt>
                <c:pt idx="21">
                  <c:v>BE</c:v>
                </c:pt>
                <c:pt idx="22">
                  <c:v>FI</c:v>
                </c:pt>
                <c:pt idx="23">
                  <c:v>EE</c:v>
                </c:pt>
                <c:pt idx="24">
                  <c:v>CY</c:v>
                </c:pt>
                <c:pt idx="25">
                  <c:v>IE</c:v>
                </c:pt>
                <c:pt idx="26">
                  <c:v>LU</c:v>
                </c:pt>
                <c:pt idx="27">
                  <c:v>MT</c:v>
                </c:pt>
              </c:strCache>
            </c:strRef>
          </c:cat>
          <c:val>
            <c:numRef>
              <c:f>'Slide 2'!$AB$1:$AB$28</c:f>
              <c:numCache>
                <c:formatCode>#,##0</c:formatCode>
                <c:ptCount val="28"/>
                <c:pt idx="0">
                  <c:v>5634.9989999999998</c:v>
                </c:pt>
                <c:pt idx="1">
                  <c:v>5248.7309999999998</c:v>
                </c:pt>
                <c:pt idx="2">
                  <c:v>3937.8069999999998</c:v>
                </c:pt>
                <c:pt idx="3">
                  <c:v>3544.7179999999998</c:v>
                </c:pt>
                <c:pt idx="4">
                  <c:v>3454.13</c:v>
                </c:pt>
                <c:pt idx="5">
                  <c:v>3235.8670000000002</c:v>
                </c:pt>
                <c:pt idx="6">
                  <c:v>3120.33</c:v>
                </c:pt>
                <c:pt idx="7">
                  <c:v>1750</c:v>
                </c:pt>
                <c:pt idx="8">
                  <c:v>1656.6210000000001</c:v>
                </c:pt>
                <c:pt idx="9">
                  <c:v>1635.982</c:v>
                </c:pt>
                <c:pt idx="10">
                  <c:v>1266.1679999999999</c:v>
                </c:pt>
                <c:pt idx="11">
                  <c:v>1000.85</c:v>
                </c:pt>
                <c:pt idx="12">
                  <c:v>880.30100000000004</c:v>
                </c:pt>
                <c:pt idx="13">
                  <c:v>734.90899999999999</c:v>
                </c:pt>
                <c:pt idx="14">
                  <c:v>558.59</c:v>
                </c:pt>
                <c:pt idx="15">
                  <c:v>486.9</c:v>
                </c:pt>
                <c:pt idx="16">
                  <c:v>380</c:v>
                </c:pt>
                <c:pt idx="17">
                  <c:v>330.85700000000003</c:v>
                </c:pt>
                <c:pt idx="18">
                  <c:v>207.5</c:v>
                </c:pt>
                <c:pt idx="19">
                  <c:v>190</c:v>
                </c:pt>
                <c:pt idx="20">
                  <c:v>175.24</c:v>
                </c:pt>
                <c:pt idx="21">
                  <c:v>160.33000000000001</c:v>
                </c:pt>
                <c:pt idx="22">
                  <c:v>140.5</c:v>
                </c:pt>
                <c:pt idx="23">
                  <c:v>100</c:v>
                </c:pt>
                <c:pt idx="24">
                  <c:v>100</c:v>
                </c:pt>
                <c:pt idx="25">
                  <c:v>45</c:v>
                </c:pt>
                <c:pt idx="26">
                  <c:v>15.337</c:v>
                </c:pt>
                <c:pt idx="27">
                  <c:v>8.3330000000000002</c:v>
                </c:pt>
              </c:numCache>
            </c:numRef>
          </c:val>
          <c:extLst xmlns:c16r2="http://schemas.microsoft.com/office/drawing/2015/06/chart">
            <c:ext xmlns:c16="http://schemas.microsoft.com/office/drawing/2014/chart" uri="{C3380CC4-5D6E-409C-BE32-E72D297353CC}">
              <c16:uniqueId val="{00000000-7BD6-4AEF-9FD7-9B97EC339D4A}"/>
            </c:ext>
          </c:extLst>
        </c:ser>
        <c:dLbls>
          <c:showLegendKey val="0"/>
          <c:showVal val="0"/>
          <c:showCatName val="0"/>
          <c:showSerName val="0"/>
          <c:showPercent val="0"/>
          <c:showBubbleSize val="0"/>
        </c:dLbls>
        <c:gapWidth val="31"/>
        <c:overlap val="10"/>
        <c:axId val="92289280"/>
        <c:axId val="92316032"/>
      </c:barChart>
      <c:catAx>
        <c:axId val="92289280"/>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bg-BG" sz="1200" b="1" i="0" baseline="0">
                    <a:effectLst/>
                  </a:rPr>
                  <a:t>Източник: Решение за изпълнение (ЕС) 2019/974 на Комисията</a:t>
                </a:r>
                <a:endParaRPr lang="en-US" sz="1200">
                  <a:effectLst/>
                </a:endParaRPr>
              </a:p>
            </c:rich>
          </c:tx>
          <c:layout>
            <c:manualLayout>
              <c:xMode val="edge"/>
              <c:yMode val="edge"/>
              <c:x val="0.28521482593737002"/>
              <c:y val="0.9427784081698816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2316032"/>
        <c:crosses val="autoZero"/>
        <c:auto val="1"/>
        <c:lblAlgn val="ctr"/>
        <c:lblOffset val="100"/>
        <c:noMultiLvlLbl val="0"/>
      </c:catAx>
      <c:valAx>
        <c:axId val="92316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bg-BG" b="1"/>
                  <a:t>Хиляди евро</a:t>
                </a:r>
                <a:endParaRPr lang="en-US" b="1"/>
              </a:p>
            </c:rich>
          </c:tx>
          <c:layout>
            <c:manualLayout>
              <c:xMode val="edge"/>
              <c:yMode val="edge"/>
              <c:x val="2.2315164092860485E-2"/>
              <c:y val="0.3740205662697960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8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bg-BG" sz="1400" b="1" i="0" u="none" strike="noStrike">
                <a:effectLst/>
              </a:rPr>
              <a:t>Разходи по мерки за 2018 г.</a:t>
            </a:r>
          </a:p>
        </c:rich>
      </c:tx>
      <c:layout>
        <c:manualLayout>
          <c:xMode val="edge"/>
          <c:yMode val="edge"/>
          <c:x val="0.17780325245263429"/>
          <c:y val="0"/>
        </c:manualLayout>
      </c:layout>
      <c:overlay val="0"/>
    </c:title>
    <c:autoTitleDeleted val="0"/>
    <c:view3D>
      <c:rotX val="50"/>
      <c:rotY val="60"/>
      <c:rAngAx val="0"/>
      <c:perspective val="30"/>
    </c:view3D>
    <c:floor>
      <c:thickness val="0"/>
    </c:floor>
    <c:sideWall>
      <c:thickness val="0"/>
    </c:sideWall>
    <c:backWall>
      <c:thickness val="0"/>
    </c:backWall>
    <c:plotArea>
      <c:layout>
        <c:manualLayout>
          <c:layoutTarget val="inner"/>
          <c:xMode val="edge"/>
          <c:yMode val="edge"/>
          <c:x val="0.11681161310713828"/>
          <c:y val="0.32824928653963642"/>
          <c:w val="0.7420799542459231"/>
          <c:h val="0.67006801910729386"/>
        </c:manualLayout>
      </c:layout>
      <c:pie3DChart>
        <c:varyColors val="1"/>
        <c:ser>
          <c:idx val="0"/>
          <c:order val="0"/>
          <c:tx>
            <c:strRef>
              <c:f>Expenditures!$A$38</c:f>
              <c:strCache>
                <c:ptCount val="1"/>
                <c:pt idx="0">
                  <c:v>EU</c:v>
                </c:pt>
              </c:strCache>
            </c:strRef>
          </c:tx>
          <c:dLbls>
            <c:dLbl>
              <c:idx val="0"/>
              <c:layout>
                <c:manualLayout>
                  <c:x val="5.5657677228065514E-2"/>
                  <c:y val="2.8820225005913594E-2"/>
                </c:manualLayout>
              </c:layout>
              <c:tx>
                <c:rich>
                  <a:bodyPr/>
                  <a:lstStyle/>
                  <a:p>
                    <a:r>
                      <a:rPr lang="bg-BG"/>
                      <a:t>А - Техническа помощ</a:t>
                    </a:r>
                    <a:r>
                      <a:rPr lang="bg-BG" baseline="0"/>
                      <a:t>
</a:t>
                    </a:r>
                    <a:fld id="{61EA7D72-DAAB-4071-A532-7AFED3483ECE}"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0-2233-47D9-8651-3425A748B3C7}"/>
                </c:ext>
              </c:extLst>
            </c:dLbl>
            <c:dLbl>
              <c:idx val="1"/>
              <c:layout>
                <c:manualLayout>
                  <c:x val="-0.18662194941465385"/>
                  <c:y val="-1.2000769192807026E-3"/>
                </c:manualLayout>
              </c:layout>
              <c:tx>
                <c:rich>
                  <a:bodyPr/>
                  <a:lstStyle/>
                  <a:p>
                    <a:r>
                      <a:rPr lang="en-US"/>
                      <a:t>B</a:t>
                    </a:r>
                    <a:r>
                      <a:rPr lang="en-US" baseline="0"/>
                      <a:t> - </a:t>
                    </a:r>
                    <a:r>
                      <a:rPr lang="bg-BG" baseline="0"/>
                      <a:t>Б</a:t>
                    </a:r>
                    <a:r>
                      <a:rPr lang="bg-BG"/>
                      <a:t>орба срещу агресорите в кошера</a:t>
                    </a:r>
                    <a:r>
                      <a:rPr lang="bg-BG" baseline="0"/>
                      <a:t>
</a:t>
                    </a:r>
                    <a:fld id="{FF04550B-6E05-4A3C-9E11-C38CA422297B}"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2233-47D9-8651-3425A748B3C7}"/>
                </c:ext>
              </c:extLst>
            </c:dLbl>
            <c:dLbl>
              <c:idx val="2"/>
              <c:layout>
                <c:manualLayout>
                  <c:x val="-4.9480876852801808E-2"/>
                  <c:y val="3.8821433251252029E-2"/>
                </c:manualLayout>
              </c:layout>
              <c:tx>
                <c:rich>
                  <a:bodyPr/>
                  <a:lstStyle/>
                  <a:p>
                    <a:r>
                      <a:rPr lang="bg-BG"/>
                      <a:t>С - Рационализиране на подвижното пчеларство</a:t>
                    </a:r>
                    <a:r>
                      <a:rPr lang="bg-BG" baseline="0"/>
                      <a:t>
</a:t>
                    </a:r>
                    <a:fld id="{C848C064-029C-45BB-A390-BDC80682FEF7}"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7886256970347647"/>
                      <c:h val="0.28452578072219037"/>
                    </c:manualLayout>
                  </c15:layout>
                  <c15:dlblFieldTable/>
                  <c15:showDataLabelsRange val="0"/>
                </c:ext>
                <c:ext xmlns:c16="http://schemas.microsoft.com/office/drawing/2014/chart" uri="{C3380CC4-5D6E-409C-BE32-E72D297353CC}">
                  <c16:uniqueId val="{00000002-2233-47D9-8651-3425A748B3C7}"/>
                </c:ext>
              </c:extLst>
            </c:dLbl>
            <c:dLbl>
              <c:idx val="3"/>
              <c:layout>
                <c:manualLayout>
                  <c:x val="4.0122612898937171E-3"/>
                  <c:y val="-2.4184306764982687E-2"/>
                </c:manualLayout>
              </c:layout>
              <c:tx>
                <c:rich>
                  <a:bodyPr/>
                  <a:lstStyle/>
                  <a:p>
                    <a:r>
                      <a:rPr lang="en-US"/>
                      <a:t>D</a:t>
                    </a:r>
                    <a:r>
                      <a:rPr lang="en-US" baseline="0"/>
                      <a:t> - </a:t>
                    </a:r>
                    <a:r>
                      <a:rPr lang="bg-BG"/>
                      <a:t>Анализи на пчелните продукти</a:t>
                    </a:r>
                    <a:r>
                      <a:rPr lang="bg-BG" baseline="0"/>
                      <a:t>
</a:t>
                    </a:r>
                    <a:fld id="{B472BCE3-36E6-48E2-B88B-21FF8429678A}"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3-2233-47D9-8651-3425A748B3C7}"/>
                </c:ext>
              </c:extLst>
            </c:dLbl>
            <c:dLbl>
              <c:idx val="4"/>
              <c:layout>
                <c:manualLayout>
                  <c:x val="-0.11876092742309734"/>
                  <c:y val="-3.3748844934473964E-2"/>
                </c:manualLayout>
              </c:layout>
              <c:tx>
                <c:rich>
                  <a:bodyPr/>
                  <a:lstStyle/>
                  <a:p>
                    <a:r>
                      <a:rPr lang="bg-BG"/>
                      <a:t>Е - Подновяване на пчелни кошери</a:t>
                    </a:r>
                    <a:r>
                      <a:rPr lang="bg-BG" baseline="0"/>
                      <a:t>
</a:t>
                    </a:r>
                    <a:fld id="{52D4CE08-5D5F-4CAD-AFBA-A9A7B6AA694D}"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4-2233-47D9-8651-3425A748B3C7}"/>
                </c:ext>
              </c:extLst>
            </c:dLbl>
            <c:dLbl>
              <c:idx val="5"/>
              <c:layout>
                <c:manualLayout>
                  <c:x val="-6.2160826583520012E-2"/>
                  <c:y val="-5.2379988053686821E-3"/>
                </c:manualLayout>
              </c:layout>
              <c:tx>
                <c:rich>
                  <a:bodyPr/>
                  <a:lstStyle/>
                  <a:p>
                    <a:r>
                      <a:rPr lang="en-US" baseline="0"/>
                      <a:t>F - </a:t>
                    </a:r>
                    <a:r>
                      <a:rPr lang="bg-BG" baseline="0"/>
                      <a:t>Приложни изследвания</a:t>
                    </a:r>
                  </a:p>
                  <a:p>
                    <a:r>
                      <a:rPr lang="bg-BG" baseline="0"/>
                      <a:t>3,48%</a:t>
                    </a:r>
                    <a:endParaRPr lang="bg-BG"/>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6486142083466071"/>
                      <c:h val="0.30054030689431599"/>
                    </c:manualLayout>
                  </c15:layout>
                </c:ext>
                <c:ext xmlns:c16="http://schemas.microsoft.com/office/drawing/2014/chart" uri="{C3380CC4-5D6E-409C-BE32-E72D297353CC}">
                  <c16:uniqueId val="{00000005-2233-47D9-8651-3425A748B3C7}"/>
                </c:ext>
              </c:extLst>
            </c:dLbl>
            <c:dLbl>
              <c:idx val="6"/>
              <c:layout>
                <c:manualLayout>
                  <c:x val="5.6943602641962743E-2"/>
                  <c:y val="-2.4401109567665363E-2"/>
                </c:manualLayout>
              </c:layout>
              <c:tx>
                <c:rich>
                  <a:bodyPr/>
                  <a:lstStyle/>
                  <a:p>
                    <a:r>
                      <a:rPr lang="en-US"/>
                      <a:t>G</a:t>
                    </a:r>
                    <a:r>
                      <a:rPr lang="en-US" baseline="0"/>
                      <a:t> </a:t>
                    </a:r>
                    <a:r>
                      <a:rPr lang="en-US"/>
                      <a:t>- </a:t>
                    </a:r>
                    <a:r>
                      <a:rPr lang="bg-BG"/>
                      <a:t>Наблюдение на пазара</a:t>
                    </a:r>
                    <a:r>
                      <a:rPr lang="bg-BG" baseline="0"/>
                      <a:t>
</a:t>
                    </a:r>
                    <a:fld id="{D6ED4D20-8A7A-4357-88AA-22041B0395C6}"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7897419560369546"/>
                      <c:h val="0.26494505887217956"/>
                    </c:manualLayout>
                  </c15:layout>
                  <c15:dlblFieldTable/>
                  <c15:showDataLabelsRange val="0"/>
                </c:ext>
                <c:ext xmlns:c16="http://schemas.microsoft.com/office/drawing/2014/chart" uri="{C3380CC4-5D6E-409C-BE32-E72D297353CC}">
                  <c16:uniqueId val="{00000006-2233-47D9-8651-3425A748B3C7}"/>
                </c:ext>
              </c:extLst>
            </c:dLbl>
            <c:dLbl>
              <c:idx val="7"/>
              <c:layout>
                <c:manualLayout>
                  <c:x val="9.517148999254979E-2"/>
                  <c:y val="0.17402783048488069"/>
                </c:manualLayout>
              </c:layout>
              <c:tx>
                <c:rich>
                  <a:bodyPr/>
                  <a:lstStyle/>
                  <a:p>
                    <a:r>
                      <a:rPr lang="bg-BG" baseline="0"/>
                      <a:t>Н - Подобряване на качеството на продуктите
</a:t>
                    </a:r>
                    <a:fld id="{EC3F7269-76C2-430E-BAC1-C0D9CC1794C0}"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787351405859231"/>
                      <c:h val="0.37529733896727357"/>
                    </c:manualLayout>
                  </c15:layout>
                  <c15:dlblFieldTable/>
                  <c15:showDataLabelsRange val="0"/>
                </c:ext>
                <c:ext xmlns:c16="http://schemas.microsoft.com/office/drawing/2014/chart" uri="{C3380CC4-5D6E-409C-BE32-E72D297353CC}">
                  <c16:uniqueId val="{00000007-2233-47D9-8651-3425A748B3C7}"/>
                </c:ext>
              </c:extLst>
            </c:dLbl>
            <c:numFmt formatCode="0.00%" sourceLinked="0"/>
            <c:spPr>
              <a:noFill/>
              <a:ln>
                <a:noFill/>
              </a:ln>
              <a:effectLst/>
            </c:spPr>
            <c:txPr>
              <a:bodyPr/>
              <a:lstStyle/>
              <a:p>
                <a:pPr>
                  <a:defRPr sz="800" b="1"/>
                </a:pPr>
                <a:endParaRPr lang="en-US"/>
              </a:p>
            </c:tx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Expenditures!$B$37:$I$37</c:f>
              <c:strCache>
                <c:ptCount val="8"/>
                <c:pt idx="0">
                  <c:v>A - Technical Assistance</c:v>
                </c:pt>
                <c:pt idx="1">
                  <c:v>B - Combatting Beehive Invaders</c:v>
                </c:pt>
                <c:pt idx="2">
                  <c:v>C - Rationalisation of Transhumance</c:v>
                </c:pt>
                <c:pt idx="3">
                  <c:v>D - Analyses of Apiculture Products</c:v>
                </c:pt>
                <c:pt idx="4">
                  <c:v>E - Restocking of Hives</c:v>
                </c:pt>
                <c:pt idx="5">
                  <c:v>F - Applied Research</c:v>
                </c:pt>
                <c:pt idx="6">
                  <c:v>G - Market Monitoring</c:v>
                </c:pt>
                <c:pt idx="7">
                  <c:v>H - Product Improvement</c:v>
                </c:pt>
              </c:strCache>
            </c:strRef>
          </c:cat>
          <c:val>
            <c:numRef>
              <c:f>Expenditures!$B$38:$I$38</c:f>
              <c:numCache>
                <c:formatCode>_-* #,##0_-;\-* #,##0_-;_-* "-"??_-;_-@_-</c:formatCode>
                <c:ptCount val="8"/>
                <c:pt idx="0">
                  <c:v>21131004.470000006</c:v>
                </c:pt>
                <c:pt idx="1">
                  <c:v>19437833.670000002</c:v>
                </c:pt>
                <c:pt idx="2">
                  <c:v>10957973.360000001</c:v>
                </c:pt>
                <c:pt idx="3">
                  <c:v>1662131.5399999998</c:v>
                </c:pt>
                <c:pt idx="4">
                  <c:v>11795628.66</c:v>
                </c:pt>
                <c:pt idx="5">
                  <c:v>2360517.71</c:v>
                </c:pt>
                <c:pt idx="6">
                  <c:v>83124.490000000005</c:v>
                </c:pt>
                <c:pt idx="7">
                  <c:v>466452.63999999996</c:v>
                </c:pt>
              </c:numCache>
            </c:numRef>
          </c:val>
          <c:extLst xmlns:c16r2="http://schemas.microsoft.com/office/drawing/2015/06/chart">
            <c:ext xmlns:c16="http://schemas.microsoft.com/office/drawing/2014/chart" uri="{C3380CC4-5D6E-409C-BE32-E72D297353CC}">
              <c16:uniqueId val="{00000008-2233-47D9-8651-3425A748B3C7}"/>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bg-BG" sz="1400" b="1" i="0" u="none" strike="noStrike">
                <a:effectLst/>
              </a:rPr>
              <a:t>Разходи по мерки за 2015 г.</a:t>
            </a:r>
          </a:p>
        </c:rich>
      </c:tx>
      <c:layout>
        <c:manualLayout>
          <c:xMode val="edge"/>
          <c:yMode val="edge"/>
          <c:x val="0.21350504786053948"/>
          <c:y val="0"/>
        </c:manualLayout>
      </c:layout>
      <c:overlay val="0"/>
    </c:title>
    <c:autoTitleDeleted val="0"/>
    <c:view3D>
      <c:rotX val="50"/>
      <c:rotY val="60"/>
      <c:rAngAx val="0"/>
      <c:perspective val="30"/>
    </c:view3D>
    <c:floor>
      <c:thickness val="0"/>
    </c:floor>
    <c:sideWall>
      <c:thickness val="0"/>
    </c:sideWall>
    <c:backWall>
      <c:thickness val="0"/>
    </c:backWall>
    <c:plotArea>
      <c:layout>
        <c:manualLayout>
          <c:layoutTarget val="inner"/>
          <c:xMode val="edge"/>
          <c:yMode val="edge"/>
          <c:x val="0.11027146606674165"/>
          <c:y val="0.31314096709698119"/>
          <c:w val="0.76660992375953019"/>
          <c:h val="0.68517628086457838"/>
        </c:manualLayout>
      </c:layout>
      <c:pie3DChart>
        <c:varyColors val="1"/>
        <c:ser>
          <c:idx val="0"/>
          <c:order val="0"/>
          <c:tx>
            <c:strRef>
              <c:f>Expenditures!$N$38</c:f>
              <c:strCache>
                <c:ptCount val="1"/>
              </c:strCache>
            </c:strRef>
          </c:tx>
          <c:dLbls>
            <c:dLbl>
              <c:idx val="0"/>
              <c:layout>
                <c:manualLayout>
                  <c:x val="5.1972848685739419E-2"/>
                  <c:y val="-0.11501847983287804"/>
                </c:manualLayout>
              </c:layout>
              <c:tx>
                <c:rich>
                  <a:bodyPr/>
                  <a:lstStyle/>
                  <a:p>
                    <a:r>
                      <a:rPr lang="bg-BG"/>
                      <a:t>А - Техническа помощ</a:t>
                    </a:r>
                    <a:r>
                      <a:rPr lang="bg-BG" baseline="0"/>
                      <a:t>
</a:t>
                    </a:r>
                    <a:fld id="{047B454E-D133-4E6D-A126-4E82FFED600E}"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0-08F7-4B93-9482-249395829D2F}"/>
                </c:ext>
              </c:extLst>
            </c:dLbl>
            <c:dLbl>
              <c:idx val="1"/>
              <c:layout>
                <c:manualLayout>
                  <c:x val="-0.10398602857480263"/>
                  <c:y val="-4.0076159311254925E-2"/>
                </c:manualLayout>
              </c:layout>
              <c:tx>
                <c:rich>
                  <a:bodyPr/>
                  <a:lstStyle/>
                  <a:p>
                    <a:r>
                      <a:rPr lang="bg-BG"/>
                      <a:t>В -  Предпазване от вароатозата</a:t>
                    </a:r>
                    <a:r>
                      <a:rPr lang="bg-BG" baseline="0"/>
                      <a:t>
</a:t>
                    </a:r>
                    <a:fld id="{0A5EAEB2-A4FD-4F46-9DA7-2D7616062CD7}"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08F7-4B93-9482-249395829D2F}"/>
                </c:ext>
              </c:extLst>
            </c:dLbl>
            <c:dLbl>
              <c:idx val="2"/>
              <c:layout>
                <c:manualLayout>
                  <c:x val="-2.38046948422194E-2"/>
                  <c:y val="-3.6482842242122331E-2"/>
                </c:manualLayout>
              </c:layout>
              <c:tx>
                <c:rich>
                  <a:bodyPr/>
                  <a:lstStyle/>
                  <a:p>
                    <a:r>
                      <a:rPr lang="bg-BG"/>
                      <a:t>С - Рационализиране на подвижното пчеларство</a:t>
                    </a:r>
                    <a:r>
                      <a:rPr lang="bg-BG" baseline="0"/>
                      <a:t>
</a:t>
                    </a:r>
                    <a:fld id="{52C603F0-F069-485C-AFFB-BB57B4C37B2E}"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2-08F7-4B93-9482-249395829D2F}"/>
                </c:ext>
              </c:extLst>
            </c:dLbl>
            <c:dLbl>
              <c:idx val="3"/>
              <c:layout>
                <c:manualLayout>
                  <c:x val="-1.3450021079582168E-2"/>
                  <c:y val="-5.6316402008190554E-2"/>
                </c:manualLayout>
              </c:layout>
              <c:tx>
                <c:rich>
                  <a:bodyPr/>
                  <a:lstStyle/>
                  <a:p>
                    <a:r>
                      <a:rPr lang="en-US"/>
                      <a:t>D - </a:t>
                    </a:r>
                    <a:r>
                      <a:rPr lang="bg-BG"/>
                      <a:t>Анализи на пчелния мед</a:t>
                    </a:r>
                    <a:r>
                      <a:rPr lang="bg-BG" baseline="0"/>
                      <a:t>
</a:t>
                    </a:r>
                    <a:fld id="{0B7E94C3-8E91-46CD-8938-0393F6797881}"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3-08F7-4B93-9482-249395829D2F}"/>
                </c:ext>
              </c:extLst>
            </c:dLbl>
            <c:dLbl>
              <c:idx val="4"/>
              <c:layout>
                <c:manualLayout>
                  <c:x val="-0.10088139637651702"/>
                  <c:y val="-4.2419957245604038E-2"/>
                </c:manualLayout>
              </c:layout>
              <c:tx>
                <c:rich>
                  <a:bodyPr/>
                  <a:lstStyle/>
                  <a:p>
                    <a:r>
                      <a:rPr lang="bg-BG"/>
                      <a:t>Е - Подновяване на пчелни кошери</a:t>
                    </a:r>
                    <a:r>
                      <a:rPr lang="bg-BG" baseline="0"/>
                      <a:t>
</a:t>
                    </a:r>
                    <a:fld id="{02A961A5-41E6-4640-B8FF-0E63A3FEAD26}"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4-08F7-4B93-9482-249395829D2F}"/>
                </c:ext>
              </c:extLst>
            </c:dLbl>
            <c:dLbl>
              <c:idx val="5"/>
              <c:layout>
                <c:manualLayout>
                  <c:x val="5.2784985650506037E-2"/>
                  <c:y val="-2.6485325697924122E-2"/>
                </c:manualLayout>
              </c:layout>
              <c:tx>
                <c:rich>
                  <a:bodyPr/>
                  <a:lstStyle/>
                  <a:p>
                    <a:r>
                      <a:rPr lang="en-US"/>
                      <a:t>F - </a:t>
                    </a:r>
                    <a:r>
                      <a:rPr lang="bg-BG"/>
                      <a:t>Приложни изследвания</a:t>
                    </a:r>
                    <a:r>
                      <a:rPr lang="bg-BG" baseline="0"/>
                      <a:t>
</a:t>
                    </a:r>
                    <a:fld id="{3546648C-794A-41A5-816D-1A1D6A6851F7}" type="PERCENTAGE">
                      <a:rPr lang="en-US" baseline="0"/>
                      <a:pPr/>
                      <a:t>[PERCENTAGE]</a:t>
                    </a:fld>
                    <a:endParaRPr lang="bg-BG" baseline="0"/>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5-08F7-4B93-9482-249395829D2F}"/>
                </c:ext>
              </c:extLst>
            </c:dLbl>
            <c:dLbl>
              <c:idx val="6"/>
              <c:layout>
                <c:manualLayout>
                  <c:x val="6.6500786458464814E-2"/>
                  <c:y val="-8.7076709308318054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8F7-4B93-9482-249395829D2F}"/>
                </c:ext>
              </c:extLst>
            </c:dLbl>
            <c:dLbl>
              <c:idx val="7"/>
              <c:layout>
                <c:manualLayout>
                  <c:x val="0.14708905913105697"/>
                  <c:y val="-5.3539219011957493E-3"/>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8F7-4B93-9482-249395829D2F}"/>
                </c:ext>
              </c:extLst>
            </c:dLbl>
            <c:numFmt formatCode="0.00%" sourceLinked="0"/>
            <c:spPr>
              <a:noFill/>
              <a:ln>
                <a:noFill/>
              </a:ln>
              <a:effectLst/>
            </c:spPr>
            <c:txPr>
              <a:bodyPr/>
              <a:lstStyle/>
              <a:p>
                <a:pPr>
                  <a:defRPr sz="800" b="1"/>
                </a:pPr>
                <a:endParaRPr lang="en-US"/>
              </a:p>
            </c:tx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Expenditures!$O$37:$T$37</c:f>
              <c:strCache>
                <c:ptCount val="6"/>
                <c:pt idx="0">
                  <c:v>A - Technical Assistance</c:v>
                </c:pt>
                <c:pt idx="1">
                  <c:v>B - Varroasis Prevention</c:v>
                </c:pt>
                <c:pt idx="2">
                  <c:v>C - Rationalisation of Transhumance</c:v>
                </c:pt>
                <c:pt idx="3">
                  <c:v>D - Analyses of Honey</c:v>
                </c:pt>
                <c:pt idx="4">
                  <c:v>E - Restocking of Hives</c:v>
                </c:pt>
                <c:pt idx="5">
                  <c:v>F - Applied Research</c:v>
                </c:pt>
              </c:strCache>
            </c:strRef>
          </c:cat>
          <c:val>
            <c:numRef>
              <c:f>Expenditures!$O$38:$T$38</c:f>
              <c:numCache>
                <c:formatCode>_-* #,##0_-;\-* #,##0_-;_-* "-"??_-;_-@_-</c:formatCode>
                <c:ptCount val="6"/>
                <c:pt idx="0">
                  <c:v>17595.689153451251</c:v>
                </c:pt>
                <c:pt idx="1">
                  <c:v>18343.04068351967</c:v>
                </c:pt>
                <c:pt idx="2">
                  <c:v>12081.249755345407</c:v>
                </c:pt>
                <c:pt idx="3">
                  <c:v>1650.7051712009215</c:v>
                </c:pt>
                <c:pt idx="4">
                  <c:v>8996.2671193710048</c:v>
                </c:pt>
                <c:pt idx="5">
                  <c:v>3081.5957215122012</c:v>
                </c:pt>
              </c:numCache>
            </c:numRef>
          </c:val>
          <c:extLst xmlns:c16r2="http://schemas.microsoft.com/office/drawing/2015/06/chart">
            <c:ext xmlns:c16="http://schemas.microsoft.com/office/drawing/2014/chart" uri="{C3380CC4-5D6E-409C-BE32-E72D297353CC}">
              <c16:uniqueId val="{00000008-08F7-4B93-9482-249395829D2F}"/>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0.89588</cdr:y>
    </cdr:from>
    <cdr:to>
      <cdr:x>1</cdr:x>
      <cdr:y>1</cdr:y>
    </cdr:to>
    <cdr:sp macro="" textlink="">
      <cdr:nvSpPr>
        <cdr:cNvPr id="2" name="TextBox 1"/>
        <cdr:cNvSpPr txBox="1"/>
      </cdr:nvSpPr>
      <cdr:spPr>
        <a:xfrm xmlns:a="http://schemas.openxmlformats.org/drawingml/2006/main">
          <a:off x="0" y="2349500"/>
          <a:ext cx="3962400" cy="273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bg-BG" sz="1000" i="1"/>
            <a:t>Съобщени на Комисията през годините</a:t>
          </a:r>
          <a:r>
            <a:rPr lang="en-GB" sz="1000" i="1"/>
            <a:t>: 2007/2010/2013/2016/2019</a:t>
          </a:r>
        </a:p>
        <a:p xmlns:a="http://schemas.openxmlformats.org/drawingml/2006/main">
          <a:endParaRPr lang="en-GB" sz="1000" i="1"/>
        </a:p>
      </cdr:txBody>
    </cdr:sp>
  </cdr:relSizeAnchor>
</c:userShapes>
</file>

<file path=word/drawings/drawing2.xml><?xml version="1.0" encoding="utf-8"?>
<c:userShapes xmlns:c="http://schemas.openxmlformats.org/drawingml/2006/chart">
  <cdr:relSizeAnchor xmlns:cdr="http://schemas.openxmlformats.org/drawingml/2006/chartDrawing">
    <cdr:from>
      <cdr:x>0.33486</cdr:x>
      <cdr:y>0.07676</cdr:y>
    </cdr:from>
    <cdr:to>
      <cdr:x>0.92307</cdr:x>
      <cdr:y>0.21322</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r="23570"/>
        <a:stretch xmlns:a="http://schemas.openxmlformats.org/drawingml/2006/main"/>
      </cdr:blipFill>
      <cdr:spPr>
        <a:xfrm xmlns:a="http://schemas.openxmlformats.org/drawingml/2006/main">
          <a:off x="2128927" y="245660"/>
          <a:ext cx="3739609" cy="43672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B0977AE-2EB3-4D81-B8F9-63BFBEA0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3968</Words>
  <Characters>21588</Characters>
  <Application>Microsoft Office Word</Application>
  <DocSecurity>0</DocSecurity>
  <Lines>440</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2019-10-18T10:07:00Z</cp:lastPrinted>
  <dcterms:created xsi:type="dcterms:W3CDTF">2019-11-25T09:58:00Z</dcterms:created>
  <dcterms:modified xsi:type="dcterms:W3CDTF">2019-12-16T16:07:00Z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