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12459064"/>
      <w:bookmarkStart w:id="1" w:name="_Toc13216693"/>
      <w:bookmarkStart w:id="2" w:name="_Toc13234944"/>
      <w:bookmarkStart w:id="3" w:name="_Toc13500400"/>
      <w:bookmarkStart w:id="4" w:name="_Toc13555784"/>
      <w:bookmarkStart w:id="5" w:name="_Toc13571377"/>
      <w:bookmarkStart w:id="6" w:name="_Toc23418031"/>
      <w:bookmarkStart w:id="7" w:name="_Toc24643928"/>
      <w:bookmarkStart w:id="8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6C985C7-8C02-40ED-B569-7A814378CBA9" style="width:450.8pt;height:406.95pt">
            <v:imagedata r:id="rId8" o:title=""/>
          </v:shape>
        </w:pict>
      </w:r>
    </w:p>
    <w:bookmarkEnd w:id="8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Next/>
        <w:keepLines/>
        <w:jc w:val="center"/>
        <w:outlineLvl w:val="0"/>
        <w:rPr>
          <w:rFonts w:cstheme="majorBidi"/>
          <w:b/>
          <w:bCs/>
          <w:caps/>
          <w:noProof/>
          <w:szCs w:val="28"/>
        </w:rPr>
      </w:pPr>
      <w:bookmarkStart w:id="9" w:name="_GoBack"/>
      <w:bookmarkEnd w:id="9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lastRenderedPageBreak/>
        <w:t>Annex 1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t>.1</w:t>
      </w:r>
      <w:bookmarkEnd w:id="7"/>
    </w:p>
    <w:p>
      <w:pPr>
        <w:jc w:val="center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 xml:space="preserve">ESI Funds - cumulative financial implementation by thematic objective reported by programmes until </w:t>
      </w:r>
      <w:r>
        <w:rPr>
          <w:rFonts w:cs="Times New Roman"/>
          <w:b/>
          <w:bCs/>
          <w:noProof/>
          <w:u w:val="single"/>
        </w:rPr>
        <w:t>31 December 2018</w:t>
      </w:r>
      <w:r>
        <w:rPr>
          <w:rFonts w:cs="Times New Roman"/>
          <w:b/>
          <w:bCs/>
          <w:noProof/>
        </w:rPr>
        <w:t xml:space="preserve"> (in total cost, with </w:t>
      </w:r>
      <w:r>
        <w:rPr>
          <w:b/>
          <w:bCs/>
          <w:noProof/>
          <w:kern w:val="28"/>
        </w:rPr>
        <w:t>selection</w:t>
      </w:r>
      <w:r>
        <w:rPr>
          <w:rFonts w:cs="Times New Roman"/>
          <w:b/>
          <w:bCs/>
          <w:noProof/>
        </w:rPr>
        <w:t xml:space="preserve"> and expenditure volumes)</w:t>
      </w:r>
    </w:p>
    <w:p>
      <w:pPr>
        <w:jc w:val="center"/>
        <w:rPr>
          <w:rFonts w:cs="Times New Roman"/>
          <w:b/>
          <w:bCs/>
          <w:i/>
          <w:iCs/>
          <w:noProof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417"/>
        <w:gridCol w:w="1418"/>
        <w:gridCol w:w="1275"/>
        <w:gridCol w:w="1134"/>
        <w:gridCol w:w="993"/>
        <w:gridCol w:w="1134"/>
      </w:tblGrid>
      <w:tr>
        <w:trPr>
          <w:trHeight w:val="7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Thematic Objectives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EU planned amount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Total planned amount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Total eligible cost of projects selected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Total spending reported by selected projects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Selection rate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Spending rate</w:t>
            </w:r>
          </w:p>
        </w:tc>
      </w:tr>
      <w:tr>
        <w:trPr>
          <w:trHeight w:val="5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(EU only)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(EU and national)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€ million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€ million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€ million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€ million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Research &amp; Innovation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40,146.2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59,922.0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42,611.3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11,739.6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20%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Information &amp; Communication Technologies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12,429.8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18,167.3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12,278.7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2,708.7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15%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Competitiveness of SMEs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57,186.8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85,854.0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62,514.5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28,039.9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33%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Low-Carbon Economy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34,576.1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49,228.1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31,770.5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9,144.4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19%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Climate Change Adaptation &amp; Risk Prevention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26,319.6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38,840.7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29,543.6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18,142.2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47%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Environment Protection &amp; Resource Efficiency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52,683.4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73,817.9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52,037.5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25,063.7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34%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Network Infrastructures in Transport and Energy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54,287.8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65,246.3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56,356.4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19,749.1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30%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Sustainable &amp; Quality Employment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36,356.8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49,476.0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34,550.4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15,582.9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31%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Social Inclusion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38,451.9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54,191.0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36,393.8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13,243.6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24%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Educational &amp; Vocational Training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28,149.5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40,874.0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28,340.1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11,026.7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69%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27%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Efficient Public Administration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4,810.8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6,132.9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4,395.7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1,148.0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19%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Outermost &amp; Sparsely Populated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167.7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220.5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161.4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397.9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180%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ind w:right="-136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DM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Discontinued Measures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121.7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168.3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80.8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48%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Multiple Thematic Objectives (ERDF/CF/ESF)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61,803.1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84,293.5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61,753.3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18,858.0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22%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Technical Assistance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13,612.0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19,016.9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11,701.6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5,004.6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26%</w:t>
            </w:r>
          </w:p>
        </w:tc>
      </w:tr>
      <w:tr>
        <w:trPr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Grand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461,103.3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645,449.4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464,408.8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179,930.1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28%</w:t>
            </w:r>
          </w:p>
        </w:tc>
      </w:tr>
    </w:tbl>
    <w:p>
      <w:pPr>
        <w:jc w:val="left"/>
        <w:rPr>
          <w:rFonts w:cs="Times New Roman"/>
          <w:bCs/>
          <w:i/>
          <w:iCs/>
          <w:noProof/>
          <w:sz w:val="20"/>
          <w:szCs w:val="20"/>
        </w:rPr>
      </w:pPr>
      <w:r>
        <w:rPr>
          <w:rFonts w:cs="Times New Roman"/>
          <w:bCs/>
          <w:i/>
          <w:iCs/>
          <w:noProof/>
          <w:sz w:val="20"/>
          <w:szCs w:val="20"/>
        </w:rPr>
        <w:t xml:space="preserve">Source: ESIF Open Data - </w:t>
      </w:r>
      <w:hyperlink r:id="rId15" w:history="1">
        <w:r>
          <w:rPr>
            <w:rStyle w:val="Hyperlink"/>
            <w:rFonts w:cs="Times New Roman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rFonts w:cs="Times New Roman"/>
          <w:bCs/>
          <w:i/>
          <w:iCs/>
          <w:noProof/>
          <w:sz w:val="20"/>
          <w:szCs w:val="20"/>
        </w:rPr>
        <w:t xml:space="preserve">  as at 5 November 2019</w:t>
      </w:r>
    </w:p>
    <w:p>
      <w:pPr>
        <w:keepNext/>
        <w:keepLines/>
        <w:jc w:val="center"/>
        <w:outlineLvl w:val="0"/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</w:pPr>
      <w:r>
        <w:rPr>
          <w:rFonts w:eastAsia="Times New Roman" w:cs="Times New Roman"/>
          <w:caps/>
          <w:noProof/>
          <w:kern w:val="28"/>
          <w:sz w:val="32"/>
          <w:szCs w:val="32"/>
        </w:rPr>
        <w:br w:type="page"/>
      </w:r>
      <w:bookmarkStart w:id="10" w:name="_Toc12459065"/>
      <w:bookmarkStart w:id="11" w:name="_Toc13216694"/>
      <w:bookmarkStart w:id="12" w:name="_Toc13234945"/>
      <w:bookmarkStart w:id="13" w:name="_Toc13500401"/>
      <w:bookmarkStart w:id="14" w:name="_Toc13555785"/>
      <w:bookmarkStart w:id="15" w:name="_Toc13571378"/>
      <w:bookmarkStart w:id="16" w:name="_Toc23418032"/>
      <w:bookmarkStart w:id="17" w:name="_Toc24643929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lastRenderedPageBreak/>
        <w:t xml:space="preserve">Annex 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t>1.2</w:t>
      </w:r>
      <w:bookmarkEnd w:id="17"/>
    </w:p>
    <w:p>
      <w:pPr>
        <w:rPr>
          <w:noProof/>
        </w:rPr>
      </w:pPr>
    </w:p>
    <w:p>
      <w:pPr>
        <w:jc w:val="center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 xml:space="preserve">ESI Funds cumulative financial implementation by thematic </w:t>
      </w:r>
      <w:r>
        <w:rPr>
          <w:b/>
          <w:bCs/>
          <w:noProof/>
          <w:kern w:val="28"/>
        </w:rPr>
        <w:t>objective</w:t>
      </w:r>
      <w:r>
        <w:rPr>
          <w:rFonts w:cs="Times New Roman"/>
          <w:b/>
          <w:bCs/>
          <w:noProof/>
        </w:rPr>
        <w:t xml:space="preserve"> reported by programmes until </w:t>
      </w:r>
      <w:r>
        <w:rPr>
          <w:rFonts w:cs="Times New Roman"/>
          <w:b/>
          <w:bCs/>
          <w:noProof/>
          <w:u w:val="single"/>
        </w:rPr>
        <w:t>30 September 2019</w:t>
      </w:r>
      <w:r>
        <w:rPr>
          <w:rFonts w:cs="Times New Roman"/>
          <w:b/>
          <w:bCs/>
          <w:noProof/>
        </w:rPr>
        <w:t xml:space="preserve"> (in total cost, with selection and expenditure volumes)</w:t>
      </w:r>
    </w:p>
    <w:p>
      <w:pPr>
        <w:jc w:val="center"/>
        <w:rPr>
          <w:rFonts w:cs="Times New Roman"/>
          <w:b/>
          <w:bCs/>
          <w:noProof/>
        </w:rPr>
      </w:pPr>
      <w:r>
        <w:rPr>
          <w:rFonts w:cs="Times New Roman"/>
          <w:b/>
          <w:bCs/>
          <w:i/>
          <w:iCs/>
          <w:noProof/>
        </w:rPr>
        <w:t>Cohesion data from 30/09/2019 –EAFRD and EMFF data from 31/12/2018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418"/>
        <w:gridCol w:w="1275"/>
        <w:gridCol w:w="1134"/>
        <w:gridCol w:w="993"/>
        <w:gridCol w:w="1134"/>
      </w:tblGrid>
      <w:tr>
        <w:trPr>
          <w:trHeight w:val="7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Thematic Objectives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EU planned amount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Total planned amount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Total eligible cost of projects selected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Total spending reported by selected projects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Selection rate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Spending rate</w:t>
            </w:r>
          </w:p>
        </w:tc>
      </w:tr>
      <w:tr>
        <w:trPr>
          <w:trHeight w:val="5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(EU only)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(EU and national)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€ million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€ million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€ million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€ million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Research &amp; Innovation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39,987.8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59,665.2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46,645.3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14,399.9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24%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Information &amp; Communication Technologies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12,266.5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17,837.8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13,771.4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3,360.7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19%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Competitiveness of SMEs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57,376.7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85,468.5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64,626.1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33,524.2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39%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Low-Carbon Economy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34,345.0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48,814.0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35,014.0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11,377.2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23%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Climate Change Adaptation &amp; Risk Prevention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26,321.1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38,433.9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29,717.6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20,396.7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53%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Environment Protection &amp; Resource Efficiency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52,765.8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73,445.8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53,936.1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28,647.0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39%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Network Infrastructures in Transport and Energy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54,210.3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65,146.9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59,843.2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22,992.6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35%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Sustainable &amp; Quality Employment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36,269.0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49,308.7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36,966.4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17,137.8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35%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Social Inclusion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38,558.1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54,281.1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39,435.1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16,129.6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30%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Educational &amp; Vocational Training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28,096.7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40,778.0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31,088.8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13,242.7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32%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Efficient Public Administration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4,797.1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6,116.4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5,017.1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1,419.9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23%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Outermost &amp; Sparsely Populated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167.7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220.5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191.6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200%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ind w:right="-136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DM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Discontinued Measures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111.9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154.7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61%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Multiple Thematic Objectives (ERDF/CF/ESF)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61,990.5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84,459.2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68,335.6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23,789.7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28%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GB"/>
              </w:rPr>
              <w:t>Technical Assistance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13,666.6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19,021.4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12,496.1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5,921.8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31%</w:t>
            </w:r>
          </w:p>
        </w:tc>
      </w:tr>
      <w:tr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>
            <w:pPr>
              <w:spacing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>
            <w:pPr>
              <w:spacing w:after="0"/>
              <w:jc w:val="lef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Grand total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460,930.9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643,152.1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497,084.4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212,876.6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>
            <w:pPr>
              <w:spacing w:after="0"/>
              <w:jc w:val="right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33%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rFonts w:cs="Times New Roman"/>
          <w:i/>
          <w:iCs/>
          <w:noProof/>
          <w:sz w:val="20"/>
          <w:szCs w:val="20"/>
        </w:rPr>
        <w:t xml:space="preserve">Source: ESIF Open Data - </w:t>
      </w:r>
      <w:hyperlink r:id="rId16" w:history="1">
        <w:r>
          <w:rPr>
            <w:rStyle w:val="Hyperlink"/>
            <w:rFonts w:cs="Times New Roman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rFonts w:cs="Times New Roman"/>
          <w:i/>
          <w:iCs/>
          <w:noProof/>
          <w:sz w:val="20"/>
          <w:szCs w:val="20"/>
        </w:rPr>
        <w:t xml:space="preserve">  as at 5 November 2019</w:t>
      </w:r>
    </w:p>
    <w:p>
      <w:pPr>
        <w:rPr>
          <w:noProof/>
        </w:rPr>
      </w:pPr>
    </w:p>
    <w:p>
      <w:pPr>
        <w:rPr>
          <w:noProof/>
        </w:rPr>
      </w:pPr>
    </w:p>
    <w:p>
      <w:pPr>
        <w:keepNext/>
        <w:keepLines/>
        <w:jc w:val="center"/>
        <w:outlineLvl w:val="0"/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</w:pPr>
      <w:r>
        <w:rPr>
          <w:rFonts w:eastAsia="Times New Roman" w:cs="Times New Roman"/>
          <w:caps/>
          <w:noProof/>
          <w:kern w:val="28"/>
          <w:sz w:val="32"/>
          <w:szCs w:val="32"/>
        </w:rPr>
        <w:br w:type="page"/>
      </w:r>
      <w:bookmarkStart w:id="18" w:name="_Toc12459066"/>
      <w:bookmarkStart w:id="19" w:name="_Toc13216695"/>
      <w:bookmarkStart w:id="20" w:name="_Toc13234946"/>
      <w:bookmarkStart w:id="21" w:name="_Toc13500402"/>
      <w:bookmarkStart w:id="22" w:name="_Toc13555786"/>
      <w:bookmarkStart w:id="23" w:name="_Toc13571379"/>
      <w:bookmarkStart w:id="24" w:name="_Toc23418033"/>
      <w:bookmarkStart w:id="25" w:name="_Toc24643930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t xml:space="preserve">Annex 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t>2.1</w:t>
      </w:r>
      <w:bookmarkEnd w:id="25"/>
    </w:p>
    <w:p>
      <w:pPr>
        <w:jc w:val="center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 xml:space="preserve">ESI Funds cumulative financial implementation by Member State </w:t>
      </w:r>
      <w:r>
        <w:rPr>
          <w:b/>
          <w:bCs/>
          <w:noProof/>
          <w:kern w:val="28"/>
        </w:rPr>
        <w:t>reported</w:t>
      </w:r>
      <w:r>
        <w:rPr>
          <w:rFonts w:cs="Times New Roman"/>
          <w:b/>
          <w:bCs/>
          <w:noProof/>
        </w:rPr>
        <w:t xml:space="preserve"> by programmes</w:t>
      </w:r>
      <w:bookmarkStart w:id="26" w:name="_Toc463018900"/>
      <w:r>
        <w:rPr>
          <w:rFonts w:cs="Times New Roman"/>
          <w:b/>
          <w:bCs/>
          <w:noProof/>
        </w:rPr>
        <w:t xml:space="preserve"> until </w:t>
      </w:r>
      <w:r>
        <w:rPr>
          <w:rFonts w:cs="Times New Roman"/>
          <w:b/>
          <w:bCs/>
          <w:noProof/>
          <w:u w:val="single"/>
        </w:rPr>
        <w:t>31 December 201</w:t>
      </w:r>
      <w:bookmarkEnd w:id="26"/>
      <w:r>
        <w:rPr>
          <w:rFonts w:cs="Times New Roman"/>
          <w:b/>
          <w:bCs/>
          <w:noProof/>
          <w:u w:val="single"/>
        </w:rPr>
        <w:t>8</w:t>
      </w:r>
      <w:r>
        <w:rPr>
          <w:rFonts w:cs="Times New Roman"/>
          <w:b/>
          <w:bCs/>
          <w:noProof/>
        </w:rPr>
        <w:t xml:space="preserve"> (in total cost, with </w:t>
      </w:r>
      <w:r>
        <w:rPr>
          <w:b/>
          <w:bCs/>
          <w:noProof/>
          <w:kern w:val="28"/>
        </w:rPr>
        <w:t>selection</w:t>
      </w:r>
      <w:bookmarkStart w:id="27" w:name="_Toc463018901"/>
      <w:r>
        <w:rPr>
          <w:rFonts w:cs="Times New Roman"/>
          <w:b/>
          <w:bCs/>
          <w:noProof/>
        </w:rPr>
        <w:t xml:space="preserve"> and expenditure volumes)</w:t>
      </w:r>
    </w:p>
    <w:p>
      <w:pPr>
        <w:rPr>
          <w:rFonts w:cs="Times New Roman"/>
          <w:b/>
          <w:bCs/>
          <w:noProof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6"/>
        <w:gridCol w:w="1435"/>
        <w:gridCol w:w="1435"/>
        <w:gridCol w:w="1436"/>
        <w:gridCol w:w="1436"/>
        <w:gridCol w:w="950"/>
        <w:gridCol w:w="984"/>
      </w:tblGrid>
      <w:tr>
        <w:trPr>
          <w:trHeight w:val="520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Allocated EU amount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planned </w:t>
            </w: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amount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Total eligible cost of projects selected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Total spending reported by selected projects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end 2017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€ million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Rate of project selection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Rate of spending</w:t>
            </w:r>
          </w:p>
        </w:tc>
      </w:tr>
      <w:tr>
        <w:trPr>
          <w:trHeight w:val="260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  <w:lang w:eastAsia="en-GB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2014-2020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(EU &amp; national)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 xml:space="preserve">end 2017 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%</w:t>
            </w:r>
          </w:p>
        </w:tc>
      </w:tr>
      <w:tr>
        <w:trPr>
          <w:trHeight w:val="70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  <w:lang w:eastAsia="en-GB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€ million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€ million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€ million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4,922.9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10,661.4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7,211.2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4,735.5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44%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2,741.7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6,088.8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5,033.1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1,558.4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26%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9,876.1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11,726.4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8,027.8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3,156.2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27%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10,727.4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12,649.1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8,740.3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2,178.1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17%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917.3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1,169.7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986.9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438.8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84%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38%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Czechia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23,865.0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33,402.3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21,123.4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8,239.1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25%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1,546.8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2,276.5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1,610.5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708.3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31%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4,423.5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5,779.0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4,190.0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1,929.7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33%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3,765.0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8,435.2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7,405.8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4,668.0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55%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27,506.2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45,929.2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31,400.5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16,182.6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35%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27,935.0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44,765.4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32,361.1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15,117.4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72%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34%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21,382.0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26,780.4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19,259.3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6,657.1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72%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25%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25,013.9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29,649.6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31,434.6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7,897.3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106%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27%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Interreg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9,410.3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12,633.3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9,717.1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2,005.6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77%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16%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3,361.6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6,139.7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5,728.0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2,963.3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93%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48%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44,656.1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75,164.5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49,948.2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17,460.3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66%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23%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5,633.7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6,907.2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5,583.0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2,118.6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81%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31%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8,436.0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9,997.3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6,873.0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3,294.2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33%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140.1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456.4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309.4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205.2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45%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827.9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1,023.9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908.7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311.4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89%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30%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1,947.4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3,802.6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3,125.5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1,289.8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82%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34%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86,111.6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104,916.2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76,918.8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26,879.0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26%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25,856.1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32,809.5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27,298.8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11,943.6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36%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30,882.6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36,742.0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26,741.5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8,815.7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24%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15,260.4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19,519.9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13,938.7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4,355.0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22%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3,930.6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4,958.0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3,793.9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1,348.1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77%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27%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39,950.9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56,318.0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30,030.6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12,569.5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22%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3,626.7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8,053.0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5,909.1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3,101.2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39%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United Kingdom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16,448.4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26,694.8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18,799.9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7,803.1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29%</w:t>
            </w:r>
          </w:p>
        </w:tc>
      </w:tr>
      <w:tr>
        <w:trPr>
          <w:trHeight w:val="26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>
            <w:pPr>
              <w:spacing w:before="120"/>
              <w:rPr>
                <w:rFonts w:cs="Times New Roman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0"/>
                <w:szCs w:val="20"/>
                <w:lang w:eastAsia="en-GB"/>
              </w:rPr>
              <w:t>Grand Total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  <w:t>461,103.3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  <w:t>645,449.4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  <w:t>464,408.8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  <w:t>179,930.1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  <w:t>72%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0"/>
                <w:szCs w:val="20"/>
              </w:rPr>
              <w:t>28%</w:t>
            </w:r>
          </w:p>
        </w:tc>
      </w:tr>
    </w:tbl>
    <w:p>
      <w:pPr>
        <w:rPr>
          <w:rFonts w:cs="Times New Roman"/>
          <w:bCs/>
          <w:i/>
          <w:iCs/>
          <w:noProof/>
          <w:sz w:val="20"/>
        </w:rPr>
      </w:pPr>
      <w:r>
        <w:rPr>
          <w:rFonts w:cs="Times New Roman"/>
          <w:bCs/>
          <w:i/>
          <w:iCs/>
          <w:noProof/>
          <w:sz w:val="20"/>
        </w:rPr>
        <w:t xml:space="preserve">Source: ESIF Open Data - </w:t>
      </w:r>
      <w:hyperlink r:id="rId17" w:history="1">
        <w:r>
          <w:rPr>
            <w:rStyle w:val="Hyperlink"/>
            <w:rFonts w:cs="Times New Roman"/>
            <w:i/>
            <w:iCs/>
            <w:noProof/>
            <w:sz w:val="20"/>
          </w:rPr>
          <w:t>https://cohesiondata.ec.europa.eu/d/99js-gm52</w:t>
        </w:r>
      </w:hyperlink>
      <w:r>
        <w:rPr>
          <w:rFonts w:cs="Times New Roman"/>
          <w:bCs/>
          <w:i/>
          <w:iCs/>
          <w:noProof/>
          <w:sz w:val="20"/>
        </w:rPr>
        <w:t xml:space="preserve">  as at 5 November 2019</w:t>
      </w:r>
    </w:p>
    <w:p>
      <w:pPr>
        <w:rPr>
          <w:rFonts w:cs="Times New Roman"/>
          <w:i/>
          <w:iCs/>
          <w:noProof/>
          <w:sz w:val="20"/>
          <w:szCs w:val="20"/>
        </w:rPr>
      </w:pPr>
    </w:p>
    <w:p>
      <w:pPr>
        <w:keepNext/>
        <w:keepLines/>
        <w:jc w:val="center"/>
        <w:outlineLvl w:val="0"/>
        <w:rPr>
          <w:rFonts w:eastAsia="Times New Roman" w:cs="Times New Roman"/>
          <w:b/>
          <w:bCs/>
          <w:caps/>
          <w:noProof/>
          <w:sz w:val="32"/>
          <w:szCs w:val="32"/>
        </w:rPr>
      </w:pPr>
      <w:r>
        <w:rPr>
          <w:rFonts w:eastAsia="Times New Roman" w:cs="Times New Roman"/>
          <w:caps/>
          <w:noProof/>
          <w:kern w:val="28"/>
          <w:sz w:val="32"/>
          <w:szCs w:val="32"/>
        </w:rPr>
        <w:br w:type="page"/>
      </w:r>
      <w:bookmarkStart w:id="28" w:name="_Toc12459067"/>
      <w:bookmarkStart w:id="29" w:name="_Toc13216696"/>
      <w:bookmarkStart w:id="30" w:name="_Toc13234947"/>
      <w:bookmarkStart w:id="31" w:name="_Toc13500403"/>
      <w:bookmarkStart w:id="32" w:name="_Toc13555787"/>
      <w:bookmarkStart w:id="33" w:name="_Toc13571380"/>
      <w:bookmarkStart w:id="34" w:name="_Toc23418034"/>
      <w:bookmarkStart w:id="35" w:name="_Toc24643931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t xml:space="preserve">Annex </w:t>
      </w:r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t>2.2</w:t>
      </w:r>
      <w:bookmarkEnd w:id="35"/>
    </w:p>
    <w:p>
      <w:pPr>
        <w:jc w:val="center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 xml:space="preserve">ESI Funds cumulative financial implementation by Member State reported by programmes until </w:t>
      </w:r>
      <w:r>
        <w:rPr>
          <w:rFonts w:cs="Times New Roman"/>
          <w:b/>
          <w:bCs/>
          <w:noProof/>
          <w:u w:val="single"/>
        </w:rPr>
        <w:t>30 September 2019</w:t>
      </w:r>
      <w:r>
        <w:rPr>
          <w:rFonts w:cs="Times New Roman"/>
          <w:b/>
          <w:bCs/>
          <w:noProof/>
        </w:rPr>
        <w:t xml:space="preserve"> (in total cost, with selection and expenditure volumes)</w:t>
      </w:r>
    </w:p>
    <w:p>
      <w:pPr>
        <w:jc w:val="center"/>
        <w:rPr>
          <w:rFonts w:cs="Times New Roman"/>
          <w:b/>
          <w:bCs/>
          <w:i/>
          <w:iCs/>
          <w:noProof/>
        </w:rPr>
      </w:pPr>
      <w:r>
        <w:rPr>
          <w:rFonts w:cs="Times New Roman"/>
          <w:b/>
          <w:bCs/>
          <w:i/>
          <w:iCs/>
          <w:noProof/>
        </w:rPr>
        <w:t>Cohesion data from 30/09/2019 –EAFRD and EMFF data from 31/12/2018</w:t>
      </w:r>
    </w:p>
    <w:p>
      <w:pPr>
        <w:jc w:val="center"/>
        <w:rPr>
          <w:rFonts w:cs="Times New Roman"/>
          <w:b/>
          <w:bCs/>
          <w:noProof/>
        </w:rPr>
      </w:pPr>
    </w:p>
    <w:bookmarkEnd w:id="27"/>
    <w:tbl>
      <w:tblPr>
        <w:tblW w:w="5000" w:type="pct"/>
        <w:tblLook w:val="04A0" w:firstRow="1" w:lastRow="0" w:firstColumn="1" w:lastColumn="0" w:noHBand="0" w:noVBand="1"/>
      </w:tblPr>
      <w:tblGrid>
        <w:gridCol w:w="1566"/>
        <w:gridCol w:w="1240"/>
        <w:gridCol w:w="1331"/>
        <w:gridCol w:w="1527"/>
        <w:gridCol w:w="1527"/>
        <w:gridCol w:w="959"/>
        <w:gridCol w:w="1092"/>
      </w:tblGrid>
      <w:tr>
        <w:trPr>
          <w:trHeight w:val="520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Allocated EU amount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planned </w:t>
            </w: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amount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Total eligible cost of projects selected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Total spending reported by selected projects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Autumn 2018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€ million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Rate of project selection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Rate of spending</w:t>
            </w:r>
          </w:p>
        </w:tc>
      </w:tr>
      <w:tr>
        <w:trPr>
          <w:trHeight w:val="260"/>
        </w:trPr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  <w:lang w:eastAsia="en-GB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2014-2020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(EU &amp; national)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 xml:space="preserve">Autumn 2018 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%</w:t>
            </w:r>
          </w:p>
        </w:tc>
      </w:tr>
      <w:tr>
        <w:trPr>
          <w:trHeight w:val="70"/>
        </w:trPr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noProof/>
                <w:sz w:val="20"/>
                <w:lang w:eastAsia="en-GB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€ million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€ million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 w:val="20"/>
                <w:szCs w:val="20"/>
                <w:lang w:eastAsia="en-GB"/>
              </w:rPr>
              <w:t>€ million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spacing w:after="0"/>
              <w:rPr>
                <w:rFonts w:cs="Times New Roman"/>
                <w:b/>
                <w:bCs/>
                <w:noProof/>
                <w:sz w:val="20"/>
                <w:lang w:eastAsia="en-GB"/>
              </w:rPr>
            </w:pP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4,922.9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10,660.8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7,657.1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5,210.4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72%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49%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2,741.7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6,088.8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5,107.1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1,905.2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84%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31%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9,868.8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11,714.0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8,415.8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3,903.9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72%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33%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10,727.4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12,649.1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9,808.8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3,105.5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78%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25%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917.3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1,169.7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1,060.6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484.6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91%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41%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Czechia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23,865.0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32,739.6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23,214.4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10,489.2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71%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32%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1,546.8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2,316.6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1,732.5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800.4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75%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35%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4,423.5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5,779.0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4,510.7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2,328.2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78%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40%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3,765.0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8,435.2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7,650.3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5,066.4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91%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60%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27,521.6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45,946.5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34,347.1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18,705.6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75%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41%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27,935.0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44,730.6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34,524.6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17,516.3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77%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39%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21,382.0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26,144.3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20,991.0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7,183.4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80%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27%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25,013.2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29,639.9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32,354.9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10,027.3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109%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34%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Interreg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9,410.0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12,631.1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10,809.9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2,863.0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86%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23%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3,361.6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6,139.7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5,762.9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3,124.3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94%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51%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44,629.9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75,130.7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50,953.4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20,617.4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68%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27%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5,633.7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6,907.9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5,876.8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2,640.2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85%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38%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8,436.4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9,998.4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7,662.6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3,897.6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77%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39%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140.1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456.4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309.4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246.6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68%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54%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827.9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1,022.1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941.2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375.2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92%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37%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1,947.4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3,802.6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3,291.3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1,525.0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87%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40%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86,108.6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104,912.6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82,582.5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33,745.1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79%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32%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25,856.1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33,043.1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29,244.2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13,350.1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89%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40%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30,882.6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36,742.0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30,357.6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10,023.2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83%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27%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15,137.2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19,349.4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14,996.5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5,118.7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78%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26%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3,928.7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4,955.4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3,793.9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1,430.5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77%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29%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39,948.8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56,303.7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32,370.3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13,877.3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57%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25%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3,626.4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7,099.4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6,044.2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3,586.3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85%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51%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en-GB"/>
              </w:rPr>
              <w:t>UnitedKingdom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16,425.1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26,643.5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20,712.7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9,730.1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78%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</w:rPr>
              <w:t>37%</w:t>
            </w:r>
          </w:p>
        </w:tc>
      </w:tr>
      <w:tr>
        <w:trPr>
          <w:trHeight w:val="26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>
            <w:pPr>
              <w:spacing w:before="120"/>
              <w:rPr>
                <w:rFonts w:cs="Times New Roman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Times New Roman"/>
                <w:b/>
                <w:noProof/>
                <w:color w:val="000000" w:themeColor="text1"/>
                <w:sz w:val="20"/>
                <w:szCs w:val="20"/>
                <w:lang w:eastAsia="en-GB"/>
              </w:rPr>
              <w:t>GrandTotal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/>
                <w:sz w:val="20"/>
                <w:szCs w:val="20"/>
              </w:rPr>
              <w:t>460,930.9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0"/>
                <w:szCs w:val="20"/>
              </w:rPr>
              <w:t>643,152.1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/>
                <w:sz w:val="20"/>
                <w:szCs w:val="20"/>
              </w:rPr>
              <w:t>497,084.4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/>
                <w:sz w:val="20"/>
                <w:szCs w:val="20"/>
              </w:rPr>
              <w:t>212,876.6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/>
                <w:sz w:val="20"/>
                <w:szCs w:val="20"/>
              </w:rPr>
              <w:t>77%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>
            <w:pPr>
              <w:spacing w:before="120"/>
              <w:jc w:val="right"/>
              <w:rPr>
                <w:rFonts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color w:val="000000"/>
                <w:sz w:val="20"/>
                <w:szCs w:val="20"/>
              </w:rPr>
              <w:t>33%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rFonts w:cs="Times New Roman"/>
          <w:i/>
          <w:iCs/>
          <w:noProof/>
          <w:sz w:val="20"/>
          <w:szCs w:val="20"/>
        </w:rPr>
        <w:t xml:space="preserve">Source: ESIF Open Data - </w:t>
      </w:r>
      <w:hyperlink r:id="rId18" w:history="1">
        <w:r>
          <w:rPr>
            <w:rStyle w:val="Hyperlink"/>
            <w:rFonts w:cs="Times New Roman"/>
            <w:i/>
            <w:iCs/>
            <w:noProof/>
            <w:sz w:val="20"/>
            <w:szCs w:val="20"/>
          </w:rPr>
          <w:t>https://cohesiondata.ec.europa.eu/d/99js-gm52</w:t>
        </w:r>
      </w:hyperlink>
      <w:r>
        <w:rPr>
          <w:rFonts w:cs="Times New Roman"/>
          <w:i/>
          <w:iCs/>
          <w:noProof/>
          <w:sz w:val="20"/>
          <w:szCs w:val="20"/>
        </w:rPr>
        <w:t xml:space="preserve">  as at 5 November 2019</w:t>
      </w:r>
    </w:p>
    <w:p>
      <w:pPr>
        <w:rPr>
          <w:rFonts w:cs="Times New Roman"/>
          <w:i/>
          <w:iCs/>
          <w:noProof/>
          <w:sz w:val="20"/>
          <w:szCs w:val="20"/>
        </w:rPr>
      </w:pPr>
    </w:p>
    <w:p>
      <w:pPr>
        <w:keepNext/>
        <w:keepLines/>
        <w:jc w:val="center"/>
        <w:outlineLvl w:val="0"/>
        <w:rPr>
          <w:rFonts w:eastAsia="Times New Roman" w:cs="Times New Roman"/>
          <w:b/>
          <w:bCs/>
          <w:caps/>
          <w:noProof/>
          <w:sz w:val="32"/>
          <w:szCs w:val="32"/>
        </w:rPr>
      </w:pPr>
      <w:r>
        <w:rPr>
          <w:rFonts w:eastAsia="Times New Roman" w:cs="Times New Roman"/>
          <w:caps/>
          <w:noProof/>
          <w:kern w:val="28"/>
          <w:sz w:val="32"/>
          <w:szCs w:val="32"/>
        </w:rPr>
        <w:br w:type="page"/>
      </w:r>
      <w:bookmarkStart w:id="36" w:name="_Toc12459068"/>
      <w:bookmarkStart w:id="37" w:name="_Toc13216697"/>
      <w:bookmarkStart w:id="38" w:name="_Toc13234948"/>
      <w:bookmarkStart w:id="39" w:name="_Toc13500404"/>
      <w:bookmarkStart w:id="40" w:name="_Toc13555788"/>
      <w:bookmarkStart w:id="41" w:name="_Toc13571381"/>
      <w:bookmarkStart w:id="42" w:name="_Toc23418035"/>
      <w:bookmarkStart w:id="43" w:name="_Toc24643932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t xml:space="preserve">Annex </w:t>
      </w:r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Times New Roman Bold" w:eastAsia="Times New Roman" w:hAnsi="Times New Roman Bold" w:cstheme="majorBidi"/>
          <w:b/>
          <w:bCs/>
          <w:caps/>
          <w:noProof/>
          <w:szCs w:val="28"/>
        </w:rPr>
        <w:t>3</w:t>
      </w:r>
      <w:bookmarkEnd w:id="43"/>
    </w:p>
    <w:p>
      <w:pPr>
        <w:jc w:val="center"/>
        <w:rPr>
          <w:rFonts w:cs="Times New Roman"/>
          <w:b/>
          <w:bCs/>
          <w:noProof/>
        </w:rPr>
      </w:pPr>
      <w:r>
        <w:rPr>
          <w:rFonts w:cs="Times New Roman"/>
          <w:b/>
          <w:bCs/>
          <w:noProof/>
        </w:rPr>
        <w:t>ESI Funds – planned amounts for climate objectives and selection rates by the end of 2018</w:t>
      </w:r>
    </w:p>
    <w:p>
      <w:pPr>
        <w:rPr>
          <w:rFonts w:cs="Times New Roman"/>
          <w:noProof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7"/>
        <w:gridCol w:w="1090"/>
        <w:gridCol w:w="1125"/>
        <w:gridCol w:w="986"/>
        <w:gridCol w:w="1554"/>
        <w:gridCol w:w="1697"/>
        <w:gridCol w:w="1693"/>
      </w:tblGrid>
      <w:tr>
        <w:trPr>
          <w:trHeight w:val="15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Fund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Total EU amount planned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Total EU climate change amount planned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 xml:space="preserve">Total selected end 2018 </w:t>
            </w:r>
            <w:r>
              <w:rPr>
                <w:noProof/>
                <w:szCs w:val="24"/>
              </w:rPr>
              <w:br/>
            </w: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(EU share estimate)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Of which allocated to climate change action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Rate of selection of climate actions out of all operations selected (2018)</w:t>
            </w:r>
          </w:p>
        </w:tc>
      </w:tr>
      <w:tr>
        <w:trPr>
          <w:trHeight w:val="6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€ billion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€ billion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€ billion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€ billion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>
            <w:pPr>
              <w:spacing w:after="0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Cs w:val="24"/>
                <w:lang w:eastAsia="en-GB"/>
              </w:rPr>
              <w:t>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CF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63.3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17.4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szCs w:val="24"/>
              </w:rPr>
              <w:t>28%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55.1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15.4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28%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EAFRD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100.1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57.5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szCs w:val="24"/>
              </w:rPr>
              <w:t>58%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en-GB"/>
              </w:rPr>
              <w:t>63.7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en-GB"/>
              </w:rPr>
              <w:t>42.9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41.7%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EMFF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5.7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1.0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szCs w:val="24"/>
              </w:rPr>
              <w:t>17,5%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en-GB"/>
              </w:rPr>
              <w:t>2.5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en-GB"/>
              </w:rPr>
              <w:t>0.44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17,6%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ERDF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199.2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tabs>
                <w:tab w:val="center" w:pos="459"/>
                <w:tab w:val="right" w:pos="918"/>
              </w:tabs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38.2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szCs w:val="24"/>
              </w:rPr>
              <w:t>19%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147.9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23.6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16%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ESF/YEI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92.8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1.2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szCs w:val="24"/>
              </w:rPr>
              <w:t>1%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91.9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eastAsia="en-GB"/>
              </w:rPr>
              <w:t>5.8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8.9%</w:t>
            </w:r>
          </w:p>
        </w:tc>
      </w:tr>
      <w:tr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>
            <w:pPr>
              <w:spacing w:before="120"/>
              <w:rPr>
                <w:rFonts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Cs w:val="24"/>
                <w:lang w:eastAsia="en-GB"/>
              </w:rPr>
              <w:t>Total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Cs w:val="24"/>
                <w:lang w:eastAsia="en-GB"/>
              </w:rPr>
              <w:t>461.1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Cs w:val="24"/>
                <w:lang w:eastAsia="en-GB"/>
              </w:rPr>
              <w:t>115.3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Cs w:val="24"/>
                <w:lang w:eastAsia="en-GB"/>
              </w:rPr>
              <w:t>24,7%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Cs w:val="24"/>
                <w:lang w:eastAsia="en-GB"/>
              </w:rPr>
              <w:t>361.1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Cs w:val="24"/>
                <w:lang w:eastAsia="en-GB"/>
              </w:rPr>
              <w:t>88.1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>
            <w:pPr>
              <w:spacing w:before="120"/>
              <w:jc w:val="right"/>
              <w:rPr>
                <w:rFonts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cs="Times New Roman"/>
                <w:b/>
                <w:bCs/>
                <w:noProof/>
                <w:szCs w:val="24"/>
                <w:lang w:eastAsia="en-GB"/>
              </w:rPr>
              <w:t>22,4%</w:t>
            </w:r>
          </w:p>
        </w:tc>
      </w:tr>
    </w:tbl>
    <w:p>
      <w:pPr>
        <w:rPr>
          <w:rFonts w:cs="Times New Roman"/>
          <w:i/>
          <w:iCs/>
          <w:noProof/>
          <w:sz w:val="20"/>
          <w:szCs w:val="20"/>
        </w:rPr>
      </w:pPr>
      <w:r>
        <w:rPr>
          <w:rFonts w:cs="Times New Roman"/>
          <w:i/>
          <w:iCs/>
          <w:noProof/>
          <w:sz w:val="20"/>
          <w:szCs w:val="20"/>
        </w:rPr>
        <w:t>Source: European Commission</w:t>
      </w:r>
    </w:p>
    <w:p>
      <w:pPr>
        <w:rPr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81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5"/>
        <w:tab w:val="clear" w:pos="9071"/>
        <w:tab w:val="clear" w:pos="9921"/>
        <w:tab w:val="left" w:pos="4005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42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14B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38A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C07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7C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6C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2AB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688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96E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6259E"/>
    <w:multiLevelType w:val="hybridMultilevel"/>
    <w:tmpl w:val="C65EB4A4"/>
    <w:lvl w:ilvl="0" w:tplc="25DE3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202C00"/>
    <w:multiLevelType w:val="multilevel"/>
    <w:tmpl w:val="67E8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2C32E87"/>
    <w:multiLevelType w:val="hybridMultilevel"/>
    <w:tmpl w:val="62E4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2826DF"/>
    <w:multiLevelType w:val="hybridMultilevel"/>
    <w:tmpl w:val="DBD0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AB11A6"/>
    <w:multiLevelType w:val="multilevel"/>
    <w:tmpl w:val="6C48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65F2B7F"/>
    <w:multiLevelType w:val="hybridMultilevel"/>
    <w:tmpl w:val="412C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99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154D7"/>
    <w:multiLevelType w:val="hybridMultilevel"/>
    <w:tmpl w:val="E2906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49E2312"/>
    <w:multiLevelType w:val="multilevel"/>
    <w:tmpl w:val="6482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B071441"/>
    <w:multiLevelType w:val="hybridMultilevel"/>
    <w:tmpl w:val="67D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3701AC"/>
    <w:multiLevelType w:val="hybridMultilevel"/>
    <w:tmpl w:val="B1326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746B3"/>
    <w:multiLevelType w:val="multilevel"/>
    <w:tmpl w:val="0088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8AF79C5"/>
    <w:multiLevelType w:val="hybridMultilevel"/>
    <w:tmpl w:val="9CD07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026CA8"/>
    <w:multiLevelType w:val="hybridMultilevel"/>
    <w:tmpl w:val="662AF1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995FBF"/>
    <w:multiLevelType w:val="hybridMultilevel"/>
    <w:tmpl w:val="6D20D8DE"/>
    <w:lvl w:ilvl="0" w:tplc="760ACF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53717"/>
    <w:multiLevelType w:val="multilevel"/>
    <w:tmpl w:val="341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FEB78E3"/>
    <w:multiLevelType w:val="hybridMultilevel"/>
    <w:tmpl w:val="8A94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6D344F"/>
    <w:multiLevelType w:val="hybridMultilevel"/>
    <w:tmpl w:val="F1A0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6514C9"/>
    <w:multiLevelType w:val="multilevel"/>
    <w:tmpl w:val="2842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37E1778F"/>
    <w:multiLevelType w:val="hybridMultilevel"/>
    <w:tmpl w:val="05667E1C"/>
    <w:lvl w:ilvl="0" w:tplc="25DE3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2E6E93"/>
    <w:multiLevelType w:val="multilevel"/>
    <w:tmpl w:val="77F8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3A97671A"/>
    <w:multiLevelType w:val="multilevel"/>
    <w:tmpl w:val="30E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3BBF3C59"/>
    <w:multiLevelType w:val="hybridMultilevel"/>
    <w:tmpl w:val="D41481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3EB14AE0"/>
    <w:multiLevelType w:val="multilevel"/>
    <w:tmpl w:val="917C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4506317E"/>
    <w:multiLevelType w:val="hybridMultilevel"/>
    <w:tmpl w:val="B64406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636475D"/>
    <w:multiLevelType w:val="hybridMultilevel"/>
    <w:tmpl w:val="F3D4B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4D9754B7"/>
    <w:multiLevelType w:val="hybridMultilevel"/>
    <w:tmpl w:val="83AE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37022"/>
    <w:multiLevelType w:val="hybridMultilevel"/>
    <w:tmpl w:val="414E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5361FD"/>
    <w:multiLevelType w:val="hybridMultilevel"/>
    <w:tmpl w:val="08DA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909C5"/>
    <w:multiLevelType w:val="multilevel"/>
    <w:tmpl w:val="DC1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5B337E75"/>
    <w:multiLevelType w:val="multilevel"/>
    <w:tmpl w:val="5E40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1234F7B"/>
    <w:multiLevelType w:val="multilevel"/>
    <w:tmpl w:val="BC40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63AC0DF9"/>
    <w:multiLevelType w:val="multilevel"/>
    <w:tmpl w:val="6CC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66B16778"/>
    <w:multiLevelType w:val="hybridMultilevel"/>
    <w:tmpl w:val="8CCA90B6"/>
    <w:lvl w:ilvl="0" w:tplc="25DE3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B760F"/>
    <w:multiLevelType w:val="hybridMultilevel"/>
    <w:tmpl w:val="6F4A0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60974"/>
    <w:multiLevelType w:val="hybridMultilevel"/>
    <w:tmpl w:val="C97E8F1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5">
    <w:nsid w:val="752978AF"/>
    <w:multiLevelType w:val="hybridMultilevel"/>
    <w:tmpl w:val="866A1D96"/>
    <w:lvl w:ilvl="0" w:tplc="6FC2E61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643AD"/>
    <w:multiLevelType w:val="hybridMultilevel"/>
    <w:tmpl w:val="2474D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D1710"/>
    <w:multiLevelType w:val="hybridMultilevel"/>
    <w:tmpl w:val="D960BBCE"/>
    <w:lvl w:ilvl="0" w:tplc="7A0E1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C09FA"/>
    <w:multiLevelType w:val="hybridMultilevel"/>
    <w:tmpl w:val="FB62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D5F49"/>
    <w:multiLevelType w:val="hybridMultilevel"/>
    <w:tmpl w:val="80F4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28"/>
  </w:num>
  <w:num w:numId="4">
    <w:abstractNumId w:val="35"/>
  </w:num>
  <w:num w:numId="5">
    <w:abstractNumId w:val="36"/>
  </w:num>
  <w:num w:numId="6">
    <w:abstractNumId w:val="15"/>
  </w:num>
  <w:num w:numId="7">
    <w:abstractNumId w:val="34"/>
  </w:num>
  <w:num w:numId="8">
    <w:abstractNumId w:val="13"/>
  </w:num>
  <w:num w:numId="9">
    <w:abstractNumId w:val="4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27"/>
  </w:num>
  <w:num w:numId="21">
    <w:abstractNumId w:val="39"/>
  </w:num>
  <w:num w:numId="22">
    <w:abstractNumId w:val="41"/>
  </w:num>
  <w:num w:numId="23">
    <w:abstractNumId w:val="38"/>
  </w:num>
  <w:num w:numId="24">
    <w:abstractNumId w:val="17"/>
  </w:num>
  <w:num w:numId="25">
    <w:abstractNumId w:val="29"/>
  </w:num>
  <w:num w:numId="26">
    <w:abstractNumId w:val="24"/>
  </w:num>
  <w:num w:numId="27">
    <w:abstractNumId w:val="30"/>
  </w:num>
  <w:num w:numId="28">
    <w:abstractNumId w:val="14"/>
  </w:num>
  <w:num w:numId="29">
    <w:abstractNumId w:val="40"/>
  </w:num>
  <w:num w:numId="30">
    <w:abstractNumId w:val="11"/>
  </w:num>
  <w:num w:numId="31">
    <w:abstractNumId w:val="32"/>
  </w:num>
  <w:num w:numId="32">
    <w:abstractNumId w:val="26"/>
  </w:num>
  <w:num w:numId="33">
    <w:abstractNumId w:val="49"/>
  </w:num>
  <w:num w:numId="34">
    <w:abstractNumId w:val="42"/>
  </w:num>
  <w:num w:numId="35">
    <w:abstractNumId w:val="10"/>
  </w:num>
  <w:num w:numId="36">
    <w:abstractNumId w:val="16"/>
  </w:num>
  <w:num w:numId="37">
    <w:abstractNumId w:val="44"/>
  </w:num>
  <w:num w:numId="38">
    <w:abstractNumId w:val="18"/>
  </w:num>
  <w:num w:numId="39">
    <w:abstractNumId w:val="22"/>
  </w:num>
  <w:num w:numId="40">
    <w:abstractNumId w:val="21"/>
  </w:num>
  <w:num w:numId="41">
    <w:abstractNumId w:val="25"/>
  </w:num>
  <w:num w:numId="42">
    <w:abstractNumId w:val="12"/>
  </w:num>
  <w:num w:numId="43">
    <w:abstractNumId w:val="37"/>
  </w:num>
  <w:num w:numId="44">
    <w:abstractNumId w:val="47"/>
  </w:num>
  <w:num w:numId="45">
    <w:abstractNumId w:val="46"/>
  </w:num>
  <w:num w:numId="46">
    <w:abstractNumId w:val="23"/>
  </w:num>
  <w:num w:numId="47">
    <w:abstractNumId w:val="43"/>
  </w:num>
  <w:num w:numId="48">
    <w:abstractNumId w:val="31"/>
  </w:num>
  <w:num w:numId="49">
    <w:abstractNumId w:val="3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hideSpellingErrors/>
  <w:hideGrammaticalErrors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B6C985C7-8C02-40ED-B569-7A814378CBA9"/>
    <w:docVar w:name="LW_COVERPAGE_TYPE" w:val="1"/>
    <w:docVar w:name="LW_CROSSREFERENCE" w:val="&lt;UNUSED&gt;"/>
    <w:docVar w:name="LW_DocType" w:val="NORMAL"/>
    <w:docVar w:name="LW_EMISSION" w:val="17.12.2019"/>
    <w:docVar w:name="LW_EMISSION_ISODATE" w:val="2019-12-17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Strategic report 2019 on the implementation of the European Structural and Investment Fund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6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S_x000b_"/>
    <w:docVar w:name="LW_TYPEACTEPRINCIPAL.CP" w:val="REPORT FROM THE COMMISSION TO THE EUROPEAN PARLIAMENT, THE COUNCIL, THE EUROPEAN ECONOMIC AND SOCIAL COMMITTEE AND THE COMMITTEE OF THE RE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i/>
      <w:sz w:val="24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fn,Fußnote,Fotnotstext1,Footnote text,Footnote Text Char2,Footnote Text Char1 Char,Footnote Text Char Char Char,Footnote Text Char Char1,Footnote Text Char1 Char1"/>
    <w:basedOn w:val="Normal"/>
    <w:link w:val="FootnoteTextChar"/>
    <w:unhideWhenUsed/>
    <w:qFormat/>
    <w:pPr>
      <w:spacing w:after="0"/>
      <w:ind w:left="357" w:hanging="357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fn Char,Fußnote Char,Fotnotstext1 Char,Footnote text Char,Footnote Text Char2 Char,Footnote Text Char1 Char Char,Footnote Text Char Char Char Char"/>
    <w:basedOn w:val="DefaultParagraphFont"/>
    <w:link w:val="FootnoteText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Footnote Reference Number,Footnote reference number,Times 10 Point,Exposant 3 Point,EN Footnote Reference,note TESI,-E Fußnotenzeichen,SUPERS,Appel note de bas de p,Footnote Reference/,number,ftref"/>
    <w:basedOn w:val="DefaultParagraphFont"/>
    <w:link w:val="FootnotesymbolCarZchn"/>
    <w:uiPriority w:val="99"/>
    <w:unhideWhenUsed/>
    <w:qFormat/>
    <w:rPr>
      <w:vertAlign w:val="superscript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hAnsi="Times New Roman"/>
      <w:sz w:val="24"/>
      <w:lang w:val="en-GB"/>
    </w:rPr>
  </w:style>
  <w:style w:type="paragraph" w:styleId="ListBullet5">
    <w:name w:val="List Bullet 5"/>
    <w:basedOn w:val="Normal"/>
    <w:autoRedefine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SECTIONTITLE">
    <w:name w:val="SECTION TITLE"/>
    <w:basedOn w:val="Normal"/>
    <w:link w:val="SECTIONTITLEChar"/>
    <w:qFormat/>
    <w:pPr>
      <w:keepNext/>
      <w:spacing w:before="480"/>
    </w:pPr>
    <w:rPr>
      <w:b/>
      <w:bCs/>
      <w:caps/>
    </w:rPr>
  </w:style>
  <w:style w:type="paragraph" w:customStyle="1" w:styleId="Subsectiontitle">
    <w:name w:val="Subsection title"/>
    <w:basedOn w:val="Normal"/>
    <w:link w:val="SubsectiontitleChar"/>
    <w:qFormat/>
    <w:pPr>
      <w:spacing w:after="80"/>
    </w:pPr>
    <w:rPr>
      <w:bCs/>
      <w:i/>
      <w:sz w:val="20"/>
      <w:szCs w:val="20"/>
    </w:rPr>
  </w:style>
  <w:style w:type="character" w:customStyle="1" w:styleId="SECTIONTITLEChar">
    <w:name w:val="SECTION TITLE Char"/>
    <w:basedOn w:val="DefaultParagraphFont"/>
    <w:link w:val="SECTIONTITLE"/>
    <w:rPr>
      <w:rFonts w:ascii="Times New Roman" w:hAnsi="Times New Roman"/>
      <w:b/>
      <w:bCs/>
      <w:caps/>
      <w:sz w:val="24"/>
      <w:lang w:val="en-GB"/>
    </w:rPr>
  </w:style>
  <w:style w:type="character" w:customStyle="1" w:styleId="SubsectiontitleChar">
    <w:name w:val="Subsection title Char"/>
    <w:basedOn w:val="DefaultParagraphFont"/>
    <w:link w:val="Subsectiontitle"/>
    <w:rPr>
      <w:rFonts w:ascii="Times New Roman" w:hAnsi="Times New Roman"/>
      <w:bCs/>
      <w:i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</w:pPr>
    <w:rPr>
      <w:rFonts w:asciiTheme="minorHAnsi" w:hAnsiTheme="minorHAnsi"/>
      <w:sz w:val="22"/>
      <w:vertAlign w:val="superscript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Caption">
    <w:name w:val="caption"/>
    <w:aliases w:val="TR-Caption,Inscription,Beschriftung Char Char Char,Beschriftung Char Char,Caption-tables,Table legend,Tab_Überschrift,Figure reference,Caption1 Char Char Char Char Char Char Char Char,Beschriftung Char2 Char,Beschriftung Char1 Cha...,Char Char"/>
    <w:basedOn w:val="Normal"/>
    <w:next w:val="Normal"/>
    <w:link w:val="CaptionChar"/>
    <w:uiPriority w:val="35"/>
    <w:qFormat/>
    <w:pPr>
      <w:spacing w:before="120"/>
    </w:pPr>
    <w:rPr>
      <w:rFonts w:eastAsia="Times New Roman" w:cs="Times New Roman"/>
      <w:b/>
      <w:szCs w:val="20"/>
    </w:rPr>
  </w:style>
  <w:style w:type="character" w:customStyle="1" w:styleId="CaptionChar">
    <w:name w:val="Caption Char"/>
    <w:aliases w:val="TR-Caption Char,Inscription Char,Beschriftung Char Char Char Char,Beschriftung Char Char Char1,Caption-tables Char,Table legend Char,Tab_Überschrift Char,Figure reference Char,Caption1 Char Char Char Char Char Char Char Char Char"/>
    <w:link w:val="Caption"/>
    <w:uiPriority w:val="35"/>
    <w:locked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Chaptertitle">
    <w:name w:val="Chapter title"/>
    <w:basedOn w:val="Normal"/>
    <w:pPr>
      <w:keepNext/>
      <w:spacing w:before="480"/>
    </w:pPr>
    <w:rPr>
      <w:rFonts w:cs="Times New Roman"/>
      <w:b/>
      <w:caps/>
      <w:szCs w:val="24"/>
    </w:rPr>
  </w:style>
  <w:style w:type="paragraph" w:customStyle="1" w:styleId="Sub1">
    <w:name w:val="Sub 1"/>
    <w:basedOn w:val="Normal"/>
    <w:pPr>
      <w:keepNext/>
      <w:spacing w:before="120" w:after="80"/>
    </w:pPr>
    <w:rPr>
      <w:rFonts w:cs="Times New Roman"/>
      <w:b/>
      <w:bCs/>
      <w:i/>
      <w:szCs w:val="24"/>
    </w:rPr>
  </w:style>
  <w:style w:type="paragraph" w:customStyle="1" w:styleId="Sub2">
    <w:name w:val="Sub2"/>
    <w:basedOn w:val="Normal"/>
    <w:link w:val="Sub2Char"/>
    <w:pPr>
      <w:keepNext/>
      <w:spacing w:before="120" w:after="80"/>
    </w:pPr>
    <w:rPr>
      <w:rFonts w:cs="Times New Roman"/>
      <w:b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i/>
    </w:rPr>
  </w:style>
  <w:style w:type="character" w:customStyle="1" w:styleId="Sub2Char">
    <w:name w:val="Sub2 Char"/>
    <w:basedOn w:val="DefaultParagraphFont"/>
    <w:link w:val="Sub2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lang w:val="en-GB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 w:cs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rFonts w:eastAsia="Times New Roman" w:cs="Times New Roman"/>
      <w:b/>
      <w:szCs w:val="2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/>
    </w:pPr>
    <w:rPr>
      <w:rFonts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  <w:rPr>
      <w:rFonts w:cs="Times New Roman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cs="Times New Roman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pPr>
      <w:spacing w:after="0"/>
      <w:jc w:val="left"/>
    </w:pPr>
    <w:rPr>
      <w:rFonts w:cs="Times New Roman"/>
      <w:szCs w:val="24"/>
      <w:lang w:eastAsia="en-GB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HeaderSensitivityRight">
    <w:name w:val="Header Sensitivity Right"/>
    <w:basedOn w:val="Normal"/>
    <w:pPr>
      <w:jc w:val="right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i/>
      <w:sz w:val="24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fn,Fußnote,Fotnotstext1,Footnote text,Footnote Text Char2,Footnote Text Char1 Char,Footnote Text Char Char Char,Footnote Text Char Char1,Footnote Text Char1 Char1"/>
    <w:basedOn w:val="Normal"/>
    <w:link w:val="FootnoteTextChar"/>
    <w:unhideWhenUsed/>
    <w:qFormat/>
    <w:pPr>
      <w:spacing w:after="0"/>
      <w:ind w:left="357" w:hanging="357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fn Char,Fußnote Char,Fotnotstext1 Char,Footnote text Char,Footnote Text Char2 Char,Footnote Text Char1 Char Char,Footnote Text Char Char Char Char"/>
    <w:basedOn w:val="DefaultParagraphFont"/>
    <w:link w:val="FootnoteText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Footnote Reference Number,Footnote reference number,Times 10 Point,Exposant 3 Point,EN Footnote Reference,note TESI,-E Fußnotenzeichen,SUPERS,Appel note de bas de p,Footnote Reference/,number,ftref"/>
    <w:basedOn w:val="DefaultParagraphFont"/>
    <w:link w:val="FootnotesymbolCarZchn"/>
    <w:uiPriority w:val="99"/>
    <w:unhideWhenUsed/>
    <w:qFormat/>
    <w:rPr>
      <w:vertAlign w:val="superscript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Times New Roman" w:hAnsi="Times New Roman"/>
      <w:sz w:val="24"/>
      <w:lang w:val="en-GB"/>
    </w:rPr>
  </w:style>
  <w:style w:type="paragraph" w:styleId="ListBullet5">
    <w:name w:val="List Bullet 5"/>
    <w:basedOn w:val="Normal"/>
    <w:autoRedefine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SECTIONTITLE">
    <w:name w:val="SECTION TITLE"/>
    <w:basedOn w:val="Normal"/>
    <w:link w:val="SECTIONTITLEChar"/>
    <w:qFormat/>
    <w:pPr>
      <w:keepNext/>
      <w:spacing w:before="480"/>
    </w:pPr>
    <w:rPr>
      <w:b/>
      <w:bCs/>
      <w:caps/>
    </w:rPr>
  </w:style>
  <w:style w:type="paragraph" w:customStyle="1" w:styleId="Subsectiontitle">
    <w:name w:val="Subsection title"/>
    <w:basedOn w:val="Normal"/>
    <w:link w:val="SubsectiontitleChar"/>
    <w:qFormat/>
    <w:pPr>
      <w:spacing w:after="80"/>
    </w:pPr>
    <w:rPr>
      <w:bCs/>
      <w:i/>
      <w:sz w:val="20"/>
      <w:szCs w:val="20"/>
    </w:rPr>
  </w:style>
  <w:style w:type="character" w:customStyle="1" w:styleId="SECTIONTITLEChar">
    <w:name w:val="SECTION TITLE Char"/>
    <w:basedOn w:val="DefaultParagraphFont"/>
    <w:link w:val="SECTIONTITLE"/>
    <w:rPr>
      <w:rFonts w:ascii="Times New Roman" w:hAnsi="Times New Roman"/>
      <w:b/>
      <w:bCs/>
      <w:caps/>
      <w:sz w:val="24"/>
      <w:lang w:val="en-GB"/>
    </w:rPr>
  </w:style>
  <w:style w:type="character" w:customStyle="1" w:styleId="SubsectiontitleChar">
    <w:name w:val="Subsection title Char"/>
    <w:basedOn w:val="DefaultParagraphFont"/>
    <w:link w:val="Subsectiontitle"/>
    <w:rPr>
      <w:rFonts w:ascii="Times New Roman" w:hAnsi="Times New Roman"/>
      <w:bCs/>
      <w:i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</w:pPr>
    <w:rPr>
      <w:rFonts w:asciiTheme="minorHAnsi" w:hAnsiTheme="minorHAnsi"/>
      <w:sz w:val="22"/>
      <w:vertAlign w:val="superscript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Caption">
    <w:name w:val="caption"/>
    <w:aliases w:val="TR-Caption,Inscription,Beschriftung Char Char Char,Beschriftung Char Char,Caption-tables,Table legend,Tab_Überschrift,Figure reference,Caption1 Char Char Char Char Char Char Char Char,Beschriftung Char2 Char,Beschriftung Char1 Cha...,Char Char"/>
    <w:basedOn w:val="Normal"/>
    <w:next w:val="Normal"/>
    <w:link w:val="CaptionChar"/>
    <w:uiPriority w:val="35"/>
    <w:qFormat/>
    <w:pPr>
      <w:spacing w:before="120"/>
    </w:pPr>
    <w:rPr>
      <w:rFonts w:eastAsia="Times New Roman" w:cs="Times New Roman"/>
      <w:b/>
      <w:szCs w:val="20"/>
    </w:rPr>
  </w:style>
  <w:style w:type="character" w:customStyle="1" w:styleId="CaptionChar">
    <w:name w:val="Caption Char"/>
    <w:aliases w:val="TR-Caption Char,Inscription Char,Beschriftung Char Char Char Char,Beschriftung Char Char Char1,Caption-tables Char,Table legend Char,Tab_Überschrift Char,Figure reference Char,Caption1 Char Char Char Char Char Char Char Char Char"/>
    <w:link w:val="Caption"/>
    <w:uiPriority w:val="35"/>
    <w:locked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Chaptertitle">
    <w:name w:val="Chapter title"/>
    <w:basedOn w:val="Normal"/>
    <w:pPr>
      <w:keepNext/>
      <w:spacing w:before="480"/>
    </w:pPr>
    <w:rPr>
      <w:rFonts w:cs="Times New Roman"/>
      <w:b/>
      <w:caps/>
      <w:szCs w:val="24"/>
    </w:rPr>
  </w:style>
  <w:style w:type="paragraph" w:customStyle="1" w:styleId="Sub1">
    <w:name w:val="Sub 1"/>
    <w:basedOn w:val="Normal"/>
    <w:pPr>
      <w:keepNext/>
      <w:spacing w:before="120" w:after="80"/>
    </w:pPr>
    <w:rPr>
      <w:rFonts w:cs="Times New Roman"/>
      <w:b/>
      <w:bCs/>
      <w:i/>
      <w:szCs w:val="24"/>
    </w:rPr>
  </w:style>
  <w:style w:type="paragraph" w:customStyle="1" w:styleId="Sub2">
    <w:name w:val="Sub2"/>
    <w:basedOn w:val="Normal"/>
    <w:link w:val="Sub2Char"/>
    <w:pPr>
      <w:keepNext/>
      <w:spacing w:before="120" w:after="80"/>
    </w:pPr>
    <w:rPr>
      <w:rFonts w:cs="Times New Roman"/>
      <w:b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i/>
    </w:rPr>
  </w:style>
  <w:style w:type="character" w:customStyle="1" w:styleId="Sub2Char">
    <w:name w:val="Sub2 Char"/>
    <w:basedOn w:val="DefaultParagraphFont"/>
    <w:link w:val="Sub2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lang w:val="en-GB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 w:cs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rFonts w:eastAsia="Times New Roman" w:cs="Times New Roman"/>
      <w:b/>
      <w:szCs w:val="2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/>
    </w:pPr>
    <w:rPr>
      <w:rFonts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  <w:rPr>
      <w:rFonts w:cs="Times New Roman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cs="Times New Roman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pPr>
      <w:spacing w:after="0"/>
      <w:jc w:val="left"/>
    </w:pPr>
    <w:rPr>
      <w:rFonts w:cs="Times New Roman"/>
      <w:szCs w:val="24"/>
      <w:lang w:eastAsia="en-GB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HeaderSensitivityRight">
    <w:name w:val="Header Sensitivity Right"/>
    <w:basedOn w:val="Normal"/>
    <w:pPr>
      <w:jc w:val="right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s://cohesiondata.ec.europa.eu/d/99js-gm5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ohesiondata.ec.europa.eu/d/99js-gm5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hesiondata.ec.europa.eu/d/99js-gm52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cohesiondata.ec.europa.eu/d/99js-gm52" TargetMode="Externa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1262</Words>
  <Characters>7422</Characters>
  <Application>Microsoft Office Word</Application>
  <DocSecurity>0</DocSecurity>
  <Lines>1060</Lines>
  <Paragraphs>964</Paragraphs>
  <ScaleCrop>false</ScaleCrop>
  <Company>European Commission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 Martine (REGIO)</dc:creator>
  <cp:keywords/>
  <dc:description/>
  <cp:lastModifiedBy>WES PDFC Administrator</cp:lastModifiedBy>
  <cp:revision>7</cp:revision>
  <dcterms:created xsi:type="dcterms:W3CDTF">2019-11-15T14:27:00Z</dcterms:created>
  <dcterms:modified xsi:type="dcterms:W3CDTF">2019-12-06T11:21:00Z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