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8FB" w:rsidRDefault="00773466" w:rsidP="0077346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2628E61-8C0E-4CC1-81EA-DC0ADB750394" style="width:450.75pt;height:416.25pt">
            <v:imagedata r:id="rId7" o:title=""/>
          </v:shape>
        </w:pict>
      </w:r>
    </w:p>
    <w:bookmarkEnd w:id="0"/>
    <w:p w:rsidR="003C18FB" w:rsidRDefault="003C18FB">
      <w:pPr>
        <w:rPr>
          <w:noProof/>
        </w:rPr>
        <w:sectPr w:rsidR="003C18FB" w:rsidSect="00773466">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299"/>
        </w:sectPr>
      </w:pPr>
    </w:p>
    <w:p w:rsidR="003C18FB" w:rsidRDefault="003C18FB">
      <w:pPr>
        <w:pStyle w:val="TOCHeading"/>
        <w:rPr>
          <w:rFonts w:asciiTheme="minorHAnsi" w:eastAsiaTheme="minorHAnsi" w:hAnsiTheme="minorHAnsi" w:cstheme="minorBidi"/>
          <w:b w:val="0"/>
          <w:noProof/>
          <w:sz w:val="28"/>
          <w:szCs w:val="22"/>
        </w:rPr>
      </w:pPr>
    </w:p>
    <w:sdt>
      <w:sdtPr>
        <w:rPr>
          <w:rFonts w:asciiTheme="minorHAnsi" w:eastAsiaTheme="minorHAnsi" w:hAnsiTheme="minorHAnsi" w:cstheme="minorBidi"/>
          <w:b w:val="0"/>
          <w:noProof/>
          <w:sz w:val="28"/>
          <w:szCs w:val="22"/>
        </w:rPr>
        <w:id w:val="1691642507"/>
        <w:docPartObj>
          <w:docPartGallery w:val="Table of Contents"/>
          <w:docPartUnique/>
        </w:docPartObj>
      </w:sdtPr>
      <w:sdtEndPr>
        <w:rPr>
          <w:rFonts w:ascii="Times New Roman" w:hAnsi="Times New Roman" w:cs="Times New Roman"/>
          <w:bCs/>
          <w:sz w:val="22"/>
        </w:rPr>
      </w:sdtEndPr>
      <w:sdtContent>
        <w:p w:rsidR="003C18FB" w:rsidRDefault="00773466">
          <w:pPr>
            <w:pStyle w:val="TOCHeading"/>
            <w:rPr>
              <w:noProof/>
              <w:sz w:val="28"/>
            </w:rPr>
          </w:pPr>
          <w:r>
            <w:rPr>
              <w:noProof/>
              <w:sz w:val="32"/>
            </w:rPr>
            <w:t>Table of Contents</w:t>
          </w:r>
        </w:p>
        <w:p w:rsidR="003C18FB" w:rsidRDefault="003C18FB">
          <w:pPr>
            <w:pStyle w:val="TOC1"/>
            <w:rPr>
              <w:noProof/>
              <w:sz w:val="24"/>
              <w:szCs w:val="24"/>
            </w:rPr>
          </w:pPr>
        </w:p>
        <w:p w:rsidR="003C18FB" w:rsidRDefault="00773466">
          <w:pPr>
            <w:pStyle w:val="TOC1"/>
            <w:tabs>
              <w:tab w:val="clear" w:pos="8640"/>
              <w:tab w:val="right" w:leader="dot" w:pos="9072"/>
            </w:tabs>
            <w:ind w:right="-2"/>
            <w:rPr>
              <w:rFonts w:eastAsiaTheme="minorEastAsia"/>
              <w:caps w:val="0"/>
              <w:noProof/>
              <w:lang w:val="fr-BE" w:eastAsia="fr-BE"/>
            </w:rPr>
          </w:pPr>
          <w:r>
            <w:rPr>
              <w:noProof/>
              <w:sz w:val="24"/>
              <w:szCs w:val="24"/>
            </w:rPr>
            <w:fldChar w:fldCharType="begin"/>
          </w:r>
          <w:r>
            <w:rPr>
              <w:noProof/>
              <w:sz w:val="24"/>
              <w:szCs w:val="24"/>
            </w:rPr>
            <w:instrText xml:space="preserve"> TOC \o "1-3" \h \z \u </w:instrText>
          </w:r>
          <w:r>
            <w:rPr>
              <w:noProof/>
              <w:sz w:val="24"/>
              <w:szCs w:val="24"/>
            </w:rPr>
            <w:fldChar w:fldCharType="separate"/>
          </w:r>
          <w:hyperlink w:anchor="_Toc22031536" w:history="1">
            <w:r>
              <w:rPr>
                <w:rStyle w:val="Hyperlink"/>
                <w:b/>
                <w:noProof/>
              </w:rPr>
              <w:t>Glossary</w:t>
            </w:r>
            <w:r>
              <w:rPr>
                <w:noProof/>
                <w:webHidden/>
              </w:rPr>
              <w:tab/>
            </w:r>
            <w:r>
              <w:rPr>
                <w:noProof/>
                <w:webHidden/>
              </w:rPr>
              <w:fldChar w:fldCharType="begin"/>
            </w:r>
            <w:r>
              <w:rPr>
                <w:noProof/>
                <w:webHidden/>
              </w:rPr>
              <w:instrText xml:space="preserve"> PAGEREF _Toc22031536 \h </w:instrText>
            </w:r>
            <w:r>
              <w:rPr>
                <w:noProof/>
                <w:webHidden/>
              </w:rPr>
            </w:r>
            <w:r>
              <w:rPr>
                <w:noProof/>
                <w:webHidden/>
              </w:rPr>
              <w:fldChar w:fldCharType="separate"/>
            </w:r>
            <w:r>
              <w:rPr>
                <w:noProof/>
                <w:webHidden/>
              </w:rPr>
              <w:t>2</w:t>
            </w:r>
            <w:r>
              <w:rPr>
                <w:noProof/>
                <w:webHidden/>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37" w:history="1">
            <w:r>
              <w:rPr>
                <w:rStyle w:val="Hyperlink"/>
                <w:b/>
                <w:noProof/>
              </w:rPr>
              <w:t>1.</w:t>
            </w:r>
            <w:r>
              <w:rPr>
                <w:rFonts w:eastAsiaTheme="minorEastAsia"/>
                <w:b/>
                <w:caps w:val="0"/>
                <w:noProof/>
                <w:lang w:val="fr-BE" w:eastAsia="fr-BE"/>
              </w:rPr>
              <w:tab/>
            </w:r>
            <w:r>
              <w:rPr>
                <w:rStyle w:val="Hyperlink"/>
                <w:b/>
                <w:noProof/>
              </w:rPr>
              <w:t>Introduction</w:t>
            </w:r>
            <w:r>
              <w:rPr>
                <w:noProof/>
                <w:webHidden/>
              </w:rPr>
              <w:tab/>
            </w:r>
            <w:r>
              <w:rPr>
                <w:noProof/>
                <w:webHidden/>
              </w:rPr>
              <w:fldChar w:fldCharType="begin"/>
            </w:r>
            <w:r>
              <w:rPr>
                <w:noProof/>
                <w:webHidden/>
              </w:rPr>
              <w:instrText xml:space="preserve"> PAGEREF _Toc22031537 \h </w:instrText>
            </w:r>
            <w:r>
              <w:rPr>
                <w:noProof/>
                <w:webHidden/>
              </w:rPr>
            </w:r>
            <w:r>
              <w:rPr>
                <w:noProof/>
                <w:webHidden/>
              </w:rPr>
              <w:fldChar w:fldCharType="separate"/>
            </w:r>
            <w:r>
              <w:rPr>
                <w:noProof/>
                <w:webHidden/>
              </w:rPr>
              <w:t>3</w:t>
            </w:r>
            <w:r>
              <w:rPr>
                <w:noProof/>
                <w:webHidden/>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38" w:history="1">
            <w:r>
              <w:rPr>
                <w:rStyle w:val="Hyperlink"/>
                <w:b/>
                <w:noProof/>
              </w:rPr>
              <w:t>2.</w:t>
            </w:r>
            <w:r>
              <w:rPr>
                <w:rFonts w:eastAsiaTheme="minorEastAsia"/>
                <w:b/>
                <w:caps w:val="0"/>
                <w:noProof/>
                <w:lang w:val="fr-BE" w:eastAsia="fr-BE"/>
              </w:rPr>
              <w:tab/>
            </w:r>
            <w:r>
              <w:rPr>
                <w:rStyle w:val="Hyperlink"/>
                <w:b/>
                <w:noProof/>
              </w:rPr>
              <w:t>Background information</w:t>
            </w:r>
            <w:r>
              <w:rPr>
                <w:noProof/>
                <w:webHidden/>
              </w:rPr>
              <w:tab/>
            </w:r>
            <w:r>
              <w:rPr>
                <w:noProof/>
                <w:webHidden/>
              </w:rPr>
              <w:fldChar w:fldCharType="begin"/>
            </w:r>
            <w:r>
              <w:rPr>
                <w:noProof/>
                <w:webHidden/>
              </w:rPr>
              <w:instrText xml:space="preserve"> PAGEREF _Toc22031538 \h </w:instrText>
            </w:r>
            <w:r>
              <w:rPr>
                <w:noProof/>
                <w:webHidden/>
              </w:rPr>
            </w:r>
            <w:r>
              <w:rPr>
                <w:noProof/>
                <w:webHidden/>
              </w:rPr>
              <w:fldChar w:fldCharType="separate"/>
            </w:r>
            <w:r>
              <w:rPr>
                <w:noProof/>
                <w:webHidden/>
              </w:rPr>
              <w:t>4</w:t>
            </w:r>
            <w:r>
              <w:rPr>
                <w:noProof/>
                <w:webHidden/>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39" w:history="1">
            <w:r>
              <w:rPr>
                <w:rStyle w:val="Hyperlink"/>
                <w:rFonts w:ascii="Times New Roman" w:hAnsi="Times New Roman" w:cs="Times New Roman"/>
                <w:noProof/>
                <w:sz w:val="20"/>
                <w:szCs w:val="20"/>
              </w:rPr>
              <w:t>2.1.</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Budget of the Programme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_Toc22031539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0" w:history="1">
            <w:r>
              <w:rPr>
                <w:rStyle w:val="Hyperlink"/>
                <w:rFonts w:ascii="Times New Roman" w:hAnsi="Times New Roman" w:cs="Times New Roman"/>
                <w:noProof/>
                <w:sz w:val="20"/>
                <w:szCs w:val="20"/>
              </w:rPr>
              <w:t>2.2.</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Objectives and scope of the Programme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_Toc22031540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1" w:history="1">
            <w:r>
              <w:rPr>
                <w:rStyle w:val="Hyperlink"/>
                <w:rFonts w:ascii="Times New Roman" w:hAnsi="Times New Roman" w:cs="Times New Roman"/>
                <w:noProof/>
                <w:sz w:val="20"/>
                <w:szCs w:val="20"/>
              </w:rPr>
              <w:t>2.3.</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European Added Value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2" w:history="1">
            <w:r>
              <w:rPr>
                <w:rStyle w:val="Hyperlink"/>
                <w:rFonts w:ascii="Times New Roman" w:hAnsi="Times New Roman" w:cs="Times New Roman"/>
                <w:noProof/>
                <w:sz w:val="20"/>
                <w:szCs w:val="20"/>
              </w:rPr>
              <w:t>2.4.</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Imp</w:t>
            </w:r>
            <w:r>
              <w:rPr>
                <w:rStyle w:val="Hyperlink"/>
                <w:rFonts w:ascii="Times New Roman" w:hAnsi="Times New Roman" w:cs="Times New Roman"/>
                <w:noProof/>
                <w:sz w:val="20"/>
                <w:szCs w:val="20"/>
              </w:rPr>
              <w:t>lementation of the Programme and forms of support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3" w:history="1">
            <w:r>
              <w:rPr>
                <w:rStyle w:val="Hyperlink"/>
                <w:rFonts w:ascii="Times New Roman" w:hAnsi="Times New Roman" w:cs="Times New Roman"/>
                <w:noProof/>
                <w:sz w:val="20"/>
                <w:szCs w:val="20"/>
              </w:rPr>
              <w:t>2.5.</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Data collection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Pr>
                <w:rFonts w:ascii="Times New Roman" w:hAnsi="Times New Roman" w:cs="Times New Roman"/>
                <w:noProof/>
                <w:webHidden/>
                <w:sz w:val="20"/>
                <w:szCs w:val="20"/>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44" w:history="1">
            <w:r>
              <w:rPr>
                <w:rStyle w:val="Hyperlink"/>
                <w:b/>
                <w:noProof/>
              </w:rPr>
              <w:t>3.</w:t>
            </w:r>
            <w:r>
              <w:rPr>
                <w:rFonts w:eastAsiaTheme="minorEastAsia"/>
                <w:b/>
                <w:caps w:val="0"/>
                <w:noProof/>
                <w:lang w:val="fr-BE" w:eastAsia="fr-BE"/>
              </w:rPr>
              <w:tab/>
            </w:r>
            <w:r>
              <w:rPr>
                <w:rStyle w:val="Hyperlink"/>
                <w:b/>
                <w:noProof/>
              </w:rPr>
              <w:t>Implementation of support measures funded by srsp 2018 budget</w:t>
            </w:r>
            <w:r>
              <w:rPr>
                <w:noProof/>
                <w:webHidden/>
              </w:rPr>
              <w:tab/>
            </w:r>
            <w:r>
              <w:rPr>
                <w:noProof/>
                <w:webHidden/>
              </w:rPr>
              <w:fldChar w:fldCharType="begin"/>
            </w:r>
            <w:r>
              <w:rPr>
                <w:noProof/>
                <w:webHidden/>
              </w:rPr>
              <w:instrText xml:space="preserve"> PAGEREF _Toc22031544 \h </w:instrText>
            </w:r>
            <w:r>
              <w:rPr>
                <w:noProof/>
                <w:webHidden/>
              </w:rPr>
            </w:r>
            <w:r>
              <w:rPr>
                <w:noProof/>
                <w:webHidden/>
              </w:rPr>
              <w:fldChar w:fldCharType="separate"/>
            </w:r>
            <w:r>
              <w:rPr>
                <w:noProof/>
                <w:webHidden/>
              </w:rPr>
              <w:t>6</w:t>
            </w:r>
            <w:r>
              <w:rPr>
                <w:noProof/>
                <w:webHidden/>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5" w:history="1">
            <w:r>
              <w:rPr>
                <w:rStyle w:val="Hyperlink"/>
                <w:rFonts w:ascii="Times New Roman" w:hAnsi="Times New Roman" w:cs="Times New Roman"/>
                <w:noProof/>
                <w:sz w:val="20"/>
                <w:szCs w:val="20"/>
              </w:rPr>
              <w:t>3.1.</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Introduction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_Toc22031545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6" w:history="1">
            <w:r>
              <w:rPr>
                <w:rStyle w:val="Hyperlink"/>
                <w:rFonts w:ascii="Times New Roman" w:hAnsi="Times New Roman" w:cs="Times New Roman"/>
                <w:noProof/>
                <w:sz w:val="20"/>
                <w:szCs w:val="20"/>
              </w:rPr>
              <w:t>3.2.</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Requests for support submitted by the Member States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_Toc22031546 \</w:instrText>
            </w:r>
            <w:r>
              <w:rPr>
                <w:rFonts w:ascii="Times New Roman" w:hAnsi="Times New Roman" w:cs="Times New Roman"/>
                <w:noProof/>
                <w:webHidden/>
                <w:sz w:val="20"/>
                <w:szCs w:val="20"/>
              </w:rPr>
              <w:instrText xml:space="preserve">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47" w:history="1">
            <w:r>
              <w:rPr>
                <w:rStyle w:val="Hyperlink"/>
                <w:rFonts w:ascii="Times New Roman" w:hAnsi="Times New Roman" w:cs="Times New Roman"/>
                <w:noProof/>
                <w:sz w:val="20"/>
                <w:szCs w:val="20"/>
              </w:rPr>
              <w:t>3.3.</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Application of the assessment criteria</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Pr>
                <w:rFonts w:ascii="Times New Roman" w:hAnsi="Times New Roman" w:cs="Times New Roman"/>
                <w:noProof/>
                <w:webHidden/>
                <w:sz w:val="20"/>
                <w:szCs w:val="20"/>
              </w:rPr>
              <w:fldChar w:fldCharType="end"/>
            </w:r>
          </w:hyperlink>
        </w:p>
        <w:p w:rsidR="003C18FB" w:rsidRDefault="00773466">
          <w:pPr>
            <w:pStyle w:val="TOC3"/>
            <w:tabs>
              <w:tab w:val="left" w:pos="1320"/>
              <w:tab w:val="right" w:leader="dot" w:pos="9060"/>
            </w:tabs>
            <w:rPr>
              <w:rFonts w:ascii="Times New Roman" w:eastAsiaTheme="minorEastAsia" w:hAnsi="Times New Roman" w:cs="Times New Roman"/>
              <w:noProof/>
              <w:sz w:val="20"/>
              <w:szCs w:val="20"/>
              <w:lang w:val="fr-BE" w:eastAsia="fr-BE"/>
            </w:rPr>
          </w:pPr>
          <w:hyperlink w:anchor="_Toc22031548" w:history="1">
            <w:r>
              <w:rPr>
                <w:rStyle w:val="Hyperlink"/>
                <w:rFonts w:ascii="Times New Roman" w:hAnsi="Times New Roman" w:cs="Times New Roman"/>
                <w:noProof/>
                <w:sz w:val="20"/>
                <w:szCs w:val="20"/>
              </w:rPr>
              <w:t>3.3.1.</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Step 1 – screening and analysis of the requests for support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w:t>
            </w:r>
            <w:r>
              <w:rPr>
                <w:rFonts w:ascii="Times New Roman" w:hAnsi="Times New Roman" w:cs="Times New Roman"/>
                <w:noProof/>
                <w:webHidden/>
                <w:sz w:val="20"/>
                <w:szCs w:val="20"/>
              </w:rPr>
              <w:fldChar w:fldCharType="end"/>
            </w:r>
          </w:hyperlink>
        </w:p>
        <w:p w:rsidR="003C18FB" w:rsidRDefault="00773466">
          <w:pPr>
            <w:pStyle w:val="TOC3"/>
            <w:tabs>
              <w:tab w:val="left" w:pos="1320"/>
              <w:tab w:val="right" w:leader="dot" w:pos="9060"/>
            </w:tabs>
            <w:rPr>
              <w:rFonts w:ascii="Times New Roman" w:eastAsiaTheme="minorEastAsia" w:hAnsi="Times New Roman" w:cs="Times New Roman"/>
              <w:noProof/>
              <w:sz w:val="20"/>
              <w:szCs w:val="20"/>
              <w:lang w:val="fr-BE" w:eastAsia="fr-BE"/>
            </w:rPr>
          </w:pPr>
          <w:hyperlink w:anchor="_Toc22031549" w:history="1">
            <w:r>
              <w:rPr>
                <w:rStyle w:val="Hyperlink"/>
                <w:rFonts w:ascii="Times New Roman" w:hAnsi="Times New Roman" w:cs="Times New Roman"/>
                <w:noProof/>
                <w:sz w:val="20"/>
                <w:szCs w:val="20"/>
              </w:rPr>
              <w:t>3.3.2.</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Step 2 – prioritisation o</w:t>
            </w:r>
            <w:r>
              <w:rPr>
                <w:rStyle w:val="Hyperlink"/>
                <w:rFonts w:ascii="Times New Roman" w:hAnsi="Times New Roman" w:cs="Times New Roman"/>
                <w:noProof/>
                <w:sz w:val="20"/>
                <w:szCs w:val="20"/>
              </w:rPr>
              <w:t>f the requests for support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_Toc22031549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0" w:history="1">
            <w:r>
              <w:rPr>
                <w:rStyle w:val="Hyperlink"/>
                <w:rFonts w:ascii="Times New Roman" w:hAnsi="Times New Roman" w:cs="Times New Roman"/>
                <w:noProof/>
                <w:sz w:val="20"/>
                <w:szCs w:val="20"/>
              </w:rPr>
              <w:t>3.4.</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Selection of requests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_Toc22031550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1" w:history="1">
            <w:r>
              <w:rPr>
                <w:rStyle w:val="Hyperlink"/>
                <w:rFonts w:ascii="Times New Roman" w:hAnsi="Times New Roman" w:cs="Times New Roman"/>
                <w:noProof/>
                <w:sz w:val="20"/>
                <w:szCs w:val="20"/>
              </w:rPr>
              <w:t>3.5.</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Cooperation and Support Plans concluded</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3" w:history="1">
            <w:r>
              <w:rPr>
                <w:rStyle w:val="Hyperlink"/>
                <w:rFonts w:ascii="Times New Roman" w:hAnsi="Times New Roman" w:cs="Times New Roman"/>
                <w:noProof/>
                <w:sz w:val="20"/>
                <w:szCs w:val="20"/>
              </w:rPr>
              <w:t>3.6.</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Reform partners and special measures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4" w:history="1">
            <w:r>
              <w:rPr>
                <w:rStyle w:val="Hyperlink"/>
                <w:rFonts w:ascii="Times New Roman" w:hAnsi="Times New Roman" w:cs="Times New Roman"/>
                <w:noProof/>
                <w:sz w:val="20"/>
                <w:szCs w:val="20"/>
              </w:rPr>
              <w:t>3.7.</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Implementation of support measures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18</w:t>
            </w:r>
            <w:r>
              <w:rPr>
                <w:rFonts w:ascii="Times New Roman" w:hAnsi="Times New Roman" w:cs="Times New Roman"/>
                <w:noProof/>
                <w:webHidden/>
                <w:sz w:val="20"/>
                <w:szCs w:val="20"/>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55" w:history="1">
            <w:r>
              <w:rPr>
                <w:rStyle w:val="Hyperlink"/>
                <w:b/>
                <w:noProof/>
                <w:lang w:eastAsia="en-GB"/>
              </w:rPr>
              <w:t>4.</w:t>
            </w:r>
            <w:r>
              <w:rPr>
                <w:rFonts w:eastAsiaTheme="minorEastAsia"/>
                <w:b/>
                <w:caps w:val="0"/>
                <w:noProof/>
                <w:lang w:val="fr-BE" w:eastAsia="fr-BE"/>
              </w:rPr>
              <w:tab/>
            </w:r>
            <w:r>
              <w:rPr>
                <w:rStyle w:val="Hyperlink"/>
                <w:b/>
                <w:noProof/>
              </w:rPr>
              <w:t xml:space="preserve">Progress in relation to programme's </w:t>
            </w:r>
            <w:r>
              <w:rPr>
                <w:b/>
                <w:noProof/>
              </w:rPr>
              <w:t>objectives</w:t>
            </w:r>
            <w:r>
              <w:rPr>
                <w:noProof/>
                <w:webHidden/>
              </w:rPr>
              <w:tab/>
            </w:r>
            <w:r>
              <w:rPr>
                <w:noProof/>
                <w:webHidden/>
              </w:rPr>
              <w:fldChar w:fldCharType="begin"/>
            </w:r>
            <w:r>
              <w:rPr>
                <w:noProof/>
                <w:webHidden/>
              </w:rPr>
              <w:instrText xml:space="preserve"> PAGEREF _Toc22031555 \h </w:instrText>
            </w:r>
            <w:r>
              <w:rPr>
                <w:noProof/>
                <w:webHidden/>
              </w:rPr>
            </w:r>
            <w:r>
              <w:rPr>
                <w:noProof/>
                <w:webHidden/>
              </w:rPr>
              <w:fldChar w:fldCharType="separate"/>
            </w:r>
            <w:r>
              <w:rPr>
                <w:noProof/>
                <w:webHidden/>
              </w:rPr>
              <w:t>27</w:t>
            </w:r>
            <w:r>
              <w:rPr>
                <w:noProof/>
                <w:webHidden/>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6" w:history="1">
            <w:r>
              <w:rPr>
                <w:rStyle w:val="Hyperlink"/>
                <w:rFonts w:ascii="Times New Roman" w:hAnsi="Times New Roman" w:cs="Times New Roman"/>
                <w:noProof/>
                <w:sz w:val="20"/>
                <w:szCs w:val="20"/>
              </w:rPr>
              <w:t>4.1.</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Progress in achieving the general objective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_Toc22031556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29</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7" w:history="1">
            <w:r>
              <w:rPr>
                <w:rStyle w:val="Hyperlink"/>
                <w:rFonts w:ascii="Times New Roman" w:hAnsi="Times New Roman" w:cs="Times New Roman"/>
                <w:noProof/>
                <w:sz w:val="20"/>
                <w:szCs w:val="20"/>
              </w:rPr>
              <w:t>4.2.</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Progress in achieving the specific objectives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8" w:history="1">
            <w:r>
              <w:rPr>
                <w:rStyle w:val="Hyperlink"/>
                <w:rFonts w:ascii="Times New Roman" w:hAnsi="Times New Roman" w:cs="Times New Roman"/>
                <w:noProof/>
                <w:sz w:val="20"/>
                <w:szCs w:val="20"/>
              </w:rPr>
              <w:t>4.3.</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Expected outcomes of the SRSP activities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w:instrText>
            </w:r>
            <w:r>
              <w:rPr>
                <w:rFonts w:ascii="Times New Roman" w:hAnsi="Times New Roman" w:cs="Times New Roman"/>
                <w:noProof/>
                <w:webHidden/>
                <w:sz w:val="20"/>
                <w:szCs w:val="20"/>
              </w:rPr>
              <w:instrText xml:space="preserve">AGEREF _Toc22031558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Pr>
                <w:rFonts w:ascii="Times New Roman" w:hAnsi="Times New Roman" w:cs="Times New Roman"/>
                <w:noProof/>
                <w:webHidden/>
                <w:sz w:val="20"/>
                <w:szCs w:val="20"/>
              </w:rPr>
              <w:fldChar w:fldCharType="end"/>
            </w:r>
          </w:hyperlink>
        </w:p>
        <w:p w:rsidR="003C18FB" w:rsidRDefault="00773466">
          <w:pPr>
            <w:pStyle w:val="TOC2"/>
            <w:tabs>
              <w:tab w:val="left" w:pos="880"/>
              <w:tab w:val="right" w:leader="dot" w:pos="9060"/>
            </w:tabs>
            <w:rPr>
              <w:rFonts w:ascii="Times New Roman" w:eastAsiaTheme="minorEastAsia" w:hAnsi="Times New Roman" w:cs="Times New Roman"/>
              <w:noProof/>
              <w:sz w:val="20"/>
              <w:szCs w:val="20"/>
              <w:lang w:val="fr-BE" w:eastAsia="fr-BE"/>
            </w:rPr>
          </w:pPr>
          <w:hyperlink w:anchor="_Toc22031559" w:history="1">
            <w:r>
              <w:rPr>
                <w:rStyle w:val="Hyperlink"/>
                <w:rFonts w:ascii="Times New Roman" w:hAnsi="Times New Roman" w:cs="Times New Roman"/>
                <w:noProof/>
                <w:sz w:val="20"/>
                <w:szCs w:val="20"/>
              </w:rPr>
              <w:t>4.4.</w:t>
            </w:r>
            <w:r>
              <w:rPr>
                <w:rFonts w:ascii="Times New Roman" w:eastAsiaTheme="minorEastAsia" w:hAnsi="Times New Roman" w:cs="Times New Roman"/>
                <w:noProof/>
                <w:sz w:val="20"/>
                <w:szCs w:val="20"/>
                <w:lang w:val="fr-BE" w:eastAsia="fr-BE"/>
              </w:rPr>
              <w:tab/>
            </w:r>
            <w:r>
              <w:rPr>
                <w:rStyle w:val="Hyperlink"/>
                <w:rFonts w:ascii="Times New Roman" w:hAnsi="Times New Roman" w:cs="Times New Roman"/>
                <w:noProof/>
                <w:sz w:val="20"/>
                <w:szCs w:val="20"/>
              </w:rPr>
              <w:t>European Added Value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_Toc22031559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32</w:t>
            </w:r>
            <w:r>
              <w:rPr>
                <w:rFonts w:ascii="Times New Roman" w:hAnsi="Times New Roman" w:cs="Times New Roman"/>
                <w:noProof/>
                <w:webHidden/>
                <w:sz w:val="20"/>
                <w:szCs w:val="20"/>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63" w:history="1">
            <w:r>
              <w:rPr>
                <w:rStyle w:val="Hyperlink"/>
                <w:b/>
                <w:noProof/>
              </w:rPr>
              <w:t>5.</w:t>
            </w:r>
            <w:r>
              <w:rPr>
                <w:rFonts w:eastAsiaTheme="minorEastAsia"/>
                <w:b/>
                <w:caps w:val="0"/>
                <w:noProof/>
                <w:lang w:val="fr-BE" w:eastAsia="fr-BE"/>
              </w:rPr>
              <w:tab/>
            </w:r>
            <w:r>
              <w:rPr>
                <w:rStyle w:val="Hyperlink"/>
                <w:b/>
                <w:noProof/>
              </w:rPr>
              <w:t xml:space="preserve">delivered support measures under the </w:t>
            </w:r>
            <w:r>
              <w:rPr>
                <w:b/>
                <w:noProof/>
              </w:rPr>
              <w:t>programme</w:t>
            </w:r>
            <w:r>
              <w:rPr>
                <w:noProof/>
                <w:webHidden/>
              </w:rPr>
              <w:tab/>
            </w:r>
            <w:r>
              <w:rPr>
                <w:noProof/>
                <w:webHidden/>
              </w:rPr>
              <w:fldChar w:fldCharType="begin"/>
            </w:r>
            <w:r>
              <w:rPr>
                <w:noProof/>
                <w:webHidden/>
              </w:rPr>
              <w:instrText xml:space="preserve"> PAGEREF _Toc22031563 \h </w:instrText>
            </w:r>
            <w:r>
              <w:rPr>
                <w:noProof/>
                <w:webHidden/>
              </w:rPr>
            </w:r>
            <w:r>
              <w:rPr>
                <w:noProof/>
                <w:webHidden/>
              </w:rPr>
              <w:fldChar w:fldCharType="separate"/>
            </w:r>
            <w:r>
              <w:rPr>
                <w:noProof/>
                <w:webHidden/>
              </w:rPr>
              <w:t>34</w:t>
            </w:r>
            <w:r>
              <w:rPr>
                <w:noProof/>
                <w:webHidden/>
              </w:rPr>
              <w:fldChar w:fldCharType="end"/>
            </w:r>
          </w:hyperlink>
        </w:p>
        <w:p w:rsidR="003C18FB" w:rsidRDefault="00773466">
          <w:pPr>
            <w:pStyle w:val="TOC1"/>
            <w:tabs>
              <w:tab w:val="clear" w:pos="8640"/>
              <w:tab w:val="right" w:leader="dot" w:pos="9072"/>
            </w:tabs>
            <w:ind w:right="-2"/>
            <w:rPr>
              <w:rFonts w:eastAsiaTheme="minorEastAsia"/>
              <w:caps w:val="0"/>
              <w:noProof/>
              <w:lang w:val="fr-BE" w:eastAsia="fr-BE"/>
            </w:rPr>
          </w:pPr>
          <w:hyperlink w:anchor="_Toc22031564" w:history="1">
            <w:r>
              <w:rPr>
                <w:rStyle w:val="Hyperlink"/>
                <w:b/>
                <w:noProof/>
              </w:rPr>
              <w:t>6.</w:t>
            </w:r>
            <w:r>
              <w:rPr>
                <w:rFonts w:eastAsiaTheme="minorEastAsia"/>
                <w:b/>
                <w:caps w:val="0"/>
                <w:noProof/>
                <w:lang w:val="fr-BE" w:eastAsia="fr-BE"/>
              </w:rPr>
              <w:tab/>
            </w:r>
            <w:r>
              <w:rPr>
                <w:rStyle w:val="Hyperlink"/>
                <w:b/>
                <w:noProof/>
              </w:rPr>
              <w:t>Conclusion</w:t>
            </w:r>
            <w:r>
              <w:rPr>
                <w:noProof/>
                <w:webHidden/>
              </w:rPr>
              <w:tab/>
            </w:r>
            <w:r>
              <w:rPr>
                <w:noProof/>
                <w:webHidden/>
              </w:rPr>
              <w:fldChar w:fldCharType="begin"/>
            </w:r>
            <w:r>
              <w:rPr>
                <w:noProof/>
                <w:webHidden/>
              </w:rPr>
              <w:instrText xml:space="preserve"> PAGEREF _Toc22031564 \h </w:instrText>
            </w:r>
            <w:r>
              <w:rPr>
                <w:noProof/>
                <w:webHidden/>
              </w:rPr>
            </w:r>
            <w:r>
              <w:rPr>
                <w:noProof/>
                <w:webHidden/>
              </w:rPr>
              <w:fldChar w:fldCharType="separate"/>
            </w:r>
            <w:r>
              <w:rPr>
                <w:noProof/>
                <w:webHidden/>
              </w:rPr>
              <w:t>39</w:t>
            </w:r>
            <w:r>
              <w:rPr>
                <w:noProof/>
                <w:webHidden/>
              </w:rPr>
              <w:fldChar w:fldCharType="end"/>
            </w:r>
          </w:hyperlink>
        </w:p>
        <w:p w:rsidR="003C18FB" w:rsidRDefault="003C18FB">
          <w:pPr>
            <w:pStyle w:val="TOC1"/>
            <w:tabs>
              <w:tab w:val="clear" w:pos="8640"/>
              <w:tab w:val="right" w:leader="dot" w:pos="9072"/>
            </w:tabs>
            <w:ind w:right="-2"/>
            <w:rPr>
              <w:rStyle w:val="Hyperlink"/>
              <w:noProof/>
            </w:rPr>
          </w:pPr>
        </w:p>
        <w:p w:rsidR="003C18FB" w:rsidRDefault="00773466">
          <w:pPr>
            <w:pStyle w:val="TOC1"/>
            <w:tabs>
              <w:tab w:val="clear" w:pos="8640"/>
              <w:tab w:val="right" w:leader="dot" w:pos="9072"/>
            </w:tabs>
            <w:ind w:right="-2"/>
            <w:rPr>
              <w:rFonts w:eastAsiaTheme="minorEastAsia"/>
              <w:caps w:val="0"/>
              <w:noProof/>
              <w:lang w:val="fr-BE" w:eastAsia="fr-BE"/>
            </w:rPr>
          </w:pPr>
          <w:hyperlink w:anchor="_Toc22031565" w:history="1">
            <w:r>
              <w:rPr>
                <w:rStyle w:val="Hyperlink"/>
                <w:b/>
                <w:noProof/>
              </w:rPr>
              <w:t>ANNEX I</w:t>
            </w:r>
            <w:r>
              <w:rPr>
                <w:noProof/>
                <w:webHidden/>
              </w:rPr>
              <w:tab/>
            </w:r>
            <w:r>
              <w:rPr>
                <w:noProof/>
                <w:webHidden/>
              </w:rPr>
              <w:fldChar w:fldCharType="begin"/>
            </w:r>
            <w:r>
              <w:rPr>
                <w:noProof/>
                <w:webHidden/>
              </w:rPr>
              <w:instrText xml:space="preserve"> PAGEREF _Toc22031565 \h </w:instrText>
            </w:r>
            <w:r>
              <w:rPr>
                <w:noProof/>
                <w:webHidden/>
              </w:rPr>
            </w:r>
            <w:r>
              <w:rPr>
                <w:noProof/>
                <w:webHidden/>
              </w:rPr>
              <w:fldChar w:fldCharType="separate"/>
            </w:r>
            <w:r>
              <w:rPr>
                <w:noProof/>
                <w:webHidden/>
              </w:rPr>
              <w:t>40</w:t>
            </w:r>
            <w:r>
              <w:rPr>
                <w:noProof/>
                <w:webHidden/>
              </w:rPr>
              <w:fldChar w:fldCharType="end"/>
            </w:r>
          </w:hyperlink>
        </w:p>
        <w:p w:rsidR="003C18FB" w:rsidRDefault="00773466">
          <w:pPr>
            <w:pStyle w:val="TOC1"/>
            <w:tabs>
              <w:tab w:val="clear" w:pos="8640"/>
              <w:tab w:val="right" w:leader="dot" w:pos="9072"/>
            </w:tabs>
            <w:ind w:right="-2"/>
            <w:rPr>
              <w:rFonts w:eastAsiaTheme="minorEastAsia"/>
              <w:caps w:val="0"/>
              <w:noProof/>
              <w:lang w:val="fr-BE" w:eastAsia="fr-BE"/>
            </w:rPr>
          </w:pPr>
          <w:r>
            <w:rPr>
              <w:rStyle w:val="Hyperlink"/>
              <w:b/>
              <w:noProof/>
            </w:rPr>
            <w:t>ANNEX II</w:t>
          </w:r>
          <w:r>
            <w:rPr>
              <w:rStyle w:val="Hyperlink"/>
              <w:noProof/>
            </w:rPr>
            <w:t xml:space="preserve"> </w:t>
          </w:r>
          <w:hyperlink w:anchor="_Toc22031566" w:history="1">
            <w:r>
              <w:rPr>
                <w:noProof/>
                <w:webHidden/>
              </w:rPr>
              <w:tab/>
            </w:r>
            <w:r>
              <w:rPr>
                <w:noProof/>
                <w:webHidden/>
              </w:rPr>
              <w:fldChar w:fldCharType="begin"/>
            </w:r>
            <w:r>
              <w:rPr>
                <w:noProof/>
                <w:webHidden/>
              </w:rPr>
              <w:instrText xml:space="preserve"> PAGEREF _Toc22031566 \h </w:instrText>
            </w:r>
            <w:r>
              <w:rPr>
                <w:noProof/>
                <w:webHidden/>
              </w:rPr>
            </w:r>
            <w:r>
              <w:rPr>
                <w:noProof/>
                <w:webHidden/>
              </w:rPr>
              <w:fldChar w:fldCharType="separate"/>
            </w:r>
            <w:r>
              <w:rPr>
                <w:noProof/>
                <w:webHidden/>
              </w:rPr>
              <w:t>40</w:t>
            </w:r>
            <w:r>
              <w:rPr>
                <w:noProof/>
                <w:webHidden/>
              </w:rPr>
              <w:fldChar w:fldCharType="end"/>
            </w:r>
          </w:hyperlink>
        </w:p>
        <w:p w:rsidR="003C18FB" w:rsidRDefault="00773466">
          <w:pPr>
            <w:pStyle w:val="TOC1"/>
            <w:tabs>
              <w:tab w:val="clear" w:pos="8640"/>
              <w:tab w:val="right" w:leader="dot" w:pos="9072"/>
            </w:tabs>
            <w:ind w:right="-2"/>
            <w:rPr>
              <w:rFonts w:eastAsiaTheme="minorEastAsia"/>
              <w:caps w:val="0"/>
              <w:noProof/>
              <w:lang w:val="fr-BE" w:eastAsia="fr-BE"/>
            </w:rPr>
          </w:pPr>
          <w:hyperlink w:anchor="_Toc22031567" w:history="1">
            <w:r>
              <w:rPr>
                <w:rStyle w:val="Hyperlink"/>
                <w:b/>
                <w:noProof/>
              </w:rPr>
              <w:t>ANNEX III</w:t>
            </w:r>
            <w:r>
              <w:rPr>
                <w:noProof/>
                <w:webHidden/>
              </w:rPr>
              <w:tab/>
            </w:r>
            <w:r>
              <w:rPr>
                <w:noProof/>
                <w:webHidden/>
              </w:rPr>
              <w:fldChar w:fldCharType="begin"/>
            </w:r>
            <w:r>
              <w:rPr>
                <w:noProof/>
                <w:webHidden/>
              </w:rPr>
              <w:instrText xml:space="preserve"> PAGEREF _Toc22031567 \h </w:instrText>
            </w:r>
            <w:r>
              <w:rPr>
                <w:noProof/>
                <w:webHidden/>
              </w:rPr>
            </w:r>
            <w:r>
              <w:rPr>
                <w:noProof/>
                <w:webHidden/>
              </w:rPr>
              <w:fldChar w:fldCharType="separate"/>
            </w:r>
            <w:r>
              <w:rPr>
                <w:noProof/>
                <w:webHidden/>
              </w:rPr>
              <w:t>45</w:t>
            </w:r>
            <w:r>
              <w:rPr>
                <w:noProof/>
                <w:webHidden/>
              </w:rPr>
              <w:fldChar w:fldCharType="end"/>
            </w:r>
          </w:hyperlink>
        </w:p>
        <w:p w:rsidR="003C18FB" w:rsidRDefault="00773466">
          <w:pPr>
            <w:spacing w:line="240" w:lineRule="auto"/>
            <w:rPr>
              <w:rFonts w:ascii="Times New Roman" w:hAnsi="Times New Roman" w:cs="Times New Roman"/>
              <w:noProof/>
            </w:rPr>
          </w:pPr>
          <w:r>
            <w:rPr>
              <w:rFonts w:ascii="Times New Roman" w:hAnsi="Times New Roman" w:cs="Times New Roman"/>
              <w:b/>
              <w:bCs/>
              <w:noProof/>
              <w:sz w:val="24"/>
              <w:szCs w:val="24"/>
            </w:rPr>
            <w:lastRenderedPageBreak/>
            <w:fldChar w:fldCharType="end"/>
          </w:r>
        </w:p>
      </w:sdtContent>
    </w:sdt>
    <w:p w:rsidR="003C18FB" w:rsidRDefault="00773466">
      <w:pPr>
        <w:pStyle w:val="Heading1"/>
        <w:rPr>
          <w:noProof/>
        </w:rPr>
      </w:pPr>
      <w:bookmarkStart w:id="1" w:name="_Toc526528385"/>
      <w:bookmarkStart w:id="2" w:name="_Toc22031536"/>
      <w:r>
        <w:rPr>
          <w:noProof/>
        </w:rPr>
        <w:t>Glossary</w:t>
      </w:r>
      <w:bookmarkEnd w:id="1"/>
      <w:bookmarkEnd w:id="2"/>
    </w:p>
    <w:tbl>
      <w:tblPr>
        <w:tblStyle w:val="TableGrid"/>
        <w:tblW w:w="0" w:type="auto"/>
        <w:tblLook w:val="04A0" w:firstRow="1" w:lastRow="0" w:firstColumn="1" w:lastColumn="0" w:noHBand="0" w:noVBand="1"/>
      </w:tblPr>
      <w:tblGrid>
        <w:gridCol w:w="3227"/>
        <w:gridCol w:w="5607"/>
      </w:tblGrid>
      <w:tr w:rsidR="003C18FB">
        <w:tc>
          <w:tcPr>
            <w:tcW w:w="3227" w:type="dxa"/>
            <w:tcBorders>
              <w:bottom w:val="double" w:sz="4" w:space="0" w:color="auto"/>
            </w:tcBorders>
            <w:shd w:val="clear" w:color="auto" w:fill="F2F2F2" w:themeFill="background1" w:themeFillShade="F2"/>
          </w:tcPr>
          <w:p w:rsidR="003C18FB" w:rsidRDefault="00773466">
            <w:pPr>
              <w:spacing w:before="120" w:after="120"/>
              <w:jc w:val="center"/>
              <w:rPr>
                <w:b/>
                <w:i/>
                <w:noProof/>
                <w:sz w:val="24"/>
              </w:rPr>
            </w:pPr>
            <w:r>
              <w:rPr>
                <w:b/>
                <w:i/>
                <w:noProof/>
                <w:sz w:val="24"/>
              </w:rPr>
              <w:t>Term or acronym</w:t>
            </w:r>
          </w:p>
        </w:tc>
        <w:tc>
          <w:tcPr>
            <w:tcW w:w="5607" w:type="dxa"/>
            <w:tcBorders>
              <w:bottom w:val="double" w:sz="4" w:space="0" w:color="auto"/>
            </w:tcBorders>
            <w:shd w:val="clear" w:color="auto" w:fill="F2F2F2" w:themeFill="background1" w:themeFillShade="F2"/>
          </w:tcPr>
          <w:p w:rsidR="003C18FB" w:rsidRDefault="00773466">
            <w:pPr>
              <w:spacing w:before="120" w:after="120"/>
              <w:jc w:val="center"/>
              <w:rPr>
                <w:b/>
                <w:i/>
                <w:noProof/>
                <w:sz w:val="24"/>
              </w:rPr>
            </w:pPr>
            <w:r>
              <w:rPr>
                <w:b/>
                <w:i/>
                <w:noProof/>
                <w:sz w:val="24"/>
              </w:rPr>
              <w:t>Meaning or definition</w:t>
            </w:r>
          </w:p>
        </w:tc>
      </w:tr>
      <w:tr w:rsidR="003C18FB" w:rsidRPr="00773466">
        <w:tc>
          <w:tcPr>
            <w:tcW w:w="3227" w:type="dxa"/>
            <w:tcMar>
              <w:top w:w="113" w:type="dxa"/>
              <w:bottom w:w="113" w:type="dxa"/>
            </w:tcMar>
          </w:tcPr>
          <w:p w:rsidR="003C18FB" w:rsidRDefault="00773466">
            <w:pPr>
              <w:rPr>
                <w:noProof/>
                <w:sz w:val="24"/>
              </w:rPr>
            </w:pPr>
            <w:r>
              <w:rPr>
                <w:noProof/>
                <w:sz w:val="24"/>
              </w:rPr>
              <w:t>AMI</w:t>
            </w:r>
          </w:p>
        </w:tc>
        <w:tc>
          <w:tcPr>
            <w:tcW w:w="5607" w:type="dxa"/>
            <w:tcMar>
              <w:top w:w="113" w:type="dxa"/>
              <w:bottom w:w="113" w:type="dxa"/>
            </w:tcMar>
          </w:tcPr>
          <w:p w:rsidR="003C18FB" w:rsidRDefault="00773466">
            <w:pPr>
              <w:rPr>
                <w:noProof/>
                <w:sz w:val="24"/>
                <w:lang w:val="fr-BE"/>
              </w:rPr>
            </w:pPr>
            <w:r>
              <w:rPr>
                <w:noProof/>
                <w:sz w:val="24"/>
                <w:lang w:val="fr-BE"/>
              </w:rPr>
              <w:t xml:space="preserve">Appel à manifestation </w:t>
            </w:r>
            <w:r>
              <w:rPr>
                <w:noProof/>
                <w:sz w:val="24"/>
                <w:lang w:val="fr-FR"/>
              </w:rPr>
              <w:t>d'intérêt (call for expressions of interest)</w:t>
            </w:r>
          </w:p>
        </w:tc>
      </w:tr>
      <w:tr w:rsidR="003C18FB">
        <w:tc>
          <w:tcPr>
            <w:tcW w:w="3227" w:type="dxa"/>
            <w:tcMar>
              <w:top w:w="113" w:type="dxa"/>
              <w:bottom w:w="113" w:type="dxa"/>
            </w:tcMar>
          </w:tcPr>
          <w:p w:rsidR="003C18FB" w:rsidRDefault="00773466">
            <w:pPr>
              <w:rPr>
                <w:noProof/>
                <w:sz w:val="24"/>
              </w:rPr>
            </w:pPr>
            <w:r>
              <w:rPr>
                <w:noProof/>
                <w:sz w:val="24"/>
              </w:rPr>
              <w:t>CMU</w:t>
            </w:r>
          </w:p>
        </w:tc>
        <w:tc>
          <w:tcPr>
            <w:tcW w:w="5607" w:type="dxa"/>
            <w:tcMar>
              <w:top w:w="113" w:type="dxa"/>
              <w:bottom w:w="113" w:type="dxa"/>
            </w:tcMar>
          </w:tcPr>
          <w:p w:rsidR="003C18FB" w:rsidRDefault="00773466">
            <w:pPr>
              <w:rPr>
                <w:noProof/>
                <w:sz w:val="24"/>
              </w:rPr>
            </w:pPr>
            <w:r>
              <w:rPr>
                <w:noProof/>
                <w:sz w:val="24"/>
              </w:rPr>
              <w:t>capital markets union</w:t>
            </w:r>
          </w:p>
        </w:tc>
      </w:tr>
      <w:tr w:rsidR="003C18FB">
        <w:tc>
          <w:tcPr>
            <w:tcW w:w="3227" w:type="dxa"/>
            <w:tcMar>
              <w:top w:w="113" w:type="dxa"/>
              <w:bottom w:w="113" w:type="dxa"/>
            </w:tcMar>
          </w:tcPr>
          <w:p w:rsidR="003C18FB" w:rsidRDefault="00773466">
            <w:pPr>
              <w:rPr>
                <w:noProof/>
                <w:sz w:val="24"/>
              </w:rPr>
            </w:pPr>
            <w:r>
              <w:rPr>
                <w:noProof/>
                <w:sz w:val="24"/>
              </w:rPr>
              <w:t>CSP</w:t>
            </w:r>
          </w:p>
        </w:tc>
        <w:tc>
          <w:tcPr>
            <w:tcW w:w="5607" w:type="dxa"/>
            <w:tcMar>
              <w:top w:w="113" w:type="dxa"/>
              <w:bottom w:w="113" w:type="dxa"/>
            </w:tcMar>
          </w:tcPr>
          <w:p w:rsidR="003C18FB" w:rsidRDefault="00773466">
            <w:pPr>
              <w:rPr>
                <w:noProof/>
                <w:sz w:val="24"/>
              </w:rPr>
            </w:pPr>
            <w:r>
              <w:rPr>
                <w:noProof/>
                <w:sz w:val="24"/>
              </w:rPr>
              <w:t>cooperation and support plan</w:t>
            </w:r>
          </w:p>
        </w:tc>
      </w:tr>
      <w:tr w:rsidR="003C18FB">
        <w:tc>
          <w:tcPr>
            <w:tcW w:w="3227" w:type="dxa"/>
            <w:tcMar>
              <w:top w:w="113" w:type="dxa"/>
              <w:bottom w:w="113" w:type="dxa"/>
            </w:tcMar>
          </w:tcPr>
          <w:p w:rsidR="003C18FB" w:rsidRDefault="00773466">
            <w:pPr>
              <w:rPr>
                <w:noProof/>
                <w:sz w:val="24"/>
              </w:rPr>
            </w:pPr>
            <w:r>
              <w:rPr>
                <w:noProof/>
                <w:sz w:val="24"/>
              </w:rPr>
              <w:t>CSR</w:t>
            </w:r>
          </w:p>
        </w:tc>
        <w:tc>
          <w:tcPr>
            <w:tcW w:w="5607" w:type="dxa"/>
            <w:tcMar>
              <w:top w:w="113" w:type="dxa"/>
              <w:bottom w:w="113" w:type="dxa"/>
            </w:tcMar>
          </w:tcPr>
          <w:p w:rsidR="003C18FB" w:rsidRDefault="00773466">
            <w:pPr>
              <w:rPr>
                <w:noProof/>
                <w:sz w:val="24"/>
              </w:rPr>
            </w:pPr>
            <w:r>
              <w:rPr>
                <w:noProof/>
                <w:sz w:val="24"/>
                <w:szCs w:val="24"/>
              </w:rPr>
              <w:t>Country-Specific Recommendations</w:t>
            </w:r>
          </w:p>
        </w:tc>
      </w:tr>
      <w:tr w:rsidR="003C18FB">
        <w:tc>
          <w:tcPr>
            <w:tcW w:w="3227" w:type="dxa"/>
            <w:tcMar>
              <w:top w:w="113" w:type="dxa"/>
              <w:bottom w:w="113" w:type="dxa"/>
            </w:tcMar>
          </w:tcPr>
          <w:p w:rsidR="003C18FB" w:rsidRDefault="00773466">
            <w:pPr>
              <w:rPr>
                <w:noProof/>
                <w:sz w:val="24"/>
              </w:rPr>
            </w:pPr>
            <w:r>
              <w:rPr>
                <w:noProof/>
                <w:sz w:val="24"/>
                <w:szCs w:val="24"/>
              </w:rPr>
              <w:t>EBRD</w:t>
            </w:r>
          </w:p>
        </w:tc>
        <w:tc>
          <w:tcPr>
            <w:tcW w:w="5607" w:type="dxa"/>
            <w:tcMar>
              <w:top w:w="113" w:type="dxa"/>
              <w:bottom w:w="113" w:type="dxa"/>
            </w:tcMar>
          </w:tcPr>
          <w:p w:rsidR="003C18FB" w:rsidRDefault="00773466">
            <w:pPr>
              <w:rPr>
                <w:noProof/>
                <w:sz w:val="24"/>
                <w:szCs w:val="24"/>
              </w:rPr>
            </w:pPr>
            <w:r>
              <w:rPr>
                <w:noProof/>
                <w:sz w:val="24"/>
                <w:szCs w:val="24"/>
              </w:rPr>
              <w:t>European Bank for Reconstruction and Development</w:t>
            </w:r>
          </w:p>
        </w:tc>
      </w:tr>
      <w:tr w:rsidR="003C18FB">
        <w:tc>
          <w:tcPr>
            <w:tcW w:w="3227" w:type="dxa"/>
            <w:tcMar>
              <w:top w:w="113" w:type="dxa"/>
              <w:bottom w:w="113" w:type="dxa"/>
            </w:tcMar>
          </w:tcPr>
          <w:p w:rsidR="003C18FB" w:rsidRDefault="00773466">
            <w:pPr>
              <w:rPr>
                <w:noProof/>
                <w:sz w:val="24"/>
                <w:szCs w:val="24"/>
              </w:rPr>
            </w:pPr>
            <w:r>
              <w:rPr>
                <w:noProof/>
                <w:sz w:val="24"/>
                <w:szCs w:val="24"/>
              </w:rPr>
              <w:t>EFSI</w:t>
            </w:r>
          </w:p>
        </w:tc>
        <w:tc>
          <w:tcPr>
            <w:tcW w:w="5607" w:type="dxa"/>
            <w:tcMar>
              <w:top w:w="113" w:type="dxa"/>
              <w:bottom w:w="113" w:type="dxa"/>
            </w:tcMar>
          </w:tcPr>
          <w:p w:rsidR="003C18FB" w:rsidRDefault="00773466">
            <w:pPr>
              <w:rPr>
                <w:noProof/>
                <w:sz w:val="24"/>
                <w:szCs w:val="24"/>
              </w:rPr>
            </w:pPr>
            <w:r>
              <w:rPr>
                <w:noProof/>
                <w:sz w:val="24"/>
                <w:szCs w:val="24"/>
              </w:rPr>
              <w:t>European Fund fo</w:t>
            </w:r>
            <w:bookmarkStart w:id="3" w:name="_GoBack"/>
            <w:bookmarkEnd w:id="3"/>
            <w:r>
              <w:rPr>
                <w:noProof/>
                <w:sz w:val="24"/>
                <w:szCs w:val="24"/>
              </w:rPr>
              <w:t>r Strategic Investments</w:t>
            </w:r>
          </w:p>
        </w:tc>
      </w:tr>
      <w:tr w:rsidR="003C18FB">
        <w:tc>
          <w:tcPr>
            <w:tcW w:w="3227" w:type="dxa"/>
            <w:tcMar>
              <w:top w:w="113" w:type="dxa"/>
              <w:bottom w:w="113" w:type="dxa"/>
            </w:tcMar>
          </w:tcPr>
          <w:p w:rsidR="003C18FB" w:rsidRDefault="00773466">
            <w:pPr>
              <w:rPr>
                <w:noProof/>
                <w:sz w:val="24"/>
              </w:rPr>
            </w:pPr>
            <w:r>
              <w:rPr>
                <w:noProof/>
                <w:sz w:val="24"/>
                <w:szCs w:val="24"/>
              </w:rPr>
              <w:t>ESIF</w:t>
            </w:r>
          </w:p>
        </w:tc>
        <w:tc>
          <w:tcPr>
            <w:tcW w:w="5607" w:type="dxa"/>
            <w:tcMar>
              <w:top w:w="113" w:type="dxa"/>
              <w:bottom w:w="113" w:type="dxa"/>
            </w:tcMar>
          </w:tcPr>
          <w:p w:rsidR="003C18FB" w:rsidRDefault="00773466">
            <w:pPr>
              <w:rPr>
                <w:noProof/>
                <w:sz w:val="24"/>
              </w:rPr>
            </w:pPr>
            <w:r>
              <w:rPr>
                <w:noProof/>
                <w:sz w:val="24"/>
                <w:szCs w:val="24"/>
              </w:rPr>
              <w:t xml:space="preserve">European Structural and Investment Funds </w:t>
            </w:r>
          </w:p>
        </w:tc>
      </w:tr>
      <w:tr w:rsidR="003C18FB">
        <w:tc>
          <w:tcPr>
            <w:tcW w:w="3227" w:type="dxa"/>
            <w:tcMar>
              <w:top w:w="113" w:type="dxa"/>
              <w:bottom w:w="113" w:type="dxa"/>
            </w:tcMar>
          </w:tcPr>
          <w:p w:rsidR="003C18FB" w:rsidRDefault="00773466">
            <w:pPr>
              <w:rPr>
                <w:noProof/>
                <w:sz w:val="24"/>
              </w:rPr>
            </w:pPr>
            <w:r>
              <w:rPr>
                <w:noProof/>
                <w:sz w:val="24"/>
              </w:rPr>
              <w:t>EU</w:t>
            </w:r>
          </w:p>
        </w:tc>
        <w:tc>
          <w:tcPr>
            <w:tcW w:w="5607" w:type="dxa"/>
            <w:tcMar>
              <w:top w:w="113" w:type="dxa"/>
              <w:bottom w:w="113" w:type="dxa"/>
            </w:tcMar>
          </w:tcPr>
          <w:p w:rsidR="003C18FB" w:rsidRDefault="00773466">
            <w:pPr>
              <w:rPr>
                <w:noProof/>
                <w:sz w:val="24"/>
              </w:rPr>
            </w:pPr>
            <w:r>
              <w:rPr>
                <w:noProof/>
                <w:sz w:val="24"/>
              </w:rPr>
              <w:t>European Union</w:t>
            </w:r>
          </w:p>
        </w:tc>
      </w:tr>
      <w:tr w:rsidR="003C18FB">
        <w:tc>
          <w:tcPr>
            <w:tcW w:w="3227" w:type="dxa"/>
            <w:tcMar>
              <w:top w:w="113" w:type="dxa"/>
              <w:bottom w:w="113" w:type="dxa"/>
            </w:tcMar>
          </w:tcPr>
          <w:p w:rsidR="003C18FB" w:rsidRDefault="00773466">
            <w:pPr>
              <w:rPr>
                <w:noProof/>
                <w:sz w:val="24"/>
              </w:rPr>
            </w:pPr>
            <w:r>
              <w:rPr>
                <w:noProof/>
                <w:sz w:val="24"/>
              </w:rPr>
              <w:t>PPP</w:t>
            </w:r>
          </w:p>
        </w:tc>
        <w:tc>
          <w:tcPr>
            <w:tcW w:w="5607" w:type="dxa"/>
            <w:tcMar>
              <w:top w:w="113" w:type="dxa"/>
              <w:bottom w:w="113" w:type="dxa"/>
            </w:tcMar>
          </w:tcPr>
          <w:p w:rsidR="003C18FB" w:rsidRDefault="00773466">
            <w:pPr>
              <w:rPr>
                <w:noProof/>
                <w:sz w:val="24"/>
              </w:rPr>
            </w:pPr>
            <w:r>
              <w:rPr>
                <w:noProof/>
                <w:sz w:val="24"/>
              </w:rPr>
              <w:t>public private p</w:t>
            </w:r>
            <w:r>
              <w:rPr>
                <w:noProof/>
                <w:sz w:val="24"/>
              </w:rPr>
              <w:t>artnerships</w:t>
            </w:r>
          </w:p>
        </w:tc>
      </w:tr>
      <w:tr w:rsidR="003C18FB">
        <w:tc>
          <w:tcPr>
            <w:tcW w:w="3227" w:type="dxa"/>
            <w:tcMar>
              <w:top w:w="113" w:type="dxa"/>
              <w:bottom w:w="113" w:type="dxa"/>
            </w:tcMar>
          </w:tcPr>
          <w:p w:rsidR="003C18FB" w:rsidRDefault="00773466">
            <w:pPr>
              <w:rPr>
                <w:noProof/>
                <w:sz w:val="24"/>
              </w:rPr>
            </w:pPr>
            <w:r>
              <w:rPr>
                <w:noProof/>
                <w:sz w:val="24"/>
              </w:rPr>
              <w:t>SMEs</w:t>
            </w:r>
          </w:p>
        </w:tc>
        <w:tc>
          <w:tcPr>
            <w:tcW w:w="5607" w:type="dxa"/>
            <w:tcMar>
              <w:top w:w="113" w:type="dxa"/>
              <w:bottom w:w="113" w:type="dxa"/>
            </w:tcMar>
          </w:tcPr>
          <w:p w:rsidR="003C18FB" w:rsidRDefault="00773466">
            <w:pPr>
              <w:rPr>
                <w:noProof/>
                <w:sz w:val="24"/>
              </w:rPr>
            </w:pPr>
            <w:r>
              <w:rPr>
                <w:noProof/>
                <w:sz w:val="24"/>
              </w:rPr>
              <w:t>small and medium-sized enterprises</w:t>
            </w:r>
          </w:p>
        </w:tc>
      </w:tr>
      <w:tr w:rsidR="003C18FB">
        <w:tc>
          <w:tcPr>
            <w:tcW w:w="3227" w:type="dxa"/>
            <w:tcMar>
              <w:top w:w="113" w:type="dxa"/>
              <w:bottom w:w="113" w:type="dxa"/>
            </w:tcMar>
          </w:tcPr>
          <w:p w:rsidR="003C18FB" w:rsidRDefault="00773466">
            <w:pPr>
              <w:rPr>
                <w:noProof/>
                <w:sz w:val="24"/>
              </w:rPr>
            </w:pPr>
            <w:r>
              <w:rPr>
                <w:noProof/>
                <w:sz w:val="24"/>
              </w:rPr>
              <w:t xml:space="preserve">SRSP </w:t>
            </w:r>
          </w:p>
        </w:tc>
        <w:tc>
          <w:tcPr>
            <w:tcW w:w="5607" w:type="dxa"/>
            <w:tcMar>
              <w:top w:w="113" w:type="dxa"/>
              <w:bottom w:w="113" w:type="dxa"/>
            </w:tcMar>
          </w:tcPr>
          <w:p w:rsidR="003C18FB" w:rsidRDefault="00773466">
            <w:pPr>
              <w:rPr>
                <w:noProof/>
                <w:sz w:val="24"/>
              </w:rPr>
            </w:pPr>
            <w:r>
              <w:rPr>
                <w:noProof/>
                <w:sz w:val="24"/>
              </w:rPr>
              <w:t>Structural Reform Support Programme</w:t>
            </w:r>
          </w:p>
        </w:tc>
      </w:tr>
      <w:tr w:rsidR="003C18FB">
        <w:tc>
          <w:tcPr>
            <w:tcW w:w="3227" w:type="dxa"/>
            <w:tcMar>
              <w:top w:w="113" w:type="dxa"/>
              <w:bottom w:w="113" w:type="dxa"/>
            </w:tcMar>
          </w:tcPr>
          <w:p w:rsidR="003C18FB" w:rsidRDefault="00773466">
            <w:pPr>
              <w:rPr>
                <w:noProof/>
                <w:sz w:val="24"/>
              </w:rPr>
            </w:pPr>
            <w:r>
              <w:rPr>
                <w:noProof/>
                <w:sz w:val="24"/>
              </w:rPr>
              <w:t>SRSS</w:t>
            </w:r>
          </w:p>
        </w:tc>
        <w:tc>
          <w:tcPr>
            <w:tcW w:w="5607" w:type="dxa"/>
            <w:tcMar>
              <w:top w:w="113" w:type="dxa"/>
              <w:bottom w:w="113" w:type="dxa"/>
            </w:tcMar>
          </w:tcPr>
          <w:p w:rsidR="003C18FB" w:rsidRDefault="00773466">
            <w:pPr>
              <w:rPr>
                <w:noProof/>
                <w:sz w:val="24"/>
              </w:rPr>
            </w:pPr>
            <w:r>
              <w:rPr>
                <w:noProof/>
                <w:sz w:val="24"/>
              </w:rPr>
              <w:t>Structural Reform Support Service</w:t>
            </w:r>
          </w:p>
        </w:tc>
      </w:tr>
      <w:tr w:rsidR="003C18FB">
        <w:tc>
          <w:tcPr>
            <w:tcW w:w="3227" w:type="dxa"/>
            <w:tcMar>
              <w:top w:w="113" w:type="dxa"/>
              <w:bottom w:w="113" w:type="dxa"/>
            </w:tcMar>
          </w:tcPr>
          <w:p w:rsidR="003C18FB" w:rsidRDefault="00773466">
            <w:pPr>
              <w:rPr>
                <w:noProof/>
                <w:sz w:val="24"/>
              </w:rPr>
            </w:pPr>
            <w:r>
              <w:rPr>
                <w:noProof/>
                <w:sz w:val="24"/>
              </w:rPr>
              <w:t>TAIEX</w:t>
            </w:r>
          </w:p>
        </w:tc>
        <w:tc>
          <w:tcPr>
            <w:tcW w:w="5607" w:type="dxa"/>
            <w:tcMar>
              <w:top w:w="113" w:type="dxa"/>
              <w:bottom w:w="113" w:type="dxa"/>
            </w:tcMar>
          </w:tcPr>
          <w:p w:rsidR="003C18FB" w:rsidRDefault="00773466">
            <w:pPr>
              <w:rPr>
                <w:noProof/>
                <w:sz w:val="24"/>
              </w:rPr>
            </w:pPr>
            <w:r>
              <w:rPr>
                <w:noProof/>
                <w:sz w:val="24"/>
              </w:rPr>
              <w:t>Technical Assistance and Information Exchange</w:t>
            </w:r>
          </w:p>
        </w:tc>
      </w:tr>
    </w:tbl>
    <w:p w:rsidR="003C18FB" w:rsidRDefault="003C18FB">
      <w:pPr>
        <w:spacing w:line="240" w:lineRule="auto"/>
        <w:rPr>
          <w:rFonts w:ascii="Arial" w:hAnsi="Arial" w:cs="Arial"/>
          <w:noProof/>
        </w:rPr>
        <w:sectPr w:rsidR="003C18FB">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418" w:header="601" w:footer="1077" w:gutter="0"/>
          <w:cols w:space="720"/>
          <w:titlePg/>
        </w:sectPr>
      </w:pPr>
    </w:p>
    <w:p w:rsidR="003C18FB" w:rsidRDefault="00773466">
      <w:pPr>
        <w:rPr>
          <w:rFonts w:ascii="Times New Roman" w:eastAsia="Times New Roman" w:hAnsi="Times New Roman" w:cs="Times New Roman"/>
          <w:b/>
          <w:smallCaps/>
          <w:noProof/>
          <w:sz w:val="28"/>
          <w:szCs w:val="20"/>
        </w:rPr>
      </w:pPr>
      <w:bookmarkStart w:id="4" w:name="_Toc486524618"/>
      <w:r>
        <w:rPr>
          <w:noProof/>
        </w:rPr>
        <w:br w:type="page"/>
      </w:r>
    </w:p>
    <w:p w:rsidR="003C18FB" w:rsidRDefault="00773466">
      <w:pPr>
        <w:pStyle w:val="Heading1"/>
        <w:numPr>
          <w:ilvl w:val="0"/>
          <w:numId w:val="3"/>
        </w:numPr>
        <w:jc w:val="left"/>
        <w:rPr>
          <w:noProof/>
        </w:rPr>
      </w:pPr>
      <w:bookmarkStart w:id="5" w:name="_Toc526528386"/>
      <w:bookmarkStart w:id="6" w:name="_Toc22031537"/>
      <w:r>
        <w:rPr>
          <w:noProof/>
        </w:rPr>
        <w:t>Introduction</w:t>
      </w:r>
      <w:bookmarkEnd w:id="4"/>
      <w:bookmarkEnd w:id="5"/>
      <w:bookmarkEnd w:id="6"/>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Structural reforms are crucial if we are to modernise our economies, encourage investment, create jobs and raise living standards. Overall successful implementation of reforms requires efficient and effective public administration, since this </w:t>
      </w:r>
      <w:r>
        <w:rPr>
          <w:rFonts w:ascii="Times New Roman" w:eastAsia="Times New Roman" w:hAnsi="Times New Roman" w:cs="Times New Roman"/>
          <w:noProof/>
          <w:sz w:val="24"/>
          <w:szCs w:val="24"/>
          <w:lang w:eastAsia="en-GB"/>
        </w:rPr>
        <w:t>affects the performance of all public policy domains, including reform efforts. For this reason, adequate administrative capacity (in terms of competences, mobility, incentives, changes to work processes, etc.) is crucial for well-functioning economies and</w:t>
      </w:r>
      <w:r>
        <w:rPr>
          <w:rFonts w:ascii="Times New Roman" w:eastAsia="Times New Roman" w:hAnsi="Times New Roman" w:cs="Times New Roman"/>
          <w:noProof/>
          <w:sz w:val="24"/>
          <w:szCs w:val="24"/>
          <w:lang w:eastAsia="en-GB"/>
        </w:rPr>
        <w:t xml:space="preserve"> to underpin the success of structural reforms.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Structural Reform Support Programme (SRSP), established in May 2017, covers the 2017- 2020 period</w:t>
      </w:r>
      <w:r>
        <w:rPr>
          <w:rStyle w:val="FootnoteReference"/>
          <w:rFonts w:ascii="Times New Roman" w:eastAsia="Times New Roman" w:hAnsi="Times New Roman" w:cs="Times New Roman"/>
          <w:noProof/>
          <w:sz w:val="24"/>
          <w:szCs w:val="24"/>
          <w:lang w:eastAsia="en-GB"/>
        </w:rPr>
        <w:footnoteReference w:id="1"/>
      </w:r>
      <w:r>
        <w:rPr>
          <w:rFonts w:ascii="Times New Roman" w:eastAsia="Times New Roman" w:hAnsi="Times New Roman" w:cs="Times New Roman"/>
          <w:noProof/>
          <w:szCs w:val="24"/>
          <w:lang w:eastAsia="en-GB"/>
        </w:rPr>
        <w:t>.</w:t>
      </w:r>
      <w:r>
        <w:rPr>
          <w:rFonts w:ascii="Times New Roman" w:eastAsia="Times New Roman" w:hAnsi="Times New Roman" w:cs="Times New Roman"/>
          <w:noProof/>
          <w:sz w:val="24"/>
          <w:szCs w:val="24"/>
          <w:lang w:eastAsia="en-GB"/>
        </w:rPr>
        <w:t xml:space="preserve"> Its objective is to strengthen the Member States’ capacity to prepare and implement growth-enhancing ref</w:t>
      </w:r>
      <w:r>
        <w:rPr>
          <w:rFonts w:ascii="Times New Roman" w:eastAsia="Times New Roman" w:hAnsi="Times New Roman" w:cs="Times New Roman"/>
          <w:noProof/>
          <w:sz w:val="24"/>
          <w:szCs w:val="24"/>
          <w:lang w:eastAsia="en-GB"/>
        </w:rPr>
        <w:t>orms, including by providing assistance for the efficient and effective use of Union funds. The final decisions on the design, structure and implementation of reforms lie with the Member States, however.</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Support from the SRSP is available to all EU Member </w:t>
      </w:r>
      <w:r>
        <w:rPr>
          <w:rFonts w:ascii="Times New Roman" w:eastAsia="Times New Roman" w:hAnsi="Times New Roman" w:cs="Times New Roman"/>
          <w:noProof/>
          <w:sz w:val="24"/>
          <w:szCs w:val="24"/>
          <w:lang w:eastAsia="en-GB"/>
        </w:rPr>
        <w:t>States upon request</w:t>
      </w:r>
      <w:r>
        <w:rPr>
          <w:rStyle w:val="FootnoteReference"/>
          <w:rFonts w:ascii="Times New Roman" w:eastAsia="Times New Roman" w:hAnsi="Times New Roman" w:cs="Times New Roman"/>
          <w:noProof/>
          <w:sz w:val="24"/>
          <w:szCs w:val="24"/>
          <w:lang w:eastAsia="en-GB"/>
        </w:rPr>
        <w:footnoteReference w:id="2"/>
      </w:r>
      <w:r>
        <w:rPr>
          <w:rFonts w:ascii="Times New Roman" w:eastAsia="Times New Roman" w:hAnsi="Times New Roman" w:cs="Times New Roman"/>
          <w:noProof/>
          <w:sz w:val="24"/>
          <w:szCs w:val="24"/>
          <w:lang w:eastAsia="en-GB"/>
        </w:rPr>
        <w:t>, requires no co-financing and involves a relatively small administrative burden for Member States. It is managed by the Commission’s Structural Reform Support Service (SRSS).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monitors how support measures financed by the</w:t>
      </w:r>
      <w:r>
        <w:rPr>
          <w:rFonts w:ascii="Times New Roman" w:eastAsia="Times New Roman" w:hAnsi="Times New Roman" w:cs="Times New Roman"/>
          <w:noProof/>
          <w:sz w:val="24"/>
          <w:szCs w:val="24"/>
          <w:lang w:eastAsia="en-GB"/>
        </w:rPr>
        <w:t xml:space="preserve"> programme are implemented and  provides the European Parliament and the Council with an annual monitoring report</w:t>
      </w:r>
      <w:r>
        <w:rPr>
          <w:rStyle w:val="FootnoteReference"/>
          <w:rFonts w:ascii="Times New Roman" w:eastAsia="Times New Roman" w:hAnsi="Times New Roman" w:cs="Times New Roman"/>
          <w:noProof/>
          <w:sz w:val="24"/>
          <w:szCs w:val="24"/>
          <w:lang w:eastAsia="en-GB"/>
        </w:rPr>
        <w:footnoteReference w:id="3"/>
      </w:r>
      <w:r>
        <w:rPr>
          <w:rFonts w:ascii="Times New Roman" w:eastAsia="Times New Roman" w:hAnsi="Times New Roman" w:cs="Times New Roman"/>
          <w:noProof/>
          <w:sz w:val="24"/>
          <w:szCs w:val="24"/>
          <w:lang w:eastAsia="en-GB"/>
        </w:rPr>
        <w:t xml:space="preserve"> for each year of implementation.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Member States wishing to receive support under the SRSP can submit a request by 31 October of each calendar</w:t>
      </w:r>
      <w:r>
        <w:rPr>
          <w:rFonts w:ascii="Times New Roman" w:eastAsia="Times New Roman" w:hAnsi="Times New Roman" w:cs="Times New Roman"/>
          <w:noProof/>
          <w:sz w:val="24"/>
          <w:szCs w:val="24"/>
          <w:lang w:eastAsia="en-GB"/>
        </w:rPr>
        <w:t xml:space="preserve"> year</w:t>
      </w:r>
      <w:r>
        <w:rPr>
          <w:rStyle w:val="FootnoteReference"/>
          <w:rFonts w:ascii="Times New Roman" w:eastAsia="Times New Roman" w:hAnsi="Times New Roman" w:cs="Times New Roman"/>
          <w:noProof/>
          <w:sz w:val="24"/>
          <w:szCs w:val="24"/>
          <w:lang w:eastAsia="en-GB"/>
        </w:rPr>
        <w:footnoteReference w:id="4"/>
      </w:r>
      <w:r>
        <w:rPr>
          <w:rFonts w:ascii="Times New Roman" w:eastAsia="Times New Roman" w:hAnsi="Times New Roman" w:cs="Times New Roman"/>
          <w:noProof/>
          <w:sz w:val="24"/>
          <w:szCs w:val="24"/>
          <w:lang w:eastAsia="en-GB"/>
        </w:rPr>
        <w:t>. This report provides an overview of the implementation of measures selected for funding under the 2018 SRSP round. In addition, section 5 of the report (progress in relation to the programme’s objectives) describes the progress of some measures sel</w:t>
      </w:r>
      <w:r>
        <w:rPr>
          <w:rFonts w:ascii="Times New Roman" w:eastAsia="Times New Roman" w:hAnsi="Times New Roman" w:cs="Times New Roman"/>
          <w:noProof/>
          <w:sz w:val="24"/>
          <w:szCs w:val="24"/>
          <w:lang w:eastAsia="en-GB"/>
        </w:rPr>
        <w:t>ected for financing under the 2017 SRSP round and covered by the previous annual monitoring report for the 2017 SRSP.</w:t>
      </w:r>
    </w:p>
    <w:p w:rsidR="003C18FB" w:rsidRDefault="00773466">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br w:type="page"/>
      </w:r>
    </w:p>
    <w:p w:rsidR="003C18FB" w:rsidRDefault="00773466">
      <w:pPr>
        <w:pStyle w:val="sti-art"/>
        <w:spacing w:before="0" w:beforeAutospacing="0" w:after="0" w:afterAutospacing="0"/>
        <w:jc w:val="center"/>
        <w:rPr>
          <w:b/>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-81723</wp:posOffset>
                </wp:positionH>
                <wp:positionV relativeFrom="paragraph">
                  <wp:posOffset>-29801</wp:posOffset>
                </wp:positionV>
                <wp:extent cx="5879805" cy="2498651"/>
                <wp:effectExtent l="0" t="0" r="26035" b="16510"/>
                <wp:wrapNone/>
                <wp:docPr id="1" name="Rectangle 1"/>
                <wp:cNvGraphicFramePr/>
                <a:graphic xmlns:a="http://schemas.openxmlformats.org/drawingml/2006/main">
                  <a:graphicData uri="http://schemas.microsoft.com/office/word/2010/wordprocessingShape">
                    <wps:wsp>
                      <wps:cNvSpPr/>
                      <wps:spPr>
                        <a:xfrm>
                          <a:off x="0" y="0"/>
                          <a:ext cx="5879805" cy="249865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6728" id="Rectangle 1" o:spid="_x0000_s1026" style="position:absolute;margin-left:-6.45pt;margin-top:-2.35pt;width:463pt;height:1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" filled="f" strokecolor="black [3213]" strokeweight=".25pt"/>
            </w:pict>
          </mc:Fallback>
        </mc:AlternateContent>
      </w:r>
      <w:r>
        <w:rPr>
          <w:b/>
          <w:noProof/>
        </w:rPr>
        <w:t xml:space="preserve">Article 16 of the SRSP Regulation </w:t>
      </w:r>
    </w:p>
    <w:p w:rsidR="003C18FB" w:rsidRDefault="00773466">
      <w:pPr>
        <w:pStyle w:val="sti-art"/>
        <w:spacing w:before="0" w:beforeAutospacing="0" w:after="0" w:afterAutospacing="0"/>
        <w:jc w:val="center"/>
        <w:rPr>
          <w:noProof/>
        </w:rPr>
      </w:pPr>
      <w:r>
        <w:rPr>
          <w:b/>
          <w:noProof/>
        </w:rPr>
        <w:t>Monitoring and evaluation</w:t>
      </w:r>
    </w:p>
    <w:p w:rsidR="003C18FB" w:rsidRDefault="00773466">
      <w:pPr>
        <w:spacing w:after="120" w:line="240" w:lineRule="auto"/>
        <w:rPr>
          <w:rFonts w:ascii="Times New Roman" w:eastAsia="Times New Roman" w:hAnsi="Times New Roman" w:cs="Times New Roman"/>
          <w:noProof/>
          <w:sz w:val="24"/>
          <w:szCs w:val="24"/>
          <w:lang w:eastAsia="en-GB"/>
        </w:rPr>
      </w:pPr>
      <w:r>
        <w:rPr>
          <w:rFonts w:ascii="Calibri" w:eastAsia="Times New Roman" w:hAnsi="Calibri" w:cs="Times New Roman"/>
          <w:noProof/>
          <w:sz w:val="24"/>
          <w:szCs w:val="24"/>
          <w:lang w:eastAsia="en-GB"/>
        </w:rPr>
        <w:t>[…]</w:t>
      </w:r>
    </w:p>
    <w:p w:rsidR="003C18FB" w:rsidRDefault="00773466">
      <w:pPr>
        <w:pStyle w:val="ti-art"/>
        <w:spacing w:before="0" w:beforeAutospacing="0" w:after="0" w:afterAutospacing="0"/>
        <w:ind w:right="282"/>
        <w:jc w:val="both"/>
        <w:rPr>
          <w:noProof/>
        </w:rPr>
      </w:pPr>
      <w:r>
        <w:rPr>
          <w:noProof/>
        </w:rPr>
        <w:t>2. The Commission shall provide the European Parliament and the Counci</w:t>
      </w:r>
      <w:r>
        <w:rPr>
          <w:noProof/>
        </w:rPr>
        <w:t>l with an annual monitoring report on the implementation of the Programme. That report shall include information on:</w:t>
      </w:r>
    </w:p>
    <w:p w:rsidR="003C18FB" w:rsidRDefault="00773466">
      <w:pPr>
        <w:pStyle w:val="ti-art"/>
        <w:numPr>
          <w:ilvl w:val="0"/>
          <w:numId w:val="10"/>
        </w:numPr>
        <w:spacing w:before="0" w:beforeAutospacing="0"/>
        <w:ind w:left="851" w:hanging="709"/>
        <w:rPr>
          <w:noProof/>
        </w:rPr>
      </w:pPr>
      <w:r>
        <w:rPr>
          <w:noProof/>
        </w:rPr>
        <w:t>requests for support submitted by Member States, referred to in Article 7(1);</w:t>
      </w:r>
    </w:p>
    <w:p w:rsidR="003C18FB" w:rsidRDefault="00773466">
      <w:pPr>
        <w:pStyle w:val="ti-art"/>
        <w:numPr>
          <w:ilvl w:val="0"/>
          <w:numId w:val="10"/>
        </w:numPr>
        <w:spacing w:before="0" w:beforeAutospacing="0"/>
        <w:ind w:left="851" w:right="282" w:hanging="709"/>
        <w:jc w:val="both"/>
        <w:rPr>
          <w:noProof/>
        </w:rPr>
      </w:pPr>
      <w:r>
        <w:rPr>
          <w:noProof/>
        </w:rPr>
        <w:t>analyses of the application of the criteria, referred to in A</w:t>
      </w:r>
      <w:r>
        <w:rPr>
          <w:noProof/>
        </w:rPr>
        <w:t>rticle 7(2), used to analyse the requests for support submitted by Member States;</w:t>
      </w:r>
    </w:p>
    <w:p w:rsidR="003C18FB" w:rsidRDefault="00773466">
      <w:pPr>
        <w:pStyle w:val="ti-art"/>
        <w:numPr>
          <w:ilvl w:val="0"/>
          <w:numId w:val="10"/>
        </w:numPr>
        <w:spacing w:before="0" w:beforeAutospacing="0"/>
        <w:ind w:left="851" w:hanging="709"/>
        <w:jc w:val="both"/>
        <w:rPr>
          <w:noProof/>
        </w:rPr>
      </w:pPr>
      <w:r>
        <w:rPr>
          <w:noProof/>
        </w:rPr>
        <w:t>cooperation and support plans, referred to in Article 7(2);</w:t>
      </w:r>
    </w:p>
    <w:p w:rsidR="003C18FB" w:rsidRDefault="00773466">
      <w:pPr>
        <w:pStyle w:val="ti-art"/>
        <w:numPr>
          <w:ilvl w:val="0"/>
          <w:numId w:val="10"/>
        </w:numPr>
        <w:spacing w:before="0" w:beforeAutospacing="0"/>
        <w:ind w:left="851" w:hanging="709"/>
        <w:jc w:val="both"/>
        <w:rPr>
          <w:noProof/>
        </w:rPr>
      </w:pPr>
      <w:r>
        <w:rPr>
          <w:noProof/>
        </w:rPr>
        <w:t>participation of reform partners, referred to in Article 9;</w:t>
      </w:r>
    </w:p>
    <w:p w:rsidR="003C18FB" w:rsidRDefault="00773466">
      <w:pPr>
        <w:pStyle w:val="ti-art"/>
        <w:numPr>
          <w:ilvl w:val="0"/>
          <w:numId w:val="10"/>
        </w:numPr>
        <w:spacing w:before="0" w:beforeAutospacing="0"/>
        <w:ind w:left="851" w:hanging="709"/>
        <w:jc w:val="both"/>
        <w:rPr>
          <w:noProof/>
        </w:rPr>
      </w:pPr>
      <w:r>
        <w:rPr>
          <w:noProof/>
        </w:rPr>
        <w:t>special measures adopted, referred to in Article 13(6)</w:t>
      </w:r>
      <w:r>
        <w:rPr>
          <w:noProof/>
        </w:rPr>
        <w:t>; and</w:t>
      </w:r>
    </w:p>
    <w:p w:rsidR="003C18FB" w:rsidRDefault="00773466">
      <w:pPr>
        <w:pStyle w:val="ti-art"/>
        <w:numPr>
          <w:ilvl w:val="0"/>
          <w:numId w:val="10"/>
        </w:numPr>
        <w:spacing w:before="0" w:beforeAutospacing="0" w:after="0" w:afterAutospacing="0"/>
        <w:ind w:left="851" w:hanging="709"/>
        <w:jc w:val="both"/>
        <w:rPr>
          <w:noProof/>
        </w:rPr>
      </w:pPr>
      <w:r>
        <w:rPr>
          <w:noProof/>
        </w:rPr>
        <w:t>implementation of support measures</w:t>
      </w:r>
      <w:r>
        <w:rPr>
          <w:noProof/>
          <w:sz w:val="22"/>
          <w:vertAlign w:val="superscript"/>
        </w:rPr>
        <w:footnoteReference w:id="5"/>
      </w:r>
      <w:r>
        <w:rPr>
          <w:noProof/>
        </w:rPr>
        <w:t>.</w:t>
      </w:r>
    </w:p>
    <w:p w:rsidR="003C18FB" w:rsidRDefault="003C18FB">
      <w:pPr>
        <w:pStyle w:val="Heading1"/>
        <w:ind w:left="480"/>
        <w:jc w:val="left"/>
        <w:rPr>
          <w:noProof/>
        </w:rPr>
      </w:pPr>
      <w:bookmarkStart w:id="7" w:name="_Toc486524619"/>
      <w:bookmarkStart w:id="8" w:name="_Toc526528387"/>
    </w:p>
    <w:p w:rsidR="003C18FB" w:rsidRDefault="00773466">
      <w:pPr>
        <w:pStyle w:val="Heading1"/>
        <w:numPr>
          <w:ilvl w:val="0"/>
          <w:numId w:val="3"/>
        </w:numPr>
        <w:jc w:val="left"/>
        <w:rPr>
          <w:noProof/>
        </w:rPr>
      </w:pPr>
      <w:bookmarkStart w:id="9" w:name="_Toc22031538"/>
      <w:r>
        <w:rPr>
          <w:noProof/>
        </w:rPr>
        <w:t xml:space="preserve">Background </w:t>
      </w:r>
      <w:bookmarkEnd w:id="7"/>
      <w:r>
        <w:rPr>
          <w:noProof/>
        </w:rPr>
        <w:t>information</w:t>
      </w:r>
      <w:bookmarkEnd w:id="8"/>
      <w:bookmarkEnd w:id="9"/>
    </w:p>
    <w:p w:rsidR="003C18FB" w:rsidRDefault="00773466">
      <w:pPr>
        <w:pStyle w:val="Heading2"/>
        <w:rPr>
          <w:noProof/>
        </w:rPr>
      </w:pPr>
      <w:bookmarkStart w:id="10" w:name="_Toc526804031"/>
      <w:bookmarkStart w:id="11" w:name="_Toc526804032"/>
      <w:bookmarkStart w:id="12" w:name="_Toc526528388"/>
      <w:bookmarkStart w:id="13" w:name="_Toc22031539"/>
      <w:bookmarkEnd w:id="10"/>
      <w:bookmarkEnd w:id="11"/>
      <w:r>
        <w:rPr>
          <w:noProof/>
        </w:rPr>
        <w:t>Budget of the programme</w:t>
      </w:r>
      <w:bookmarkEnd w:id="12"/>
      <w:bookmarkEnd w:id="13"/>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budget for the implementation of the Programme over the 2017-2020 period is </w:t>
      </w:r>
      <w:r>
        <w:rPr>
          <w:rFonts w:ascii="Times New Roman" w:eastAsia="Times New Roman" w:hAnsi="Times New Roman" w:cs="Times New Roman"/>
          <w:b/>
          <w:noProof/>
          <w:sz w:val="24"/>
          <w:szCs w:val="24"/>
          <w:lang w:eastAsia="en-GB"/>
        </w:rPr>
        <w:t>€222.8 million</w:t>
      </w:r>
      <w:r>
        <w:rPr>
          <w:rFonts w:ascii="Times New Roman" w:eastAsia="Times New Roman" w:hAnsi="Times New Roman" w:cs="Times New Roman"/>
          <w:noProof/>
          <w:sz w:val="24"/>
          <w:szCs w:val="24"/>
          <w:lang w:eastAsia="en-GB"/>
        </w:rPr>
        <w:t xml:space="preserve"> (following the amendment to the original SRSP Regulation)</w:t>
      </w:r>
      <w:r>
        <w:rPr>
          <w:rFonts w:ascii="Times New Roman" w:eastAsia="Times New Roman" w:hAnsi="Times New Roman" w:cs="Times New Roman"/>
          <w:noProof/>
          <w:szCs w:val="24"/>
          <w:vertAlign w:val="superscript"/>
          <w:lang w:eastAsia="en-GB"/>
        </w:rPr>
        <w:footnoteReference w:id="6"/>
      </w:r>
      <w:r>
        <w:rPr>
          <w:rFonts w:ascii="Times New Roman" w:eastAsia="Times New Roman" w:hAnsi="Times New Roman" w:cs="Times New Roman"/>
          <w:noProof/>
          <w:sz w:val="24"/>
          <w:szCs w:val="24"/>
          <w:lang w:eastAsia="en-GB"/>
        </w:rPr>
        <w:t xml:space="preserve">. The budget available for 2018 was </w:t>
      </w:r>
      <w:r>
        <w:rPr>
          <w:rFonts w:ascii="Times New Roman" w:eastAsia="Times New Roman" w:hAnsi="Times New Roman" w:cs="Times New Roman"/>
          <w:b/>
          <w:noProof/>
          <w:sz w:val="24"/>
          <w:szCs w:val="24"/>
          <w:lang w:eastAsia="en-GB"/>
        </w:rPr>
        <w:t>€30.5 million</w:t>
      </w:r>
      <w:r>
        <w:rPr>
          <w:rStyle w:val="FootnoteReference"/>
          <w:rFonts w:ascii="Times New Roman" w:eastAsia="Times New Roman" w:hAnsi="Times New Roman" w:cs="Times New Roman"/>
          <w:b/>
          <w:noProof/>
          <w:sz w:val="24"/>
          <w:szCs w:val="24"/>
          <w:lang w:eastAsia="en-GB"/>
        </w:rPr>
        <w:footnoteReference w:id="7"/>
      </w:r>
      <w:r>
        <w:rPr>
          <w:rFonts w:ascii="Times New Roman" w:eastAsia="Times New Roman" w:hAnsi="Times New Roman" w:cs="Times New Roman"/>
          <w:noProof/>
          <w:sz w:val="24"/>
          <w:szCs w:val="24"/>
          <w:lang w:eastAsia="en-GB"/>
        </w:rPr>
        <w:t>.</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addition to the SRSP budget, Article 11 of the SRSP Regulation and Article 25 and 59 of Regulation (EU) No 1303/2013 (the Common Provisions Regulation) also enable the programme to be financed through </w:t>
      </w:r>
      <w:r>
        <w:rPr>
          <w:rFonts w:ascii="Times New Roman" w:eastAsia="Times New Roman" w:hAnsi="Times New Roman" w:cs="Times New Roman"/>
          <w:noProof/>
          <w:sz w:val="24"/>
          <w:szCs w:val="24"/>
          <w:lang w:eastAsia="en-GB"/>
        </w:rPr>
        <w:t>additional voluntary contributions from Member States, using resources provided for technical assistance at the initiative of the Member States under the European Structural and Investment Funds (ESI Funds)</w:t>
      </w:r>
      <w:r>
        <w:rPr>
          <w:rStyle w:val="FootnoteReference"/>
          <w:rFonts w:ascii="Times New Roman" w:eastAsia="Times New Roman" w:hAnsi="Times New Roman" w:cs="Times New Roman"/>
          <w:noProof/>
          <w:sz w:val="24"/>
          <w:szCs w:val="24"/>
          <w:lang w:eastAsia="en-GB"/>
        </w:rPr>
        <w:footnoteReference w:id="8"/>
      </w:r>
      <w:r>
        <w:rPr>
          <w:rFonts w:ascii="Times New Roman" w:eastAsia="Times New Roman" w:hAnsi="Times New Roman" w:cs="Times New Roman"/>
          <w:noProof/>
          <w:sz w:val="24"/>
          <w:szCs w:val="24"/>
          <w:lang w:eastAsia="en-GB"/>
        </w:rPr>
        <w:t>. In 2018, two Member States, Greece and Bulgaria</w:t>
      </w:r>
      <w:r>
        <w:rPr>
          <w:rFonts w:ascii="Times New Roman" w:eastAsia="Times New Roman" w:hAnsi="Times New Roman" w:cs="Times New Roman"/>
          <w:noProof/>
          <w:sz w:val="24"/>
          <w:szCs w:val="24"/>
          <w:lang w:eastAsia="en-GB"/>
        </w:rPr>
        <w:t xml:space="preserve">, made such voluntary contributions. These followed a request by Greece on 30 January 2018 to transfer €20 million from its technical assistance operational programme and from Bulgaria on 31 January 2018 to transfer €1.5 million from the ‘good governance’ </w:t>
      </w:r>
      <w:r>
        <w:rPr>
          <w:rFonts w:ascii="Times New Roman" w:eastAsia="Times New Roman" w:hAnsi="Times New Roman" w:cs="Times New Roman"/>
          <w:noProof/>
          <w:sz w:val="24"/>
          <w:szCs w:val="24"/>
          <w:lang w:eastAsia="en-GB"/>
        </w:rPr>
        <w:t>operational programme. The overall budget for 2018 (including both the dedicated SRSP 2018 budget and the transferred resources) thus amounted to €52 million.</w:t>
      </w:r>
    </w:p>
    <w:p w:rsidR="003C18FB" w:rsidRDefault="00773466">
      <w:pPr>
        <w:pStyle w:val="Heading2"/>
        <w:spacing w:before="240"/>
        <w:contextualSpacing w:val="0"/>
        <w:rPr>
          <w:noProof/>
        </w:rPr>
      </w:pPr>
      <w:bookmarkStart w:id="14" w:name="_Toc526528389"/>
      <w:bookmarkStart w:id="15" w:name="_Toc22031540"/>
      <w:r>
        <w:rPr>
          <w:noProof/>
        </w:rPr>
        <w:t>Objectives and scope of the programme</w:t>
      </w:r>
      <w:bookmarkEnd w:id="14"/>
      <w:bookmarkEnd w:id="15"/>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b/>
          <w:noProof/>
          <w:sz w:val="24"/>
          <w:szCs w:val="24"/>
          <w:lang w:eastAsia="en-GB"/>
        </w:rPr>
        <w:t>general objective</w:t>
      </w:r>
      <w:r>
        <w:rPr>
          <w:rFonts w:ascii="Times New Roman" w:eastAsia="Times New Roman" w:hAnsi="Times New Roman" w:cs="Times New Roman"/>
          <w:noProof/>
          <w:sz w:val="24"/>
          <w:szCs w:val="24"/>
          <w:lang w:eastAsia="en-GB"/>
        </w:rPr>
        <w:t xml:space="preserve"> of the SRSP is to contribute to insti</w:t>
      </w:r>
      <w:r>
        <w:rPr>
          <w:rFonts w:ascii="Times New Roman" w:eastAsia="Times New Roman" w:hAnsi="Times New Roman" w:cs="Times New Roman"/>
          <w:noProof/>
          <w:sz w:val="24"/>
          <w:szCs w:val="24"/>
          <w:lang w:eastAsia="en-GB"/>
        </w:rPr>
        <w:t>tutional, administrative and growth-sustaining structural reforms in the Member States</w:t>
      </w:r>
      <w:r>
        <w:rPr>
          <w:rStyle w:val="FootnoteReference"/>
          <w:rFonts w:ascii="Times New Roman" w:eastAsia="Times New Roman" w:hAnsi="Times New Roman" w:cs="Times New Roman"/>
          <w:noProof/>
          <w:sz w:val="24"/>
          <w:szCs w:val="24"/>
          <w:lang w:eastAsia="en-GB"/>
        </w:rPr>
        <w:footnoteReference w:id="9"/>
      </w:r>
      <w:r>
        <w:rPr>
          <w:rFonts w:ascii="Times New Roman" w:eastAsia="Times New Roman" w:hAnsi="Times New Roman" w:cs="Times New Roman"/>
          <w:noProof/>
          <w:sz w:val="24"/>
          <w:szCs w:val="24"/>
          <w:lang w:eastAsia="en-GB"/>
        </w:rPr>
        <w:t>. This is achieved by providing support to national authorities with the aim of reforming and strengthening institutions, governance, public administration, and economic</w:t>
      </w:r>
      <w:r>
        <w:rPr>
          <w:rFonts w:ascii="Times New Roman" w:eastAsia="Times New Roman" w:hAnsi="Times New Roman" w:cs="Times New Roman"/>
          <w:noProof/>
          <w:sz w:val="24"/>
          <w:szCs w:val="24"/>
          <w:lang w:eastAsia="en-GB"/>
        </w:rPr>
        <w:t xml:space="preserve"> and social sectors in response to economic and social challenges.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overarching goal is to enhance cohesion, competitiveness, productivity, sustainable growth, job creation, and investment, in particular in the context of economic governance processes,</w:t>
      </w:r>
      <w:r>
        <w:rPr>
          <w:rFonts w:ascii="Times New Roman" w:eastAsia="Times New Roman" w:hAnsi="Times New Roman" w:cs="Times New Roman"/>
          <w:noProof/>
          <w:sz w:val="24"/>
          <w:szCs w:val="24"/>
          <w:lang w:eastAsia="en-GB"/>
        </w:rPr>
        <w:t xml:space="preserve"> including through assistance for the efficient, effective and transparent use of the Union funds</w:t>
      </w:r>
      <w:r>
        <w:rPr>
          <w:rStyle w:val="FootnoteReference"/>
          <w:rFonts w:ascii="Times New Roman" w:eastAsia="Times New Roman" w:hAnsi="Times New Roman" w:cs="Times New Roman"/>
          <w:noProof/>
          <w:sz w:val="24"/>
          <w:szCs w:val="24"/>
          <w:lang w:eastAsia="en-GB"/>
        </w:rPr>
        <w:footnoteReference w:id="10"/>
      </w:r>
      <w:r>
        <w:rPr>
          <w:rFonts w:ascii="Times New Roman" w:eastAsia="Times New Roman" w:hAnsi="Times New Roman" w:cs="Times New Roman"/>
          <w:noProof/>
          <w:sz w:val="24"/>
          <w:szCs w:val="24"/>
          <w:lang w:eastAsia="en-GB"/>
        </w:rPr>
        <w:t>.</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b/>
          <w:noProof/>
          <w:sz w:val="24"/>
          <w:szCs w:val="24"/>
          <w:lang w:eastAsia="en-GB"/>
        </w:rPr>
        <w:t xml:space="preserve">specific objectives </w:t>
      </w:r>
      <w:r>
        <w:rPr>
          <w:rFonts w:ascii="Times New Roman" w:eastAsia="Times New Roman" w:hAnsi="Times New Roman" w:cs="Times New Roman"/>
          <w:noProof/>
          <w:sz w:val="24"/>
          <w:szCs w:val="24"/>
          <w:lang w:eastAsia="en-GB"/>
        </w:rPr>
        <w:t>of the programme</w:t>
      </w:r>
      <w:r>
        <w:rPr>
          <w:rStyle w:val="FootnoteReference"/>
          <w:rFonts w:ascii="Times New Roman" w:eastAsia="Times New Roman" w:hAnsi="Times New Roman" w:cs="Times New Roman"/>
          <w:noProof/>
          <w:sz w:val="24"/>
          <w:szCs w:val="24"/>
          <w:lang w:eastAsia="en-GB"/>
        </w:rPr>
        <w:footnoteReference w:id="11"/>
      </w:r>
      <w:r>
        <w:rPr>
          <w:rFonts w:ascii="Times New Roman" w:eastAsia="Times New Roman" w:hAnsi="Times New Roman" w:cs="Times New Roman"/>
          <w:noProof/>
          <w:sz w:val="24"/>
          <w:szCs w:val="24"/>
          <w:lang w:eastAsia="en-GB"/>
        </w:rPr>
        <w:t xml:space="preserve"> are to: </w:t>
      </w:r>
    </w:p>
    <w:p w:rsidR="003C18FB" w:rsidRDefault="00773466">
      <w:pPr>
        <w:pStyle w:val="ListParagraph"/>
        <w:numPr>
          <w:ilvl w:val="0"/>
          <w:numId w:val="17"/>
        </w:numPr>
        <w:spacing w:after="120"/>
        <w:rPr>
          <w:noProof/>
          <w:szCs w:val="24"/>
          <w:lang w:eastAsia="en-GB"/>
        </w:rPr>
      </w:pPr>
      <w:r>
        <w:rPr>
          <w:noProof/>
          <w:szCs w:val="24"/>
          <w:lang w:eastAsia="en-GB"/>
        </w:rPr>
        <w:t>support the intiatitives of Member States’ national authorities to design their reforms according to thei</w:t>
      </w:r>
      <w:r>
        <w:rPr>
          <w:noProof/>
          <w:szCs w:val="24"/>
          <w:lang w:eastAsia="en-GB"/>
        </w:rPr>
        <w:t xml:space="preserve">r priorities; </w:t>
      </w:r>
    </w:p>
    <w:p w:rsidR="003C18FB" w:rsidRDefault="00773466">
      <w:pPr>
        <w:pStyle w:val="ListParagraph"/>
        <w:numPr>
          <w:ilvl w:val="0"/>
          <w:numId w:val="17"/>
        </w:numPr>
        <w:spacing w:after="120"/>
        <w:rPr>
          <w:noProof/>
          <w:szCs w:val="24"/>
          <w:lang w:eastAsia="en-GB"/>
        </w:rPr>
      </w:pPr>
      <w:r>
        <w:rPr>
          <w:noProof/>
          <w:szCs w:val="24"/>
          <w:lang w:eastAsia="en-GB"/>
        </w:rPr>
        <w:t>enhance the national authorities’ capacity to formulate, develop and implement reform policies and strategies and pursue an integrated approach;</w:t>
      </w:r>
    </w:p>
    <w:p w:rsidR="003C18FB" w:rsidRDefault="00773466">
      <w:pPr>
        <w:pStyle w:val="ListParagraph"/>
        <w:numPr>
          <w:ilvl w:val="0"/>
          <w:numId w:val="17"/>
        </w:numPr>
        <w:spacing w:after="120"/>
        <w:rPr>
          <w:noProof/>
          <w:szCs w:val="24"/>
          <w:lang w:eastAsia="en-GB"/>
        </w:rPr>
      </w:pPr>
      <w:r>
        <w:rPr>
          <w:noProof/>
          <w:szCs w:val="24"/>
          <w:lang w:eastAsia="en-GB"/>
        </w:rPr>
        <w:t>support the efforts of national authorities to define and implement appropriate processes and me</w:t>
      </w:r>
      <w:r>
        <w:rPr>
          <w:noProof/>
          <w:szCs w:val="24"/>
          <w:lang w:eastAsia="en-GB"/>
        </w:rPr>
        <w:t>thodologies; and</w:t>
      </w:r>
    </w:p>
    <w:p w:rsidR="003C18FB" w:rsidRDefault="00773466">
      <w:pPr>
        <w:pStyle w:val="ListParagraph"/>
        <w:numPr>
          <w:ilvl w:val="0"/>
          <w:numId w:val="17"/>
        </w:numPr>
        <w:spacing w:after="120"/>
        <w:rPr>
          <w:noProof/>
          <w:szCs w:val="24"/>
          <w:lang w:eastAsia="en-GB"/>
        </w:rPr>
      </w:pPr>
      <w:r>
        <w:rPr>
          <w:noProof/>
          <w:szCs w:val="24"/>
          <w:lang w:eastAsia="en-GB"/>
        </w:rPr>
        <w:t>assist the national authorities in enhancing the efficiency and effectiveness of human resources management.</w:t>
      </w:r>
    </w:p>
    <w:p w:rsidR="003C18FB" w:rsidRDefault="003C18FB">
      <w:pPr>
        <w:pStyle w:val="ListParagraph"/>
        <w:spacing w:after="120"/>
        <w:rPr>
          <w:noProof/>
          <w:szCs w:val="24"/>
          <w:lang w:eastAsia="en-GB"/>
        </w:rPr>
      </w:pPr>
    </w:p>
    <w:p w:rsidR="003C18FB" w:rsidRDefault="00773466">
      <w:pPr>
        <w:spacing w:after="120" w:line="240" w:lineRule="auto"/>
        <w:jc w:val="both"/>
        <w:rPr>
          <w:noProof/>
          <w:szCs w:val="24"/>
          <w:lang w:eastAsia="en-GB"/>
        </w:rPr>
      </w:pPr>
      <w:r>
        <w:rPr>
          <w:rFonts w:ascii="Times New Roman" w:eastAsia="Times New Roman" w:hAnsi="Times New Roman" w:cs="Times New Roman"/>
          <w:noProof/>
          <w:sz w:val="24"/>
          <w:szCs w:val="24"/>
          <w:lang w:eastAsia="en-GB"/>
        </w:rPr>
        <w:t>The support therefore covers all stages of reform, from inception to implementation and evaluation of results.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Support can be pro</w:t>
      </w:r>
      <w:r>
        <w:rPr>
          <w:rFonts w:ascii="Times New Roman" w:eastAsia="Times New Roman" w:hAnsi="Times New Roman" w:cs="Times New Roman"/>
          <w:noProof/>
          <w:sz w:val="24"/>
          <w:szCs w:val="24"/>
          <w:lang w:eastAsia="en-GB"/>
        </w:rPr>
        <w:t xml:space="preserve">vided for reforms which fall under the following main broad </w:t>
      </w:r>
      <w:r>
        <w:rPr>
          <w:rFonts w:ascii="Times New Roman" w:eastAsia="Times New Roman" w:hAnsi="Times New Roman" w:cs="Times New Roman"/>
          <w:b/>
          <w:noProof/>
          <w:sz w:val="24"/>
          <w:szCs w:val="24"/>
          <w:lang w:eastAsia="en-GB"/>
        </w:rPr>
        <w:t>policy areas</w:t>
      </w:r>
      <w:r>
        <w:rPr>
          <w:rStyle w:val="FootnoteReference"/>
          <w:rFonts w:ascii="Times New Roman" w:eastAsia="Times New Roman" w:hAnsi="Times New Roman" w:cs="Times New Roman"/>
          <w:noProof/>
          <w:sz w:val="24"/>
          <w:szCs w:val="24"/>
          <w:lang w:eastAsia="en-GB"/>
        </w:rPr>
        <w:footnoteReference w:id="12"/>
      </w:r>
      <w:r>
        <w:rPr>
          <w:rFonts w:ascii="Times New Roman" w:eastAsia="Times New Roman" w:hAnsi="Times New Roman" w:cs="Times New Roman"/>
          <w:noProof/>
          <w:sz w:val="24"/>
          <w:szCs w:val="24"/>
          <w:lang w:eastAsia="en-GB"/>
        </w:rPr>
        <w:t xml:space="preserve">: </w:t>
      </w:r>
    </w:p>
    <w:p w:rsidR="003C18FB" w:rsidRDefault="00773466">
      <w:pPr>
        <w:pStyle w:val="ListParagraph"/>
        <w:numPr>
          <w:ilvl w:val="0"/>
          <w:numId w:val="18"/>
        </w:numPr>
        <w:spacing w:after="120"/>
        <w:rPr>
          <w:noProof/>
          <w:szCs w:val="24"/>
          <w:lang w:eastAsia="en-GB"/>
        </w:rPr>
      </w:pPr>
      <w:r>
        <w:rPr>
          <w:noProof/>
          <w:szCs w:val="24"/>
          <w:lang w:eastAsia="en-GB"/>
        </w:rPr>
        <w:t>revenue administration and public financial management;</w:t>
      </w:r>
    </w:p>
    <w:p w:rsidR="003C18FB" w:rsidRDefault="00773466">
      <w:pPr>
        <w:pStyle w:val="ListParagraph"/>
        <w:numPr>
          <w:ilvl w:val="0"/>
          <w:numId w:val="18"/>
        </w:numPr>
        <w:spacing w:after="120"/>
        <w:rPr>
          <w:noProof/>
          <w:szCs w:val="24"/>
          <w:lang w:eastAsia="en-GB"/>
        </w:rPr>
      </w:pPr>
      <w:r>
        <w:rPr>
          <w:noProof/>
          <w:szCs w:val="24"/>
          <w:lang w:eastAsia="en-GB"/>
        </w:rPr>
        <w:t>governance and public administration;</w:t>
      </w:r>
    </w:p>
    <w:p w:rsidR="003C18FB" w:rsidRDefault="00773466">
      <w:pPr>
        <w:pStyle w:val="ListParagraph"/>
        <w:numPr>
          <w:ilvl w:val="0"/>
          <w:numId w:val="18"/>
        </w:numPr>
        <w:spacing w:after="120"/>
        <w:rPr>
          <w:noProof/>
          <w:szCs w:val="24"/>
          <w:lang w:eastAsia="en-GB"/>
        </w:rPr>
      </w:pPr>
      <w:r>
        <w:rPr>
          <w:noProof/>
          <w:szCs w:val="24"/>
          <w:lang w:eastAsia="en-GB"/>
        </w:rPr>
        <w:t>growth and business environment (including energy and climate action);</w:t>
      </w:r>
    </w:p>
    <w:p w:rsidR="003C18FB" w:rsidRDefault="00773466">
      <w:pPr>
        <w:pStyle w:val="ListParagraph"/>
        <w:numPr>
          <w:ilvl w:val="0"/>
          <w:numId w:val="18"/>
        </w:numPr>
        <w:spacing w:after="120"/>
        <w:rPr>
          <w:noProof/>
          <w:lang w:eastAsia="en-GB"/>
        </w:rPr>
      </w:pPr>
      <w:r>
        <w:rPr>
          <w:noProof/>
          <w:szCs w:val="24"/>
          <w:lang w:eastAsia="en-GB"/>
        </w:rPr>
        <w:t xml:space="preserve">labour market, education, health and social issues; and </w:t>
      </w:r>
    </w:p>
    <w:p w:rsidR="003C18FB" w:rsidRDefault="00773466">
      <w:pPr>
        <w:pStyle w:val="ListParagraph"/>
        <w:numPr>
          <w:ilvl w:val="0"/>
          <w:numId w:val="18"/>
        </w:numPr>
        <w:spacing w:after="120"/>
        <w:rPr>
          <w:noProof/>
          <w:lang w:eastAsia="en-GB"/>
        </w:rPr>
      </w:pPr>
      <w:r>
        <w:rPr>
          <w:noProof/>
          <w:szCs w:val="24"/>
          <w:lang w:eastAsia="en-GB"/>
        </w:rPr>
        <w:t>financial sector and access to finance.</w:t>
      </w:r>
    </w:p>
    <w:p w:rsidR="003C18FB" w:rsidRDefault="003C18FB">
      <w:pPr>
        <w:pStyle w:val="ListParagraph"/>
        <w:spacing w:after="120"/>
        <w:rPr>
          <w:noProof/>
          <w:lang w:eastAsia="en-GB"/>
        </w:rPr>
      </w:pPr>
    </w:p>
    <w:p w:rsidR="003C18FB" w:rsidRDefault="00773466">
      <w:pPr>
        <w:pStyle w:val="Heading2"/>
        <w:rPr>
          <w:noProof/>
        </w:rPr>
      </w:pPr>
      <w:bookmarkStart w:id="16" w:name="_Toc526528390"/>
      <w:bookmarkStart w:id="17" w:name="_Toc22031541"/>
      <w:r>
        <w:rPr>
          <w:noProof/>
        </w:rPr>
        <w:t>European added value</w:t>
      </w:r>
      <w:bookmarkEnd w:id="16"/>
      <w:bookmarkEnd w:id="17"/>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should ensure that actions and activities selected for funding are likely to produce results that show a clear European ad</w:t>
      </w:r>
      <w:r>
        <w:rPr>
          <w:rFonts w:ascii="Times New Roman" w:eastAsia="Times New Roman" w:hAnsi="Times New Roman" w:cs="Times New Roman"/>
          <w:noProof/>
          <w:sz w:val="24"/>
          <w:szCs w:val="24"/>
          <w:lang w:eastAsia="en-GB"/>
        </w:rPr>
        <w:t>ded value</w:t>
      </w:r>
      <w:r>
        <w:rPr>
          <w:rStyle w:val="FootnoteReference"/>
          <w:rFonts w:ascii="Times New Roman" w:eastAsia="Times New Roman" w:hAnsi="Times New Roman" w:cs="Times New Roman"/>
          <w:noProof/>
          <w:sz w:val="24"/>
          <w:szCs w:val="24"/>
          <w:lang w:eastAsia="en-GB"/>
        </w:rPr>
        <w:footnoteReference w:id="13"/>
      </w:r>
      <w:r>
        <w:rPr>
          <w:rFonts w:ascii="Times New Roman" w:eastAsia="Times New Roman" w:hAnsi="Times New Roman" w:cs="Times New Roman"/>
          <w:noProof/>
          <w:sz w:val="24"/>
          <w:szCs w:val="24"/>
          <w:lang w:eastAsia="en-GB"/>
        </w:rPr>
        <w:t>.</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European added value is ensured in particular by: </w:t>
      </w:r>
    </w:p>
    <w:p w:rsidR="003C18FB" w:rsidRDefault="00773466">
      <w:pPr>
        <w:pStyle w:val="ListParagraph"/>
        <w:numPr>
          <w:ilvl w:val="0"/>
          <w:numId w:val="19"/>
        </w:numPr>
        <w:spacing w:after="120"/>
        <w:rPr>
          <w:noProof/>
          <w:szCs w:val="24"/>
          <w:lang w:eastAsia="en-GB"/>
        </w:rPr>
      </w:pPr>
      <w:r>
        <w:rPr>
          <w:noProof/>
          <w:szCs w:val="24"/>
          <w:lang w:eastAsia="en-GB"/>
        </w:rPr>
        <w:t>the development and implementation of solutions that address local, regional or national challenges that have an impact on cross-border or Union-wide challenges, and which may also contribute t</w:t>
      </w:r>
      <w:r>
        <w:rPr>
          <w:noProof/>
          <w:szCs w:val="24"/>
          <w:lang w:eastAsia="en-GB"/>
        </w:rPr>
        <w:t xml:space="preserve">o social, economic and territorial cohesion; </w:t>
      </w:r>
    </w:p>
    <w:p w:rsidR="003C18FB" w:rsidRDefault="00773466">
      <w:pPr>
        <w:pStyle w:val="ListParagraph"/>
        <w:numPr>
          <w:ilvl w:val="0"/>
          <w:numId w:val="19"/>
        </w:numPr>
        <w:spacing w:after="120"/>
        <w:rPr>
          <w:noProof/>
          <w:szCs w:val="24"/>
          <w:lang w:eastAsia="en-GB"/>
        </w:rPr>
      </w:pPr>
      <w:r>
        <w:rPr>
          <w:noProof/>
          <w:szCs w:val="24"/>
          <w:lang w:eastAsia="en-GB"/>
        </w:rPr>
        <w:t>their complementarity and synergy with other Union programmes and policies at regional, national, Union and international level, as appropriate;</w:t>
      </w:r>
    </w:p>
    <w:p w:rsidR="003C18FB" w:rsidRDefault="00773466">
      <w:pPr>
        <w:pStyle w:val="ListParagraph"/>
        <w:numPr>
          <w:ilvl w:val="0"/>
          <w:numId w:val="19"/>
        </w:numPr>
        <w:spacing w:after="120"/>
        <w:rPr>
          <w:noProof/>
          <w:szCs w:val="24"/>
          <w:lang w:eastAsia="en-GB"/>
        </w:rPr>
      </w:pPr>
      <w:r>
        <w:rPr>
          <w:noProof/>
          <w:szCs w:val="24"/>
          <w:lang w:eastAsia="en-GB"/>
        </w:rPr>
        <w:t xml:space="preserve">their contribution to the consistent and coherent implementation </w:t>
      </w:r>
      <w:r>
        <w:rPr>
          <w:noProof/>
          <w:szCs w:val="24"/>
          <w:lang w:eastAsia="en-GB"/>
        </w:rPr>
        <w:t xml:space="preserve">of Union law and policies, as well as the promotion of European values, including solidarity; </w:t>
      </w:r>
    </w:p>
    <w:p w:rsidR="003C18FB" w:rsidRDefault="00773466">
      <w:pPr>
        <w:pStyle w:val="ListParagraph"/>
        <w:numPr>
          <w:ilvl w:val="0"/>
          <w:numId w:val="19"/>
        </w:numPr>
        <w:spacing w:after="120"/>
        <w:rPr>
          <w:noProof/>
          <w:szCs w:val="24"/>
          <w:lang w:eastAsia="en-GB"/>
        </w:rPr>
      </w:pPr>
      <w:r>
        <w:rPr>
          <w:noProof/>
          <w:szCs w:val="24"/>
          <w:lang w:eastAsia="en-GB"/>
        </w:rPr>
        <w:t>their contribution to the sharing of good practices, also with a view to increasing the visibility of the reform programmes, and to building a Union-wide platfor</w:t>
      </w:r>
      <w:r>
        <w:rPr>
          <w:noProof/>
          <w:szCs w:val="24"/>
          <w:lang w:eastAsia="en-GB"/>
        </w:rPr>
        <w:t xml:space="preserve">m and network of expertise; and </w:t>
      </w:r>
    </w:p>
    <w:p w:rsidR="003C18FB" w:rsidRDefault="00773466">
      <w:pPr>
        <w:pStyle w:val="ListParagraph"/>
        <w:numPr>
          <w:ilvl w:val="0"/>
          <w:numId w:val="19"/>
        </w:numPr>
        <w:spacing w:after="120"/>
        <w:rPr>
          <w:noProof/>
          <w:szCs w:val="24"/>
          <w:lang w:eastAsia="en-GB"/>
        </w:rPr>
      </w:pPr>
      <w:r>
        <w:rPr>
          <w:noProof/>
          <w:szCs w:val="24"/>
          <w:lang w:eastAsia="en-GB"/>
        </w:rPr>
        <w:t>the promotion of mutual trust between beneficiary Member States and the Commission and of cooperation among Member States.</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pStyle w:val="Heading2"/>
        <w:rPr>
          <w:noProof/>
        </w:rPr>
      </w:pPr>
      <w:bookmarkStart w:id="18" w:name="_Toc526528391"/>
      <w:bookmarkStart w:id="19" w:name="_Toc22031542"/>
      <w:r>
        <w:rPr>
          <w:noProof/>
        </w:rPr>
        <w:t>Implementation of the programme and forms of support</w:t>
      </w:r>
      <w:bookmarkEnd w:id="18"/>
      <w:bookmarkEnd w:id="19"/>
      <w:r>
        <w:rPr>
          <w:noProof/>
        </w:rPr>
        <w:t xml:space="preserve">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support provided under the SRSP is tailor</w:t>
      </w:r>
      <w:r>
        <w:rPr>
          <w:rFonts w:ascii="Times New Roman" w:eastAsia="Times New Roman" w:hAnsi="Times New Roman" w:cs="Times New Roman"/>
          <w:noProof/>
          <w:sz w:val="24"/>
          <w:szCs w:val="24"/>
          <w:lang w:eastAsia="en-GB"/>
        </w:rPr>
        <w:t xml:space="preserve">ed to the country’s needs. Experts accompany national authorities throughout different stages of the reform process (scoping, prioritising, designing, road mapping, implementing, evaluating). The support depends on the nature of the reform, the urgency of </w:t>
      </w:r>
      <w:r>
        <w:rPr>
          <w:rFonts w:ascii="Times New Roman" w:eastAsia="Times New Roman" w:hAnsi="Times New Roman" w:cs="Times New Roman"/>
          <w:noProof/>
          <w:sz w:val="24"/>
          <w:szCs w:val="24"/>
          <w:lang w:eastAsia="en-GB"/>
        </w:rPr>
        <w:t xml:space="preserve">action, the resources available and the obligations deriving from the EU Financial Regulation.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concrete terms, the technical support can take the form of</w:t>
      </w:r>
      <w:r>
        <w:rPr>
          <w:rStyle w:val="FootnoteReference"/>
          <w:rFonts w:ascii="Times New Roman" w:eastAsia="Times New Roman" w:hAnsi="Times New Roman" w:cs="Times New Roman"/>
          <w:noProof/>
          <w:sz w:val="24"/>
          <w:szCs w:val="24"/>
          <w:lang w:eastAsia="en-GB"/>
        </w:rPr>
        <w:footnoteReference w:id="14"/>
      </w:r>
      <w:r>
        <w:rPr>
          <w:rFonts w:ascii="Times New Roman" w:eastAsia="Times New Roman" w:hAnsi="Times New Roman" w:cs="Times New Roman"/>
          <w:noProof/>
          <w:sz w:val="24"/>
          <w:szCs w:val="24"/>
          <w:lang w:eastAsia="en-GB"/>
        </w:rPr>
        <w:t>:</w:t>
      </w:r>
    </w:p>
    <w:p w:rsidR="003C18FB" w:rsidRDefault="00773466">
      <w:pPr>
        <w:pStyle w:val="ListParagraph"/>
        <w:numPr>
          <w:ilvl w:val="0"/>
          <w:numId w:val="9"/>
        </w:numPr>
        <w:spacing w:after="120"/>
        <w:rPr>
          <w:noProof/>
          <w:szCs w:val="24"/>
          <w:lang w:eastAsia="en-GB"/>
        </w:rPr>
      </w:pPr>
      <w:r>
        <w:rPr>
          <w:b/>
          <w:noProof/>
          <w:szCs w:val="24"/>
          <w:lang w:eastAsia="en-GB"/>
        </w:rPr>
        <w:t>long-term or short-term presence of experts,</w:t>
      </w:r>
      <w:r>
        <w:rPr>
          <w:noProof/>
          <w:szCs w:val="24"/>
          <w:lang w:eastAsia="en-GB"/>
        </w:rPr>
        <w:t xml:space="preserve"> and cooperation on the ground with the national au</w:t>
      </w:r>
      <w:r>
        <w:rPr>
          <w:noProof/>
          <w:szCs w:val="24"/>
          <w:lang w:eastAsia="en-GB"/>
        </w:rPr>
        <w:t>thorities throughout the reform process or at certain stages;</w:t>
      </w:r>
    </w:p>
    <w:p w:rsidR="003C18FB" w:rsidRDefault="00773466">
      <w:pPr>
        <w:pStyle w:val="ListParagraph"/>
        <w:numPr>
          <w:ilvl w:val="0"/>
          <w:numId w:val="9"/>
        </w:numPr>
        <w:spacing w:after="120"/>
        <w:rPr>
          <w:noProof/>
          <w:szCs w:val="24"/>
          <w:lang w:eastAsia="en-GB"/>
        </w:rPr>
      </w:pPr>
      <w:r>
        <w:rPr>
          <w:b/>
          <w:noProof/>
          <w:szCs w:val="24"/>
          <w:lang w:eastAsia="en-GB"/>
        </w:rPr>
        <w:t>actions to help address specific needs</w:t>
      </w:r>
      <w:r>
        <w:rPr>
          <w:noProof/>
          <w:szCs w:val="24"/>
          <w:lang w:eastAsia="en-GB"/>
        </w:rPr>
        <w:t xml:space="preserve"> – diagnostic analyses, recommendations on how to address the situation, a strategy, draft of a new law/act or modification of an existing one; proposals fo</w:t>
      </w:r>
      <w:r>
        <w:rPr>
          <w:noProof/>
          <w:szCs w:val="24"/>
          <w:lang w:eastAsia="en-GB"/>
        </w:rPr>
        <w:t xml:space="preserve">r (new) working and organisational procedures; and/or </w:t>
      </w:r>
    </w:p>
    <w:p w:rsidR="003C18FB" w:rsidRDefault="00773466">
      <w:pPr>
        <w:pStyle w:val="ListParagraph"/>
        <w:numPr>
          <w:ilvl w:val="0"/>
          <w:numId w:val="9"/>
        </w:numPr>
        <w:spacing w:after="120"/>
        <w:rPr>
          <w:noProof/>
          <w:szCs w:val="24"/>
          <w:lang w:eastAsia="en-GB"/>
        </w:rPr>
      </w:pPr>
      <w:r>
        <w:rPr>
          <w:b/>
          <w:noProof/>
          <w:szCs w:val="24"/>
          <w:lang w:eastAsia="en-GB"/>
        </w:rPr>
        <w:t>wider actions that increase administrative capacity</w:t>
      </w:r>
      <w:r>
        <w:rPr>
          <w:noProof/>
          <w:szCs w:val="24"/>
          <w:lang w:eastAsia="en-GB"/>
        </w:rPr>
        <w:t xml:space="preserve"> – seminars, training, working visits, development of methodologies, collection of data, establishment of benchmarks, etc.</w:t>
      </w:r>
      <w:r>
        <w:rPr>
          <w:b/>
          <w:noProof/>
          <w:szCs w:val="24"/>
          <w:u w:val="single"/>
          <w:lang w:eastAsia="en-GB"/>
        </w:rPr>
        <w:t xml:space="preserve"> </w:t>
      </w:r>
    </w:p>
    <w:p w:rsidR="003C18FB" w:rsidRDefault="003C18FB">
      <w:pPr>
        <w:pStyle w:val="ListParagraph"/>
        <w:spacing w:after="120"/>
        <w:rPr>
          <w:noProof/>
          <w:szCs w:val="24"/>
          <w:lang w:eastAsia="en-GB"/>
        </w:rPr>
      </w:pP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pStyle w:val="Heading2"/>
        <w:rPr>
          <w:noProof/>
        </w:rPr>
      </w:pPr>
      <w:bookmarkStart w:id="20" w:name="_Toc526528392"/>
      <w:bookmarkStart w:id="21" w:name="_Toc22031543"/>
      <w:r>
        <w:rPr>
          <w:noProof/>
        </w:rPr>
        <w:t>Data collection</w:t>
      </w:r>
      <w:bookmarkEnd w:id="20"/>
      <w:bookmarkEnd w:id="21"/>
      <w:r>
        <w:rPr>
          <w:noProof/>
        </w:rPr>
        <w:t xml:space="preserve">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All dat</w:t>
      </w:r>
      <w:r>
        <w:rPr>
          <w:rFonts w:ascii="Times New Roman" w:eastAsia="Times New Roman" w:hAnsi="Times New Roman" w:cs="Times New Roman"/>
          <w:noProof/>
          <w:sz w:val="24"/>
          <w:szCs w:val="24"/>
          <w:lang w:eastAsia="en-GB"/>
        </w:rPr>
        <w:t xml:space="preserve">a on the implementation of the SRSP is stored by the European Commission in an internal IT tool managed by the SRSS. The tool facilitates monitoring and reporting on the implementation of support projects managed by the SRSS. It has provided data for this </w:t>
      </w:r>
      <w:r>
        <w:rPr>
          <w:rFonts w:ascii="Times New Roman" w:eastAsia="Times New Roman" w:hAnsi="Times New Roman" w:cs="Times New Roman"/>
          <w:noProof/>
          <w:sz w:val="24"/>
          <w:szCs w:val="24"/>
          <w:lang w:eastAsia="en-GB"/>
        </w:rPr>
        <w:t>report.</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pStyle w:val="Heading1"/>
        <w:numPr>
          <w:ilvl w:val="0"/>
          <w:numId w:val="3"/>
        </w:numPr>
        <w:jc w:val="both"/>
        <w:rPr>
          <w:noProof/>
        </w:rPr>
      </w:pPr>
      <w:bookmarkStart w:id="22" w:name="_Toc486524620"/>
      <w:bookmarkStart w:id="23" w:name="_Toc526528393"/>
      <w:bookmarkStart w:id="24" w:name="_Toc22031544"/>
      <w:r>
        <w:rPr>
          <w:noProof/>
        </w:rPr>
        <w:t xml:space="preserve">Implementation </w:t>
      </w:r>
      <w:bookmarkEnd w:id="22"/>
      <w:r>
        <w:rPr>
          <w:noProof/>
        </w:rPr>
        <w:t xml:space="preserve">of support measures funded by the srsp </w:t>
      </w:r>
      <w:bookmarkEnd w:id="23"/>
      <w:r>
        <w:rPr>
          <w:noProof/>
        </w:rPr>
        <w:t>2018 budget</w:t>
      </w:r>
      <w:bookmarkEnd w:id="24"/>
    </w:p>
    <w:p w:rsidR="003C18FB" w:rsidRDefault="00773466">
      <w:pPr>
        <w:pStyle w:val="Heading2"/>
        <w:rPr>
          <w:noProof/>
        </w:rPr>
      </w:pPr>
      <w:bookmarkStart w:id="25" w:name="_Toc526528394"/>
      <w:bookmarkStart w:id="26" w:name="_Toc22031545"/>
      <w:r>
        <w:rPr>
          <w:noProof/>
        </w:rPr>
        <w:t>Introduction</w:t>
      </w:r>
      <w:bookmarkEnd w:id="25"/>
      <w:bookmarkEnd w:id="26"/>
      <w:r>
        <w:rPr>
          <w:noProof/>
        </w:rPr>
        <w:t xml:space="preserve">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2018 was the second year of activities under the SRSP</w:t>
      </w:r>
      <w:r>
        <w:rPr>
          <w:rStyle w:val="FootnoteReference"/>
          <w:rFonts w:ascii="Times New Roman" w:eastAsia="Times New Roman" w:hAnsi="Times New Roman" w:cs="Times New Roman"/>
          <w:noProof/>
          <w:sz w:val="24"/>
          <w:szCs w:val="24"/>
          <w:lang w:eastAsia="en-GB"/>
        </w:rPr>
        <w:footnoteReference w:id="15"/>
      </w:r>
      <w:r>
        <w:rPr>
          <w:rFonts w:ascii="Times New Roman" w:eastAsia="Times New Roman" w:hAnsi="Times New Roman" w:cs="Times New Roman"/>
          <w:noProof/>
          <w:sz w:val="24"/>
          <w:szCs w:val="24"/>
          <w:lang w:eastAsia="en-GB"/>
        </w:rPr>
        <w:t>. As indicated previously, the budget for support measures in 2018 amounted to €30.5 million, available to all EU</w:t>
      </w:r>
      <w:r>
        <w:rPr>
          <w:rFonts w:ascii="Times New Roman" w:eastAsia="Times New Roman" w:hAnsi="Times New Roman" w:cs="Times New Roman"/>
          <w:noProof/>
          <w:sz w:val="24"/>
          <w:szCs w:val="24"/>
          <w:lang w:eastAsia="en-GB"/>
        </w:rPr>
        <w:t xml:space="preserve"> Member States. An additional €21.5 million transferred by Greece and Bulgaria were used exclusively for these countries (corresponding to the amount of their contribution). On 7 March 2018, the Commission adopted the second annual work programme for the S</w:t>
      </w:r>
      <w:r>
        <w:rPr>
          <w:rFonts w:ascii="Times New Roman" w:eastAsia="Times New Roman" w:hAnsi="Times New Roman" w:cs="Times New Roman"/>
          <w:noProof/>
          <w:sz w:val="24"/>
          <w:szCs w:val="24"/>
          <w:lang w:eastAsia="en-GB"/>
        </w:rPr>
        <w:t>RSP</w:t>
      </w:r>
      <w:r>
        <w:rPr>
          <w:rFonts w:ascii="Times New Roman" w:eastAsia="Times New Roman" w:hAnsi="Times New Roman" w:cs="Times New Roman"/>
          <w:noProof/>
          <w:szCs w:val="24"/>
          <w:vertAlign w:val="superscript"/>
          <w:lang w:eastAsia="en-GB"/>
        </w:rPr>
        <w:footnoteReference w:id="16"/>
      </w:r>
      <w:r>
        <w:rPr>
          <w:rFonts w:ascii="Times New Roman" w:eastAsia="Times New Roman" w:hAnsi="Times New Roman" w:cs="Times New Roman"/>
          <w:noProof/>
          <w:sz w:val="24"/>
          <w:szCs w:val="24"/>
          <w:lang w:eastAsia="en-GB"/>
        </w:rPr>
        <w:t>, setting out priorities for the year, objectives, expected results and outlined actions to be implemented throughout 2018. The annual work programme for 2018 was sent to the European Parliament and the Council on 4 May 2018</w:t>
      </w:r>
      <w:r>
        <w:rPr>
          <w:rStyle w:val="FootnoteReference"/>
          <w:rFonts w:ascii="Times New Roman" w:eastAsia="Times New Roman" w:hAnsi="Times New Roman" w:cs="Times New Roman"/>
          <w:noProof/>
          <w:sz w:val="24"/>
          <w:szCs w:val="24"/>
          <w:lang w:eastAsia="en-GB"/>
        </w:rPr>
        <w:footnoteReference w:id="17"/>
      </w:r>
      <w:r>
        <w:rPr>
          <w:rFonts w:ascii="Times New Roman" w:eastAsia="Times New Roman" w:hAnsi="Times New Roman" w:cs="Times New Roman"/>
          <w:noProof/>
          <w:sz w:val="24"/>
          <w:szCs w:val="24"/>
          <w:lang w:eastAsia="en-GB"/>
        </w:rPr>
        <w:t xml:space="preserve">. The focus of this report </w:t>
      </w:r>
      <w:r>
        <w:rPr>
          <w:rFonts w:ascii="Times New Roman" w:eastAsia="Times New Roman" w:hAnsi="Times New Roman" w:cs="Times New Roman"/>
          <w:noProof/>
          <w:sz w:val="24"/>
          <w:szCs w:val="24"/>
          <w:lang w:eastAsia="en-GB"/>
        </w:rPr>
        <w:t>is the support measures selected for funding in 2018, and it also covers the implementation of support measures selected in 2017</w:t>
      </w:r>
      <w:r>
        <w:rPr>
          <w:rStyle w:val="FootnoteReference"/>
          <w:rFonts w:ascii="Times New Roman" w:eastAsia="Times New Roman" w:hAnsi="Times New Roman" w:cs="Times New Roman"/>
          <w:noProof/>
          <w:sz w:val="24"/>
          <w:szCs w:val="24"/>
          <w:lang w:eastAsia="en-GB"/>
        </w:rPr>
        <w:footnoteReference w:id="18"/>
      </w:r>
      <w:r>
        <w:rPr>
          <w:rFonts w:ascii="Times New Roman" w:eastAsia="Times New Roman" w:hAnsi="Times New Roman" w:cs="Times New Roman"/>
          <w:noProof/>
          <w:sz w:val="24"/>
          <w:szCs w:val="24"/>
          <w:lang w:eastAsia="en-GB"/>
        </w:rPr>
        <w:t>.</w:t>
      </w:r>
    </w:p>
    <w:p w:rsidR="003C18FB" w:rsidRDefault="003C18FB">
      <w:pPr>
        <w:pStyle w:val="Heading2"/>
        <w:numPr>
          <w:ilvl w:val="0"/>
          <w:numId w:val="0"/>
        </w:numPr>
        <w:ind w:left="480"/>
        <w:rPr>
          <w:noProof/>
        </w:rPr>
      </w:pPr>
    </w:p>
    <w:p w:rsidR="003C18FB" w:rsidRDefault="00773466">
      <w:pPr>
        <w:pStyle w:val="Heading2"/>
        <w:rPr>
          <w:noProof/>
        </w:rPr>
      </w:pPr>
      <w:bookmarkStart w:id="27" w:name="_Toc526528395"/>
      <w:bookmarkStart w:id="28" w:name="_Toc22031546"/>
      <w:r>
        <w:rPr>
          <w:noProof/>
        </w:rPr>
        <w:t>Requests for support submitted by the Member States</w:t>
      </w:r>
      <w:bookmarkEnd w:id="27"/>
      <w:bookmarkEnd w:id="28"/>
    </w:p>
    <w:p w:rsidR="003C18FB" w:rsidRDefault="00773466">
      <w:pPr>
        <w:spacing w:after="120" w:line="240" w:lineRule="auto"/>
        <w:jc w:val="both"/>
        <w:rPr>
          <w:rFonts w:ascii="Times New Roman" w:eastAsia="Times New Roman" w:hAnsi="Times New Roman" w:cs="Times New Roman"/>
          <w:noProof/>
          <w:sz w:val="24"/>
          <w:szCs w:val="24"/>
          <w:lang w:eastAsia="en-GB"/>
        </w:rPr>
      </w:pPr>
      <w:bookmarkStart w:id="29" w:name="_Toc519623466"/>
      <w:bookmarkStart w:id="30" w:name="_Toc519724459"/>
      <w:r>
        <w:rPr>
          <w:rFonts w:ascii="Times New Roman" w:eastAsia="Times New Roman" w:hAnsi="Times New Roman" w:cs="Times New Roman"/>
          <w:noProof/>
          <w:sz w:val="24"/>
          <w:szCs w:val="24"/>
          <w:lang w:eastAsia="en-GB"/>
        </w:rPr>
        <w:t>Member States were invited to submit their requests for support by 31 Oc</w:t>
      </w:r>
      <w:r>
        <w:rPr>
          <w:rFonts w:ascii="Times New Roman" w:eastAsia="Times New Roman" w:hAnsi="Times New Roman" w:cs="Times New Roman"/>
          <w:noProof/>
          <w:sz w:val="24"/>
          <w:szCs w:val="24"/>
          <w:lang w:eastAsia="en-GB"/>
        </w:rPr>
        <w:t>tober 2017</w:t>
      </w:r>
      <w:r>
        <w:rPr>
          <w:rStyle w:val="FootnoteReference"/>
          <w:rFonts w:ascii="Times New Roman" w:eastAsia="Times New Roman" w:hAnsi="Times New Roman" w:cs="Times New Roman"/>
          <w:noProof/>
          <w:sz w:val="24"/>
          <w:szCs w:val="24"/>
          <w:lang w:eastAsia="en-GB"/>
        </w:rPr>
        <w:footnoteReference w:id="19"/>
      </w:r>
      <w:r>
        <w:rPr>
          <w:rFonts w:ascii="Times New Roman" w:eastAsia="Times New Roman" w:hAnsi="Times New Roman" w:cs="Times New Roman"/>
          <w:noProof/>
          <w:sz w:val="24"/>
          <w:szCs w:val="24"/>
          <w:lang w:eastAsia="en-GB"/>
        </w:rPr>
        <w:t xml:space="preserve">, and provide information on the following elements: </w:t>
      </w:r>
    </w:p>
    <w:p w:rsidR="003C18FB" w:rsidRDefault="00773466">
      <w:pPr>
        <w:pStyle w:val="ListParagraph"/>
        <w:numPr>
          <w:ilvl w:val="0"/>
          <w:numId w:val="20"/>
        </w:numPr>
        <w:spacing w:after="120"/>
        <w:rPr>
          <w:noProof/>
          <w:szCs w:val="24"/>
          <w:lang w:eastAsia="en-GB"/>
        </w:rPr>
      </w:pPr>
      <w:r>
        <w:rPr>
          <w:noProof/>
          <w:szCs w:val="24"/>
          <w:lang w:eastAsia="en-GB"/>
        </w:rPr>
        <w:t xml:space="preserve">problem/need to be addressed by the requested support measures; </w:t>
      </w:r>
    </w:p>
    <w:p w:rsidR="003C18FB" w:rsidRDefault="00773466">
      <w:pPr>
        <w:pStyle w:val="ListParagraph"/>
        <w:numPr>
          <w:ilvl w:val="0"/>
          <w:numId w:val="20"/>
        </w:numPr>
        <w:spacing w:after="120"/>
        <w:rPr>
          <w:noProof/>
          <w:szCs w:val="24"/>
          <w:lang w:eastAsia="en-GB"/>
        </w:rPr>
      </w:pPr>
      <w:r>
        <w:rPr>
          <w:noProof/>
          <w:szCs w:val="24"/>
          <w:lang w:eastAsia="en-GB"/>
        </w:rPr>
        <w:t xml:space="preserve">the breadth of the problems identified (impact on other areas in the economy); </w:t>
      </w:r>
    </w:p>
    <w:p w:rsidR="003C18FB" w:rsidRDefault="00773466">
      <w:pPr>
        <w:pStyle w:val="ListParagraph"/>
        <w:numPr>
          <w:ilvl w:val="0"/>
          <w:numId w:val="20"/>
        </w:numPr>
        <w:spacing w:after="120"/>
        <w:rPr>
          <w:noProof/>
          <w:szCs w:val="24"/>
          <w:lang w:eastAsia="en-GB"/>
        </w:rPr>
      </w:pPr>
      <w:r>
        <w:rPr>
          <w:noProof/>
          <w:szCs w:val="24"/>
          <w:lang w:eastAsia="en-GB"/>
        </w:rPr>
        <w:t>and depth of the problems identified (severity</w:t>
      </w:r>
      <w:r>
        <w:rPr>
          <w:noProof/>
          <w:szCs w:val="24"/>
          <w:lang w:eastAsia="en-GB"/>
        </w:rPr>
        <w:t xml:space="preserve">); </w:t>
      </w:r>
    </w:p>
    <w:p w:rsidR="003C18FB" w:rsidRDefault="00773466">
      <w:pPr>
        <w:pStyle w:val="ListParagraph"/>
        <w:numPr>
          <w:ilvl w:val="0"/>
          <w:numId w:val="20"/>
        </w:numPr>
        <w:spacing w:after="120"/>
        <w:rPr>
          <w:noProof/>
          <w:szCs w:val="24"/>
          <w:lang w:eastAsia="en-GB"/>
        </w:rPr>
      </w:pPr>
      <w:r>
        <w:rPr>
          <w:noProof/>
          <w:szCs w:val="24"/>
          <w:lang w:eastAsia="en-GB"/>
        </w:rPr>
        <w:t xml:space="preserve">the urgency of the request for support; </w:t>
      </w:r>
    </w:p>
    <w:p w:rsidR="003C18FB" w:rsidRDefault="00773466">
      <w:pPr>
        <w:pStyle w:val="ListParagraph"/>
        <w:numPr>
          <w:ilvl w:val="0"/>
          <w:numId w:val="20"/>
        </w:numPr>
        <w:spacing w:after="120"/>
        <w:rPr>
          <w:noProof/>
          <w:szCs w:val="24"/>
          <w:lang w:eastAsia="en-GB"/>
        </w:rPr>
      </w:pPr>
      <w:r>
        <w:rPr>
          <w:noProof/>
          <w:szCs w:val="24"/>
          <w:lang w:eastAsia="en-GB"/>
        </w:rPr>
        <w:t xml:space="preserve">relevant socio-economic indicators to be taken into consideration when analysing the request, the indicative duration and estimated cost; </w:t>
      </w:r>
    </w:p>
    <w:p w:rsidR="003C18FB" w:rsidRDefault="00773466">
      <w:pPr>
        <w:pStyle w:val="ListParagraph"/>
        <w:numPr>
          <w:ilvl w:val="0"/>
          <w:numId w:val="20"/>
        </w:numPr>
        <w:spacing w:after="120"/>
        <w:rPr>
          <w:noProof/>
          <w:szCs w:val="24"/>
          <w:lang w:eastAsia="en-GB"/>
        </w:rPr>
      </w:pPr>
      <w:r>
        <w:rPr>
          <w:noProof/>
          <w:szCs w:val="24"/>
          <w:lang w:eastAsia="en-GB"/>
        </w:rPr>
        <w:t xml:space="preserve">expected results/use of the results of the support measures requested; </w:t>
      </w:r>
    </w:p>
    <w:p w:rsidR="003C18FB" w:rsidRDefault="00773466">
      <w:pPr>
        <w:pStyle w:val="ListParagraph"/>
        <w:numPr>
          <w:ilvl w:val="0"/>
          <w:numId w:val="20"/>
        </w:numPr>
        <w:spacing w:after="120"/>
        <w:rPr>
          <w:noProof/>
          <w:szCs w:val="24"/>
          <w:lang w:eastAsia="en-GB"/>
        </w:rPr>
      </w:pPr>
      <w:r>
        <w:rPr>
          <w:noProof/>
          <w:szCs w:val="24"/>
          <w:lang w:eastAsia="en-GB"/>
        </w:rPr>
        <w:t>information on the administrative capacity of the Member State to implement the results of the support measures and potential providers.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their request for support, Member States also identified the relevant circumstances</w:t>
      </w:r>
      <w:r>
        <w:rPr>
          <w:rStyle w:val="FootnoteReference"/>
          <w:rFonts w:ascii="Times New Roman" w:eastAsia="Times New Roman" w:hAnsi="Times New Roman" w:cs="Times New Roman"/>
          <w:noProof/>
          <w:sz w:val="24"/>
          <w:szCs w:val="24"/>
          <w:lang w:eastAsia="en-GB"/>
        </w:rPr>
        <w:footnoteReference w:id="20"/>
      </w:r>
      <w:r>
        <w:rPr>
          <w:rFonts w:ascii="Times New Roman" w:eastAsia="Times New Roman" w:hAnsi="Times New Roman" w:cs="Times New Roman"/>
          <w:noProof/>
          <w:sz w:val="24"/>
          <w:szCs w:val="24"/>
          <w:lang w:eastAsia="en-GB"/>
        </w:rPr>
        <w:t xml:space="preserve"> under which they were submittin</w:t>
      </w:r>
      <w:r>
        <w:rPr>
          <w:rFonts w:ascii="Times New Roman" w:eastAsia="Times New Roman" w:hAnsi="Times New Roman" w:cs="Times New Roman"/>
          <w:noProof/>
          <w:sz w:val="24"/>
          <w:szCs w:val="24"/>
          <w:lang w:eastAsia="en-GB"/>
        </w:rPr>
        <w:t xml:space="preserve">g the requests: </w:t>
      </w:r>
    </w:p>
    <w:p w:rsidR="003C18FB" w:rsidRDefault="00773466">
      <w:pPr>
        <w:pStyle w:val="ListParagraph"/>
        <w:numPr>
          <w:ilvl w:val="0"/>
          <w:numId w:val="21"/>
        </w:numPr>
        <w:spacing w:after="120"/>
        <w:rPr>
          <w:noProof/>
          <w:szCs w:val="24"/>
          <w:lang w:eastAsia="en-GB"/>
        </w:rPr>
      </w:pPr>
      <w:r>
        <w:rPr>
          <w:noProof/>
          <w:szCs w:val="24"/>
          <w:lang w:eastAsia="en-GB"/>
        </w:rPr>
        <w:t xml:space="preserve">the implementation of reforms undertaken by Member States at their own initiative, in particular to achieve sustainable economic growth and job creation; </w:t>
      </w:r>
    </w:p>
    <w:p w:rsidR="003C18FB" w:rsidRDefault="00773466">
      <w:pPr>
        <w:pStyle w:val="ListParagraph"/>
        <w:numPr>
          <w:ilvl w:val="0"/>
          <w:numId w:val="21"/>
        </w:numPr>
        <w:spacing w:after="120"/>
        <w:rPr>
          <w:noProof/>
          <w:szCs w:val="24"/>
          <w:lang w:eastAsia="en-GB"/>
        </w:rPr>
      </w:pPr>
      <w:r>
        <w:rPr>
          <w:noProof/>
          <w:szCs w:val="24"/>
          <w:lang w:eastAsia="en-GB"/>
        </w:rPr>
        <w:t>the implementation of economic adjustment programmes (for Member States that receive</w:t>
      </w:r>
      <w:r>
        <w:rPr>
          <w:noProof/>
          <w:szCs w:val="24"/>
          <w:lang w:eastAsia="en-GB"/>
        </w:rPr>
        <w:t xml:space="preserve"> Union financial assistance); and </w:t>
      </w:r>
    </w:p>
    <w:p w:rsidR="003C18FB" w:rsidRDefault="00773466">
      <w:pPr>
        <w:pStyle w:val="ListParagraph"/>
        <w:numPr>
          <w:ilvl w:val="0"/>
          <w:numId w:val="21"/>
        </w:numPr>
        <w:spacing w:after="120"/>
        <w:rPr>
          <w:noProof/>
          <w:szCs w:val="24"/>
          <w:lang w:eastAsia="en-GB"/>
        </w:rPr>
      </w:pPr>
      <w:r>
        <w:rPr>
          <w:noProof/>
          <w:szCs w:val="24"/>
          <w:lang w:eastAsia="en-GB"/>
        </w:rPr>
        <w:t>the implementation of growth-sustaining reforms in the context of economic governance processes, in particular of European Semester country-specific recommendations, or of actions related to the implementation of Union la</w:t>
      </w:r>
      <w:r>
        <w:rPr>
          <w:noProof/>
          <w:szCs w:val="24"/>
          <w:lang w:eastAsia="en-GB"/>
        </w:rPr>
        <w:t xml:space="preserve">w.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requests for support from interested Member States were submitted centrally by designated coordinating authorities</w:t>
      </w:r>
      <w:r>
        <w:rPr>
          <w:rFonts w:ascii="Times New Roman" w:eastAsia="Times New Roman" w:hAnsi="Times New Roman" w:cs="Times New Roman"/>
          <w:noProof/>
          <w:szCs w:val="24"/>
          <w:vertAlign w:val="superscript"/>
          <w:lang w:eastAsia="en-GB"/>
        </w:rPr>
        <w:footnoteReference w:id="21"/>
      </w:r>
      <w:r>
        <w:rPr>
          <w:rFonts w:ascii="Times New Roman" w:eastAsia="Times New Roman" w:hAnsi="Times New Roman" w:cs="Times New Roman"/>
          <w:noProof/>
          <w:sz w:val="24"/>
          <w:szCs w:val="24"/>
          <w:lang w:eastAsia="en-GB"/>
        </w:rPr>
        <w:t xml:space="preserve">, i.e. authorities responsible for submitting requests on behalf of a Member State.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Each coordinating authority was invited to prior</w:t>
      </w:r>
      <w:r>
        <w:rPr>
          <w:rFonts w:ascii="Times New Roman" w:eastAsia="Times New Roman" w:hAnsi="Times New Roman" w:cs="Times New Roman"/>
          <w:noProof/>
          <w:sz w:val="24"/>
          <w:szCs w:val="24"/>
          <w:lang w:eastAsia="en-GB"/>
        </w:rPr>
        <w:t>itise requests for its Member State. The requests for support could come from the national authorities of the Member States, i.e. authorities at central, regional or local level, or independent authorities.</w:t>
      </w:r>
    </w:p>
    <w:p w:rsidR="003C18FB" w:rsidRDefault="00773466">
      <w:pPr>
        <w:spacing w:after="12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noProof/>
          <w:sz w:val="24"/>
          <w:szCs w:val="24"/>
          <w:lang w:eastAsia="en-GB"/>
        </w:rPr>
        <w:t xml:space="preserve">Once the requests for support were selected, the </w:t>
      </w:r>
      <w:r>
        <w:rPr>
          <w:rFonts w:ascii="Times New Roman" w:eastAsia="Times New Roman" w:hAnsi="Times New Roman" w:cs="Times New Roman"/>
          <w:noProof/>
          <w:sz w:val="24"/>
          <w:szCs w:val="24"/>
          <w:lang w:eastAsia="en-GB"/>
        </w:rPr>
        <w:t>Commission then concluded a cooperation and support plan with the coordinating authority of each beneficiary Member State (see section 3.5).</w:t>
      </w:r>
    </w:p>
    <w:p w:rsidR="003C18FB" w:rsidRDefault="003C18FB">
      <w:pPr>
        <w:rPr>
          <w:rFonts w:ascii="Times New Roman" w:eastAsia="Times New Roman" w:hAnsi="Times New Roman" w:cs="Times New Roman"/>
          <w:b/>
          <w:noProof/>
          <w:sz w:val="24"/>
          <w:szCs w:val="24"/>
          <w:lang w:eastAsia="en-GB"/>
        </w:rPr>
      </w:pPr>
    </w:p>
    <w:p w:rsidR="003C18FB" w:rsidRDefault="00773466">
      <w:pPr>
        <w:pBdr>
          <w:top w:val="single" w:sz="4" w:space="1" w:color="auto"/>
          <w:left w:val="single" w:sz="4" w:space="4" w:color="auto"/>
          <w:bottom w:val="single" w:sz="4" w:space="1" w:color="auto"/>
          <w:right w:val="single" w:sz="4" w:space="4" w:color="auto"/>
        </w:pBdr>
        <w:spacing w:after="12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Coordinating authorities</w:t>
      </w:r>
    </w:p>
    <w:p w:rsidR="003C18FB" w:rsidRDefault="00773466">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To ensure proper coordination and efficient communication between the Commission and the </w:t>
      </w:r>
      <w:r>
        <w:rPr>
          <w:rFonts w:ascii="Times New Roman" w:eastAsia="Times New Roman" w:hAnsi="Times New Roman" w:cs="Times New Roman"/>
          <w:noProof/>
          <w:sz w:val="24"/>
          <w:szCs w:val="24"/>
          <w:lang w:eastAsia="en-GB"/>
        </w:rPr>
        <w:t>Member States, Member States designate a coordinating authority to act as the interlocutor of the SRSS for the overall implementation of the country’s cooperation and support plan. The coordinating authorities are responsible at national level for coordina</w:t>
      </w:r>
      <w:r>
        <w:rPr>
          <w:rFonts w:ascii="Times New Roman" w:eastAsia="Times New Roman" w:hAnsi="Times New Roman" w:cs="Times New Roman"/>
          <w:noProof/>
          <w:sz w:val="24"/>
          <w:szCs w:val="24"/>
          <w:lang w:eastAsia="en-GB"/>
        </w:rPr>
        <w:t xml:space="preserve">ting and prioritising the requests for support submitted by the Member State, and for coordinating the effective implementation of the measures envisaged and the achievement of the objectives set out in their cooperation and support plan. The coordinating </w:t>
      </w:r>
      <w:r>
        <w:rPr>
          <w:rFonts w:ascii="Times New Roman" w:eastAsia="Times New Roman" w:hAnsi="Times New Roman" w:cs="Times New Roman"/>
          <w:noProof/>
          <w:sz w:val="24"/>
          <w:szCs w:val="24"/>
          <w:lang w:eastAsia="en-GB"/>
        </w:rPr>
        <w:t>authority is also encouraged to initiate corrective actions if needed.</w:t>
      </w:r>
    </w:p>
    <w:p w:rsidR="003C18FB" w:rsidRDefault="003C18FB">
      <w:pPr>
        <w:spacing w:after="120" w:line="240" w:lineRule="auto"/>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the 2018 selection round, </w:t>
      </w:r>
      <w:r>
        <w:rPr>
          <w:rFonts w:ascii="Times New Roman" w:eastAsia="Times New Roman" w:hAnsi="Times New Roman" w:cs="Times New Roman"/>
          <w:b/>
          <w:noProof/>
          <w:sz w:val="24"/>
          <w:szCs w:val="24"/>
          <w:lang w:eastAsia="en-GB"/>
        </w:rPr>
        <w:t>444 requests for support were submitted by 24 Member States</w:t>
      </w:r>
      <w:r>
        <w:rPr>
          <w:rFonts w:ascii="Times New Roman" w:eastAsia="Times New Roman" w:hAnsi="Times New Roman" w:cs="Times New Roman"/>
          <w:noProof/>
          <w:sz w:val="24"/>
          <w:szCs w:val="24"/>
          <w:lang w:eastAsia="en-GB"/>
        </w:rPr>
        <w:t xml:space="preserve"> for an </w:t>
      </w:r>
      <w:r>
        <w:rPr>
          <w:rFonts w:ascii="Times New Roman" w:eastAsia="Times New Roman" w:hAnsi="Times New Roman" w:cs="Times New Roman"/>
          <w:b/>
          <w:noProof/>
          <w:sz w:val="24"/>
          <w:szCs w:val="24"/>
          <w:lang w:eastAsia="en-GB"/>
        </w:rPr>
        <w:t>estimated amount</w:t>
      </w:r>
      <w:r>
        <w:rPr>
          <w:rFonts w:ascii="Times New Roman" w:eastAsia="Times New Roman" w:hAnsi="Times New Roman" w:cs="Times New Roman"/>
          <w:b/>
          <w:noProof/>
          <w:szCs w:val="24"/>
          <w:vertAlign w:val="superscript"/>
          <w:lang w:eastAsia="en-GB"/>
        </w:rPr>
        <w:footnoteReference w:id="22"/>
      </w:r>
      <w:r>
        <w:rPr>
          <w:rFonts w:ascii="Times New Roman" w:eastAsia="Times New Roman" w:hAnsi="Times New Roman" w:cs="Times New Roman"/>
          <w:b/>
          <w:noProof/>
          <w:sz w:val="24"/>
          <w:szCs w:val="24"/>
          <w:lang w:eastAsia="en-GB"/>
        </w:rPr>
        <w:t xml:space="preserve"> that was 5 times the available 2018 SRSP budget</w:t>
      </w:r>
      <w:r>
        <w:rPr>
          <w:rFonts w:ascii="Times New Roman" w:eastAsia="Times New Roman" w:hAnsi="Times New Roman" w:cs="Times New Roman"/>
          <w:noProof/>
          <w:sz w:val="24"/>
          <w:szCs w:val="24"/>
          <w:lang w:eastAsia="en-GB"/>
        </w:rPr>
        <w:t xml:space="preserve"> (€152 million; the bu</w:t>
      </w:r>
      <w:r>
        <w:rPr>
          <w:rFonts w:ascii="Times New Roman" w:eastAsia="Times New Roman" w:hAnsi="Times New Roman" w:cs="Times New Roman"/>
          <w:noProof/>
          <w:sz w:val="24"/>
          <w:szCs w:val="24"/>
          <w:lang w:eastAsia="en-GB"/>
        </w:rPr>
        <w:t>dget is €30.5 million). The chart below shows the number of requests submitted per Member State, and a comparison with the previous round.</w:t>
      </w:r>
    </w:p>
    <w:p w:rsidR="003C18FB" w:rsidRDefault="00773466">
      <w:pPr>
        <w:keepNext/>
        <w:spacing w:after="120" w:line="240" w:lineRule="auto"/>
        <w:jc w:val="both"/>
        <w:rPr>
          <w:noProof/>
        </w:rPr>
      </w:pPr>
      <w:r>
        <w:rPr>
          <w:noProof/>
          <w:lang w:eastAsia="en-GB"/>
        </w:rPr>
        <w:drawing>
          <wp:inline distT="0" distB="0" distL="0" distR="0">
            <wp:extent cx="5758180" cy="2879090"/>
            <wp:effectExtent l="0" t="0" r="13970" b="1651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w:t>
      </w:r>
      <w:r>
        <w:rPr>
          <w:rFonts w:ascii="Times New Roman" w:hAnsi="Times New Roman" w:cs="Times New Roman"/>
          <w:noProof/>
          <w:color w:val="auto"/>
        </w:rPr>
        <w:fldChar w:fldCharType="end"/>
      </w:r>
      <w:r>
        <w:rPr>
          <w:rFonts w:ascii="Times New Roman" w:hAnsi="Times New Roman" w:cs="Times New Roman"/>
          <w:noProof/>
          <w:color w:val="auto"/>
        </w:rPr>
        <w:t>: Number of requests submitted for funding under the SRSP 2017 and 2018 rounds, pe</w:t>
      </w:r>
      <w:r>
        <w:rPr>
          <w:rFonts w:ascii="Times New Roman" w:hAnsi="Times New Roman" w:cs="Times New Roman"/>
          <w:noProof/>
          <w:color w:val="auto"/>
        </w:rPr>
        <w:t>r Member State</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 Member States participated in the Programme in 2018 than under the 2017 SRSP, and the total number of requests was higher.</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Greece submitted 48 requests</w:t>
      </w:r>
      <w:r>
        <w:rPr>
          <w:rStyle w:val="FootnoteReference"/>
          <w:rFonts w:ascii="Times New Roman" w:eastAsia="Times New Roman" w:hAnsi="Times New Roman" w:cs="Times New Roman"/>
          <w:noProof/>
          <w:sz w:val="24"/>
          <w:szCs w:val="24"/>
          <w:lang w:eastAsia="en-GB"/>
        </w:rPr>
        <w:footnoteReference w:id="23"/>
      </w:r>
      <w:r>
        <w:rPr>
          <w:rFonts w:ascii="Times New Roman" w:eastAsia="Times New Roman" w:hAnsi="Times New Roman" w:cs="Times New Roman"/>
          <w:noProof/>
          <w:sz w:val="24"/>
          <w:szCs w:val="24"/>
          <w:lang w:eastAsia="en-GB"/>
        </w:rPr>
        <w:t xml:space="preserve"> (for €20 million) and Bulgaria submitted 4 requests (for €1.5 million) for financing under the respective amounts transferred voluntarily to the SRSP by the two countries under Article 11 of the SRSP Regulation.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distribution of requests across the m</w:t>
      </w:r>
      <w:r>
        <w:rPr>
          <w:rFonts w:ascii="Times New Roman" w:eastAsia="Times New Roman" w:hAnsi="Times New Roman" w:cs="Times New Roman"/>
          <w:noProof/>
          <w:sz w:val="24"/>
          <w:szCs w:val="24"/>
          <w:lang w:eastAsia="en-GB"/>
        </w:rPr>
        <w:t>ain broad policy areas was as follows:</w:t>
      </w:r>
    </w:p>
    <w:p w:rsidR="003C18FB" w:rsidRDefault="00773466">
      <w:pPr>
        <w:keepNext/>
        <w:spacing w:after="120" w:line="240" w:lineRule="auto"/>
        <w:jc w:val="both"/>
        <w:rPr>
          <w:noProof/>
        </w:rPr>
      </w:pPr>
      <w:r>
        <w:rPr>
          <w:noProof/>
          <w:lang w:eastAsia="en-GB"/>
        </w:rPr>
        <w:t xml:space="preserve"> </w:t>
      </w:r>
      <w:r>
        <w:rPr>
          <w:noProof/>
          <w:lang w:eastAsia="en-GB"/>
        </w:rPr>
        <w:drawing>
          <wp:inline distT="0" distB="0" distL="0" distR="0">
            <wp:extent cx="4371778" cy="2351314"/>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314" cy="2366662"/>
                    </a:xfrm>
                    <a:prstGeom prst="rect">
                      <a:avLst/>
                    </a:prstGeom>
                    <a:noFill/>
                  </pic:spPr>
                </pic:pic>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2</w:t>
      </w:r>
      <w:r>
        <w:rPr>
          <w:rFonts w:ascii="Times New Roman" w:hAnsi="Times New Roman" w:cs="Times New Roman"/>
          <w:noProof/>
          <w:color w:val="auto"/>
        </w:rPr>
        <w:fldChar w:fldCharType="end"/>
      </w:r>
      <w:r>
        <w:rPr>
          <w:rFonts w:ascii="Times New Roman" w:hAnsi="Times New Roman" w:cs="Times New Roman"/>
          <w:noProof/>
          <w:color w:val="auto"/>
        </w:rPr>
        <w:t>: Number of requests submitted by Member States under the 2018 SRSP – split per main broad policy area (in percentages)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comparison, the highest number of requests submitted under</w:t>
      </w:r>
      <w:r>
        <w:rPr>
          <w:rFonts w:ascii="Times New Roman" w:eastAsia="Times New Roman" w:hAnsi="Times New Roman" w:cs="Times New Roman"/>
          <w:noProof/>
          <w:sz w:val="24"/>
          <w:szCs w:val="24"/>
          <w:lang w:eastAsia="en-GB"/>
        </w:rPr>
        <w:t xml:space="preserve"> the 2017 SRSP were in labour market, education, health and social services (27%) and growth and business environment (23%).</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Distribution per policy area was similar for Greece and Bulgaria under the voluntarily transferred funds: 38% in growth and busines</w:t>
      </w:r>
      <w:r>
        <w:rPr>
          <w:rFonts w:ascii="Times New Roman" w:eastAsia="Times New Roman" w:hAnsi="Times New Roman" w:cs="Times New Roman"/>
          <w:noProof/>
          <w:sz w:val="24"/>
          <w:szCs w:val="24"/>
          <w:lang w:eastAsia="en-GB"/>
        </w:rPr>
        <w:t xml:space="preserve">s environment, 23% in governance and public administration, 21% in labour market, education, health and social services, 9% in revenue administration and public financial management and 9% in the financial sector.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Around a third of the requests submitted </w:t>
      </w:r>
      <w:r>
        <w:rPr>
          <w:rFonts w:ascii="Times New Roman" w:eastAsia="Times New Roman" w:hAnsi="Times New Roman" w:cs="Times New Roman"/>
          <w:noProof/>
          <w:sz w:val="24"/>
          <w:szCs w:val="24"/>
          <w:lang w:eastAsia="en-GB"/>
        </w:rPr>
        <w:t>by the Member States in the context of the 2018 SRSP round related to the EU economic governance process (implementation of reforms in response to challenges identified in the European Semester Country-Specific Recommendations or in relevant European Semes</w:t>
      </w:r>
      <w:r>
        <w:rPr>
          <w:rFonts w:ascii="Times New Roman" w:eastAsia="Times New Roman" w:hAnsi="Times New Roman" w:cs="Times New Roman"/>
          <w:noProof/>
          <w:sz w:val="24"/>
          <w:szCs w:val="24"/>
          <w:lang w:eastAsia="en-GB"/>
        </w:rPr>
        <w:t>ter documents). Around a third concerned support for implementing Union priorities (capital markets union, energy union, etc.), around a third for implementing Member States’ own reform priorities, and the remaining requests for implementing EU law (e.g. i</w:t>
      </w:r>
      <w:r>
        <w:rPr>
          <w:rFonts w:ascii="Times New Roman" w:eastAsia="Times New Roman" w:hAnsi="Times New Roman" w:cs="Times New Roman"/>
          <w:noProof/>
          <w:sz w:val="24"/>
          <w:szCs w:val="24"/>
          <w:lang w:eastAsia="en-GB"/>
        </w:rPr>
        <w:t xml:space="preserve">n relation to infringements) and reform priorities identified in the economic adjustment programmes (Greece only). </w:t>
      </w:r>
    </w:p>
    <w:p w:rsidR="003C18FB" w:rsidRDefault="00773466">
      <w:pPr>
        <w:spacing w:after="120" w:line="240" w:lineRule="auto"/>
        <w:jc w:val="both"/>
        <w:rPr>
          <w:noProof/>
        </w:rPr>
      </w:pPr>
      <w:r>
        <w:rPr>
          <w:rFonts w:ascii="Times New Roman" w:eastAsia="Times New Roman" w:hAnsi="Times New Roman" w:cs="Times New Roman"/>
          <w:noProof/>
          <w:sz w:val="24"/>
          <w:szCs w:val="24"/>
          <w:lang w:eastAsia="en-GB"/>
        </w:rPr>
        <w:t>The chart below shows the distribution by category</w:t>
      </w:r>
      <w:r>
        <w:rPr>
          <w:rStyle w:val="FootnoteReference"/>
          <w:rFonts w:ascii="Times New Roman" w:eastAsia="Times New Roman" w:hAnsi="Times New Roman" w:cs="Times New Roman"/>
          <w:noProof/>
          <w:sz w:val="24"/>
          <w:szCs w:val="24"/>
          <w:lang w:eastAsia="en-GB"/>
        </w:rPr>
        <w:footnoteReference w:id="24"/>
      </w:r>
      <w:r>
        <w:rPr>
          <w:rFonts w:ascii="Times New Roman" w:eastAsia="Times New Roman" w:hAnsi="Times New Roman" w:cs="Times New Roman"/>
          <w:noProof/>
          <w:sz w:val="24"/>
          <w:szCs w:val="24"/>
          <w:lang w:eastAsia="en-GB"/>
        </w:rPr>
        <w:t>.</w:t>
      </w:r>
    </w:p>
    <w:p w:rsidR="003C18FB" w:rsidRDefault="00773466">
      <w:pPr>
        <w:pStyle w:val="Caption"/>
        <w:jc w:val="both"/>
        <w:rPr>
          <w:rFonts w:ascii="Times New Roman" w:eastAsia="Times New Roman" w:hAnsi="Times New Roman" w:cs="Times New Roman"/>
          <w:noProof/>
          <w:color w:val="auto"/>
          <w:sz w:val="24"/>
          <w:szCs w:val="24"/>
          <w:lang w:eastAsia="en-GB"/>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3</w:t>
      </w:r>
      <w:r>
        <w:rPr>
          <w:rFonts w:ascii="Times New Roman" w:hAnsi="Times New Roman" w:cs="Times New Roman"/>
          <w:noProof/>
          <w:color w:val="auto"/>
        </w:rPr>
        <w:fldChar w:fldCharType="end"/>
      </w:r>
      <w:r>
        <w:rPr>
          <w:rFonts w:ascii="Times New Roman" w:hAnsi="Times New Roman" w:cs="Times New Roman"/>
          <w:noProof/>
          <w:color w:val="auto"/>
        </w:rPr>
        <w:t xml:space="preserve">: Number of requests submitted by Member States – </w:t>
      </w:r>
      <w:r>
        <w:rPr>
          <w:rFonts w:ascii="Times New Roman" w:hAnsi="Times New Roman" w:cs="Times New Roman"/>
          <w:noProof/>
          <w:color w:val="auto"/>
        </w:rPr>
        <w:t>split according to circumstances</w:t>
      </w:r>
    </w:p>
    <w:p w:rsidR="003C18FB" w:rsidRDefault="00773466">
      <w:pPr>
        <w:spacing w:after="240" w:line="240" w:lineRule="auto"/>
        <w:jc w:val="both"/>
        <w:rPr>
          <w:noProof/>
        </w:rPr>
      </w:pPr>
      <w:r>
        <w:rPr>
          <w:noProof/>
          <w:lang w:eastAsia="en-GB"/>
        </w:rPr>
        <w:drawing>
          <wp:anchor distT="0" distB="0" distL="114300" distR="114300" simplePos="0" relativeHeight="251674624" behindDoc="0" locked="0" layoutInCell="1" allowOverlap="1">
            <wp:simplePos x="0" y="0"/>
            <wp:positionH relativeFrom="column">
              <wp:posOffset>439766</wp:posOffset>
            </wp:positionH>
            <wp:positionV relativeFrom="paragraph">
              <wp:posOffset>-56515</wp:posOffset>
            </wp:positionV>
            <wp:extent cx="4202430" cy="2413000"/>
            <wp:effectExtent l="0" t="0" r="7620" b="6350"/>
            <wp:wrapTopAndBottom/>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2430" cy="2413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t>Under the 2017 SRSP round, the majority of the requests concerned challenges related to the EU economic governance process (38%) and Union priorities (28%).</w:t>
      </w:r>
    </w:p>
    <w:p w:rsidR="003C18FB" w:rsidRDefault="003C18FB">
      <w:pPr>
        <w:rPr>
          <w:noProof/>
        </w:rPr>
      </w:pPr>
    </w:p>
    <w:p w:rsidR="003C18FB" w:rsidRDefault="00773466">
      <w:pPr>
        <w:pStyle w:val="Heading2"/>
        <w:rPr>
          <w:noProof/>
        </w:rPr>
      </w:pPr>
      <w:bookmarkStart w:id="31" w:name="_Toc526528396"/>
      <w:bookmarkStart w:id="32" w:name="_Toc22031547"/>
      <w:bookmarkEnd w:id="29"/>
      <w:bookmarkEnd w:id="30"/>
      <w:r>
        <w:rPr>
          <w:noProof/>
        </w:rPr>
        <w:t>Application of the assessment criteria</w:t>
      </w:r>
      <w:bookmarkEnd w:id="31"/>
      <w:bookmarkEnd w:id="32"/>
    </w:p>
    <w:p w:rsidR="003C18FB" w:rsidRDefault="00773466">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Commission’s assessme</w:t>
      </w:r>
      <w:r>
        <w:rPr>
          <w:rFonts w:ascii="Times New Roman" w:eastAsia="Times New Roman" w:hAnsi="Times New Roman" w:cs="Times New Roman"/>
          <w:noProof/>
          <w:sz w:val="24"/>
          <w:szCs w:val="24"/>
          <w:lang w:eastAsia="en-GB"/>
        </w:rPr>
        <w:t>nt was based on two sets of elements</w:t>
      </w:r>
      <w:r>
        <w:rPr>
          <w:rStyle w:val="FootnoteReference"/>
          <w:rFonts w:ascii="Times New Roman" w:eastAsia="Times New Roman" w:hAnsi="Times New Roman" w:cs="Times New Roman"/>
          <w:noProof/>
          <w:sz w:val="24"/>
          <w:szCs w:val="24"/>
          <w:lang w:eastAsia="en-GB"/>
        </w:rPr>
        <w:footnoteReference w:id="25"/>
      </w:r>
      <w:r>
        <w:rPr>
          <w:rFonts w:ascii="Times New Roman" w:eastAsia="Times New Roman" w:hAnsi="Times New Roman" w:cs="Times New Roman"/>
          <w:noProof/>
          <w:sz w:val="24"/>
          <w:szCs w:val="24"/>
          <w:lang w:eastAsia="en-GB"/>
        </w:rPr>
        <w:t xml:space="preserve">: </w:t>
      </w:r>
    </w:p>
    <w:p w:rsidR="003C18FB" w:rsidRDefault="003C18FB">
      <w:pPr>
        <w:spacing w:after="0" w:line="240" w:lineRule="auto"/>
        <w:jc w:val="both"/>
        <w:rPr>
          <w:rFonts w:ascii="Times New Roman" w:eastAsia="Times New Roman" w:hAnsi="Times New Roman" w:cs="Times New Roman"/>
          <w:noProof/>
          <w:sz w:val="24"/>
          <w:szCs w:val="24"/>
          <w:lang w:eastAsia="en-GB"/>
        </w:rPr>
      </w:pPr>
    </w:p>
    <w:p w:rsidR="003C18FB" w:rsidRDefault="00773466">
      <w:pPr>
        <w:pStyle w:val="ListParagraph"/>
        <w:numPr>
          <w:ilvl w:val="0"/>
          <w:numId w:val="4"/>
        </w:numPr>
        <w:spacing w:after="0"/>
        <w:rPr>
          <w:noProof/>
          <w:szCs w:val="24"/>
          <w:lang w:eastAsia="en-GB"/>
        </w:rPr>
      </w:pPr>
      <w:r>
        <w:rPr>
          <w:b/>
          <w:noProof/>
          <w:szCs w:val="24"/>
          <w:lang w:eastAsia="en-GB"/>
        </w:rPr>
        <w:t>general principles</w:t>
      </w:r>
      <w:r>
        <w:rPr>
          <w:noProof/>
          <w:szCs w:val="24"/>
          <w:lang w:eastAsia="en-GB"/>
        </w:rPr>
        <w:t xml:space="preserve">: transparency, equal treatment and sound financial management; and </w:t>
      </w:r>
    </w:p>
    <w:p w:rsidR="003C18FB" w:rsidRDefault="00773466">
      <w:pPr>
        <w:pStyle w:val="ListParagraph"/>
        <w:numPr>
          <w:ilvl w:val="0"/>
          <w:numId w:val="4"/>
        </w:numPr>
        <w:spacing w:after="120"/>
        <w:rPr>
          <w:noProof/>
          <w:szCs w:val="24"/>
          <w:lang w:eastAsia="en-GB"/>
        </w:rPr>
      </w:pPr>
      <w:r>
        <w:rPr>
          <w:b/>
          <w:noProof/>
          <w:szCs w:val="24"/>
          <w:lang w:eastAsia="en-GB"/>
        </w:rPr>
        <w:t>criteria for the analysis of requests</w:t>
      </w:r>
      <w:r>
        <w:rPr>
          <w:noProof/>
          <w:szCs w:val="24"/>
          <w:lang w:eastAsia="en-GB"/>
        </w:rPr>
        <w:t xml:space="preserve">: urgency, breadth and depth of the problems, support needs in the policy areas concerned, analysis of socio-economic indicators and general administrative capacity of the Member State. </w:t>
      </w:r>
    </w:p>
    <w:p w:rsidR="003C18FB" w:rsidRDefault="00773466">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analysed the requests for support submitted by the Mem</w:t>
      </w:r>
      <w:r>
        <w:rPr>
          <w:rFonts w:ascii="Times New Roman" w:eastAsia="Times New Roman" w:hAnsi="Times New Roman" w:cs="Times New Roman"/>
          <w:noProof/>
          <w:sz w:val="24"/>
          <w:szCs w:val="24"/>
          <w:lang w:eastAsia="en-GB"/>
        </w:rPr>
        <w:t xml:space="preserve">ber States in terms of their </w:t>
      </w:r>
      <w:r>
        <w:rPr>
          <w:rFonts w:ascii="Times New Roman" w:eastAsia="Times New Roman" w:hAnsi="Times New Roman"/>
          <w:b/>
          <w:noProof/>
          <w:sz w:val="24"/>
          <w:lang w:eastAsia="en-GB"/>
        </w:rPr>
        <w:t>eligibility</w:t>
      </w:r>
      <w:r>
        <w:rPr>
          <w:rFonts w:ascii="Times New Roman" w:eastAsia="Times New Roman" w:hAnsi="Times New Roman" w:cs="Times New Roman"/>
          <w:noProof/>
          <w:sz w:val="24"/>
          <w:szCs w:val="24"/>
          <w:lang w:eastAsia="en-GB"/>
        </w:rPr>
        <w:t xml:space="preserve"> and </w:t>
      </w:r>
      <w:r>
        <w:rPr>
          <w:rFonts w:ascii="Times New Roman" w:eastAsia="Times New Roman" w:hAnsi="Times New Roman" w:cs="Times New Roman"/>
          <w:b/>
          <w:noProof/>
          <w:sz w:val="24"/>
          <w:szCs w:val="24"/>
          <w:lang w:eastAsia="en-GB"/>
        </w:rPr>
        <w:t>compliance</w:t>
      </w:r>
      <w:r>
        <w:rPr>
          <w:rFonts w:ascii="Times New Roman" w:eastAsia="Times New Roman" w:hAnsi="Times New Roman" w:cs="Times New Roman"/>
          <w:noProof/>
          <w:sz w:val="24"/>
          <w:szCs w:val="24"/>
          <w:lang w:eastAsia="en-GB"/>
        </w:rPr>
        <w:t xml:space="preserve"> with these principles and criteria. </w:t>
      </w:r>
    </w:p>
    <w:p w:rsidR="003C18FB" w:rsidRDefault="00773466">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practical two-step approach was undertaken: </w:t>
      </w:r>
    </w:p>
    <w:p w:rsidR="003C18FB" w:rsidRDefault="00773466">
      <w:pPr>
        <w:pStyle w:val="ListParagraph"/>
        <w:numPr>
          <w:ilvl w:val="0"/>
          <w:numId w:val="22"/>
        </w:numPr>
        <w:rPr>
          <w:noProof/>
          <w:szCs w:val="24"/>
          <w:lang w:eastAsia="en-GB"/>
        </w:rPr>
      </w:pPr>
      <w:r>
        <w:rPr>
          <w:b/>
          <w:noProof/>
          <w:szCs w:val="24"/>
          <w:lang w:eastAsia="en-GB"/>
        </w:rPr>
        <w:t>screening for eligibility and analysis of requests</w:t>
      </w:r>
      <w:r>
        <w:rPr>
          <w:noProof/>
          <w:szCs w:val="24"/>
          <w:lang w:eastAsia="en-GB"/>
        </w:rPr>
        <w:t xml:space="preserve">; and </w:t>
      </w:r>
    </w:p>
    <w:p w:rsidR="003C18FB" w:rsidRDefault="00773466">
      <w:pPr>
        <w:pStyle w:val="ListParagraph"/>
        <w:numPr>
          <w:ilvl w:val="0"/>
          <w:numId w:val="22"/>
        </w:numPr>
        <w:rPr>
          <w:noProof/>
          <w:szCs w:val="24"/>
          <w:lang w:eastAsia="en-GB"/>
        </w:rPr>
      </w:pPr>
      <w:r>
        <w:rPr>
          <w:b/>
          <w:noProof/>
          <w:szCs w:val="24"/>
          <w:lang w:eastAsia="en-GB"/>
        </w:rPr>
        <w:t>prioritisation of requests for selection</w:t>
      </w:r>
      <w:r>
        <w:rPr>
          <w:noProof/>
          <w:szCs w:val="24"/>
          <w:lang w:eastAsia="en-GB"/>
        </w:rPr>
        <w:t xml:space="preserve">. </w:t>
      </w:r>
    </w:p>
    <w:p w:rsidR="003C18FB" w:rsidRDefault="00773466">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part of the a</w:t>
      </w:r>
      <w:r>
        <w:rPr>
          <w:rFonts w:ascii="Times New Roman" w:eastAsia="Times New Roman" w:hAnsi="Times New Roman" w:cs="Times New Roman"/>
          <w:noProof/>
          <w:sz w:val="24"/>
          <w:szCs w:val="24"/>
          <w:lang w:eastAsia="en-GB"/>
        </w:rPr>
        <w:t>ssessment, the Commission undertook a broad internal consultation with all relevant Commission services in order to ensure complementarity and to avoid having the same actions funded by several Union funds/programmes (in particular the ESI Funds). The proc</w:t>
      </w:r>
      <w:r>
        <w:rPr>
          <w:rFonts w:ascii="Times New Roman" w:eastAsia="Times New Roman" w:hAnsi="Times New Roman" w:cs="Times New Roman"/>
          <w:noProof/>
          <w:sz w:val="24"/>
          <w:szCs w:val="24"/>
          <w:lang w:eastAsia="en-GB"/>
        </w:rPr>
        <w:t>ess (including the broad consultation with other Commission services which fed into the assessment) resulted in the steps described below:</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832263</wp:posOffset>
                </wp:positionH>
                <wp:positionV relativeFrom="paragraph">
                  <wp:posOffset>381310</wp:posOffset>
                </wp:positionV>
                <wp:extent cx="842645" cy="243220"/>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43220"/>
                        </a:xfrm>
                        <a:prstGeom prst="rect">
                          <a:avLst/>
                        </a:prstGeom>
                        <a:solidFill>
                          <a:srgbClr val="FFFFFF"/>
                        </a:solidFill>
                        <a:ln w="9525">
                          <a:noFill/>
                          <a:miter lim="800000"/>
                          <a:headEnd/>
                          <a:tailEnd/>
                        </a:ln>
                      </wps:spPr>
                      <wps:txbx>
                        <w:txbxContent>
                          <w:p w:rsidR="003C18FB" w:rsidRDefault="00773466">
                            <w:pPr>
                              <w:rPr>
                                <w:rFonts w:ascii="Times New Roman" w:hAnsi="Times New Roman" w:cs="Times New Roman"/>
                                <w:sz w:val="18"/>
                              </w:rPr>
                            </w:pPr>
                            <w:r>
                              <w:rPr>
                                <w:rFonts w:ascii="Times New Roman" w:hAnsi="Times New Roman" w:cs="Times New Roman"/>
                                <w:b/>
                                <w:sz w:val="18"/>
                              </w:rPr>
                              <w:t>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55pt;margin-top:30pt;width:66.35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WIHwIAABw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" stroked="f">
                <v:textbox>
                  <w:txbxContent>
                    <w:p w:rsidR="003C18FB" w:rsidRDefault="00773466">
                      <w:pPr>
                        <w:rPr>
                          <w:rFonts w:ascii="Times New Roman" w:hAnsi="Times New Roman" w:cs="Times New Roman"/>
                          <w:sz w:val="18"/>
                        </w:rPr>
                      </w:pPr>
                      <w:r>
                        <w:rPr>
                          <w:rFonts w:ascii="Times New Roman" w:hAnsi="Times New Roman" w:cs="Times New Roman"/>
                          <w:b/>
                          <w:sz w:val="18"/>
                        </w:rPr>
                        <w:t>Consultation</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2142380</wp:posOffset>
                </wp:positionH>
                <wp:positionV relativeFrom="paragraph">
                  <wp:posOffset>218826</wp:posOffset>
                </wp:positionV>
                <wp:extent cx="930302" cy="349719"/>
                <wp:effectExtent l="0" t="0" r="22225" b="12700"/>
                <wp:wrapNone/>
                <wp:docPr id="288" name="Curved Down Arrow 288"/>
                <wp:cNvGraphicFramePr/>
                <a:graphic xmlns:a="http://schemas.openxmlformats.org/drawingml/2006/main">
                  <a:graphicData uri="http://schemas.microsoft.com/office/word/2010/wordprocessingShape">
                    <wps:wsp>
                      <wps:cNvSpPr/>
                      <wps:spPr>
                        <a:xfrm>
                          <a:off x="0" y="0"/>
                          <a:ext cx="930302" cy="349719"/>
                        </a:xfrm>
                        <a:prstGeom prst="curvedDownArrow">
                          <a:avLst>
                            <a:gd name="adj1" fmla="val 25000"/>
                            <a:gd name="adj2" fmla="val 5459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7DE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88" o:spid="_x0000_s1026" type="#_x0000_t105" style="position:absolute;margin-left:168.7pt;margin-top:17.25pt;width:73.25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" adj="17167,20398,16200" fillcolor="#4f81bd [3204]" strokecolor="#243f60 [1604]" strokeweight="2p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1743710</wp:posOffset>
                </wp:positionH>
                <wp:positionV relativeFrom="paragraph">
                  <wp:posOffset>217805</wp:posOffset>
                </wp:positionV>
                <wp:extent cx="540385" cy="349250"/>
                <wp:effectExtent l="0" t="0" r="12065" b="12700"/>
                <wp:wrapNone/>
                <wp:docPr id="30" name="Curved Down Arrow 30"/>
                <wp:cNvGraphicFramePr/>
                <a:graphic xmlns:a="http://schemas.openxmlformats.org/drawingml/2006/main">
                  <a:graphicData uri="http://schemas.microsoft.com/office/word/2010/wordprocessingShape">
                    <wps:wsp>
                      <wps:cNvSpPr/>
                      <wps:spPr>
                        <a:xfrm>
                          <a:off x="0" y="0"/>
                          <a:ext cx="540385" cy="349250"/>
                        </a:xfrm>
                        <a:prstGeom prst="curvedDownArrow">
                          <a:avLst>
                            <a:gd name="adj1" fmla="val 25000"/>
                            <a:gd name="adj2" fmla="val 5459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D375" id="Curved Down Arrow 30" o:spid="_x0000_s1026" type="#_x0000_t105" style="position:absolute;margin-left:137.3pt;margin-top:17.15pt;width:42.5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" adj="13979,19535,16200" fillcolor="#4f81bd [3204]" strokecolor="#243f60 [1604]" strokeweight="2p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1743075</wp:posOffset>
                </wp:positionH>
                <wp:positionV relativeFrom="paragraph">
                  <wp:posOffset>121285</wp:posOffset>
                </wp:positionV>
                <wp:extent cx="2750820" cy="445135"/>
                <wp:effectExtent l="0" t="0" r="0" b="12065"/>
                <wp:wrapNone/>
                <wp:docPr id="31" name="Curved Down Arrow 31"/>
                <wp:cNvGraphicFramePr/>
                <a:graphic xmlns:a="http://schemas.openxmlformats.org/drawingml/2006/main">
                  <a:graphicData uri="http://schemas.microsoft.com/office/word/2010/wordprocessingShape">
                    <wps:wsp>
                      <wps:cNvSpPr/>
                      <wps:spPr>
                        <a:xfrm>
                          <a:off x="0" y="0"/>
                          <a:ext cx="2750820" cy="445135"/>
                        </a:xfrm>
                        <a:prstGeom prst="curvedDownArrow">
                          <a:avLst>
                            <a:gd name="adj1" fmla="val 25000"/>
                            <a:gd name="adj2" fmla="val 5459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649C" id="Curved Down Arrow 31" o:spid="_x0000_s1026" type="#_x0000_t105" style="position:absolute;margin-left:137.25pt;margin-top:9.55pt;width:216.6pt;height:3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" adj="19692,21083,16200" fillcolor="#4f81bd [3204]" strokecolor="#243f60 [1604]" strokeweight="2p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3357852</wp:posOffset>
                </wp:positionH>
                <wp:positionV relativeFrom="paragraph">
                  <wp:posOffset>1132205</wp:posOffset>
                </wp:positionV>
                <wp:extent cx="922351" cy="326501"/>
                <wp:effectExtent l="0" t="0" r="11430" b="16510"/>
                <wp:wrapNone/>
                <wp:docPr id="29" name="Curved Down Arrow 29"/>
                <wp:cNvGraphicFramePr/>
                <a:graphic xmlns:a="http://schemas.openxmlformats.org/drawingml/2006/main">
                  <a:graphicData uri="http://schemas.microsoft.com/office/word/2010/wordprocessingShape">
                    <wps:wsp>
                      <wps:cNvSpPr/>
                      <wps:spPr>
                        <a:xfrm flipV="1">
                          <a:off x="0" y="0"/>
                          <a:ext cx="922351" cy="3265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A4BA09" id="Curved Down Arrow 29" o:spid="_x0000_s1026" type="#_x0000_t105" style="position:absolute;margin-left:264.4pt;margin-top:89.15pt;width:72.65pt;height:25.7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" adj="17777,20644,16200" fillcolor="#4f81bd [3204]" strokecolor="#243f60 [1604]" strokeweight="2p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2094148</wp:posOffset>
                </wp:positionH>
                <wp:positionV relativeFrom="paragraph">
                  <wp:posOffset>1132454</wp:posOffset>
                </wp:positionV>
                <wp:extent cx="922351" cy="326501"/>
                <wp:effectExtent l="0" t="0" r="11430" b="16510"/>
                <wp:wrapNone/>
                <wp:docPr id="28" name="Curved Down Arrow 28"/>
                <wp:cNvGraphicFramePr/>
                <a:graphic xmlns:a="http://schemas.openxmlformats.org/drawingml/2006/main">
                  <a:graphicData uri="http://schemas.microsoft.com/office/word/2010/wordprocessingShape">
                    <wps:wsp>
                      <wps:cNvSpPr/>
                      <wps:spPr>
                        <a:xfrm flipV="1">
                          <a:off x="0" y="0"/>
                          <a:ext cx="922351" cy="3265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0A9C24" id="Curved Down Arrow 28" o:spid="_x0000_s1026" type="#_x0000_t105" style="position:absolute;margin-left:164.9pt;margin-top:89.15pt;width:72.65pt;height:25.7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" adj="17777,20644,16200" fillcolor="#4f81bd [3204]" strokecolor="#243f60 [1604]" strokeweight="2p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1903730</wp:posOffset>
                </wp:positionH>
                <wp:positionV relativeFrom="paragraph">
                  <wp:posOffset>337820</wp:posOffset>
                </wp:positionV>
                <wp:extent cx="0" cy="286247"/>
                <wp:effectExtent l="57150" t="19050" r="76200" b="76200"/>
                <wp:wrapNone/>
                <wp:docPr id="25" name="Straight Connector 25"/>
                <wp:cNvGraphicFramePr/>
                <a:graphic xmlns:a="http://schemas.openxmlformats.org/drawingml/2006/main">
                  <a:graphicData uri="http://schemas.microsoft.com/office/word/2010/wordprocessingShape">
                    <wps:wsp>
                      <wps:cNvCnPr/>
                      <wps:spPr>
                        <a:xfrm flipV="1">
                          <a:off x="0" y="0"/>
                          <a:ext cx="0" cy="2862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F1B715D" id="Straight Connector 2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49.9pt,26.6pt" to="149.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" strokecolor="black [3200]" strokeweight="2pt">
                <v:shadow on="t" color="black" opacity="24903f" origin=",.5" offset="0,.55556mm"/>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742950</wp:posOffset>
                </wp:positionH>
                <wp:positionV relativeFrom="paragraph">
                  <wp:posOffset>338096</wp:posOffset>
                </wp:positionV>
                <wp:extent cx="1160890" cy="0"/>
                <wp:effectExtent l="38100" t="38100" r="58420" b="95250"/>
                <wp:wrapNone/>
                <wp:docPr id="24" name="Straight Connector 24"/>
                <wp:cNvGraphicFramePr/>
                <a:graphic xmlns:a="http://schemas.openxmlformats.org/drawingml/2006/main">
                  <a:graphicData uri="http://schemas.microsoft.com/office/word/2010/wordprocessingShape">
                    <wps:wsp>
                      <wps:cNvCnPr/>
                      <wps:spPr>
                        <a:xfrm flipH="1">
                          <a:off x="0" y="0"/>
                          <a:ext cx="11608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E8D38" id="Straight Connector 2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6.6pt" to="149.9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" strokecolor="black [3200]" strokeweight="2pt">
                <v:shadow on="t" color="black" opacity="24903f" origin=",.5" offset="0,.55556mm"/>
              </v:lin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338096</wp:posOffset>
                </wp:positionV>
                <wp:extent cx="0" cy="286247"/>
                <wp:effectExtent l="57150" t="19050" r="76200" b="76200"/>
                <wp:wrapNone/>
                <wp:docPr id="23" name="Straight Connector 23"/>
                <wp:cNvGraphicFramePr/>
                <a:graphic xmlns:a="http://schemas.openxmlformats.org/drawingml/2006/main">
                  <a:graphicData uri="http://schemas.microsoft.com/office/word/2010/wordprocessingShape">
                    <wps:wsp>
                      <wps:cNvCnPr/>
                      <wps:spPr>
                        <a:xfrm flipV="1">
                          <a:off x="0" y="0"/>
                          <a:ext cx="0" cy="2862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291987" id="Straight Connector 2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8.5pt,26.6pt" to="58.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" strokecolor="black [3200]" strokeweight="2pt">
                <v:shadow on="t" color="black" opacity="24903f" origin=",.5" offset="0,.55556mm"/>
              </v:line>
            </w:pict>
          </mc:Fallback>
        </mc:AlternateContent>
      </w:r>
      <w:r>
        <w:rPr>
          <w:rFonts w:ascii="Times New Roman" w:eastAsia="Times New Roman" w:hAnsi="Times New Roman" w:cs="Times New Roman"/>
          <w:noProof/>
          <w:sz w:val="24"/>
          <w:szCs w:val="24"/>
          <w:lang w:eastAsia="en-GB"/>
        </w:rPr>
        <w:drawing>
          <wp:inline distT="0" distB="0" distL="0" distR="0">
            <wp:extent cx="5231958" cy="1733384"/>
            <wp:effectExtent l="0" t="0" r="4508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C18FB" w:rsidRDefault="00773466">
      <w:pPr>
        <w:pStyle w:val="Heading3"/>
        <w:rPr>
          <w:noProof/>
        </w:rPr>
      </w:pPr>
      <w:bookmarkStart w:id="33" w:name="_Toc526528397"/>
      <w:bookmarkStart w:id="34" w:name="_Toc22031548"/>
      <w:r>
        <w:rPr>
          <w:noProof/>
        </w:rPr>
        <w:t>Step 1 – screening and analysis of the requests for support</w:t>
      </w:r>
      <w:bookmarkEnd w:id="33"/>
      <w:bookmarkEnd w:id="34"/>
    </w:p>
    <w:p w:rsidR="003C18FB" w:rsidRDefault="00773466">
      <w:pPr>
        <w:spacing w:after="120" w:line="240" w:lineRule="auto"/>
        <w:jc w:val="both"/>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Screening</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Prior to assessing the requests submitted under the SRSP 2018 round, the Commission first established whether the requests met the legal requirements of the SRSP Regulation (eligibility check). Requests which included elements that were not ‘eligible actio</w:t>
      </w:r>
      <w:r>
        <w:rPr>
          <w:rFonts w:ascii="Times New Roman" w:eastAsia="Times New Roman" w:hAnsi="Times New Roman" w:cs="Times New Roman"/>
          <w:noProof/>
          <w:sz w:val="24"/>
          <w:szCs w:val="24"/>
          <w:lang w:eastAsia="en-GB"/>
        </w:rPr>
        <w:t xml:space="preserve">ns’ under the SRSP Regulation (see Article 6) such as the purchase of equipment, provision of IT software, budget support measures, measures consisting of paying for running costs, etc., were excluded from further assessment. </w:t>
      </w:r>
    </w:p>
    <w:p w:rsidR="003C18FB" w:rsidRDefault="00773466">
      <w:pPr>
        <w:spacing w:after="120" w:line="240" w:lineRule="auto"/>
        <w:jc w:val="both"/>
        <w:rPr>
          <w:rFonts w:ascii="Times New Roman" w:hAnsi="Times New Roman" w:cs="Times New Roman"/>
          <w:b/>
          <w:bCs/>
          <w:noProof/>
          <w:sz w:val="18"/>
          <w:szCs w:val="18"/>
        </w:rPr>
      </w:pPr>
      <w:r>
        <w:rPr>
          <w:rFonts w:ascii="Times New Roman" w:eastAsia="Times New Roman" w:hAnsi="Times New Roman" w:cs="Times New Roman"/>
          <w:noProof/>
          <w:sz w:val="24"/>
          <w:szCs w:val="24"/>
          <w:lang w:eastAsia="en-GB"/>
        </w:rPr>
        <w:t>As a result of the first scre</w:t>
      </w:r>
      <w:r>
        <w:rPr>
          <w:rFonts w:ascii="Times New Roman" w:eastAsia="Times New Roman" w:hAnsi="Times New Roman" w:cs="Times New Roman"/>
          <w:noProof/>
          <w:sz w:val="24"/>
          <w:szCs w:val="24"/>
          <w:lang w:eastAsia="en-GB"/>
        </w:rPr>
        <w:t xml:space="preserve">ening, 6% (28 requests) were excluded, and 94% (416 requests) proceeded to further analysis (eligible requests). </w:t>
      </w:r>
    </w:p>
    <w:p w:rsidR="003C18FB" w:rsidRDefault="003C18FB">
      <w:pPr>
        <w:spacing w:after="120" w:line="240" w:lineRule="auto"/>
        <w:jc w:val="both"/>
        <w:rPr>
          <w:rFonts w:ascii="Times New Roman" w:eastAsia="Times New Roman" w:hAnsi="Times New Roman" w:cs="Times New Roman"/>
          <w:b/>
          <w:noProof/>
          <w:sz w:val="24"/>
          <w:szCs w:val="24"/>
          <w:u w:val="single"/>
          <w:lang w:eastAsia="en-GB"/>
        </w:rPr>
      </w:pPr>
    </w:p>
    <w:p w:rsidR="003C18FB" w:rsidRDefault="00773466">
      <w:pPr>
        <w:spacing w:after="120" w:line="240" w:lineRule="auto"/>
        <w:jc w:val="both"/>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Analysis of the requests for support</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Following the exclusion of </w:t>
      </w:r>
      <w:r>
        <w:rPr>
          <w:rFonts w:ascii="Times New Roman" w:eastAsia="Times New Roman" w:hAnsi="Times New Roman"/>
          <w:noProof/>
          <w:sz w:val="24"/>
          <w:lang w:eastAsia="en-GB"/>
        </w:rPr>
        <w:t>ineligible</w:t>
      </w:r>
      <w:r>
        <w:rPr>
          <w:rFonts w:ascii="Times New Roman" w:eastAsia="Times New Roman" w:hAnsi="Times New Roman" w:cs="Times New Roman"/>
          <w:noProof/>
          <w:sz w:val="24"/>
          <w:szCs w:val="24"/>
          <w:lang w:eastAsia="en-GB"/>
        </w:rPr>
        <w:t xml:space="preserve"> and withdrawn requests, the purpose of the analysis was to identify the requests that merited support under the SRSP. The analysis was based on the principles and criteria set out in Article 7(2) of the SRSP Regulation.</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A. General principles</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Throughout t</w:t>
      </w:r>
      <w:r>
        <w:rPr>
          <w:rFonts w:ascii="Times New Roman" w:hAnsi="Times New Roman" w:cs="Times New Roman"/>
          <w:noProof/>
          <w:sz w:val="24"/>
          <w:szCs w:val="24"/>
        </w:rPr>
        <w:t xml:space="preserve">he selection process, the </w:t>
      </w:r>
      <w:r>
        <w:rPr>
          <w:rFonts w:ascii="Times New Roman" w:hAnsi="Times New Roman" w:cs="Times New Roman"/>
          <w:b/>
          <w:noProof/>
          <w:sz w:val="24"/>
          <w:szCs w:val="24"/>
          <w:u w:val="single"/>
        </w:rPr>
        <w:t>general principles</w:t>
      </w:r>
      <w:r>
        <w:rPr>
          <w:rFonts w:ascii="Times New Roman" w:hAnsi="Times New Roman" w:cs="Times New Roman"/>
          <w:noProof/>
          <w:sz w:val="24"/>
          <w:szCs w:val="24"/>
        </w:rPr>
        <w:t xml:space="preserve"> of the EU financial management rules (transparency, equal treatment and sound financial management) were applied. </w:t>
      </w:r>
    </w:p>
    <w:p w:rsidR="003C18FB" w:rsidRDefault="003C18FB">
      <w:pPr>
        <w:spacing w:before="120" w:after="120" w:line="240" w:lineRule="auto"/>
        <w:jc w:val="both"/>
        <w:rPr>
          <w:rFonts w:ascii="Times New Roman" w:hAnsi="Times New Roman" w:cs="Times New Roman"/>
          <w:noProof/>
          <w:sz w:val="24"/>
          <w:szCs w:val="24"/>
        </w:rPr>
      </w:pP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Transparency: </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noProof/>
          <w:sz w:val="24"/>
        </w:rPr>
        <w:t>The Commission maintained a dialogue with the Member States prior to the submission of their requests. This allowed  clarifications to be provided and the Member States’ requests to be refined, and adequate feedback on the assessment process after selectio</w:t>
      </w:r>
      <w:r>
        <w:rPr>
          <w:rFonts w:ascii="Times New Roman" w:hAnsi="Times New Roman"/>
          <w:noProof/>
          <w:sz w:val="24"/>
        </w:rPr>
        <w:t xml:space="preserve">n, in particular for requests which had not been selected. </w:t>
      </w:r>
      <w:r>
        <w:rPr>
          <w:rFonts w:ascii="Times New Roman" w:hAnsi="Times New Roman" w:cs="Times New Roman"/>
          <w:noProof/>
          <w:sz w:val="24"/>
          <w:szCs w:val="24"/>
        </w:rPr>
        <w:t xml:space="preserve"> </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Equal treatment: </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applied the assessment criteria equally to all requesting Member States. There was no set pre-allocation of funding – the amount of funding allocated per Member S</w:t>
      </w:r>
      <w:r>
        <w:rPr>
          <w:rFonts w:ascii="Times New Roman" w:hAnsi="Times New Roman" w:cs="Times New Roman"/>
          <w:noProof/>
          <w:sz w:val="24"/>
          <w:szCs w:val="24"/>
        </w:rPr>
        <w:t>tate was determined based on the compliance of the request with the principles and assessment criteria and on the quality, focus and expected result of the support measures. In order to ensure equal treatment, a scoring system was put in place (see section</w:t>
      </w:r>
      <w:r>
        <w:rPr>
          <w:rFonts w:ascii="Times New Roman" w:hAnsi="Times New Roman" w:cs="Times New Roman"/>
          <w:noProof/>
          <w:sz w:val="24"/>
          <w:szCs w:val="24"/>
        </w:rPr>
        <w:t>s below).</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Sound financial management:</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principle of sound financial management requires that EU financial resources are used in accordance with the principles of economy, efficiency and effectiveness. The Commission used the principle of sound financial</w:t>
      </w:r>
      <w:r>
        <w:rPr>
          <w:rFonts w:ascii="Times New Roman" w:hAnsi="Times New Roman" w:cs="Times New Roman"/>
          <w:noProof/>
          <w:sz w:val="24"/>
          <w:szCs w:val="24"/>
        </w:rPr>
        <w:t xml:space="preserve"> management to prioritise requests based on quality, focus and expected results of eligible submitted requests.</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B. Assessment criteria</w:t>
      </w:r>
    </w:p>
    <w:p w:rsidR="003C18FB" w:rsidRDefault="00773466">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assessment criteria</w:t>
      </w:r>
      <w:r>
        <w:rPr>
          <w:rStyle w:val="FootnoteReference"/>
          <w:rFonts w:ascii="Times New Roman" w:eastAsia="Times New Roman" w:hAnsi="Times New Roman" w:cs="Times New Roman"/>
          <w:noProof/>
          <w:sz w:val="24"/>
          <w:szCs w:val="24"/>
          <w:lang w:eastAsia="en-GB"/>
        </w:rPr>
        <w:footnoteReference w:id="26"/>
      </w:r>
      <w:r>
        <w:rPr>
          <w:rFonts w:ascii="Times New Roman" w:eastAsia="Times New Roman" w:hAnsi="Times New Roman" w:cs="Times New Roman"/>
          <w:noProof/>
          <w:sz w:val="24"/>
          <w:szCs w:val="24"/>
          <w:lang w:eastAsia="en-GB"/>
        </w:rPr>
        <w:t xml:space="preserve"> were applied in the following way:</w:t>
      </w:r>
    </w:p>
    <w:p w:rsidR="003C18FB" w:rsidRDefault="00773466">
      <w:pPr>
        <w:pStyle w:val="ListParagraph"/>
        <w:numPr>
          <w:ilvl w:val="0"/>
          <w:numId w:val="11"/>
        </w:numPr>
        <w:spacing w:after="120"/>
        <w:ind w:left="1434" w:hanging="357"/>
        <w:contextualSpacing w:val="0"/>
        <w:rPr>
          <w:b/>
          <w:noProof/>
          <w:szCs w:val="24"/>
          <w:lang w:eastAsia="en-GB"/>
        </w:rPr>
      </w:pPr>
      <w:r>
        <w:rPr>
          <w:b/>
          <w:noProof/>
          <w:szCs w:val="24"/>
          <w:lang w:eastAsia="en-GB"/>
        </w:rPr>
        <w:t>Urgency of the request</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assessed the urgency o</w:t>
      </w:r>
      <w:r>
        <w:rPr>
          <w:rFonts w:ascii="Times New Roman" w:eastAsia="Times New Roman" w:hAnsi="Times New Roman" w:cs="Times New Roman"/>
          <w:noProof/>
          <w:sz w:val="24"/>
          <w:szCs w:val="24"/>
          <w:lang w:eastAsia="en-GB"/>
        </w:rPr>
        <w:t>f a request, as initially presented by the Member State. It also took account of the following elements:</w:t>
      </w:r>
    </w:p>
    <w:p w:rsidR="003C18FB" w:rsidRDefault="00773466">
      <w:pPr>
        <w:pStyle w:val="ListParagraph"/>
        <w:numPr>
          <w:ilvl w:val="0"/>
          <w:numId w:val="5"/>
        </w:numPr>
        <w:spacing w:after="0"/>
        <w:rPr>
          <w:noProof/>
          <w:szCs w:val="24"/>
          <w:lang w:eastAsia="en-GB"/>
        </w:rPr>
      </w:pPr>
      <w:r>
        <w:rPr>
          <w:noProof/>
          <w:szCs w:val="24"/>
          <w:lang w:eastAsia="en-GB"/>
        </w:rPr>
        <w:t xml:space="preserve">whether the urgency was linked to a crisis; </w:t>
      </w:r>
    </w:p>
    <w:p w:rsidR="003C18FB" w:rsidRDefault="00773466">
      <w:pPr>
        <w:pStyle w:val="ListParagraph"/>
        <w:numPr>
          <w:ilvl w:val="0"/>
          <w:numId w:val="5"/>
        </w:numPr>
        <w:contextualSpacing w:val="0"/>
        <w:rPr>
          <w:noProof/>
          <w:szCs w:val="24"/>
          <w:lang w:eastAsia="en-GB"/>
        </w:rPr>
      </w:pPr>
      <w:r>
        <w:rPr>
          <w:noProof/>
          <w:szCs w:val="24"/>
          <w:lang w:eastAsia="en-GB"/>
        </w:rPr>
        <w:t xml:space="preserve">whether the urgency was related to a deadline or a time-bound schedule derived from Union law, or from Union/Commission policy priorities (e.g. European Semester, Economic Adjustment programmes, capital markets union (CMU), energy </w:t>
      </w:r>
      <w:r>
        <w:rPr>
          <w:noProof/>
          <w:szCs w:val="24"/>
        </w:rPr>
        <w:t>union</w:t>
      </w:r>
      <w:r>
        <w:rPr>
          <w:noProof/>
          <w:szCs w:val="24"/>
          <w:lang w:eastAsia="en-GB"/>
        </w:rPr>
        <w:t>, digital single mar</w:t>
      </w:r>
      <w:r>
        <w:rPr>
          <w:noProof/>
          <w:szCs w:val="24"/>
          <w:lang w:eastAsia="en-GB"/>
        </w:rPr>
        <w:t>ket, etc.)</w:t>
      </w:r>
    </w:p>
    <w:p w:rsidR="003C18FB" w:rsidRDefault="00773466">
      <w:pPr>
        <w:pStyle w:val="ListParagraph"/>
        <w:numPr>
          <w:ilvl w:val="0"/>
          <w:numId w:val="11"/>
        </w:numPr>
        <w:spacing w:after="120"/>
        <w:ind w:left="1434" w:hanging="357"/>
        <w:contextualSpacing w:val="0"/>
        <w:rPr>
          <w:b/>
          <w:noProof/>
          <w:szCs w:val="24"/>
          <w:lang w:eastAsia="en-GB"/>
        </w:rPr>
      </w:pPr>
      <w:r>
        <w:rPr>
          <w:b/>
          <w:noProof/>
          <w:szCs w:val="24"/>
          <w:lang w:eastAsia="en-GB"/>
        </w:rPr>
        <w:t xml:space="preserve">Breadth and depth of the problems identified </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assessed the severity (breadth) and extent (depth) of the problem, as presented by the Member State. It also took account of the following elements: </w:t>
      </w:r>
    </w:p>
    <w:p w:rsidR="003C18FB" w:rsidRDefault="00773466">
      <w:pPr>
        <w:pStyle w:val="ListParagraph"/>
        <w:numPr>
          <w:ilvl w:val="0"/>
          <w:numId w:val="12"/>
        </w:numPr>
        <w:spacing w:before="120" w:after="120"/>
        <w:rPr>
          <w:noProof/>
          <w:szCs w:val="24"/>
        </w:rPr>
      </w:pPr>
      <w:r>
        <w:rPr>
          <w:noProof/>
          <w:szCs w:val="24"/>
        </w:rPr>
        <w:t>the Commission's own knowledge and</w:t>
      </w:r>
      <w:r>
        <w:rPr>
          <w:noProof/>
          <w:szCs w:val="24"/>
        </w:rPr>
        <w:t xml:space="preserve"> assessment of the prevailing situation in the Member State; </w:t>
      </w:r>
    </w:p>
    <w:p w:rsidR="003C18FB" w:rsidRDefault="00773466">
      <w:pPr>
        <w:pStyle w:val="ListParagraph"/>
        <w:numPr>
          <w:ilvl w:val="0"/>
          <w:numId w:val="12"/>
        </w:numPr>
        <w:spacing w:before="120"/>
        <w:ind w:hanging="357"/>
        <w:contextualSpacing w:val="0"/>
        <w:rPr>
          <w:noProof/>
          <w:szCs w:val="24"/>
        </w:rPr>
      </w:pPr>
      <w:r>
        <w:rPr>
          <w:noProof/>
          <w:szCs w:val="24"/>
        </w:rPr>
        <w:t>country reports, country-specific recommendations, annual reports on the application of EU law and other relevant documents related to Union/Commission priorities (energy union, CMU, etc.), as w</w:t>
      </w:r>
      <w:r>
        <w:rPr>
          <w:noProof/>
          <w:szCs w:val="24"/>
        </w:rPr>
        <w:t>ell as to Member States’ own reform priorities, where known.</w:t>
      </w:r>
    </w:p>
    <w:p w:rsidR="003C18FB" w:rsidRDefault="00773466">
      <w:pPr>
        <w:pStyle w:val="ListParagraph"/>
        <w:numPr>
          <w:ilvl w:val="0"/>
          <w:numId w:val="11"/>
        </w:numPr>
        <w:spacing w:after="120"/>
        <w:ind w:hanging="357"/>
        <w:contextualSpacing w:val="0"/>
        <w:rPr>
          <w:b/>
          <w:noProof/>
          <w:szCs w:val="24"/>
        </w:rPr>
      </w:pPr>
      <w:r>
        <w:rPr>
          <w:b/>
          <w:noProof/>
          <w:szCs w:val="24"/>
          <w:lang w:eastAsia="en-GB"/>
        </w:rPr>
        <w:t>Support</w:t>
      </w:r>
      <w:r>
        <w:rPr>
          <w:b/>
          <w:noProof/>
          <w:szCs w:val="24"/>
        </w:rPr>
        <w:t xml:space="preserve"> needs in respect of the policy areas concerned</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analysed support needs, as described in the requests by the Member States. It also took account of the following elements:</w:t>
      </w:r>
    </w:p>
    <w:p w:rsidR="003C18FB" w:rsidRDefault="00773466">
      <w:pPr>
        <w:pStyle w:val="ListParagraph"/>
        <w:numPr>
          <w:ilvl w:val="0"/>
          <w:numId w:val="13"/>
        </w:numPr>
        <w:spacing w:before="120" w:after="120"/>
        <w:rPr>
          <w:noProof/>
          <w:szCs w:val="24"/>
        </w:rPr>
      </w:pPr>
      <w:r>
        <w:rPr>
          <w:noProof/>
          <w:szCs w:val="24"/>
        </w:rPr>
        <w:t>at</w:t>
      </w:r>
      <w:r>
        <w:rPr>
          <w:noProof/>
          <w:szCs w:val="24"/>
        </w:rPr>
        <w:t xml:space="preserve"> which stage of the reform process the support would be required (the design phase or the implementation phase) and how appropriate the solution proposed by the Member States would be to address it;  </w:t>
      </w:r>
    </w:p>
    <w:p w:rsidR="003C18FB" w:rsidRDefault="00773466">
      <w:pPr>
        <w:pStyle w:val="ListParagraph"/>
        <w:numPr>
          <w:ilvl w:val="0"/>
          <w:numId w:val="12"/>
        </w:numPr>
        <w:spacing w:before="120"/>
        <w:ind w:left="714" w:hanging="357"/>
        <w:contextualSpacing w:val="0"/>
        <w:rPr>
          <w:noProof/>
          <w:szCs w:val="24"/>
        </w:rPr>
      </w:pPr>
      <w:r>
        <w:rPr>
          <w:noProof/>
          <w:szCs w:val="24"/>
        </w:rPr>
        <w:t xml:space="preserve">whether the requested support measures were covered by </w:t>
      </w:r>
      <w:r>
        <w:rPr>
          <w:noProof/>
          <w:szCs w:val="24"/>
        </w:rPr>
        <w:t>already existing support measures/instruments (under national or Union (e.g. ESI Funds) programmes).</w:t>
      </w:r>
    </w:p>
    <w:p w:rsidR="003C18FB" w:rsidRDefault="00773466">
      <w:pPr>
        <w:pStyle w:val="ListParagraph"/>
        <w:numPr>
          <w:ilvl w:val="0"/>
          <w:numId w:val="11"/>
        </w:numPr>
        <w:spacing w:after="120"/>
        <w:rPr>
          <w:b/>
          <w:noProof/>
          <w:szCs w:val="24"/>
        </w:rPr>
      </w:pPr>
      <w:r>
        <w:rPr>
          <w:b/>
          <w:noProof/>
          <w:szCs w:val="24"/>
        </w:rPr>
        <w:t>Socio-economic indicators</w:t>
      </w:r>
    </w:p>
    <w:p w:rsidR="003C18FB" w:rsidRDefault="00773466">
      <w:pPr>
        <w:spacing w:before="120" w:after="240" w:line="240" w:lineRule="auto"/>
        <w:jc w:val="both"/>
        <w:rPr>
          <w:noProof/>
          <w:szCs w:val="24"/>
        </w:rPr>
      </w:pPr>
      <w:r>
        <w:rPr>
          <w:rFonts w:ascii="Times New Roman" w:hAnsi="Times New Roman" w:cs="Times New Roman"/>
          <w:noProof/>
          <w:sz w:val="24"/>
          <w:szCs w:val="24"/>
        </w:rPr>
        <w:t>The Commission took account of relevant socio-economic indicators (as they had been described by the Member States in their reque</w:t>
      </w:r>
      <w:r>
        <w:rPr>
          <w:rFonts w:ascii="Times New Roman" w:hAnsi="Times New Roman" w:cs="Times New Roman"/>
          <w:noProof/>
          <w:sz w:val="24"/>
          <w:szCs w:val="24"/>
        </w:rPr>
        <w:t>sts for support, or in another manner as appropriate) to support the assessment</w:t>
      </w:r>
      <w:r>
        <w:rPr>
          <w:rFonts w:ascii="Times New Roman" w:hAnsi="Times New Roman" w:cs="Times New Roman"/>
          <w:noProof/>
          <w:szCs w:val="24"/>
          <w:vertAlign w:val="superscript"/>
        </w:rPr>
        <w:footnoteReference w:id="27"/>
      </w:r>
      <w:r>
        <w:rPr>
          <w:rFonts w:ascii="Times New Roman" w:hAnsi="Times New Roman" w:cs="Times New Roman"/>
          <w:noProof/>
          <w:sz w:val="24"/>
          <w:szCs w:val="24"/>
        </w:rPr>
        <w:t>.</w:t>
      </w:r>
    </w:p>
    <w:p w:rsidR="003C18FB" w:rsidRDefault="00773466">
      <w:pPr>
        <w:pStyle w:val="ListParagraph"/>
        <w:numPr>
          <w:ilvl w:val="0"/>
          <w:numId w:val="11"/>
        </w:numPr>
        <w:spacing w:after="120"/>
        <w:contextualSpacing w:val="0"/>
        <w:rPr>
          <w:b/>
          <w:noProof/>
          <w:szCs w:val="24"/>
        </w:rPr>
      </w:pPr>
      <w:r>
        <w:rPr>
          <w:b/>
          <w:noProof/>
          <w:szCs w:val="24"/>
        </w:rPr>
        <w:t>General administrative capacity of the Member State</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also assessed the capacity of the Member State (i.e. of the national authorities requesting support) to imp</w:t>
      </w:r>
      <w:r>
        <w:rPr>
          <w:rFonts w:ascii="Times New Roman" w:hAnsi="Times New Roman" w:cs="Times New Roman"/>
          <w:noProof/>
          <w:sz w:val="24"/>
          <w:szCs w:val="24"/>
        </w:rPr>
        <w:t xml:space="preserve">lement and absorb the support measures to be provided, and ensure adequate follow-up. The following elements were particularly taken into account: </w:t>
      </w:r>
    </w:p>
    <w:p w:rsidR="003C18FB" w:rsidRDefault="00773466">
      <w:pPr>
        <w:pStyle w:val="ListParagraph"/>
        <w:numPr>
          <w:ilvl w:val="0"/>
          <w:numId w:val="6"/>
        </w:numPr>
        <w:spacing w:before="120" w:after="120"/>
        <w:rPr>
          <w:noProof/>
          <w:szCs w:val="24"/>
        </w:rPr>
      </w:pPr>
      <w:r>
        <w:rPr>
          <w:noProof/>
          <w:szCs w:val="24"/>
        </w:rPr>
        <w:t xml:space="preserve">existence of a structure in the requesting Member State that would coordinate and follow up on the support </w:t>
      </w:r>
      <w:r>
        <w:rPr>
          <w:noProof/>
          <w:szCs w:val="24"/>
        </w:rPr>
        <w:t>measures;</w:t>
      </w:r>
    </w:p>
    <w:p w:rsidR="003C18FB" w:rsidRDefault="00773466">
      <w:pPr>
        <w:pStyle w:val="ListParagraph"/>
        <w:numPr>
          <w:ilvl w:val="0"/>
          <w:numId w:val="6"/>
        </w:numPr>
        <w:spacing w:before="120" w:after="120"/>
        <w:rPr>
          <w:noProof/>
          <w:szCs w:val="24"/>
        </w:rPr>
      </w:pPr>
      <w:r>
        <w:rPr>
          <w:noProof/>
          <w:szCs w:val="24"/>
        </w:rPr>
        <w:t>staff that would be made available to follow up on the support measures;</w:t>
      </w:r>
    </w:p>
    <w:p w:rsidR="003C18FB" w:rsidRDefault="00773466">
      <w:pPr>
        <w:pStyle w:val="ListParagraph"/>
        <w:numPr>
          <w:ilvl w:val="0"/>
          <w:numId w:val="6"/>
        </w:numPr>
        <w:spacing w:before="120" w:after="120"/>
        <w:rPr>
          <w:noProof/>
          <w:szCs w:val="24"/>
        </w:rPr>
      </w:pPr>
      <w:r>
        <w:rPr>
          <w:noProof/>
          <w:szCs w:val="24"/>
        </w:rPr>
        <w:t>capacity (also based on past experience) to manage support measures/projects.</w:t>
      </w:r>
    </w:p>
    <w:p w:rsidR="003C18FB" w:rsidRDefault="003C18FB">
      <w:pPr>
        <w:spacing w:before="120" w:after="120" w:line="240" w:lineRule="auto"/>
        <w:jc w:val="both"/>
        <w:rPr>
          <w:rFonts w:ascii="Times New Roman" w:hAnsi="Times New Roman" w:cs="Times New Roman"/>
          <w:noProof/>
          <w:sz w:val="24"/>
          <w:szCs w:val="24"/>
        </w:rPr>
      </w:pPr>
    </w:p>
    <w:p w:rsidR="003C18FB" w:rsidRDefault="00773466">
      <w:pP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Rating system </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ensure equal treatment, a rating system was put in place to assess </w:t>
      </w:r>
      <w:r>
        <w:rPr>
          <w:rFonts w:ascii="Times New Roman" w:hAnsi="Times New Roman" w:cs="Times New Roman"/>
          <w:noProof/>
          <w:sz w:val="24"/>
          <w:szCs w:val="24"/>
        </w:rPr>
        <w:t>how the eligible requests complied with the criteria indicated above</w:t>
      </w:r>
      <w:r>
        <w:rPr>
          <w:rFonts w:ascii="Times New Roman" w:eastAsia="Times New Roman" w:hAnsi="Times New Roman" w:cs="Times New Roman"/>
          <w:noProof/>
          <w:sz w:val="24"/>
          <w:szCs w:val="24"/>
          <w:lang w:eastAsia="en-GB"/>
        </w:rPr>
        <w:t>.</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Analysis based on general principles and criteria: rating system </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Every request for support that was considered eligible received rating scores (A to C) that evaluated how well the asses</w:t>
      </w:r>
      <w:r>
        <w:rPr>
          <w:rFonts w:ascii="Times New Roman" w:hAnsi="Times New Roman" w:cs="Times New Roman"/>
          <w:noProof/>
          <w:sz w:val="24"/>
          <w:szCs w:val="24"/>
        </w:rPr>
        <w:t>sment criteria and the principle of sound financial management were fulfilled. Scores were attributed for each of the following criteria: (i) urgency of the request, (ii) breadth and depth of the problems identified, (iii) support needs in respect of the p</w:t>
      </w:r>
      <w:r>
        <w:rPr>
          <w:rFonts w:ascii="Times New Roman" w:hAnsi="Times New Roman" w:cs="Times New Roman"/>
          <w:noProof/>
          <w:sz w:val="24"/>
          <w:szCs w:val="24"/>
        </w:rPr>
        <w:t>olicy areas concerned, (iv) general administrative capacity of the Member State, (v) maturity, (vi) focus and (vii) expected results of the requested support measures.</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b/>
          <w:noProof/>
          <w:sz w:val="24"/>
          <w:szCs w:val="24"/>
        </w:rPr>
      </w:pPr>
      <w:r>
        <w:rPr>
          <w:rFonts w:ascii="Times New Roman" w:hAnsi="Times New Roman" w:cs="Times New Roman"/>
          <w:noProof/>
          <w:sz w:val="24"/>
          <w:szCs w:val="24"/>
        </w:rPr>
        <w:t xml:space="preserve">- requests with only high and medium scores and a majority of high scores fell into the </w:t>
      </w:r>
      <w:r>
        <w:rPr>
          <w:rFonts w:ascii="Times New Roman" w:hAnsi="Times New Roman" w:cs="Times New Roman"/>
          <w:noProof/>
          <w:sz w:val="24"/>
          <w:szCs w:val="24"/>
        </w:rPr>
        <w:t xml:space="preserve">category </w:t>
      </w:r>
      <w:r>
        <w:rPr>
          <w:rFonts w:ascii="Times New Roman" w:hAnsi="Times New Roman" w:cs="Times New Roman"/>
          <w:b/>
          <w:noProof/>
          <w:sz w:val="24"/>
          <w:szCs w:val="24"/>
        </w:rPr>
        <w:t xml:space="preserve">high scores </w:t>
      </w:r>
      <w:r>
        <w:rPr>
          <w:rFonts w:ascii="Times New Roman" w:hAnsi="Times New Roman" w:cs="Times New Roman"/>
          <w:noProof/>
          <w:sz w:val="24"/>
          <w:szCs w:val="24"/>
        </w:rPr>
        <w:t>(at least 4 As, no Cs)</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b/>
          <w:noProof/>
          <w:sz w:val="24"/>
          <w:szCs w:val="24"/>
        </w:rPr>
      </w:pPr>
      <w:r>
        <w:rPr>
          <w:rFonts w:ascii="Times New Roman" w:hAnsi="Times New Roman" w:cs="Times New Roman"/>
          <w:noProof/>
          <w:sz w:val="24"/>
          <w:szCs w:val="24"/>
        </w:rPr>
        <w:t xml:space="preserve">- requests with only high and medium scores and a majority of medium scores fell into the category </w:t>
      </w:r>
      <w:r>
        <w:rPr>
          <w:rFonts w:ascii="Times New Roman" w:hAnsi="Times New Roman" w:cs="Times New Roman"/>
          <w:b/>
          <w:noProof/>
          <w:sz w:val="24"/>
          <w:szCs w:val="24"/>
        </w:rPr>
        <w:t xml:space="preserve">medium scores </w:t>
      </w:r>
      <w:r>
        <w:rPr>
          <w:rFonts w:ascii="Times New Roman" w:hAnsi="Times New Roman" w:cs="Times New Roman"/>
          <w:noProof/>
          <w:sz w:val="24"/>
          <w:szCs w:val="24"/>
        </w:rPr>
        <w:t>(at least 4 Bs, no Cs)</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requests with one low score fell into the category </w:t>
      </w:r>
      <w:r>
        <w:rPr>
          <w:rFonts w:ascii="Times New Roman" w:hAnsi="Times New Roman" w:cs="Times New Roman"/>
          <w:b/>
          <w:noProof/>
          <w:sz w:val="24"/>
          <w:szCs w:val="24"/>
        </w:rPr>
        <w:t xml:space="preserve">one major weakness </w:t>
      </w:r>
      <w:r>
        <w:rPr>
          <w:rFonts w:ascii="Times New Roman" w:hAnsi="Times New Roman" w:cs="Times New Roman"/>
          <w:noProof/>
          <w:sz w:val="24"/>
          <w:szCs w:val="24"/>
        </w:rPr>
        <w:t xml:space="preserve">(at </w:t>
      </w:r>
      <w:r>
        <w:rPr>
          <w:rFonts w:ascii="Times New Roman" w:hAnsi="Times New Roman" w:cs="Times New Roman"/>
          <w:noProof/>
          <w:sz w:val="24"/>
          <w:szCs w:val="24"/>
        </w:rPr>
        <w:t>least 1 C)</w:t>
      </w:r>
      <w:r>
        <w:rPr>
          <w:rFonts w:ascii="Times New Roman" w:hAnsi="Times New Roman" w:cs="Times New Roman"/>
          <w:b/>
          <w:noProof/>
          <w:sz w:val="24"/>
          <w:szCs w:val="24"/>
        </w:rPr>
        <w:t xml:space="preserve"> </w:t>
      </w:r>
    </w:p>
    <w:p w:rsidR="003C18FB" w:rsidRDefault="00773466">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requests with more than one low score and medium scores for the rest fell into the category </w:t>
      </w:r>
      <w:r>
        <w:rPr>
          <w:rFonts w:ascii="Times New Roman" w:hAnsi="Times New Roman" w:cs="Times New Roman"/>
          <w:b/>
          <w:noProof/>
          <w:sz w:val="24"/>
          <w:szCs w:val="24"/>
        </w:rPr>
        <w:t xml:space="preserve">several major weaknesses </w:t>
      </w:r>
      <w:r>
        <w:rPr>
          <w:rFonts w:ascii="Times New Roman" w:hAnsi="Times New Roman" w:cs="Times New Roman"/>
          <w:noProof/>
          <w:sz w:val="24"/>
          <w:szCs w:val="24"/>
        </w:rPr>
        <w:t>(more than 1 C)</w:t>
      </w:r>
    </w:p>
    <w:p w:rsidR="003C18FB" w:rsidRDefault="003C18FB">
      <w:pPr>
        <w:spacing w:before="120" w:after="120" w:line="240" w:lineRule="auto"/>
        <w:jc w:val="both"/>
        <w:rPr>
          <w:rFonts w:ascii="Times New Roman" w:hAnsi="Times New Roman" w:cs="Times New Roman"/>
          <w:noProof/>
          <w:sz w:val="24"/>
          <w:szCs w:val="24"/>
        </w:rPr>
      </w:pP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58% of the 416 requests analysed in the 2018 SRSP round received </w:t>
      </w:r>
      <w:r>
        <w:rPr>
          <w:rFonts w:ascii="Times New Roman" w:hAnsi="Times New Roman" w:cs="Times New Roman"/>
          <w:b/>
          <w:noProof/>
          <w:sz w:val="24"/>
          <w:szCs w:val="24"/>
        </w:rPr>
        <w:t>high scores</w:t>
      </w:r>
      <w:r>
        <w:rPr>
          <w:rFonts w:ascii="Times New Roman" w:hAnsi="Times New Roman" w:cs="Times New Roman"/>
          <w:noProof/>
          <w:sz w:val="24"/>
          <w:szCs w:val="24"/>
        </w:rPr>
        <w:t xml:space="preserve">, 13% </w:t>
      </w:r>
      <w:r>
        <w:rPr>
          <w:rFonts w:ascii="Times New Roman" w:hAnsi="Times New Roman" w:cs="Times New Roman"/>
          <w:b/>
          <w:noProof/>
          <w:sz w:val="24"/>
          <w:szCs w:val="24"/>
        </w:rPr>
        <w:t>medium scores</w:t>
      </w:r>
      <w:r>
        <w:rPr>
          <w:rFonts w:ascii="Times New Roman" w:hAnsi="Times New Roman" w:cs="Times New Roman"/>
          <w:noProof/>
          <w:sz w:val="24"/>
          <w:szCs w:val="24"/>
        </w:rPr>
        <w:t xml:space="preserve">, 12% had </w:t>
      </w:r>
      <w:r>
        <w:rPr>
          <w:rFonts w:ascii="Times New Roman" w:hAnsi="Times New Roman" w:cs="Times New Roman"/>
          <w:b/>
          <w:noProof/>
          <w:sz w:val="24"/>
          <w:szCs w:val="24"/>
        </w:rPr>
        <w:t>one</w:t>
      </w:r>
      <w:r>
        <w:rPr>
          <w:rFonts w:ascii="Times New Roman" w:hAnsi="Times New Roman" w:cs="Times New Roman"/>
          <w:b/>
          <w:noProof/>
          <w:sz w:val="24"/>
          <w:szCs w:val="24"/>
        </w:rPr>
        <w:t xml:space="preserve"> major weakness</w:t>
      </w:r>
      <w:r>
        <w:rPr>
          <w:rFonts w:ascii="Times New Roman" w:hAnsi="Times New Roman" w:cs="Times New Roman"/>
          <w:noProof/>
          <w:sz w:val="24"/>
          <w:szCs w:val="24"/>
        </w:rPr>
        <w:t xml:space="preserve"> and 17% </w:t>
      </w:r>
      <w:r>
        <w:rPr>
          <w:rFonts w:ascii="Times New Roman" w:hAnsi="Times New Roman" w:cs="Times New Roman"/>
          <w:b/>
          <w:noProof/>
          <w:sz w:val="24"/>
          <w:szCs w:val="24"/>
        </w:rPr>
        <w:t>several major weaknesses</w:t>
      </w:r>
      <w:r>
        <w:rPr>
          <w:rFonts w:ascii="Times New Roman" w:hAnsi="Times New Roman" w:cs="Times New Roman"/>
          <w:noProof/>
          <w:sz w:val="24"/>
          <w:szCs w:val="24"/>
        </w:rPr>
        <w:t>. The chart below shows the breakdown in percentages:</w:t>
      </w:r>
    </w:p>
    <w:p w:rsidR="003C18FB" w:rsidRDefault="00773466">
      <w:pPr>
        <w:spacing w:before="120" w:after="120" w:line="240" w:lineRule="auto"/>
        <w:jc w:val="both"/>
        <w:rPr>
          <w:noProof/>
          <w:lang w:val="en-US"/>
        </w:rPr>
      </w:pPr>
      <w:r>
        <w:rPr>
          <w:noProof/>
          <w:lang w:val="en-US" w:eastAsia="fr-BE"/>
        </w:rPr>
        <w:t xml:space="preserve"> </w:t>
      </w:r>
      <w:r>
        <w:rPr>
          <w:noProof/>
          <w:lang w:eastAsia="en-GB"/>
        </w:rPr>
        <w:drawing>
          <wp:inline distT="0" distB="0" distL="0" distR="0">
            <wp:extent cx="4933950" cy="27432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4</w:t>
      </w:r>
      <w:r>
        <w:rPr>
          <w:rFonts w:ascii="Times New Roman" w:hAnsi="Times New Roman" w:cs="Times New Roman"/>
          <w:noProof/>
          <w:color w:val="auto"/>
        </w:rPr>
        <w:fldChar w:fldCharType="end"/>
      </w:r>
      <w:r>
        <w:rPr>
          <w:rFonts w:ascii="Times New Roman" w:hAnsi="Times New Roman" w:cs="Times New Roman"/>
          <w:noProof/>
          <w:color w:val="auto"/>
        </w:rPr>
        <w:t>: Requests by rating category</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compares to the requests analysed under the 2017 SRSP, where 71% of the requests </w:t>
      </w:r>
      <w:r>
        <w:rPr>
          <w:rFonts w:ascii="Times New Roman" w:hAnsi="Times New Roman" w:cs="Times New Roman"/>
          <w:noProof/>
          <w:sz w:val="24"/>
          <w:szCs w:val="24"/>
        </w:rPr>
        <w:t>received high scores and 11% had several major weaknesses.</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Requests for support to be funded by the voluntary transfers from Greece and Bulgaria were assessed against the same principles and assessment criteria. 76% of the requests received high scores, 8%</w:t>
      </w:r>
      <w:r>
        <w:rPr>
          <w:rFonts w:ascii="Times New Roman" w:hAnsi="Times New Roman" w:cs="Times New Roman"/>
          <w:noProof/>
          <w:sz w:val="24"/>
          <w:szCs w:val="24"/>
        </w:rPr>
        <w:t xml:space="preserve"> medium scores, 8% had one major weakness, and 8% had several major weaknesses.</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both cases, requests with </w:t>
      </w:r>
      <w:r>
        <w:rPr>
          <w:rFonts w:ascii="Times New Roman" w:hAnsi="Times New Roman" w:cs="Times New Roman"/>
          <w:b/>
          <w:noProof/>
          <w:sz w:val="24"/>
          <w:szCs w:val="24"/>
        </w:rPr>
        <w:t>high scores</w:t>
      </w:r>
      <w:r>
        <w:rPr>
          <w:rFonts w:ascii="Times New Roman" w:hAnsi="Times New Roman" w:cs="Times New Roman"/>
          <w:noProof/>
          <w:sz w:val="24"/>
          <w:szCs w:val="24"/>
        </w:rPr>
        <w:t xml:space="preserve"> had in general the following characteristics: </w:t>
      </w:r>
    </w:p>
    <w:p w:rsidR="003C18FB" w:rsidRDefault="00773466">
      <w:pPr>
        <w:pStyle w:val="ListParagraph"/>
        <w:numPr>
          <w:ilvl w:val="0"/>
          <w:numId w:val="7"/>
        </w:numPr>
        <w:spacing w:before="120" w:after="120"/>
        <w:rPr>
          <w:noProof/>
          <w:szCs w:val="24"/>
        </w:rPr>
      </w:pPr>
      <w:r>
        <w:rPr>
          <w:noProof/>
          <w:szCs w:val="24"/>
        </w:rPr>
        <w:t>the problems/needs identified were sufficiently relevant/important and not covered by ot</w:t>
      </w:r>
      <w:r>
        <w:rPr>
          <w:noProof/>
          <w:szCs w:val="24"/>
        </w:rPr>
        <w:t xml:space="preserve">her Union funds/programmes; </w:t>
      </w:r>
    </w:p>
    <w:p w:rsidR="003C18FB" w:rsidRDefault="00773466">
      <w:pPr>
        <w:pStyle w:val="ListParagraph"/>
        <w:numPr>
          <w:ilvl w:val="0"/>
          <w:numId w:val="7"/>
        </w:numPr>
        <w:spacing w:before="120" w:after="120"/>
        <w:rPr>
          <w:noProof/>
          <w:szCs w:val="24"/>
        </w:rPr>
      </w:pPr>
      <w:r>
        <w:rPr>
          <w:noProof/>
          <w:szCs w:val="24"/>
        </w:rPr>
        <w:t>the solutions proposed were suitable for addressing the problems/needs;</w:t>
      </w:r>
    </w:p>
    <w:p w:rsidR="003C18FB" w:rsidRDefault="00773466">
      <w:pPr>
        <w:pStyle w:val="ListParagraph"/>
        <w:numPr>
          <w:ilvl w:val="0"/>
          <w:numId w:val="7"/>
        </w:numPr>
        <w:spacing w:before="120" w:after="120"/>
        <w:rPr>
          <w:noProof/>
          <w:szCs w:val="24"/>
        </w:rPr>
      </w:pPr>
      <w:r>
        <w:rPr>
          <w:noProof/>
          <w:szCs w:val="24"/>
        </w:rPr>
        <w:t>relevant socio-economic indicators underpinned the problems/needs at stake;</w:t>
      </w:r>
    </w:p>
    <w:p w:rsidR="003C18FB" w:rsidRDefault="00773466">
      <w:pPr>
        <w:pStyle w:val="ListParagraph"/>
        <w:numPr>
          <w:ilvl w:val="0"/>
          <w:numId w:val="7"/>
        </w:numPr>
        <w:spacing w:before="120" w:after="120"/>
        <w:rPr>
          <w:noProof/>
          <w:szCs w:val="24"/>
        </w:rPr>
      </w:pPr>
      <w:r>
        <w:rPr>
          <w:noProof/>
          <w:szCs w:val="24"/>
        </w:rPr>
        <w:t>the requesting Member State had sufficient administrative capacity to follow up</w:t>
      </w:r>
      <w:r>
        <w:rPr>
          <w:noProof/>
          <w:szCs w:val="24"/>
        </w:rPr>
        <w:t xml:space="preserve"> the measure funded by the SRSP.</w:t>
      </w:r>
    </w:p>
    <w:p w:rsidR="003C18FB" w:rsidRDefault="003C18FB">
      <w:pPr>
        <w:pStyle w:val="ListParagraph"/>
        <w:spacing w:before="120" w:after="120"/>
        <w:rPr>
          <w:b/>
          <w:noProof/>
          <w:szCs w:val="24"/>
          <w:u w:val="single"/>
          <w:lang w:eastAsia="en-GB"/>
        </w:rPr>
      </w:pPr>
    </w:p>
    <w:p w:rsidR="003C18FB" w:rsidRDefault="003C18FB">
      <w:pPr>
        <w:pStyle w:val="ListParagraph"/>
        <w:spacing w:before="120" w:after="120"/>
        <w:rPr>
          <w:b/>
          <w:noProof/>
          <w:szCs w:val="24"/>
          <w:u w:val="single"/>
          <w:lang w:eastAsia="en-GB"/>
        </w:rPr>
      </w:pPr>
    </w:p>
    <w:p w:rsidR="003C18FB" w:rsidRDefault="00773466">
      <w:pPr>
        <w:pStyle w:val="Heading3"/>
        <w:rPr>
          <w:noProof/>
        </w:rPr>
      </w:pPr>
      <w:bookmarkStart w:id="35" w:name="_Toc526528398"/>
      <w:bookmarkStart w:id="36" w:name="_Toc22031549"/>
      <w:r>
        <w:rPr>
          <w:noProof/>
        </w:rPr>
        <w:t>Step 2 – prioritisation of the requests for support</w:t>
      </w:r>
      <w:bookmarkEnd w:id="35"/>
      <w:bookmarkEnd w:id="36"/>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of the screening and analysis stage were used to select requests for 2018 (€30.5 million available, and €152 million in requests received). </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requests wer</w:t>
      </w:r>
      <w:r>
        <w:rPr>
          <w:rFonts w:ascii="Times New Roman" w:hAnsi="Times New Roman" w:cs="Times New Roman"/>
          <w:noProof/>
          <w:sz w:val="24"/>
          <w:szCs w:val="24"/>
        </w:rPr>
        <w:t>e prioritised based on the principle of sound financial management (in particular taking into account their maturity, focus and expected results).</w:t>
      </w:r>
    </w:p>
    <w:p w:rsidR="003C18FB" w:rsidRDefault="00773466">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Priority was given to:</w:t>
      </w:r>
    </w:p>
    <w:p w:rsidR="003C18FB" w:rsidRDefault="00773466">
      <w:pPr>
        <w:pStyle w:val="ListParagraph"/>
        <w:numPr>
          <w:ilvl w:val="0"/>
          <w:numId w:val="8"/>
        </w:numPr>
        <w:spacing w:before="120" w:after="120"/>
        <w:rPr>
          <w:noProof/>
          <w:szCs w:val="24"/>
        </w:rPr>
      </w:pPr>
      <w:r>
        <w:rPr>
          <w:noProof/>
          <w:szCs w:val="24"/>
        </w:rPr>
        <w:t>measures that were mature enough to allow for quick delivery of support and rapid impl</w:t>
      </w:r>
      <w:r>
        <w:rPr>
          <w:noProof/>
          <w:szCs w:val="24"/>
        </w:rPr>
        <w:t>ementation of reforms on the ground;</w:t>
      </w:r>
    </w:p>
    <w:p w:rsidR="003C18FB" w:rsidRDefault="00773466">
      <w:pPr>
        <w:pStyle w:val="ListParagraph"/>
        <w:numPr>
          <w:ilvl w:val="0"/>
          <w:numId w:val="8"/>
        </w:numPr>
        <w:spacing w:before="120" w:after="120"/>
        <w:rPr>
          <w:noProof/>
          <w:szCs w:val="24"/>
        </w:rPr>
      </w:pPr>
      <w:r>
        <w:rPr>
          <w:noProof/>
          <w:szCs w:val="24"/>
        </w:rPr>
        <w:t>targeted measures addressing defined objectives (as opposed to requests that were more generic or preparatory); and</w:t>
      </w:r>
    </w:p>
    <w:p w:rsidR="003C18FB" w:rsidRDefault="00773466">
      <w:pPr>
        <w:pStyle w:val="ListParagraph"/>
        <w:numPr>
          <w:ilvl w:val="0"/>
          <w:numId w:val="8"/>
        </w:numPr>
        <w:spacing w:before="120" w:after="120"/>
        <w:rPr>
          <w:noProof/>
        </w:rPr>
      </w:pPr>
      <w:r>
        <w:rPr>
          <w:noProof/>
          <w:szCs w:val="24"/>
        </w:rPr>
        <w:t xml:space="preserve">measures with a strong </w:t>
      </w:r>
      <w:r>
        <w:rPr>
          <w:noProof/>
        </w:rPr>
        <w:t>expected results</w:t>
      </w:r>
      <w:r>
        <w:rPr>
          <w:noProof/>
          <w:szCs w:val="24"/>
        </w:rPr>
        <w:t xml:space="preserve"> on the ground.</w:t>
      </w:r>
    </w:p>
    <w:p w:rsidR="003C18FB" w:rsidRDefault="003C18FB">
      <w:pPr>
        <w:rPr>
          <w:rFonts w:ascii="Times New Roman" w:eastAsia="Times New Roman" w:hAnsi="Times New Roman" w:cs="Times New Roman"/>
          <w:b/>
          <w:noProof/>
          <w:sz w:val="24"/>
          <w:szCs w:val="24"/>
          <w:lang w:eastAsia="en-GB"/>
        </w:rPr>
      </w:pPr>
      <w:bookmarkStart w:id="37" w:name="_Ref526408263"/>
    </w:p>
    <w:p w:rsidR="003C18FB" w:rsidRDefault="00773466">
      <w:pPr>
        <w:pStyle w:val="Heading2"/>
        <w:rPr>
          <w:noProof/>
        </w:rPr>
      </w:pPr>
      <w:bookmarkStart w:id="38" w:name="_Toc526528399"/>
      <w:bookmarkStart w:id="39" w:name="_Toc22031550"/>
      <w:r>
        <w:rPr>
          <w:noProof/>
        </w:rPr>
        <w:t>Selection of requests</w:t>
      </w:r>
      <w:bookmarkEnd w:id="37"/>
      <w:bookmarkEnd w:id="38"/>
      <w:bookmarkEnd w:id="39"/>
    </w:p>
    <w:p w:rsidR="003C18FB" w:rsidRDefault="00773466">
      <w:pPr>
        <w:jc w:val="both"/>
        <w:rPr>
          <w:noProof/>
        </w:rPr>
      </w:pPr>
      <w:bookmarkStart w:id="40" w:name="_Toc525802251"/>
      <w:bookmarkStart w:id="41" w:name="_Toc525929565"/>
      <w:bookmarkStart w:id="42" w:name="_Toc526526886"/>
      <w:bookmarkStart w:id="43" w:name="_Toc526528400"/>
      <w:bookmarkStart w:id="44" w:name="_Toc526531318"/>
      <w:r>
        <w:rPr>
          <w:rFonts w:ascii="Times New Roman" w:eastAsia="Times New Roman" w:hAnsi="Times New Roman" w:cs="Times New Roman"/>
          <w:noProof/>
          <w:sz w:val="24"/>
          <w:szCs w:val="24"/>
          <w:lang w:eastAsia="en-GB"/>
        </w:rPr>
        <w:t>After the analysis and pr</w:t>
      </w:r>
      <w:r>
        <w:rPr>
          <w:rFonts w:ascii="Times New Roman" w:eastAsia="Times New Roman" w:hAnsi="Times New Roman" w:cs="Times New Roman"/>
          <w:noProof/>
          <w:sz w:val="24"/>
          <w:szCs w:val="24"/>
          <w:lang w:eastAsia="en-GB"/>
        </w:rPr>
        <w:t>ioritisation of the 416 eligible requests for technical support, 146 requests</w:t>
      </w:r>
      <w:r>
        <w:rPr>
          <w:rFonts w:ascii="Times New Roman" w:hAnsi="Times New Roman" w:cs="Times New Roman"/>
          <w:noProof/>
          <w:sz w:val="24"/>
        </w:rPr>
        <w:t xml:space="preserve"> from 24 Member States were selected for </w:t>
      </w:r>
      <w:r>
        <w:rPr>
          <w:rFonts w:ascii="Times New Roman" w:eastAsia="Times New Roman" w:hAnsi="Times New Roman" w:cs="Times New Roman"/>
          <w:noProof/>
          <w:sz w:val="24"/>
          <w:szCs w:val="24"/>
          <w:lang w:eastAsia="en-GB"/>
        </w:rPr>
        <w:t>funding under the available 2018 SRSP budget of €30.5 million. The distribution of selected requests by Member State was as shown below</w:t>
      </w:r>
      <w:bookmarkEnd w:id="40"/>
      <w:bookmarkEnd w:id="41"/>
      <w:bookmarkEnd w:id="42"/>
      <w:bookmarkEnd w:id="43"/>
      <w:bookmarkEnd w:id="44"/>
      <w:r>
        <w:rPr>
          <w:rFonts w:ascii="Times New Roman" w:eastAsia="Times New Roman" w:hAnsi="Times New Roman" w:cs="Times New Roman"/>
          <w:noProof/>
          <w:sz w:val="24"/>
          <w:szCs w:val="24"/>
          <w:lang w:eastAsia="en-GB"/>
        </w:rPr>
        <w:t>.</w:t>
      </w:r>
    </w:p>
    <w:p w:rsidR="003C18FB" w:rsidRDefault="00773466">
      <w:pPr>
        <w:keepNext/>
        <w:spacing w:line="240" w:lineRule="auto"/>
        <w:rPr>
          <w:rFonts w:ascii="Times New Roman" w:hAnsi="Times New Roman" w:cs="Times New Roman"/>
          <w:noProof/>
        </w:rPr>
      </w:pPr>
      <w:r>
        <w:rPr>
          <w:noProof/>
          <w:lang w:eastAsia="en-GB"/>
        </w:rPr>
        <w:drawing>
          <wp:inline distT="0" distB="0" distL="0" distR="0">
            <wp:extent cx="5709684" cy="3540642"/>
            <wp:effectExtent l="0" t="0" r="24765" b="22225"/>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b/>
          <w:bCs/>
          <w:noProof/>
          <w:sz w:val="18"/>
          <w:szCs w:val="18"/>
        </w:rPr>
        <w:t xml:space="preserve">Figure </w:t>
      </w:r>
      <w:r>
        <w:rPr>
          <w:rFonts w:ascii="Times New Roman" w:hAnsi="Times New Roman" w:cs="Times New Roman"/>
          <w:b/>
          <w:bCs/>
          <w:noProof/>
          <w:sz w:val="18"/>
          <w:szCs w:val="18"/>
        </w:rPr>
        <w:fldChar w:fldCharType="begin"/>
      </w:r>
      <w:r>
        <w:rPr>
          <w:rFonts w:ascii="Times New Roman" w:hAnsi="Times New Roman" w:cs="Times New Roman"/>
          <w:b/>
          <w:bCs/>
          <w:noProof/>
          <w:sz w:val="18"/>
          <w:szCs w:val="18"/>
        </w:rPr>
        <w:instrText xml:space="preserve"> SEQ Figure \* ARABIC </w:instrText>
      </w:r>
      <w:r>
        <w:rPr>
          <w:rFonts w:ascii="Times New Roman" w:hAnsi="Times New Roman" w:cs="Times New Roman"/>
          <w:b/>
          <w:bCs/>
          <w:noProof/>
          <w:sz w:val="18"/>
          <w:szCs w:val="18"/>
        </w:rPr>
        <w:fldChar w:fldCharType="separate"/>
      </w:r>
      <w:r>
        <w:rPr>
          <w:rFonts w:ascii="Times New Roman" w:hAnsi="Times New Roman" w:cs="Times New Roman"/>
          <w:b/>
          <w:bCs/>
          <w:noProof/>
          <w:sz w:val="18"/>
          <w:szCs w:val="18"/>
        </w:rPr>
        <w:t>5</w:t>
      </w:r>
      <w:r>
        <w:rPr>
          <w:rFonts w:ascii="Times New Roman" w:hAnsi="Times New Roman" w:cs="Times New Roman"/>
          <w:b/>
          <w:bCs/>
          <w:noProof/>
          <w:sz w:val="18"/>
          <w:szCs w:val="18"/>
        </w:rPr>
        <w:fldChar w:fldCharType="end"/>
      </w:r>
      <w:r>
        <w:rPr>
          <w:rFonts w:ascii="Times New Roman" w:hAnsi="Times New Roman" w:cs="Times New Roman"/>
          <w:b/>
          <w:bCs/>
          <w:noProof/>
          <w:sz w:val="18"/>
          <w:szCs w:val="18"/>
        </w:rPr>
        <w:t>: Number of requests selected for funding under the 2017 and 2018 SRSP rounds, per Member State</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With an increase in the budget from €20.5 million in the 2017 SRSP to €30.5 million in the 2018 SRSP, the overall number of req</w:t>
      </w:r>
      <w:r>
        <w:rPr>
          <w:rFonts w:ascii="Times New Roman" w:eastAsia="Times New Roman" w:hAnsi="Times New Roman" w:cs="Times New Roman"/>
          <w:noProof/>
          <w:sz w:val="24"/>
          <w:szCs w:val="24"/>
          <w:lang w:eastAsia="en-GB"/>
        </w:rPr>
        <w:t>uests selected for funding under the 2018 SRSP was lower than under the 2017 SRSP, but distributed across more Member States (24).</w:t>
      </w:r>
    </w:p>
    <w:p w:rsidR="003C18FB" w:rsidRDefault="003C18FB">
      <w:pPr>
        <w:jc w:val="both"/>
        <w:rPr>
          <w:rFonts w:ascii="Times New Roman" w:eastAsia="Times New Roman" w:hAnsi="Times New Roman" w:cs="Times New Roman"/>
          <w:noProof/>
          <w:sz w:val="24"/>
          <w:szCs w:val="24"/>
          <w:lang w:eastAsia="en-GB"/>
        </w:rPr>
      </w:pPr>
    </w:p>
    <w:p w:rsidR="003C18FB" w:rsidRDefault="00773466">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distribution of requests selected for funding under the 2018 SRSP across the main broad policy areas was as shown below.</w:t>
      </w:r>
    </w:p>
    <w:p w:rsidR="003C18FB" w:rsidRDefault="00773466">
      <w:pPr>
        <w:keepNext/>
        <w:spacing w:after="120" w:line="240" w:lineRule="auto"/>
        <w:jc w:val="both"/>
        <w:rPr>
          <w:noProof/>
        </w:rPr>
      </w:pPr>
      <w:r>
        <w:rPr>
          <w:noProof/>
          <w:lang w:eastAsia="en-GB"/>
        </w:rPr>
        <w:drawing>
          <wp:inline distT="0" distB="0" distL="0" distR="0">
            <wp:extent cx="4540194" cy="2583748"/>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726" cy="2592018"/>
                    </a:xfrm>
                    <a:prstGeom prst="rect">
                      <a:avLst/>
                    </a:prstGeom>
                    <a:noFill/>
                  </pic:spPr>
                </pic:pic>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6</w:t>
      </w:r>
      <w:r>
        <w:rPr>
          <w:rFonts w:ascii="Times New Roman" w:hAnsi="Times New Roman" w:cs="Times New Roman"/>
          <w:noProof/>
          <w:color w:val="auto"/>
        </w:rPr>
        <w:fldChar w:fldCharType="end"/>
      </w:r>
      <w:r>
        <w:rPr>
          <w:rFonts w:ascii="Times New Roman" w:hAnsi="Times New Roman" w:cs="Times New Roman"/>
          <w:noProof/>
          <w:color w:val="auto"/>
        </w:rPr>
        <w:t>: Number of requests selected for funding under the 2018 SRSP– split per main broad policy area (in percentages)</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comparison, the highest numbers of requests selected for funding under the 2017 SRSP were in labour mark</w:t>
      </w:r>
      <w:r>
        <w:rPr>
          <w:rFonts w:ascii="Times New Roman" w:eastAsia="Times New Roman" w:hAnsi="Times New Roman" w:cs="Times New Roman"/>
          <w:noProof/>
          <w:sz w:val="24"/>
          <w:szCs w:val="24"/>
          <w:lang w:eastAsia="en-GB"/>
        </w:rPr>
        <w:t>et, education, health and social policy (29%) and growth and business environment (28%).</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the funds transferred to the SRSP voluntarily by Greece and Bulgaria under Article 11 of the SRSP Regulation, 39 requests were selected for Greece and 4 (i.e. all)</w:t>
      </w:r>
      <w:r>
        <w:rPr>
          <w:rFonts w:ascii="Times New Roman" w:eastAsia="Times New Roman" w:hAnsi="Times New Roman" w:cs="Times New Roman"/>
          <w:noProof/>
          <w:sz w:val="24"/>
          <w:szCs w:val="24"/>
          <w:lang w:eastAsia="en-GB"/>
        </w:rPr>
        <w:t xml:space="preserve"> for Bulgaria. The distribution per policy area was 40% for growth and business environment, 21.5% for governance and public administration, 21.5% for labour market, education, health and social policy, 10% for the financial sector and 7% for revenue admin</w:t>
      </w:r>
      <w:r>
        <w:rPr>
          <w:rFonts w:ascii="Times New Roman" w:eastAsia="Times New Roman" w:hAnsi="Times New Roman" w:cs="Times New Roman"/>
          <w:noProof/>
          <w:sz w:val="24"/>
          <w:szCs w:val="24"/>
          <w:lang w:eastAsia="en-GB"/>
        </w:rPr>
        <w:t>istration and public financial management.</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following chart shows the breakdown of the request selected under the SRSP 2018 budget and split according to relevant circumstances:  </w:t>
      </w:r>
    </w:p>
    <w:p w:rsidR="003C18FB" w:rsidRDefault="00773466">
      <w:pPr>
        <w:keepNext/>
        <w:spacing w:line="240" w:lineRule="auto"/>
        <w:rPr>
          <w:noProof/>
          <w:lang w:val="en-US"/>
        </w:rPr>
      </w:pPr>
      <w:r>
        <w:rPr>
          <w:noProof/>
          <w:lang w:eastAsia="en-GB"/>
        </w:rPr>
        <w:t xml:space="preserve">  </w:t>
      </w:r>
      <w:r>
        <w:rPr>
          <w:noProof/>
          <w:lang w:eastAsia="en-GB"/>
        </w:rPr>
        <w:drawing>
          <wp:inline distT="0" distB="0" distL="0" distR="0">
            <wp:extent cx="4274288" cy="2551814"/>
            <wp:effectExtent l="0" t="0" r="12065" b="203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C18FB" w:rsidRDefault="00773466">
      <w:pPr>
        <w:pStyle w:val="Caption"/>
        <w:rPr>
          <w:noProof/>
          <w:highlight w:val="yellow"/>
          <w:lang w:eastAsia="en-GB"/>
        </w:rPr>
      </w:pPr>
      <w:r>
        <w:rPr>
          <w:rFonts w:ascii="Times New Roman" w:hAnsi="Times New Roman" w:cs="Times New Roman"/>
          <w:noProof/>
          <w:color w:val="000000" w:themeColor="text1"/>
        </w:rPr>
        <w:t xml:space="preserve">Figure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SEQ Figure \* ARABIC </w:instrText>
      </w:r>
      <w:r>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7</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 Number of requests selected under</w:t>
      </w:r>
      <w:r>
        <w:rPr>
          <w:rFonts w:ascii="Times New Roman" w:hAnsi="Times New Roman" w:cs="Times New Roman"/>
          <w:noProof/>
          <w:color w:val="000000" w:themeColor="text1"/>
        </w:rPr>
        <w:t xml:space="preserve"> the 2018 SRSP – split according to circumstances of the request (</w:t>
      </w:r>
      <w:r>
        <w:rPr>
          <w:rFonts w:ascii="Times New Roman" w:hAnsi="Times New Roman" w:cs="Times New Roman"/>
          <w:noProof/>
          <w:color w:val="auto"/>
        </w:rPr>
        <w:t>in percentages</w:t>
      </w:r>
      <w:r>
        <w:rPr>
          <w:rFonts w:ascii="Times New Roman" w:hAnsi="Times New Roman" w:cs="Times New Roman"/>
          <w:noProof/>
          <w:color w:val="000000" w:themeColor="text1"/>
        </w:rPr>
        <w:t>)</w:t>
      </w:r>
    </w:p>
    <w:p w:rsidR="003C18FB" w:rsidRDefault="0077346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97% of requests selected for funding under the 2018 SRSP round were given </w:t>
      </w:r>
      <w:r>
        <w:rPr>
          <w:rFonts w:ascii="Times New Roman" w:hAnsi="Times New Roman" w:cs="Times New Roman"/>
          <w:b/>
          <w:noProof/>
          <w:sz w:val="24"/>
          <w:szCs w:val="24"/>
        </w:rPr>
        <w:t>high scores</w:t>
      </w:r>
      <w:r>
        <w:rPr>
          <w:rFonts w:ascii="Times New Roman" w:hAnsi="Times New Roman" w:cs="Times New Roman"/>
          <w:noProof/>
          <w:sz w:val="24"/>
          <w:szCs w:val="24"/>
        </w:rPr>
        <w:t>. The chart below shows the distribution of the scores of the selected requests.</w:t>
      </w:r>
    </w:p>
    <w:p w:rsidR="003C18FB" w:rsidRDefault="00773466">
      <w:pPr>
        <w:keepNext/>
        <w:spacing w:after="120" w:line="240" w:lineRule="auto"/>
        <w:rPr>
          <w:noProof/>
        </w:rPr>
      </w:pPr>
      <w:r>
        <w:rPr>
          <w:noProof/>
          <w:lang w:eastAsia="en-GB"/>
        </w:rPr>
        <w:drawing>
          <wp:inline distT="0" distB="0" distL="0" distR="0">
            <wp:extent cx="3838354" cy="2030819"/>
            <wp:effectExtent l="0" t="0" r="10160" b="2667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18FB" w:rsidRDefault="00773466">
      <w:pPr>
        <w:pStyle w:val="Caption"/>
        <w:rPr>
          <w:rFonts w:ascii="Times New Roman" w:hAnsi="Times New Roman" w:cs="Times New Roman"/>
          <w:noProof/>
          <w:highlight w:val="yellow"/>
          <w:lang w:eastAsia="en-GB"/>
        </w:rPr>
      </w:pPr>
      <w:r>
        <w:rPr>
          <w:rFonts w:ascii="Times New Roman" w:hAnsi="Times New Roman" w:cs="Times New Roman"/>
          <w:noProof/>
          <w:color w:val="auto"/>
        </w:rPr>
        <w:t>Figure</w:t>
      </w:r>
      <w:r>
        <w:rPr>
          <w:rFonts w:ascii="Times New Roman" w:hAnsi="Times New Roman" w:cs="Times New Roman"/>
          <w:noProof/>
          <w:color w:val="auto"/>
        </w:rPr>
        <w:t xml:space="preserv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8</w:t>
      </w:r>
      <w:r>
        <w:rPr>
          <w:rFonts w:ascii="Times New Roman" w:hAnsi="Times New Roman" w:cs="Times New Roman"/>
          <w:noProof/>
          <w:color w:val="auto"/>
        </w:rPr>
        <w:fldChar w:fldCharType="end"/>
      </w:r>
      <w:r>
        <w:rPr>
          <w:rFonts w:ascii="Times New Roman" w:hAnsi="Times New Roman" w:cs="Times New Roman"/>
          <w:noProof/>
          <w:color w:val="auto"/>
        </w:rPr>
        <w:t>: Rating of requests selected for funding under the 2018 SRSP</w:t>
      </w:r>
      <w:r>
        <w:rPr>
          <w:rFonts w:ascii="Times New Roman" w:hAnsi="Times New Roman" w:cs="Times New Roman"/>
          <w:noProof/>
          <w:color w:val="auto"/>
          <w:vertAlign w:val="superscript"/>
        </w:rPr>
        <w:footnoteReference w:id="28"/>
      </w:r>
    </w:p>
    <w:p w:rsidR="003C18FB" w:rsidRDefault="00773466">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By way of comparison, 88% of requests selected for funding under the 2017 SRSP were given </w:t>
      </w:r>
      <w:r>
        <w:rPr>
          <w:rFonts w:ascii="Times New Roman" w:hAnsi="Times New Roman" w:cs="Times New Roman"/>
          <w:b/>
          <w:noProof/>
          <w:sz w:val="24"/>
          <w:szCs w:val="24"/>
        </w:rPr>
        <w:t>high scores</w:t>
      </w:r>
      <w:r>
        <w:rPr>
          <w:rFonts w:ascii="Times New Roman" w:hAnsi="Times New Roman" w:cs="Times New Roman"/>
          <w:noProof/>
          <w:sz w:val="24"/>
          <w:szCs w:val="24"/>
        </w:rPr>
        <w:t>.</w:t>
      </w:r>
    </w:p>
    <w:p w:rsidR="003C18FB" w:rsidRDefault="003C18FB">
      <w:pPr>
        <w:spacing w:after="120" w:line="240" w:lineRule="auto"/>
        <w:rPr>
          <w:noProof/>
          <w:highlight w:val="yellow"/>
          <w:lang w:eastAsia="en-GB"/>
        </w:rPr>
      </w:pPr>
    </w:p>
    <w:p w:rsidR="003C18FB" w:rsidRDefault="00773466">
      <w:pPr>
        <w:pStyle w:val="Heading2"/>
        <w:rPr>
          <w:noProof/>
        </w:rPr>
      </w:pPr>
      <w:bookmarkStart w:id="45" w:name="_Toc526528401"/>
      <w:bookmarkStart w:id="46" w:name="_Toc22031551"/>
      <w:r>
        <w:rPr>
          <w:noProof/>
        </w:rPr>
        <w:t>Cooperation and support plans</w:t>
      </w:r>
      <w:bookmarkEnd w:id="45"/>
      <w:bookmarkEnd w:id="46"/>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Once the requests for support </w:t>
      </w:r>
      <w:r>
        <w:rPr>
          <w:rFonts w:ascii="Times New Roman" w:eastAsia="Times New Roman" w:hAnsi="Times New Roman" w:cs="Times New Roman"/>
          <w:noProof/>
          <w:sz w:val="24"/>
          <w:szCs w:val="24"/>
          <w:lang w:eastAsia="en-GB"/>
        </w:rPr>
        <w:t>had been selected, the Commission concluded a cooperation and support plan</w:t>
      </w:r>
      <w:r>
        <w:rPr>
          <w:rStyle w:val="FootnoteReference"/>
          <w:rFonts w:ascii="Times New Roman" w:eastAsia="Times New Roman" w:hAnsi="Times New Roman" w:cs="Times New Roman"/>
          <w:noProof/>
          <w:sz w:val="24"/>
          <w:szCs w:val="24"/>
          <w:lang w:eastAsia="en-GB"/>
        </w:rPr>
        <w:footnoteReference w:id="29"/>
      </w:r>
      <w:r>
        <w:rPr>
          <w:rFonts w:ascii="Times New Roman" w:eastAsia="Times New Roman" w:hAnsi="Times New Roman" w:cs="Times New Roman"/>
          <w:noProof/>
          <w:sz w:val="24"/>
          <w:szCs w:val="24"/>
          <w:lang w:eastAsia="en-GB"/>
        </w:rPr>
        <w:t xml:space="preserve"> with each Member State benefiting from the programme.</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pBdr>
          <w:top w:val="single" w:sz="4" w:space="1" w:color="auto"/>
          <w:left w:val="single" w:sz="4" w:space="4" w:color="auto"/>
          <w:bottom w:val="single" w:sz="4" w:space="1" w:color="auto"/>
          <w:right w:val="single" w:sz="4" w:space="4" w:color="auto"/>
        </w:pBdr>
        <w:spacing w:after="120" w:line="240" w:lineRule="auto"/>
        <w:jc w:val="cente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Cooperation and support plans</w:t>
      </w:r>
    </w:p>
    <w:p w:rsidR="003C18FB" w:rsidRDefault="00773466">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Member States and the Commission work closely together to carry out actions financed under the SRSP. After a Member State submits its request for support, the coordinating authority of the requesting Member State and the Commission agree on the priorities </w:t>
      </w:r>
      <w:r>
        <w:rPr>
          <w:rFonts w:ascii="Times New Roman" w:hAnsi="Times New Roman" w:cs="Times New Roman"/>
          <w:noProof/>
          <w:sz w:val="24"/>
        </w:rPr>
        <w:t>and objectives, an indicative timeline, the scope of the support measures and the estimated financial contribution for such support. This agreement is reflected in a cooperation and support plan (CSP). The CSPs are multiannual documents, signed and amended</w:t>
      </w:r>
      <w:r>
        <w:rPr>
          <w:rFonts w:ascii="Times New Roman" w:hAnsi="Times New Roman" w:cs="Times New Roman"/>
          <w:noProof/>
          <w:sz w:val="24"/>
        </w:rPr>
        <w:t xml:space="preserve"> each year (if need be) by the Commission and Member States requesting support from the SRSP. </w:t>
      </w:r>
    </w:p>
    <w:p w:rsidR="003C18FB" w:rsidRDefault="00773466">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rPr>
        <w:t>Implementation of the support measures requires full involvement and ownership by the Member State. The CSP is not a legally binding document, and it does not se</w:t>
      </w:r>
      <w:r>
        <w:rPr>
          <w:rFonts w:ascii="Times New Roman" w:hAnsi="Times New Roman" w:cs="Times New Roman"/>
          <w:noProof/>
          <w:sz w:val="24"/>
        </w:rPr>
        <w:t>rve as a financing decision (the estimated global financial contribution is only indicative). However, through this document, the Commission and the Member States express their commitment to engage in the implementation of the support measures</w:t>
      </w:r>
      <w:r>
        <w:rPr>
          <w:rFonts w:ascii="Times New Roman" w:hAnsi="Times New Roman" w:cs="Times New Roman"/>
          <w:noProof/>
          <w:vertAlign w:val="superscript"/>
        </w:rPr>
        <w:footnoteReference w:id="30"/>
      </w:r>
      <w:r>
        <w:rPr>
          <w:rFonts w:ascii="Times New Roman" w:eastAsia="Times New Roman" w:hAnsi="Times New Roman" w:cs="Times New Roman"/>
          <w:noProof/>
          <w:sz w:val="28"/>
          <w:szCs w:val="24"/>
          <w:lang w:eastAsia="en-GB"/>
        </w:rPr>
        <w:t xml:space="preserve">. </w:t>
      </w:r>
      <w:r>
        <w:rPr>
          <w:rFonts w:ascii="Times New Roman" w:eastAsia="Times New Roman" w:hAnsi="Times New Roman" w:cs="Times New Roman"/>
          <w:noProof/>
          <w:sz w:val="24"/>
          <w:szCs w:val="24"/>
          <w:lang w:eastAsia="en-GB"/>
        </w:rPr>
        <w:t>Subject to</w:t>
      </w:r>
      <w:r>
        <w:rPr>
          <w:rFonts w:ascii="Times New Roman" w:eastAsia="Times New Roman" w:hAnsi="Times New Roman" w:cs="Times New Roman"/>
          <w:noProof/>
          <w:sz w:val="24"/>
          <w:szCs w:val="24"/>
          <w:lang w:eastAsia="en-GB"/>
        </w:rPr>
        <w:t xml:space="preserve"> consent by the Member States, the CSPs are transmitted to the European Parliament and the Council.</w:t>
      </w:r>
    </w:p>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2018, 24 cooperation and support plans were concluded between the Commission and the Member States. They were sent to the European Parliament and the Co</w:t>
      </w:r>
      <w:r>
        <w:rPr>
          <w:rFonts w:ascii="Times New Roman" w:eastAsia="Times New Roman" w:hAnsi="Times New Roman" w:cs="Times New Roman"/>
          <w:noProof/>
          <w:sz w:val="24"/>
          <w:szCs w:val="24"/>
          <w:lang w:eastAsia="en-GB"/>
        </w:rPr>
        <w:t>uncil on 4 May 2018, in line with Article 8 of the SRSP Regulation.</w:t>
      </w:r>
    </w:p>
    <w:tbl>
      <w:tblPr>
        <w:tblStyle w:val="TableGrid"/>
        <w:tblW w:w="0" w:type="auto"/>
        <w:tblLook w:val="04A0" w:firstRow="1" w:lastRow="0" w:firstColumn="1" w:lastColumn="0" w:noHBand="0" w:noVBand="1"/>
      </w:tblPr>
      <w:tblGrid>
        <w:gridCol w:w="1809"/>
        <w:gridCol w:w="4111"/>
        <w:gridCol w:w="2268"/>
      </w:tblGrid>
      <w:tr w:rsidR="003C18FB">
        <w:tc>
          <w:tcPr>
            <w:tcW w:w="1809" w:type="dxa"/>
            <w:shd w:val="clear" w:color="auto" w:fill="B8CCE4" w:themeFill="accent1" w:themeFillTint="66"/>
          </w:tcPr>
          <w:p w:rsidR="003C18FB" w:rsidRDefault="00773466">
            <w:pPr>
              <w:spacing w:after="120"/>
              <w:jc w:val="both"/>
              <w:rPr>
                <w:b/>
                <w:noProof/>
                <w:sz w:val="24"/>
                <w:szCs w:val="24"/>
              </w:rPr>
            </w:pPr>
            <w:r>
              <w:rPr>
                <w:b/>
                <w:noProof/>
                <w:sz w:val="24"/>
                <w:szCs w:val="24"/>
              </w:rPr>
              <w:t>Country</w:t>
            </w:r>
          </w:p>
        </w:tc>
        <w:tc>
          <w:tcPr>
            <w:tcW w:w="4111" w:type="dxa"/>
            <w:shd w:val="clear" w:color="auto" w:fill="B8CCE4" w:themeFill="accent1" w:themeFillTint="66"/>
          </w:tcPr>
          <w:p w:rsidR="003C18FB" w:rsidRDefault="00773466">
            <w:pPr>
              <w:spacing w:after="120"/>
              <w:jc w:val="both"/>
              <w:rPr>
                <w:b/>
                <w:noProof/>
                <w:sz w:val="24"/>
                <w:szCs w:val="24"/>
              </w:rPr>
            </w:pPr>
            <w:r>
              <w:rPr>
                <w:b/>
                <w:noProof/>
                <w:sz w:val="24"/>
                <w:szCs w:val="24"/>
              </w:rPr>
              <w:t>Indicative timeline of delivery of support measures</w:t>
            </w:r>
          </w:p>
        </w:tc>
        <w:tc>
          <w:tcPr>
            <w:tcW w:w="2268" w:type="dxa"/>
            <w:shd w:val="clear" w:color="auto" w:fill="B8CCE4" w:themeFill="accent1" w:themeFillTint="66"/>
          </w:tcPr>
          <w:p w:rsidR="003C18FB" w:rsidRDefault="00773466">
            <w:pPr>
              <w:spacing w:after="120"/>
              <w:jc w:val="both"/>
              <w:rPr>
                <w:b/>
                <w:noProof/>
                <w:sz w:val="24"/>
                <w:szCs w:val="24"/>
              </w:rPr>
            </w:pPr>
            <w:r>
              <w:rPr>
                <w:b/>
                <w:noProof/>
                <w:sz w:val="24"/>
                <w:szCs w:val="24"/>
              </w:rPr>
              <w:t>Estimated global contribution</w:t>
            </w:r>
            <w:r>
              <w:rPr>
                <w:b/>
                <w:noProof/>
                <w:szCs w:val="24"/>
                <w:vertAlign w:val="superscript"/>
              </w:rPr>
              <w:footnoteReference w:id="31"/>
            </w:r>
          </w:p>
        </w:tc>
      </w:tr>
      <w:tr w:rsidR="003C18FB">
        <w:tc>
          <w:tcPr>
            <w:tcW w:w="1809" w:type="dxa"/>
          </w:tcPr>
          <w:p w:rsidR="003C18FB" w:rsidRDefault="00773466">
            <w:pPr>
              <w:spacing w:after="120"/>
              <w:jc w:val="both"/>
              <w:rPr>
                <w:noProof/>
                <w:sz w:val="24"/>
                <w:szCs w:val="24"/>
              </w:rPr>
            </w:pPr>
            <w:r>
              <w:rPr>
                <w:noProof/>
                <w:sz w:val="24"/>
                <w:szCs w:val="24"/>
              </w:rPr>
              <w:t>Austria</w:t>
            </w:r>
          </w:p>
        </w:tc>
        <w:tc>
          <w:tcPr>
            <w:tcW w:w="4111" w:type="dxa"/>
          </w:tcPr>
          <w:p w:rsidR="003C18FB" w:rsidRDefault="00773466">
            <w:pPr>
              <w:spacing w:after="120"/>
              <w:jc w:val="both"/>
              <w:rPr>
                <w:noProof/>
                <w:sz w:val="24"/>
                <w:szCs w:val="24"/>
              </w:rPr>
            </w:pPr>
            <w:r>
              <w:rPr>
                <w:noProof/>
                <w:sz w:val="24"/>
                <w:szCs w:val="24"/>
              </w:rPr>
              <w:t>Q1 2018 – Q1 2021</w:t>
            </w:r>
          </w:p>
        </w:tc>
        <w:tc>
          <w:tcPr>
            <w:tcW w:w="2268" w:type="dxa"/>
          </w:tcPr>
          <w:p w:rsidR="003C18FB" w:rsidRDefault="00773466">
            <w:pPr>
              <w:spacing w:after="120"/>
              <w:jc w:val="both"/>
              <w:rPr>
                <w:noProof/>
                <w:sz w:val="24"/>
                <w:szCs w:val="24"/>
              </w:rPr>
            </w:pPr>
            <w:r>
              <w:rPr>
                <w:noProof/>
                <w:sz w:val="24"/>
                <w:szCs w:val="24"/>
              </w:rPr>
              <w:t>€1,070,000</w:t>
            </w:r>
          </w:p>
        </w:tc>
      </w:tr>
      <w:tr w:rsidR="003C18FB">
        <w:tc>
          <w:tcPr>
            <w:tcW w:w="1809" w:type="dxa"/>
          </w:tcPr>
          <w:p w:rsidR="003C18FB" w:rsidRDefault="00773466">
            <w:pPr>
              <w:spacing w:after="120"/>
              <w:jc w:val="both"/>
              <w:rPr>
                <w:noProof/>
                <w:sz w:val="24"/>
                <w:szCs w:val="24"/>
              </w:rPr>
            </w:pPr>
            <w:r>
              <w:rPr>
                <w:noProof/>
                <w:sz w:val="24"/>
                <w:szCs w:val="24"/>
              </w:rPr>
              <w:t>Belgium</w:t>
            </w:r>
          </w:p>
        </w:tc>
        <w:tc>
          <w:tcPr>
            <w:tcW w:w="4111" w:type="dxa"/>
          </w:tcPr>
          <w:p w:rsidR="003C18FB" w:rsidRDefault="00773466">
            <w:pPr>
              <w:spacing w:after="120"/>
              <w:jc w:val="both"/>
              <w:rPr>
                <w:noProof/>
                <w:sz w:val="24"/>
                <w:szCs w:val="24"/>
              </w:rPr>
            </w:pPr>
            <w:r>
              <w:rPr>
                <w:noProof/>
                <w:sz w:val="24"/>
                <w:szCs w:val="24"/>
              </w:rPr>
              <w:t>Q2 2018 – Q4 2019</w:t>
            </w:r>
          </w:p>
        </w:tc>
        <w:tc>
          <w:tcPr>
            <w:tcW w:w="2268" w:type="dxa"/>
          </w:tcPr>
          <w:p w:rsidR="003C18FB" w:rsidRDefault="00773466">
            <w:pPr>
              <w:spacing w:after="120"/>
              <w:jc w:val="both"/>
              <w:rPr>
                <w:noProof/>
                <w:sz w:val="24"/>
                <w:szCs w:val="24"/>
              </w:rPr>
            </w:pPr>
            <w:r>
              <w:rPr>
                <w:noProof/>
                <w:sz w:val="24"/>
                <w:szCs w:val="24"/>
              </w:rPr>
              <w:t>€990,000</w:t>
            </w:r>
          </w:p>
        </w:tc>
      </w:tr>
      <w:tr w:rsidR="003C18FB">
        <w:tc>
          <w:tcPr>
            <w:tcW w:w="1809" w:type="dxa"/>
          </w:tcPr>
          <w:p w:rsidR="003C18FB" w:rsidRDefault="00773466">
            <w:pPr>
              <w:spacing w:after="120"/>
              <w:jc w:val="both"/>
              <w:rPr>
                <w:noProof/>
                <w:sz w:val="24"/>
                <w:szCs w:val="24"/>
              </w:rPr>
            </w:pPr>
            <w:r>
              <w:rPr>
                <w:noProof/>
                <w:sz w:val="24"/>
                <w:szCs w:val="24"/>
              </w:rPr>
              <w:t>Bulgaria</w:t>
            </w:r>
          </w:p>
        </w:tc>
        <w:tc>
          <w:tcPr>
            <w:tcW w:w="4111" w:type="dxa"/>
          </w:tcPr>
          <w:p w:rsidR="003C18FB" w:rsidRDefault="00773466">
            <w:pPr>
              <w:spacing w:after="120"/>
              <w:jc w:val="both"/>
              <w:rPr>
                <w:noProof/>
                <w:sz w:val="24"/>
                <w:szCs w:val="24"/>
              </w:rPr>
            </w:pPr>
            <w:r>
              <w:rPr>
                <w:noProof/>
                <w:sz w:val="24"/>
                <w:szCs w:val="24"/>
              </w:rPr>
              <w:t xml:space="preserve">Q1 2018 – Q4 </w:t>
            </w:r>
            <w:r>
              <w:rPr>
                <w:noProof/>
                <w:sz w:val="24"/>
                <w:szCs w:val="24"/>
              </w:rPr>
              <w:t>2019</w:t>
            </w:r>
          </w:p>
        </w:tc>
        <w:tc>
          <w:tcPr>
            <w:tcW w:w="2268" w:type="dxa"/>
          </w:tcPr>
          <w:p w:rsidR="003C18FB" w:rsidRDefault="00773466">
            <w:pPr>
              <w:spacing w:after="120"/>
              <w:jc w:val="both"/>
              <w:rPr>
                <w:noProof/>
                <w:sz w:val="24"/>
                <w:szCs w:val="24"/>
              </w:rPr>
            </w:pPr>
            <w:r>
              <w:rPr>
                <w:noProof/>
                <w:sz w:val="24"/>
                <w:szCs w:val="24"/>
              </w:rPr>
              <w:t>€1,440,000</w:t>
            </w:r>
          </w:p>
        </w:tc>
      </w:tr>
      <w:tr w:rsidR="003C18FB">
        <w:tc>
          <w:tcPr>
            <w:tcW w:w="1809" w:type="dxa"/>
          </w:tcPr>
          <w:p w:rsidR="003C18FB" w:rsidRDefault="00773466">
            <w:pPr>
              <w:spacing w:after="120"/>
              <w:jc w:val="both"/>
              <w:rPr>
                <w:noProof/>
                <w:sz w:val="24"/>
                <w:szCs w:val="24"/>
              </w:rPr>
            </w:pPr>
            <w:r>
              <w:rPr>
                <w:noProof/>
                <w:sz w:val="24"/>
                <w:szCs w:val="24"/>
              </w:rPr>
              <w:t>Croatia</w:t>
            </w:r>
          </w:p>
        </w:tc>
        <w:tc>
          <w:tcPr>
            <w:tcW w:w="4111" w:type="dxa"/>
          </w:tcPr>
          <w:p w:rsidR="003C18FB" w:rsidRDefault="00773466">
            <w:pPr>
              <w:spacing w:after="120"/>
              <w:jc w:val="both"/>
              <w:rPr>
                <w:noProof/>
                <w:sz w:val="24"/>
                <w:szCs w:val="24"/>
              </w:rPr>
            </w:pPr>
            <w:r>
              <w:rPr>
                <w:noProof/>
                <w:sz w:val="24"/>
                <w:szCs w:val="24"/>
              </w:rPr>
              <w:t>Q2 2018 – Q2 2020</w:t>
            </w:r>
          </w:p>
        </w:tc>
        <w:tc>
          <w:tcPr>
            <w:tcW w:w="2268" w:type="dxa"/>
          </w:tcPr>
          <w:p w:rsidR="003C18FB" w:rsidRDefault="00773466">
            <w:pPr>
              <w:spacing w:after="120"/>
              <w:jc w:val="both"/>
              <w:rPr>
                <w:noProof/>
                <w:sz w:val="24"/>
                <w:szCs w:val="24"/>
              </w:rPr>
            </w:pPr>
            <w:r>
              <w:rPr>
                <w:noProof/>
                <w:sz w:val="24"/>
                <w:szCs w:val="24"/>
              </w:rPr>
              <w:t>€2,390,000</w:t>
            </w:r>
          </w:p>
        </w:tc>
      </w:tr>
      <w:tr w:rsidR="003C18FB">
        <w:tc>
          <w:tcPr>
            <w:tcW w:w="1809" w:type="dxa"/>
          </w:tcPr>
          <w:p w:rsidR="003C18FB" w:rsidRDefault="00773466">
            <w:pPr>
              <w:spacing w:after="120"/>
              <w:jc w:val="both"/>
              <w:rPr>
                <w:noProof/>
                <w:sz w:val="24"/>
                <w:szCs w:val="24"/>
              </w:rPr>
            </w:pPr>
            <w:r>
              <w:rPr>
                <w:noProof/>
                <w:sz w:val="24"/>
                <w:szCs w:val="24"/>
              </w:rPr>
              <w:t>Cyprus</w:t>
            </w:r>
          </w:p>
        </w:tc>
        <w:tc>
          <w:tcPr>
            <w:tcW w:w="4111" w:type="dxa"/>
          </w:tcPr>
          <w:p w:rsidR="003C18FB" w:rsidRDefault="00773466">
            <w:pPr>
              <w:spacing w:after="120"/>
              <w:jc w:val="both"/>
              <w:rPr>
                <w:noProof/>
                <w:sz w:val="24"/>
                <w:szCs w:val="24"/>
              </w:rPr>
            </w:pPr>
            <w:r>
              <w:rPr>
                <w:noProof/>
                <w:sz w:val="24"/>
                <w:szCs w:val="24"/>
              </w:rPr>
              <w:t>Q1 2018 – Q3 2021</w:t>
            </w:r>
          </w:p>
        </w:tc>
        <w:tc>
          <w:tcPr>
            <w:tcW w:w="2268" w:type="dxa"/>
          </w:tcPr>
          <w:p w:rsidR="003C18FB" w:rsidRDefault="00773466">
            <w:pPr>
              <w:spacing w:after="120"/>
              <w:jc w:val="both"/>
              <w:rPr>
                <w:noProof/>
                <w:sz w:val="24"/>
                <w:szCs w:val="24"/>
              </w:rPr>
            </w:pPr>
            <w:r>
              <w:rPr>
                <w:noProof/>
                <w:sz w:val="24"/>
                <w:szCs w:val="24"/>
              </w:rPr>
              <w:t>€1,270,000</w:t>
            </w:r>
          </w:p>
        </w:tc>
      </w:tr>
      <w:tr w:rsidR="003C18FB">
        <w:tc>
          <w:tcPr>
            <w:tcW w:w="1809" w:type="dxa"/>
          </w:tcPr>
          <w:p w:rsidR="003C18FB" w:rsidRDefault="00773466">
            <w:pPr>
              <w:spacing w:after="120"/>
              <w:jc w:val="both"/>
              <w:rPr>
                <w:noProof/>
                <w:sz w:val="24"/>
                <w:szCs w:val="24"/>
              </w:rPr>
            </w:pPr>
            <w:r>
              <w:rPr>
                <w:noProof/>
                <w:sz w:val="24"/>
                <w:szCs w:val="24"/>
              </w:rPr>
              <w:t>Czech Republic</w:t>
            </w:r>
          </w:p>
        </w:tc>
        <w:tc>
          <w:tcPr>
            <w:tcW w:w="4111" w:type="dxa"/>
          </w:tcPr>
          <w:p w:rsidR="003C18FB" w:rsidRDefault="00773466">
            <w:pPr>
              <w:spacing w:after="120"/>
              <w:jc w:val="both"/>
              <w:rPr>
                <w:noProof/>
                <w:sz w:val="24"/>
                <w:szCs w:val="24"/>
              </w:rPr>
            </w:pPr>
            <w:r>
              <w:rPr>
                <w:noProof/>
                <w:sz w:val="24"/>
                <w:szCs w:val="24"/>
              </w:rPr>
              <w:t>Q2 2018 – Q2 2020</w:t>
            </w:r>
          </w:p>
        </w:tc>
        <w:tc>
          <w:tcPr>
            <w:tcW w:w="2268" w:type="dxa"/>
          </w:tcPr>
          <w:p w:rsidR="003C18FB" w:rsidRDefault="00773466">
            <w:pPr>
              <w:spacing w:after="120"/>
              <w:jc w:val="both"/>
              <w:rPr>
                <w:noProof/>
                <w:sz w:val="24"/>
                <w:szCs w:val="24"/>
              </w:rPr>
            </w:pPr>
            <w:r>
              <w:rPr>
                <w:noProof/>
                <w:sz w:val="24"/>
                <w:szCs w:val="24"/>
              </w:rPr>
              <w:t>€680,000</w:t>
            </w:r>
          </w:p>
        </w:tc>
      </w:tr>
      <w:tr w:rsidR="003C18FB">
        <w:tc>
          <w:tcPr>
            <w:tcW w:w="1809" w:type="dxa"/>
          </w:tcPr>
          <w:p w:rsidR="003C18FB" w:rsidRDefault="00773466">
            <w:pPr>
              <w:spacing w:after="120"/>
              <w:jc w:val="both"/>
              <w:rPr>
                <w:noProof/>
                <w:sz w:val="24"/>
                <w:szCs w:val="24"/>
              </w:rPr>
            </w:pPr>
            <w:r>
              <w:rPr>
                <w:noProof/>
                <w:sz w:val="24"/>
                <w:szCs w:val="24"/>
              </w:rPr>
              <w:t>Estonia</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€1,045,000</w:t>
            </w:r>
          </w:p>
        </w:tc>
      </w:tr>
      <w:tr w:rsidR="003C18FB">
        <w:tc>
          <w:tcPr>
            <w:tcW w:w="1809" w:type="dxa"/>
          </w:tcPr>
          <w:p w:rsidR="003C18FB" w:rsidRDefault="00773466">
            <w:pPr>
              <w:spacing w:after="120"/>
              <w:jc w:val="both"/>
              <w:rPr>
                <w:noProof/>
                <w:sz w:val="24"/>
                <w:szCs w:val="24"/>
              </w:rPr>
            </w:pPr>
            <w:r>
              <w:rPr>
                <w:noProof/>
                <w:sz w:val="24"/>
                <w:szCs w:val="24"/>
              </w:rPr>
              <w:t>Finland</w:t>
            </w:r>
          </w:p>
        </w:tc>
        <w:tc>
          <w:tcPr>
            <w:tcW w:w="4111" w:type="dxa"/>
          </w:tcPr>
          <w:p w:rsidR="003C18FB" w:rsidRDefault="00773466">
            <w:pPr>
              <w:spacing w:after="120"/>
              <w:jc w:val="both"/>
              <w:rPr>
                <w:noProof/>
                <w:sz w:val="24"/>
                <w:szCs w:val="24"/>
              </w:rPr>
            </w:pPr>
            <w:r>
              <w:rPr>
                <w:noProof/>
                <w:sz w:val="24"/>
                <w:szCs w:val="24"/>
              </w:rPr>
              <w:t>Q1 2018 – Q3 2019</w:t>
            </w:r>
          </w:p>
        </w:tc>
        <w:tc>
          <w:tcPr>
            <w:tcW w:w="2268" w:type="dxa"/>
          </w:tcPr>
          <w:p w:rsidR="003C18FB" w:rsidRDefault="00773466">
            <w:pPr>
              <w:spacing w:after="120"/>
              <w:jc w:val="both"/>
              <w:rPr>
                <w:noProof/>
                <w:sz w:val="24"/>
                <w:szCs w:val="24"/>
              </w:rPr>
            </w:pPr>
            <w:r>
              <w:rPr>
                <w:noProof/>
                <w:sz w:val="24"/>
                <w:szCs w:val="24"/>
              </w:rPr>
              <w:t>€190,000</w:t>
            </w:r>
          </w:p>
        </w:tc>
      </w:tr>
      <w:tr w:rsidR="003C18FB">
        <w:tc>
          <w:tcPr>
            <w:tcW w:w="1809" w:type="dxa"/>
          </w:tcPr>
          <w:p w:rsidR="003C18FB" w:rsidRDefault="00773466">
            <w:pPr>
              <w:spacing w:after="120"/>
              <w:jc w:val="both"/>
              <w:rPr>
                <w:noProof/>
                <w:sz w:val="24"/>
                <w:szCs w:val="24"/>
              </w:rPr>
            </w:pPr>
            <w:r>
              <w:rPr>
                <w:noProof/>
                <w:sz w:val="24"/>
                <w:szCs w:val="24"/>
              </w:rPr>
              <w:t>Germany</w:t>
            </w:r>
          </w:p>
        </w:tc>
        <w:tc>
          <w:tcPr>
            <w:tcW w:w="4111" w:type="dxa"/>
          </w:tcPr>
          <w:p w:rsidR="003C18FB" w:rsidRDefault="00773466">
            <w:pPr>
              <w:spacing w:after="120"/>
              <w:jc w:val="both"/>
              <w:rPr>
                <w:noProof/>
                <w:sz w:val="24"/>
                <w:szCs w:val="24"/>
              </w:rPr>
            </w:pPr>
            <w:r>
              <w:rPr>
                <w:noProof/>
                <w:sz w:val="24"/>
                <w:szCs w:val="24"/>
              </w:rPr>
              <w:t>Q2 2018 – Q1 2019</w:t>
            </w:r>
          </w:p>
        </w:tc>
        <w:tc>
          <w:tcPr>
            <w:tcW w:w="2268" w:type="dxa"/>
          </w:tcPr>
          <w:p w:rsidR="003C18FB" w:rsidRDefault="00773466">
            <w:pPr>
              <w:spacing w:after="120"/>
              <w:jc w:val="both"/>
              <w:rPr>
                <w:noProof/>
                <w:sz w:val="24"/>
                <w:szCs w:val="24"/>
              </w:rPr>
            </w:pPr>
            <w:r>
              <w:rPr>
                <w:noProof/>
                <w:sz w:val="24"/>
                <w:szCs w:val="24"/>
              </w:rPr>
              <w:t>€920,000</w:t>
            </w:r>
          </w:p>
        </w:tc>
      </w:tr>
      <w:tr w:rsidR="003C18FB">
        <w:tc>
          <w:tcPr>
            <w:tcW w:w="1809" w:type="dxa"/>
          </w:tcPr>
          <w:p w:rsidR="003C18FB" w:rsidRDefault="00773466">
            <w:pPr>
              <w:spacing w:after="120"/>
              <w:jc w:val="both"/>
              <w:rPr>
                <w:noProof/>
                <w:sz w:val="24"/>
                <w:szCs w:val="24"/>
              </w:rPr>
            </w:pPr>
            <w:r>
              <w:rPr>
                <w:noProof/>
                <w:sz w:val="24"/>
                <w:szCs w:val="24"/>
              </w:rPr>
              <w:t>Greece</w:t>
            </w:r>
          </w:p>
        </w:tc>
        <w:tc>
          <w:tcPr>
            <w:tcW w:w="4111" w:type="dxa"/>
          </w:tcPr>
          <w:p w:rsidR="003C18FB" w:rsidRDefault="00773466">
            <w:pPr>
              <w:spacing w:after="120"/>
              <w:jc w:val="both"/>
              <w:rPr>
                <w:noProof/>
                <w:sz w:val="24"/>
                <w:szCs w:val="24"/>
              </w:rPr>
            </w:pPr>
            <w:r>
              <w:rPr>
                <w:noProof/>
                <w:sz w:val="24"/>
                <w:szCs w:val="24"/>
              </w:rPr>
              <w:t xml:space="preserve">Q1 </w:t>
            </w:r>
            <w:r>
              <w:rPr>
                <w:noProof/>
                <w:sz w:val="24"/>
                <w:szCs w:val="24"/>
              </w:rPr>
              <w:t>2018 – Q4 2019</w:t>
            </w:r>
          </w:p>
        </w:tc>
        <w:tc>
          <w:tcPr>
            <w:tcW w:w="2268" w:type="dxa"/>
          </w:tcPr>
          <w:p w:rsidR="003C18FB" w:rsidRDefault="00773466">
            <w:pPr>
              <w:spacing w:after="120"/>
              <w:jc w:val="both"/>
              <w:rPr>
                <w:noProof/>
                <w:sz w:val="24"/>
                <w:szCs w:val="24"/>
              </w:rPr>
            </w:pPr>
            <w:r>
              <w:rPr>
                <w:noProof/>
                <w:sz w:val="24"/>
                <w:szCs w:val="24"/>
              </w:rPr>
              <w:t>€2,013,500</w:t>
            </w:r>
          </w:p>
        </w:tc>
      </w:tr>
      <w:tr w:rsidR="003C18FB">
        <w:tc>
          <w:tcPr>
            <w:tcW w:w="1809" w:type="dxa"/>
          </w:tcPr>
          <w:p w:rsidR="003C18FB" w:rsidRDefault="00773466">
            <w:pPr>
              <w:spacing w:after="120"/>
              <w:jc w:val="both"/>
              <w:rPr>
                <w:noProof/>
                <w:sz w:val="24"/>
                <w:szCs w:val="24"/>
              </w:rPr>
            </w:pPr>
            <w:r>
              <w:rPr>
                <w:noProof/>
                <w:sz w:val="24"/>
                <w:szCs w:val="24"/>
              </w:rPr>
              <w:t>Hungary</w:t>
            </w:r>
          </w:p>
        </w:tc>
        <w:tc>
          <w:tcPr>
            <w:tcW w:w="4111" w:type="dxa"/>
          </w:tcPr>
          <w:p w:rsidR="003C18FB" w:rsidRDefault="00773466">
            <w:pPr>
              <w:spacing w:after="120"/>
              <w:jc w:val="both"/>
              <w:rPr>
                <w:noProof/>
                <w:sz w:val="24"/>
                <w:szCs w:val="24"/>
              </w:rPr>
            </w:pPr>
            <w:r>
              <w:rPr>
                <w:noProof/>
                <w:sz w:val="24"/>
                <w:szCs w:val="24"/>
              </w:rPr>
              <w:t>Q2 2018 – Q2 2020</w:t>
            </w:r>
          </w:p>
        </w:tc>
        <w:tc>
          <w:tcPr>
            <w:tcW w:w="2268" w:type="dxa"/>
          </w:tcPr>
          <w:p w:rsidR="003C18FB" w:rsidRDefault="00773466">
            <w:pPr>
              <w:spacing w:after="120"/>
              <w:jc w:val="both"/>
              <w:rPr>
                <w:noProof/>
                <w:sz w:val="24"/>
                <w:szCs w:val="24"/>
              </w:rPr>
            </w:pPr>
            <w:r>
              <w:rPr>
                <w:noProof/>
                <w:sz w:val="24"/>
                <w:szCs w:val="24"/>
              </w:rPr>
              <w:t>€860,000</w:t>
            </w:r>
          </w:p>
        </w:tc>
      </w:tr>
      <w:tr w:rsidR="003C18FB">
        <w:tc>
          <w:tcPr>
            <w:tcW w:w="1809" w:type="dxa"/>
          </w:tcPr>
          <w:p w:rsidR="003C18FB" w:rsidRDefault="00773466">
            <w:pPr>
              <w:spacing w:after="120"/>
              <w:jc w:val="both"/>
              <w:rPr>
                <w:noProof/>
                <w:sz w:val="24"/>
                <w:szCs w:val="24"/>
              </w:rPr>
            </w:pPr>
            <w:r>
              <w:rPr>
                <w:noProof/>
                <w:sz w:val="24"/>
                <w:szCs w:val="24"/>
              </w:rPr>
              <w:t>Ireland</w:t>
            </w:r>
          </w:p>
        </w:tc>
        <w:tc>
          <w:tcPr>
            <w:tcW w:w="4111" w:type="dxa"/>
          </w:tcPr>
          <w:p w:rsidR="003C18FB" w:rsidRDefault="00773466">
            <w:pPr>
              <w:spacing w:after="120"/>
              <w:jc w:val="both"/>
              <w:rPr>
                <w:noProof/>
                <w:sz w:val="24"/>
                <w:szCs w:val="24"/>
              </w:rPr>
            </w:pPr>
            <w:r>
              <w:rPr>
                <w:noProof/>
                <w:sz w:val="24"/>
                <w:szCs w:val="24"/>
              </w:rPr>
              <w:t>Q1 2018 – Q4 2019</w:t>
            </w:r>
          </w:p>
        </w:tc>
        <w:tc>
          <w:tcPr>
            <w:tcW w:w="2268" w:type="dxa"/>
          </w:tcPr>
          <w:p w:rsidR="003C18FB" w:rsidRDefault="00773466">
            <w:pPr>
              <w:spacing w:after="120"/>
              <w:jc w:val="both"/>
              <w:rPr>
                <w:noProof/>
                <w:sz w:val="24"/>
                <w:szCs w:val="24"/>
              </w:rPr>
            </w:pPr>
            <w:r>
              <w:rPr>
                <w:noProof/>
                <w:sz w:val="24"/>
                <w:szCs w:val="24"/>
              </w:rPr>
              <w:t>€1,230,000</w:t>
            </w:r>
          </w:p>
        </w:tc>
      </w:tr>
      <w:tr w:rsidR="003C18FB">
        <w:tc>
          <w:tcPr>
            <w:tcW w:w="1809" w:type="dxa"/>
          </w:tcPr>
          <w:p w:rsidR="003C18FB" w:rsidRDefault="00773466">
            <w:pPr>
              <w:spacing w:after="120"/>
              <w:jc w:val="both"/>
              <w:rPr>
                <w:noProof/>
                <w:sz w:val="24"/>
                <w:szCs w:val="24"/>
              </w:rPr>
            </w:pPr>
            <w:r>
              <w:rPr>
                <w:noProof/>
                <w:sz w:val="24"/>
                <w:szCs w:val="24"/>
              </w:rPr>
              <w:t>Italy</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€1,335,000</w:t>
            </w:r>
          </w:p>
        </w:tc>
      </w:tr>
      <w:tr w:rsidR="003C18FB">
        <w:tc>
          <w:tcPr>
            <w:tcW w:w="1809" w:type="dxa"/>
          </w:tcPr>
          <w:p w:rsidR="003C18FB" w:rsidRDefault="00773466">
            <w:pPr>
              <w:spacing w:after="120"/>
              <w:jc w:val="both"/>
              <w:rPr>
                <w:noProof/>
                <w:sz w:val="24"/>
                <w:szCs w:val="24"/>
              </w:rPr>
            </w:pPr>
            <w:r>
              <w:rPr>
                <w:noProof/>
                <w:sz w:val="24"/>
                <w:szCs w:val="24"/>
              </w:rPr>
              <w:t>Latvia</w:t>
            </w:r>
          </w:p>
        </w:tc>
        <w:tc>
          <w:tcPr>
            <w:tcW w:w="4111" w:type="dxa"/>
          </w:tcPr>
          <w:p w:rsidR="003C18FB" w:rsidRDefault="00773466">
            <w:pPr>
              <w:spacing w:after="120"/>
              <w:jc w:val="both"/>
              <w:rPr>
                <w:noProof/>
                <w:sz w:val="24"/>
                <w:szCs w:val="24"/>
              </w:rPr>
            </w:pPr>
            <w:r>
              <w:rPr>
                <w:noProof/>
                <w:sz w:val="24"/>
                <w:szCs w:val="24"/>
              </w:rPr>
              <w:t>Q1 2018 – Q3 2020</w:t>
            </w:r>
          </w:p>
        </w:tc>
        <w:tc>
          <w:tcPr>
            <w:tcW w:w="2268" w:type="dxa"/>
          </w:tcPr>
          <w:p w:rsidR="003C18FB" w:rsidRDefault="00773466">
            <w:pPr>
              <w:spacing w:after="120"/>
              <w:jc w:val="both"/>
              <w:rPr>
                <w:noProof/>
                <w:sz w:val="24"/>
                <w:szCs w:val="24"/>
              </w:rPr>
            </w:pPr>
            <w:r>
              <w:rPr>
                <w:noProof/>
                <w:sz w:val="24"/>
                <w:szCs w:val="24"/>
              </w:rPr>
              <w:t>€1,610,000</w:t>
            </w:r>
          </w:p>
        </w:tc>
      </w:tr>
      <w:tr w:rsidR="003C18FB">
        <w:tc>
          <w:tcPr>
            <w:tcW w:w="1809" w:type="dxa"/>
          </w:tcPr>
          <w:p w:rsidR="003C18FB" w:rsidRDefault="00773466">
            <w:pPr>
              <w:spacing w:after="120"/>
              <w:jc w:val="both"/>
              <w:rPr>
                <w:noProof/>
                <w:sz w:val="24"/>
                <w:szCs w:val="24"/>
              </w:rPr>
            </w:pPr>
            <w:r>
              <w:rPr>
                <w:noProof/>
                <w:sz w:val="24"/>
                <w:szCs w:val="24"/>
              </w:rPr>
              <w:t>Lithuania</w:t>
            </w:r>
          </w:p>
        </w:tc>
        <w:tc>
          <w:tcPr>
            <w:tcW w:w="4111" w:type="dxa"/>
          </w:tcPr>
          <w:p w:rsidR="003C18FB" w:rsidRDefault="00773466">
            <w:pPr>
              <w:spacing w:after="120"/>
              <w:jc w:val="both"/>
              <w:rPr>
                <w:noProof/>
                <w:sz w:val="24"/>
                <w:szCs w:val="24"/>
              </w:rPr>
            </w:pPr>
            <w:r>
              <w:rPr>
                <w:noProof/>
                <w:sz w:val="24"/>
                <w:szCs w:val="24"/>
              </w:rPr>
              <w:t>Q1 2018 – Q2 2021</w:t>
            </w:r>
          </w:p>
        </w:tc>
        <w:tc>
          <w:tcPr>
            <w:tcW w:w="2268" w:type="dxa"/>
          </w:tcPr>
          <w:p w:rsidR="003C18FB" w:rsidRDefault="00773466">
            <w:pPr>
              <w:spacing w:after="120"/>
              <w:jc w:val="both"/>
              <w:rPr>
                <w:noProof/>
                <w:sz w:val="24"/>
                <w:szCs w:val="24"/>
              </w:rPr>
            </w:pPr>
            <w:r>
              <w:rPr>
                <w:noProof/>
                <w:sz w:val="24"/>
                <w:szCs w:val="24"/>
              </w:rPr>
              <w:t>€937,500</w:t>
            </w:r>
          </w:p>
        </w:tc>
      </w:tr>
      <w:tr w:rsidR="003C18FB">
        <w:tc>
          <w:tcPr>
            <w:tcW w:w="1809" w:type="dxa"/>
          </w:tcPr>
          <w:p w:rsidR="003C18FB" w:rsidRDefault="00773466">
            <w:pPr>
              <w:spacing w:after="120"/>
              <w:jc w:val="both"/>
              <w:rPr>
                <w:noProof/>
                <w:sz w:val="24"/>
                <w:szCs w:val="24"/>
              </w:rPr>
            </w:pPr>
            <w:r>
              <w:rPr>
                <w:noProof/>
                <w:sz w:val="24"/>
                <w:szCs w:val="24"/>
              </w:rPr>
              <w:t>Luxembourg</w:t>
            </w:r>
          </w:p>
        </w:tc>
        <w:tc>
          <w:tcPr>
            <w:tcW w:w="4111" w:type="dxa"/>
          </w:tcPr>
          <w:p w:rsidR="003C18FB" w:rsidRDefault="00773466">
            <w:pPr>
              <w:spacing w:after="120"/>
              <w:jc w:val="both"/>
              <w:rPr>
                <w:noProof/>
                <w:sz w:val="24"/>
                <w:szCs w:val="24"/>
              </w:rPr>
            </w:pPr>
            <w:r>
              <w:rPr>
                <w:noProof/>
                <w:sz w:val="24"/>
                <w:szCs w:val="24"/>
              </w:rPr>
              <w:t>Q1 2018 – Q2 2019</w:t>
            </w:r>
          </w:p>
        </w:tc>
        <w:tc>
          <w:tcPr>
            <w:tcW w:w="2268" w:type="dxa"/>
          </w:tcPr>
          <w:p w:rsidR="003C18FB" w:rsidRDefault="00773466">
            <w:pPr>
              <w:spacing w:after="120"/>
              <w:jc w:val="both"/>
              <w:rPr>
                <w:noProof/>
                <w:sz w:val="24"/>
                <w:szCs w:val="24"/>
              </w:rPr>
            </w:pPr>
            <w:r>
              <w:rPr>
                <w:noProof/>
                <w:sz w:val="24"/>
                <w:szCs w:val="24"/>
              </w:rPr>
              <w:t>€150,000</w:t>
            </w:r>
          </w:p>
        </w:tc>
      </w:tr>
      <w:tr w:rsidR="003C18FB">
        <w:tc>
          <w:tcPr>
            <w:tcW w:w="1809" w:type="dxa"/>
          </w:tcPr>
          <w:p w:rsidR="003C18FB" w:rsidRDefault="00773466">
            <w:pPr>
              <w:spacing w:after="120"/>
              <w:jc w:val="both"/>
              <w:rPr>
                <w:noProof/>
                <w:sz w:val="24"/>
                <w:szCs w:val="24"/>
              </w:rPr>
            </w:pPr>
            <w:r>
              <w:rPr>
                <w:noProof/>
                <w:sz w:val="24"/>
                <w:szCs w:val="24"/>
              </w:rPr>
              <w:t>Malta</w:t>
            </w:r>
          </w:p>
        </w:tc>
        <w:tc>
          <w:tcPr>
            <w:tcW w:w="4111" w:type="dxa"/>
          </w:tcPr>
          <w:p w:rsidR="003C18FB" w:rsidRDefault="00773466">
            <w:pPr>
              <w:spacing w:after="120"/>
              <w:jc w:val="both"/>
              <w:rPr>
                <w:noProof/>
                <w:sz w:val="24"/>
                <w:szCs w:val="24"/>
              </w:rPr>
            </w:pPr>
            <w:r>
              <w:rPr>
                <w:noProof/>
                <w:sz w:val="24"/>
                <w:szCs w:val="24"/>
              </w:rPr>
              <w:t>Q1 2018 – Q3 2019</w:t>
            </w:r>
          </w:p>
        </w:tc>
        <w:tc>
          <w:tcPr>
            <w:tcW w:w="2268" w:type="dxa"/>
          </w:tcPr>
          <w:p w:rsidR="003C18FB" w:rsidRDefault="00773466">
            <w:pPr>
              <w:spacing w:after="120"/>
              <w:jc w:val="both"/>
              <w:rPr>
                <w:noProof/>
                <w:sz w:val="24"/>
                <w:szCs w:val="24"/>
              </w:rPr>
            </w:pPr>
            <w:r>
              <w:rPr>
                <w:noProof/>
                <w:sz w:val="24"/>
                <w:szCs w:val="24"/>
              </w:rPr>
              <w:t>€1,000,000</w:t>
            </w:r>
          </w:p>
        </w:tc>
      </w:tr>
      <w:tr w:rsidR="003C18FB">
        <w:tc>
          <w:tcPr>
            <w:tcW w:w="1809" w:type="dxa"/>
          </w:tcPr>
          <w:p w:rsidR="003C18FB" w:rsidRDefault="00773466">
            <w:pPr>
              <w:spacing w:after="120"/>
              <w:jc w:val="both"/>
              <w:rPr>
                <w:noProof/>
                <w:sz w:val="24"/>
                <w:szCs w:val="24"/>
              </w:rPr>
            </w:pPr>
            <w:r>
              <w:rPr>
                <w:noProof/>
                <w:sz w:val="24"/>
                <w:szCs w:val="24"/>
              </w:rPr>
              <w:t>Poland</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€1,885,000</w:t>
            </w:r>
          </w:p>
        </w:tc>
      </w:tr>
      <w:tr w:rsidR="003C18FB">
        <w:tc>
          <w:tcPr>
            <w:tcW w:w="1809" w:type="dxa"/>
          </w:tcPr>
          <w:p w:rsidR="003C18FB" w:rsidRDefault="00773466">
            <w:pPr>
              <w:spacing w:after="120"/>
              <w:jc w:val="both"/>
              <w:rPr>
                <w:noProof/>
                <w:sz w:val="24"/>
                <w:szCs w:val="24"/>
              </w:rPr>
            </w:pPr>
            <w:r>
              <w:rPr>
                <w:noProof/>
                <w:sz w:val="24"/>
                <w:szCs w:val="24"/>
              </w:rPr>
              <w:t>Portugal</w:t>
            </w:r>
          </w:p>
        </w:tc>
        <w:tc>
          <w:tcPr>
            <w:tcW w:w="4111" w:type="dxa"/>
          </w:tcPr>
          <w:p w:rsidR="003C18FB" w:rsidRDefault="00773466">
            <w:pPr>
              <w:spacing w:after="120"/>
              <w:jc w:val="both"/>
              <w:rPr>
                <w:noProof/>
                <w:sz w:val="24"/>
                <w:szCs w:val="24"/>
              </w:rPr>
            </w:pPr>
            <w:r>
              <w:rPr>
                <w:noProof/>
                <w:sz w:val="24"/>
                <w:szCs w:val="24"/>
              </w:rPr>
              <w:t>Q2 2018 – Q4 2019</w:t>
            </w:r>
          </w:p>
        </w:tc>
        <w:tc>
          <w:tcPr>
            <w:tcW w:w="2268" w:type="dxa"/>
          </w:tcPr>
          <w:p w:rsidR="003C18FB" w:rsidRDefault="00773466">
            <w:pPr>
              <w:spacing w:after="120"/>
              <w:jc w:val="both"/>
              <w:rPr>
                <w:noProof/>
                <w:sz w:val="24"/>
                <w:szCs w:val="24"/>
              </w:rPr>
            </w:pPr>
            <w:r>
              <w:rPr>
                <w:noProof/>
                <w:sz w:val="24"/>
                <w:szCs w:val="24"/>
              </w:rPr>
              <w:t>€1,230,000</w:t>
            </w:r>
          </w:p>
        </w:tc>
      </w:tr>
      <w:tr w:rsidR="003C18FB">
        <w:tc>
          <w:tcPr>
            <w:tcW w:w="1809" w:type="dxa"/>
          </w:tcPr>
          <w:p w:rsidR="003C18FB" w:rsidRDefault="00773466">
            <w:pPr>
              <w:spacing w:after="120"/>
              <w:jc w:val="both"/>
              <w:rPr>
                <w:noProof/>
                <w:sz w:val="24"/>
                <w:szCs w:val="24"/>
              </w:rPr>
            </w:pPr>
            <w:r>
              <w:rPr>
                <w:noProof/>
                <w:sz w:val="24"/>
                <w:szCs w:val="24"/>
              </w:rPr>
              <w:t>Romania</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€2,524,000</w:t>
            </w:r>
          </w:p>
        </w:tc>
      </w:tr>
      <w:tr w:rsidR="003C18FB">
        <w:tc>
          <w:tcPr>
            <w:tcW w:w="1809" w:type="dxa"/>
          </w:tcPr>
          <w:p w:rsidR="003C18FB" w:rsidRDefault="00773466">
            <w:pPr>
              <w:spacing w:after="120"/>
              <w:jc w:val="both"/>
              <w:rPr>
                <w:noProof/>
                <w:sz w:val="24"/>
                <w:szCs w:val="24"/>
              </w:rPr>
            </w:pPr>
            <w:r>
              <w:rPr>
                <w:noProof/>
                <w:sz w:val="24"/>
                <w:szCs w:val="24"/>
              </w:rPr>
              <w:t>Slovakia</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€1,605,000</w:t>
            </w:r>
          </w:p>
        </w:tc>
      </w:tr>
      <w:tr w:rsidR="003C18FB">
        <w:tc>
          <w:tcPr>
            <w:tcW w:w="1809" w:type="dxa"/>
          </w:tcPr>
          <w:p w:rsidR="003C18FB" w:rsidRDefault="00773466">
            <w:pPr>
              <w:spacing w:after="120"/>
              <w:jc w:val="both"/>
              <w:rPr>
                <w:noProof/>
                <w:sz w:val="24"/>
                <w:szCs w:val="24"/>
              </w:rPr>
            </w:pPr>
            <w:r>
              <w:rPr>
                <w:noProof/>
                <w:sz w:val="24"/>
                <w:szCs w:val="24"/>
              </w:rPr>
              <w:t>Slovenia</w:t>
            </w:r>
          </w:p>
        </w:tc>
        <w:tc>
          <w:tcPr>
            <w:tcW w:w="4111" w:type="dxa"/>
          </w:tcPr>
          <w:p w:rsidR="003C18FB" w:rsidRDefault="00773466">
            <w:pPr>
              <w:spacing w:after="120"/>
              <w:jc w:val="both"/>
              <w:rPr>
                <w:noProof/>
                <w:sz w:val="24"/>
                <w:szCs w:val="24"/>
              </w:rPr>
            </w:pPr>
            <w:r>
              <w:rPr>
                <w:noProof/>
                <w:sz w:val="24"/>
                <w:szCs w:val="24"/>
              </w:rPr>
              <w:t>Q1 2018 – Q1 2020</w:t>
            </w:r>
          </w:p>
        </w:tc>
        <w:tc>
          <w:tcPr>
            <w:tcW w:w="2268" w:type="dxa"/>
          </w:tcPr>
          <w:p w:rsidR="003C18FB" w:rsidRDefault="00773466">
            <w:pPr>
              <w:spacing w:after="120"/>
              <w:jc w:val="both"/>
              <w:rPr>
                <w:noProof/>
                <w:sz w:val="24"/>
                <w:szCs w:val="24"/>
              </w:rPr>
            </w:pPr>
            <w:r>
              <w:rPr>
                <w:noProof/>
                <w:sz w:val="24"/>
                <w:szCs w:val="24"/>
              </w:rPr>
              <w:t>€1,530,000</w:t>
            </w:r>
          </w:p>
        </w:tc>
      </w:tr>
      <w:tr w:rsidR="003C18FB">
        <w:tc>
          <w:tcPr>
            <w:tcW w:w="1809" w:type="dxa"/>
          </w:tcPr>
          <w:p w:rsidR="003C18FB" w:rsidRDefault="00773466">
            <w:pPr>
              <w:spacing w:after="120"/>
              <w:jc w:val="both"/>
              <w:rPr>
                <w:noProof/>
                <w:sz w:val="24"/>
                <w:szCs w:val="24"/>
              </w:rPr>
            </w:pPr>
            <w:r>
              <w:rPr>
                <w:noProof/>
                <w:sz w:val="24"/>
                <w:szCs w:val="24"/>
              </w:rPr>
              <w:t>Spain</w:t>
            </w:r>
          </w:p>
        </w:tc>
        <w:tc>
          <w:tcPr>
            <w:tcW w:w="4111" w:type="dxa"/>
          </w:tcPr>
          <w:p w:rsidR="003C18FB" w:rsidRDefault="00773466">
            <w:pPr>
              <w:spacing w:after="120"/>
              <w:jc w:val="both"/>
              <w:rPr>
                <w:noProof/>
                <w:sz w:val="24"/>
                <w:szCs w:val="24"/>
              </w:rPr>
            </w:pPr>
            <w:r>
              <w:rPr>
                <w:noProof/>
                <w:sz w:val="24"/>
                <w:szCs w:val="24"/>
              </w:rPr>
              <w:t>Q1 2018 – Q2 2020</w:t>
            </w:r>
          </w:p>
        </w:tc>
        <w:tc>
          <w:tcPr>
            <w:tcW w:w="2268" w:type="dxa"/>
          </w:tcPr>
          <w:p w:rsidR="003C18FB" w:rsidRDefault="00773466">
            <w:pPr>
              <w:spacing w:after="120"/>
              <w:jc w:val="both"/>
              <w:rPr>
                <w:noProof/>
                <w:sz w:val="24"/>
                <w:szCs w:val="24"/>
              </w:rPr>
            </w:pPr>
            <w:r>
              <w:rPr>
                <w:noProof/>
                <w:sz w:val="24"/>
                <w:szCs w:val="24"/>
              </w:rPr>
              <w:t>€2,235,000</w:t>
            </w:r>
          </w:p>
        </w:tc>
      </w:tr>
      <w:tr w:rsidR="003C18FB">
        <w:tc>
          <w:tcPr>
            <w:tcW w:w="1809" w:type="dxa"/>
          </w:tcPr>
          <w:p w:rsidR="003C18FB" w:rsidRDefault="00773466">
            <w:pPr>
              <w:spacing w:after="120"/>
              <w:jc w:val="both"/>
              <w:rPr>
                <w:noProof/>
                <w:sz w:val="24"/>
                <w:szCs w:val="24"/>
              </w:rPr>
            </w:pPr>
            <w:r>
              <w:rPr>
                <w:noProof/>
                <w:sz w:val="24"/>
                <w:szCs w:val="24"/>
              </w:rPr>
              <w:t>Sweden</w:t>
            </w:r>
          </w:p>
        </w:tc>
        <w:tc>
          <w:tcPr>
            <w:tcW w:w="4111" w:type="dxa"/>
          </w:tcPr>
          <w:p w:rsidR="003C18FB" w:rsidRDefault="00773466">
            <w:pPr>
              <w:spacing w:after="120"/>
              <w:jc w:val="both"/>
              <w:rPr>
                <w:noProof/>
                <w:sz w:val="24"/>
                <w:szCs w:val="24"/>
              </w:rPr>
            </w:pPr>
            <w:r>
              <w:rPr>
                <w:noProof/>
                <w:sz w:val="24"/>
                <w:szCs w:val="24"/>
              </w:rPr>
              <w:t>Q2 2018 – Q4 2019</w:t>
            </w:r>
          </w:p>
        </w:tc>
        <w:tc>
          <w:tcPr>
            <w:tcW w:w="2268" w:type="dxa"/>
          </w:tcPr>
          <w:p w:rsidR="003C18FB" w:rsidRDefault="00773466">
            <w:pPr>
              <w:spacing w:after="120"/>
              <w:jc w:val="both"/>
              <w:rPr>
                <w:noProof/>
                <w:sz w:val="24"/>
                <w:szCs w:val="24"/>
              </w:rPr>
            </w:pPr>
            <w:r>
              <w:rPr>
                <w:noProof/>
                <w:sz w:val="24"/>
                <w:szCs w:val="24"/>
              </w:rPr>
              <w:t>€190,000</w:t>
            </w:r>
          </w:p>
        </w:tc>
      </w:tr>
    </w:tbl>
    <w:p w:rsidR="003C18FB" w:rsidRDefault="003C18FB">
      <w:pPr>
        <w:spacing w:after="120" w:line="240" w:lineRule="auto"/>
        <w:jc w:val="both"/>
        <w:rPr>
          <w:rFonts w:ascii="Times New Roman" w:eastAsia="Times New Roman" w:hAnsi="Times New Roman" w:cs="Times New Roman"/>
          <w:noProof/>
          <w:sz w:val="24"/>
          <w:szCs w:val="24"/>
          <w:lang w:eastAsia="en-GB"/>
        </w:rPr>
      </w:pPr>
    </w:p>
    <w:p w:rsidR="003C18FB" w:rsidRDefault="00773466">
      <w:pPr>
        <w:pStyle w:val="Heading2"/>
        <w:numPr>
          <w:ilvl w:val="0"/>
          <w:numId w:val="0"/>
        </w:numPr>
        <w:rPr>
          <w:b w:val="0"/>
          <w:noProof/>
        </w:rPr>
      </w:pPr>
      <w:bookmarkStart w:id="47" w:name="_Toc22024869"/>
      <w:bookmarkStart w:id="48" w:name="_Toc22030702"/>
      <w:bookmarkStart w:id="49" w:name="_Toc22031552"/>
      <w:bookmarkStart w:id="50" w:name="_Toc526528402"/>
      <w:r>
        <w:rPr>
          <w:b w:val="0"/>
          <w:noProof/>
        </w:rPr>
        <w:t xml:space="preserve">Bulgaria’s and Greece’s cooperation and support plans were amended (for Bulgaria on 16 October 2018 and for Greece on 29 June 2019) to also include the mention of technical support measures (and their </w:t>
      </w:r>
      <w:r>
        <w:rPr>
          <w:b w:val="0"/>
          <w:noProof/>
        </w:rPr>
        <w:t>indicative timelines) to be funded by the voluntary transfers under Article 11.</w:t>
      </w:r>
      <w:bookmarkEnd w:id="47"/>
      <w:bookmarkEnd w:id="48"/>
      <w:bookmarkEnd w:id="49"/>
    </w:p>
    <w:p w:rsidR="003C18FB" w:rsidRDefault="003C18FB">
      <w:pPr>
        <w:rPr>
          <w:noProof/>
          <w:lang w:eastAsia="en-GB"/>
        </w:rPr>
      </w:pPr>
    </w:p>
    <w:p w:rsidR="003C18FB" w:rsidRDefault="00773466">
      <w:pPr>
        <w:pStyle w:val="Heading2"/>
        <w:rPr>
          <w:noProof/>
        </w:rPr>
      </w:pPr>
      <w:bookmarkStart w:id="51" w:name="_Toc22031553"/>
      <w:r>
        <w:rPr>
          <w:noProof/>
        </w:rPr>
        <w:t>Reform partners and special measures</w:t>
      </w:r>
      <w:bookmarkEnd w:id="50"/>
      <w:bookmarkEnd w:id="51"/>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coordination with the Commission, the beneficiary Member State may enter into partnership with one or more other Member States which wi</w:t>
      </w:r>
      <w:r>
        <w:rPr>
          <w:rFonts w:ascii="Times New Roman" w:eastAsia="Times New Roman" w:hAnsi="Times New Roman" w:cs="Times New Roman"/>
          <w:noProof/>
          <w:sz w:val="24"/>
          <w:szCs w:val="24"/>
          <w:lang w:eastAsia="en-GB"/>
        </w:rPr>
        <w:t>ll act as reform partners to support specific areas of reform</w:t>
      </w:r>
      <w:r>
        <w:rPr>
          <w:rStyle w:val="FootnoteReference"/>
          <w:rFonts w:ascii="Times New Roman" w:eastAsia="Times New Roman" w:hAnsi="Times New Roman" w:cs="Times New Roman"/>
          <w:noProof/>
          <w:sz w:val="24"/>
          <w:szCs w:val="24"/>
          <w:lang w:eastAsia="en-GB"/>
        </w:rPr>
        <w:footnoteReference w:id="32"/>
      </w:r>
      <w:r>
        <w:rPr>
          <w:rFonts w:ascii="Times New Roman" w:eastAsia="Times New Roman" w:hAnsi="Times New Roman" w:cs="Times New Roman"/>
          <w:noProof/>
          <w:sz w:val="24"/>
          <w:szCs w:val="24"/>
          <w:lang w:eastAsia="en-GB"/>
        </w:rPr>
        <w:t>. In 2018, none of the requesting Member States entered into such a partnership.</w:t>
      </w:r>
    </w:p>
    <w:p w:rsidR="003C18FB" w:rsidRDefault="00773466">
      <w:pPr>
        <w:spacing w:after="120" w:line="240" w:lineRule="auto"/>
        <w:jc w:val="both"/>
        <w:rPr>
          <w:rFonts w:ascii="Times New Roman" w:eastAsia="Times New Roman" w:hAnsi="Times New Roman" w:cs="Times New Roman"/>
          <w:noProof/>
          <w:sz w:val="24"/>
          <w:szCs w:val="24"/>
          <w:lang w:eastAsia="en-GB"/>
        </w:rPr>
      </w:pPr>
      <w:bookmarkStart w:id="52" w:name="_Toc526528403"/>
      <w:r>
        <w:rPr>
          <w:rFonts w:ascii="Times New Roman" w:eastAsia="Times New Roman" w:hAnsi="Times New Roman" w:cs="Times New Roman"/>
          <w:noProof/>
          <w:sz w:val="24"/>
          <w:szCs w:val="24"/>
          <w:lang w:eastAsia="en-GB"/>
        </w:rPr>
        <w:t>Every year, a limited part of the 2018 annual work programme is earmarked for special measures</w:t>
      </w:r>
      <w:r>
        <w:rPr>
          <w:rStyle w:val="FootnoteReference"/>
          <w:rFonts w:ascii="Times New Roman" w:eastAsia="Times New Roman" w:hAnsi="Times New Roman" w:cs="Times New Roman"/>
          <w:noProof/>
          <w:sz w:val="24"/>
          <w:szCs w:val="24"/>
          <w:lang w:eastAsia="en-GB"/>
        </w:rPr>
        <w:footnoteReference w:id="33"/>
      </w:r>
      <w:r>
        <w:rPr>
          <w:rFonts w:ascii="Times New Roman" w:eastAsia="Times New Roman" w:hAnsi="Times New Roman" w:cs="Times New Roman"/>
          <w:noProof/>
          <w:sz w:val="24"/>
          <w:szCs w:val="24"/>
          <w:lang w:eastAsia="en-GB"/>
        </w:rPr>
        <w:t xml:space="preserve"> in the event of u</w:t>
      </w:r>
      <w:r>
        <w:rPr>
          <w:rFonts w:ascii="Times New Roman" w:eastAsia="Times New Roman" w:hAnsi="Times New Roman" w:cs="Times New Roman"/>
          <w:noProof/>
          <w:sz w:val="24"/>
          <w:szCs w:val="24"/>
          <w:lang w:eastAsia="en-GB"/>
        </w:rPr>
        <w:t xml:space="preserve">nforeseen and duly justified grounds of urgency requiring an immediate response for a maximum period of 6 months. In 2018, Cyprus requested support under special measures to </w:t>
      </w:r>
      <w:r>
        <w:rPr>
          <w:rFonts w:ascii="Times New Roman" w:hAnsi="Times New Roman" w:cs="Times New Roman"/>
          <w:noProof/>
          <w:sz w:val="24"/>
        </w:rPr>
        <w:t>improve the efficiency and effectiveness of the Insolvency Service of Cyprus and c</w:t>
      </w:r>
      <w:r>
        <w:rPr>
          <w:rFonts w:ascii="Times New Roman" w:hAnsi="Times New Roman" w:cs="Times New Roman"/>
          <w:noProof/>
          <w:sz w:val="24"/>
        </w:rPr>
        <w:t>arry out a study to examine the introduction of digital audio recording of court proceedings (linked to the Commission’s decision on state aid SA.35334 (2018/N-2))</w:t>
      </w:r>
      <w:r>
        <w:rPr>
          <w:rFonts w:ascii="Times New Roman" w:eastAsia="Times New Roman" w:hAnsi="Times New Roman" w:cs="Times New Roman"/>
          <w:noProof/>
          <w:sz w:val="24"/>
          <w:szCs w:val="24"/>
          <w:lang w:eastAsia="en-GB"/>
        </w:rPr>
        <w:t>. Both measures have now been finalised (final outputs were delivered within 6 months</w:t>
      </w:r>
      <w:r>
        <w:rPr>
          <w:rStyle w:val="FootnoteReference"/>
          <w:rFonts w:ascii="Times New Roman" w:eastAsia="Times New Roman" w:hAnsi="Times New Roman" w:cs="Times New Roman"/>
          <w:noProof/>
          <w:sz w:val="24"/>
          <w:szCs w:val="24"/>
          <w:lang w:eastAsia="en-GB"/>
        </w:rPr>
        <w:footnoteReference w:id="34"/>
      </w:r>
      <w:r>
        <w:rPr>
          <w:rFonts w:ascii="Times New Roman" w:eastAsia="Times New Roman" w:hAnsi="Times New Roman" w:cs="Times New Roman"/>
          <w:noProof/>
          <w:sz w:val="24"/>
          <w:szCs w:val="24"/>
          <w:lang w:eastAsia="en-GB"/>
        </w:rPr>
        <w:t>).</w:t>
      </w:r>
    </w:p>
    <w:p w:rsidR="003C18FB" w:rsidRDefault="003C18FB">
      <w:pPr>
        <w:rPr>
          <w:rFonts w:ascii="Times New Roman" w:eastAsia="Times New Roman" w:hAnsi="Times New Roman" w:cs="Times New Roman"/>
          <w:b/>
          <w:noProof/>
          <w:sz w:val="24"/>
          <w:szCs w:val="24"/>
          <w:lang w:eastAsia="en-GB"/>
        </w:rPr>
      </w:pPr>
    </w:p>
    <w:p w:rsidR="003C18FB" w:rsidRDefault="00773466">
      <w:pPr>
        <w:pStyle w:val="Heading2"/>
        <w:rPr>
          <w:b w:val="0"/>
          <w:noProof/>
        </w:rPr>
      </w:pPr>
      <w:r>
        <w:rPr>
          <w:b w:val="0"/>
          <w:noProof/>
        </w:rPr>
        <w:t xml:space="preserve"> </w:t>
      </w:r>
      <w:bookmarkStart w:id="53" w:name="_Toc22031554"/>
      <w:r>
        <w:rPr>
          <w:noProof/>
        </w:rPr>
        <w:t>Im</w:t>
      </w:r>
      <w:r>
        <w:rPr>
          <w:noProof/>
        </w:rPr>
        <w:t>plementation</w:t>
      </w:r>
      <w:r>
        <w:rPr>
          <w:b w:val="0"/>
          <w:noProof/>
        </w:rPr>
        <w:t xml:space="preserve"> </w:t>
      </w:r>
      <w:r>
        <w:rPr>
          <w:noProof/>
        </w:rPr>
        <w:t>of support measures</w:t>
      </w:r>
      <w:bookmarkEnd w:id="52"/>
      <w:bookmarkEnd w:id="53"/>
    </w:p>
    <w:p w:rsidR="003C18FB" w:rsidRDefault="00773466">
      <w:pPr>
        <w:spacing w:after="0" w:line="240" w:lineRule="auto"/>
        <w:jc w:val="both"/>
        <w:rPr>
          <w:rFonts w:ascii="Calibri" w:eastAsia="Times New Roman" w:hAnsi="Calibri" w:cs="Times New Roman"/>
          <w:b/>
          <w:bCs/>
          <w:noProof/>
          <w:color w:val="000000"/>
          <w:lang w:eastAsia="en-GB"/>
        </w:rPr>
      </w:pPr>
      <w:r>
        <w:rPr>
          <w:rFonts w:ascii="Times New Roman" w:eastAsia="Times New Roman" w:hAnsi="Times New Roman" w:cs="Times New Roman"/>
          <w:noProof/>
          <w:sz w:val="24"/>
          <w:szCs w:val="24"/>
          <w:lang w:eastAsia="en-GB"/>
        </w:rPr>
        <w:t>The 146 selected requests resulted in 135 projects (some selected requests were later cancelled by Member States and some were merged for implementation purposes into one project). The 135 support measures are listed in Ann</w:t>
      </w:r>
      <w:r>
        <w:rPr>
          <w:rFonts w:ascii="Times New Roman" w:eastAsia="Times New Roman" w:hAnsi="Times New Roman" w:cs="Times New Roman"/>
          <w:noProof/>
          <w:sz w:val="24"/>
          <w:szCs w:val="24"/>
          <w:lang w:eastAsia="en-GB"/>
        </w:rPr>
        <w:t xml:space="preserve">ex I. The distribution of support measures/projects per Member State is shown in the table below. </w:t>
      </w:r>
    </w:p>
    <w:p w:rsidR="003C18FB" w:rsidRDefault="00773466">
      <w:pPr>
        <w:pStyle w:val="Caption"/>
        <w:jc w:val="both"/>
        <w:rPr>
          <w:rFonts w:ascii="Times New Roman" w:hAnsi="Times New Roman" w:cs="Times New Roman"/>
          <w:noProof/>
          <w:color w:val="auto"/>
        </w:rPr>
      </w:pPr>
      <w:r>
        <w:rPr>
          <w:noProof/>
          <w:lang w:eastAsia="en-GB"/>
        </w:rPr>
        <w:t xml:space="preserve"> </w:t>
      </w:r>
      <w:r>
        <w:rPr>
          <w:noProof/>
          <w:lang w:eastAsia="en-GB"/>
        </w:rPr>
        <w:drawing>
          <wp:inline distT="0" distB="0" distL="0" distR="0">
            <wp:extent cx="5005388" cy="2809875"/>
            <wp:effectExtent l="0" t="0" r="2413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noProof/>
          <w:color w:val="auto"/>
        </w:rPr>
        <w:t xml:space="preserve"> </w:t>
      </w:r>
    </w:p>
    <w:p w:rsidR="003C18FB" w:rsidRDefault="00773466">
      <w:pPr>
        <w:pStyle w:val="Caption"/>
        <w:jc w:val="both"/>
        <w:rPr>
          <w:rFonts w:ascii="Times New Roman" w:hAnsi="Times New Roman" w:cs="Times New Roman"/>
          <w:noProof/>
          <w:color w:val="auto"/>
        </w:rPr>
        <w:sectPr w:rsidR="003C18FB">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134" w:right="1418" w:bottom="1134" w:left="1418" w:header="0" w:footer="0" w:gutter="0"/>
          <w:cols w:space="720"/>
          <w:titlePg/>
          <w:docGrid w:linePitch="299"/>
        </w:sect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9</w:t>
      </w:r>
      <w:r>
        <w:rPr>
          <w:rFonts w:ascii="Times New Roman" w:hAnsi="Times New Roman" w:cs="Times New Roman"/>
          <w:noProof/>
          <w:color w:val="auto"/>
        </w:rPr>
        <w:fldChar w:fldCharType="end"/>
      </w:r>
      <w:r>
        <w:rPr>
          <w:rFonts w:ascii="Times New Roman" w:hAnsi="Times New Roman" w:cs="Times New Roman"/>
          <w:noProof/>
          <w:color w:val="auto"/>
        </w:rPr>
        <w:t xml:space="preserve">: Number of projects implemented on the ground using SRSP 2018 funding, per Member State </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the 2017 SRSP, 145 projects were being implemented on the ground by the cut-off date set the previous year.</w:t>
      </w:r>
    </w:p>
    <w:p w:rsidR="003C18FB" w:rsidRDefault="003C18FB">
      <w:pPr>
        <w:spacing w:line="240" w:lineRule="auto"/>
        <w:ind w:right="-568"/>
        <w:jc w:val="both"/>
        <w:rPr>
          <w:rFonts w:ascii="Times New Roman" w:eastAsia="Times New Roman" w:hAnsi="Times New Roman" w:cs="Times New Roman"/>
          <w:noProof/>
          <w:sz w:val="24"/>
          <w:szCs w:val="24"/>
          <w:lang w:eastAsia="en-GB"/>
        </w:rPr>
        <w:sectPr w:rsidR="003C18FB">
          <w:headerReference w:type="even" r:id="rId40"/>
          <w:headerReference w:type="default" r:id="rId41"/>
          <w:footerReference w:type="even" r:id="rId42"/>
          <w:footerReference w:type="default" r:id="rId43"/>
          <w:headerReference w:type="first" r:id="rId44"/>
          <w:footerReference w:type="first" r:id="rId45"/>
          <w:type w:val="continuous"/>
          <w:pgSz w:w="11906" w:h="16838"/>
          <w:pgMar w:top="1134" w:right="1418" w:bottom="1134" w:left="1418" w:header="601" w:footer="1077" w:gutter="0"/>
          <w:cols w:space="709"/>
          <w:titlePg/>
        </w:sectPr>
      </w:pP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Using the funds transferred to the SRSP voluntarily by Greece and Bulgaria under Article 11 of the SRSP Regulation, the 39 requests selected for Greece resulted in 31 projects (some selected requests were cancelled later by the</w:t>
      </w:r>
      <w:r>
        <w:rPr>
          <w:rFonts w:ascii="Times New Roman" w:eastAsia="Times New Roman" w:hAnsi="Times New Roman" w:cs="Times New Roman"/>
          <w:noProof/>
          <w:sz w:val="24"/>
          <w:szCs w:val="24"/>
          <w:lang w:eastAsia="en-GB"/>
        </w:rPr>
        <w:t xml:space="preserve"> Member State and some were merged into one project for implementation purposes) and 4 selected requests for Bulgaria resulted in 4 projects. The 35 support measures are listed in Annex II.</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30 November 2019 (here we refer only to projects selected for f</w:t>
      </w:r>
      <w:r>
        <w:rPr>
          <w:rFonts w:ascii="Times New Roman" w:eastAsia="Times New Roman" w:hAnsi="Times New Roman" w:cs="Times New Roman"/>
          <w:noProof/>
          <w:sz w:val="24"/>
          <w:szCs w:val="24"/>
          <w:lang w:eastAsia="en-GB"/>
        </w:rPr>
        <w:t xml:space="preserve">unding under the SRSP 2018 round and not including voluntary transfers), </w:t>
      </w:r>
      <w:r>
        <w:rPr>
          <w:rFonts w:ascii="Times New Roman" w:eastAsia="Times New Roman" w:hAnsi="Times New Roman" w:cs="Times New Roman"/>
          <w:b/>
          <w:noProof/>
          <w:sz w:val="24"/>
          <w:szCs w:val="24"/>
          <w:lang w:eastAsia="en-GB"/>
        </w:rPr>
        <w:t>30%</w:t>
      </w:r>
      <w:r>
        <w:rPr>
          <w:rFonts w:ascii="Times New Roman" w:eastAsia="Times New Roman" w:hAnsi="Times New Roman" w:cs="Times New Roman"/>
          <w:noProof/>
          <w:sz w:val="24"/>
          <w:szCs w:val="24"/>
          <w:lang w:eastAsia="en-GB"/>
        </w:rPr>
        <w:t xml:space="preserve"> of the reform support projects under the 2018 SRSP had already been completed and </w:t>
      </w:r>
      <w:r>
        <w:rPr>
          <w:rFonts w:ascii="Times New Roman" w:eastAsia="Times New Roman" w:hAnsi="Times New Roman" w:cs="Times New Roman"/>
          <w:b/>
          <w:noProof/>
          <w:sz w:val="24"/>
          <w:szCs w:val="24"/>
          <w:lang w:eastAsia="en-GB"/>
        </w:rPr>
        <w:t>70%</w:t>
      </w:r>
      <w:r>
        <w:rPr>
          <w:rFonts w:ascii="Times New Roman" w:eastAsia="Times New Roman" w:hAnsi="Times New Roman" w:cs="Times New Roman"/>
          <w:noProof/>
          <w:sz w:val="24"/>
          <w:szCs w:val="24"/>
          <w:lang w:eastAsia="en-GB"/>
        </w:rPr>
        <w:t xml:space="preserve"> continued to be implemented on the ground. The chart below shows the state of play of impleme</w:t>
      </w:r>
      <w:r>
        <w:rPr>
          <w:rFonts w:ascii="Times New Roman" w:eastAsia="Times New Roman" w:hAnsi="Times New Roman" w:cs="Times New Roman"/>
          <w:noProof/>
          <w:sz w:val="24"/>
          <w:szCs w:val="24"/>
          <w:lang w:eastAsia="en-GB"/>
        </w:rPr>
        <w:t>ntation on 30 November 2019.</w:t>
      </w:r>
    </w:p>
    <w:p w:rsidR="003C18FB" w:rsidRDefault="00773466">
      <w:pPr>
        <w:keepNext/>
        <w:spacing w:line="240" w:lineRule="auto"/>
        <w:jc w:val="both"/>
        <w:rPr>
          <w:noProof/>
        </w:rPr>
      </w:pPr>
      <w:r>
        <w:rPr>
          <w:noProof/>
          <w:lang w:eastAsia="en-GB"/>
        </w:rPr>
        <w:drawing>
          <wp:inline distT="0" distB="0" distL="0" distR="0">
            <wp:extent cx="4364182" cy="2535382"/>
            <wp:effectExtent l="0" t="0" r="17780"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10</w:t>
      </w:r>
      <w:r>
        <w:rPr>
          <w:rFonts w:ascii="Times New Roman" w:hAnsi="Times New Roman" w:cs="Times New Roman"/>
          <w:noProof/>
          <w:color w:val="auto"/>
        </w:rPr>
        <w:fldChar w:fldCharType="end"/>
      </w:r>
      <w:r>
        <w:rPr>
          <w:rFonts w:ascii="Times New Roman" w:hAnsi="Times New Roman" w:cs="Times New Roman"/>
          <w:noProof/>
          <w:color w:val="auto"/>
        </w:rPr>
        <w:t>: State of play of 2018 SRSP project implementation</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comparison, under the 2017 SRSP, 82% of the projects had been implemented on the ground and 12% had been finalised by the cut-off date l</w:t>
      </w:r>
      <w:r>
        <w:rPr>
          <w:rFonts w:ascii="Times New Roman" w:eastAsia="Times New Roman" w:hAnsi="Times New Roman" w:cs="Times New Roman"/>
          <w:noProof/>
          <w:sz w:val="24"/>
          <w:szCs w:val="24"/>
          <w:lang w:eastAsia="en-GB"/>
        </w:rPr>
        <w:t>ast year.</w:t>
      </w:r>
    </w:p>
    <w:p w:rsidR="003C18FB" w:rsidRDefault="00773466">
      <w:pPr>
        <w:spacing w:line="240" w:lineRule="auto"/>
        <w:ind w:right="-568"/>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distribution of projects across the main broad policy areas is illustrated in the chart below.</w:t>
      </w:r>
    </w:p>
    <w:p w:rsidR="003C18FB" w:rsidRDefault="00773466">
      <w:pPr>
        <w:spacing w:line="240" w:lineRule="auto"/>
        <w:ind w:right="-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Pr>
          <w:noProof/>
          <w:lang w:eastAsia="en-GB"/>
        </w:rPr>
        <w:drawing>
          <wp:inline distT="0" distB="0" distL="0" distR="0">
            <wp:extent cx="4156363" cy="2493818"/>
            <wp:effectExtent l="0" t="0" r="15875"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C18FB" w:rsidRDefault="00773466">
      <w:pPr>
        <w:pStyle w:val="Caption"/>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11</w:t>
      </w:r>
      <w:r>
        <w:rPr>
          <w:rFonts w:ascii="Times New Roman" w:hAnsi="Times New Roman" w:cs="Times New Roman"/>
          <w:noProof/>
          <w:color w:val="auto"/>
        </w:rPr>
        <w:fldChar w:fldCharType="end"/>
      </w:r>
      <w:r>
        <w:rPr>
          <w:rFonts w:ascii="Times New Roman" w:hAnsi="Times New Roman" w:cs="Times New Roman"/>
          <w:noProof/>
          <w:color w:val="auto"/>
        </w:rPr>
        <w:t>: Projects by main broad policy area</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Under the 2017 SRSP, the highest number of implemented projects were in </w:t>
      </w:r>
      <w:r>
        <w:rPr>
          <w:rFonts w:ascii="Times New Roman" w:eastAsia="Times New Roman" w:hAnsi="Times New Roman" w:cs="Times New Roman"/>
          <w:noProof/>
          <w:sz w:val="24"/>
          <w:szCs w:val="24"/>
          <w:lang w:eastAsia="en-GB"/>
        </w:rPr>
        <w:t>the area of growth and business environment (30%) and labour market, education, health and social services (26%).</w:t>
      </w:r>
    </w:p>
    <w:p w:rsidR="003C18FB" w:rsidRDefault="00773466">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breakdown of specific actions (measures funded by the SRSP 2018 budget) supported in each policy area and each Member State is described i</w:t>
      </w:r>
      <w:r>
        <w:rPr>
          <w:rFonts w:ascii="Times New Roman" w:eastAsia="Times New Roman" w:hAnsi="Times New Roman" w:cs="Times New Roman"/>
          <w:noProof/>
          <w:sz w:val="24"/>
          <w:szCs w:val="24"/>
          <w:lang w:eastAsia="en-GB"/>
        </w:rPr>
        <w:t>n the chart below.</w:t>
      </w:r>
    </w:p>
    <w:tbl>
      <w:tblPr>
        <w:tblStyle w:val="TableGrid"/>
        <w:tblW w:w="9180" w:type="dxa"/>
        <w:tblLook w:val="04A0" w:firstRow="1" w:lastRow="0" w:firstColumn="1" w:lastColumn="0" w:noHBand="0" w:noVBand="1"/>
      </w:tblPr>
      <w:tblGrid>
        <w:gridCol w:w="2802"/>
        <w:gridCol w:w="6378"/>
      </w:tblGrid>
      <w:tr w:rsidR="003C18FB">
        <w:tc>
          <w:tcPr>
            <w:tcW w:w="2802" w:type="dxa"/>
          </w:tcPr>
          <w:p w:rsidR="003C18FB" w:rsidRDefault="00773466">
            <w:pPr>
              <w:autoSpaceDE w:val="0"/>
              <w:autoSpaceDN w:val="0"/>
              <w:adjustRightInd w:val="0"/>
              <w:jc w:val="both"/>
              <w:rPr>
                <w:b/>
                <w:noProof/>
                <w:sz w:val="24"/>
                <w:szCs w:val="24"/>
              </w:rPr>
            </w:pPr>
            <w:r>
              <w:rPr>
                <w:b/>
                <w:noProof/>
                <w:sz w:val="24"/>
                <w:szCs w:val="24"/>
              </w:rPr>
              <w:t xml:space="preserve">Governance and public administration </w:t>
            </w:r>
          </w:p>
          <w:p w:rsidR="003C18FB" w:rsidRDefault="003C18FB">
            <w:pPr>
              <w:autoSpaceDE w:val="0"/>
              <w:autoSpaceDN w:val="0"/>
              <w:adjustRightInd w:val="0"/>
              <w:jc w:val="both"/>
              <w:rPr>
                <w:b/>
                <w:noProof/>
                <w:sz w:val="24"/>
                <w:szCs w:val="24"/>
              </w:rPr>
            </w:pPr>
          </w:p>
        </w:tc>
        <w:tc>
          <w:tcPr>
            <w:tcW w:w="6378" w:type="dxa"/>
          </w:tcPr>
          <w:p w:rsidR="003C18FB" w:rsidRDefault="00773466">
            <w:pPr>
              <w:autoSpaceDE w:val="0"/>
              <w:autoSpaceDN w:val="0"/>
              <w:adjustRightInd w:val="0"/>
              <w:spacing w:after="120"/>
              <w:jc w:val="both"/>
              <w:rPr>
                <w:b/>
                <w:noProof/>
                <w:sz w:val="24"/>
                <w:szCs w:val="24"/>
              </w:rPr>
            </w:pPr>
            <w:r>
              <w:rPr>
                <w:noProof/>
                <w:sz w:val="24"/>
                <w:szCs w:val="24"/>
              </w:rPr>
              <w:t>The SRSP provides support measures in 15 Member States, in particular in the fields of the overall public administration, procurement, eGovernment, the functioning of the justice system, the fight a</w:t>
            </w:r>
            <w:r>
              <w:rPr>
                <w:noProof/>
                <w:sz w:val="24"/>
                <w:szCs w:val="24"/>
              </w:rPr>
              <w:t>gainst fraud, corruption and money laundering, and better absorption of the European Structural and Investment Funds.</w:t>
            </w:r>
          </w:p>
        </w:tc>
      </w:tr>
      <w:tr w:rsidR="003C18FB">
        <w:tc>
          <w:tcPr>
            <w:tcW w:w="2802" w:type="dxa"/>
          </w:tcPr>
          <w:p w:rsidR="003C18FB" w:rsidRDefault="00773466">
            <w:pPr>
              <w:autoSpaceDE w:val="0"/>
              <w:autoSpaceDN w:val="0"/>
              <w:adjustRightInd w:val="0"/>
              <w:jc w:val="both"/>
              <w:rPr>
                <w:b/>
                <w:noProof/>
                <w:sz w:val="24"/>
                <w:szCs w:val="24"/>
              </w:rPr>
            </w:pPr>
            <w:r>
              <w:rPr>
                <w:b/>
                <w:noProof/>
                <w:sz w:val="24"/>
                <w:szCs w:val="24"/>
              </w:rPr>
              <w:t xml:space="preserve">Growth and business environment </w:t>
            </w:r>
          </w:p>
          <w:p w:rsidR="003C18FB" w:rsidRDefault="003C18FB">
            <w:pPr>
              <w:autoSpaceDE w:val="0"/>
              <w:autoSpaceDN w:val="0"/>
              <w:adjustRightInd w:val="0"/>
              <w:jc w:val="both"/>
              <w:rPr>
                <w:b/>
                <w:noProof/>
                <w:sz w:val="24"/>
                <w:szCs w:val="24"/>
              </w:rPr>
            </w:pPr>
          </w:p>
        </w:tc>
        <w:tc>
          <w:tcPr>
            <w:tcW w:w="6378" w:type="dxa"/>
          </w:tcPr>
          <w:p w:rsidR="003C18FB" w:rsidRDefault="00773466">
            <w:pPr>
              <w:autoSpaceDE w:val="0"/>
              <w:autoSpaceDN w:val="0"/>
              <w:adjustRightInd w:val="0"/>
              <w:spacing w:after="120"/>
              <w:jc w:val="both"/>
              <w:rPr>
                <w:b/>
                <w:noProof/>
                <w:sz w:val="24"/>
                <w:szCs w:val="24"/>
              </w:rPr>
            </w:pPr>
            <w:r>
              <w:rPr>
                <w:noProof/>
                <w:sz w:val="24"/>
                <w:szCs w:val="24"/>
              </w:rPr>
              <w:t xml:space="preserve">The SRSP provides support measures in 19 Member States, in particular in the fields of investment climate, management of natural resources and resource efficiency, and the Energy Union. </w:t>
            </w:r>
            <w:r>
              <w:rPr>
                <w:b/>
                <w:noProof/>
                <w:sz w:val="24"/>
                <w:szCs w:val="24"/>
              </w:rPr>
              <w:t xml:space="preserve">  </w:t>
            </w:r>
          </w:p>
        </w:tc>
      </w:tr>
      <w:tr w:rsidR="003C18FB">
        <w:tc>
          <w:tcPr>
            <w:tcW w:w="2802" w:type="dxa"/>
          </w:tcPr>
          <w:p w:rsidR="003C18FB" w:rsidRDefault="00773466">
            <w:pPr>
              <w:autoSpaceDE w:val="0"/>
              <w:autoSpaceDN w:val="0"/>
              <w:adjustRightInd w:val="0"/>
              <w:jc w:val="both"/>
              <w:rPr>
                <w:b/>
                <w:noProof/>
                <w:sz w:val="24"/>
                <w:szCs w:val="24"/>
              </w:rPr>
            </w:pPr>
            <w:r>
              <w:rPr>
                <w:b/>
                <w:noProof/>
                <w:sz w:val="24"/>
                <w:szCs w:val="24"/>
              </w:rPr>
              <w:t>Labour</w:t>
            </w:r>
            <w:r>
              <w:rPr>
                <w:noProof/>
                <w:sz w:val="24"/>
                <w:szCs w:val="24"/>
              </w:rPr>
              <w:t xml:space="preserve"> </w:t>
            </w:r>
            <w:r>
              <w:rPr>
                <w:b/>
                <w:noProof/>
                <w:sz w:val="24"/>
                <w:szCs w:val="24"/>
              </w:rPr>
              <w:t>market, education, health and social services</w:t>
            </w:r>
          </w:p>
        </w:tc>
        <w:tc>
          <w:tcPr>
            <w:tcW w:w="6378" w:type="dxa"/>
          </w:tcPr>
          <w:p w:rsidR="003C18FB" w:rsidRDefault="00773466">
            <w:pPr>
              <w:autoSpaceDE w:val="0"/>
              <w:autoSpaceDN w:val="0"/>
              <w:adjustRightInd w:val="0"/>
              <w:spacing w:after="120"/>
              <w:jc w:val="both"/>
              <w:rPr>
                <w:b/>
                <w:noProof/>
                <w:sz w:val="24"/>
                <w:szCs w:val="24"/>
              </w:rPr>
            </w:pPr>
            <w:r>
              <w:rPr>
                <w:noProof/>
                <w:sz w:val="24"/>
                <w:szCs w:val="24"/>
              </w:rPr>
              <w:t>The SRSP prov</w:t>
            </w:r>
            <w:r>
              <w:rPr>
                <w:noProof/>
                <w:sz w:val="24"/>
                <w:szCs w:val="24"/>
              </w:rPr>
              <w:t>ides support measures in 17 Member States, in particular in the fields of healthcare systems, education, training and research, labour markets and social policies and social welfare systems.</w:t>
            </w:r>
          </w:p>
        </w:tc>
      </w:tr>
      <w:tr w:rsidR="003C18FB">
        <w:tc>
          <w:tcPr>
            <w:tcW w:w="2802" w:type="dxa"/>
          </w:tcPr>
          <w:p w:rsidR="003C18FB" w:rsidRDefault="00773466">
            <w:pPr>
              <w:autoSpaceDE w:val="0"/>
              <w:autoSpaceDN w:val="0"/>
              <w:adjustRightInd w:val="0"/>
              <w:jc w:val="both"/>
              <w:rPr>
                <w:b/>
                <w:noProof/>
                <w:sz w:val="24"/>
                <w:szCs w:val="24"/>
              </w:rPr>
            </w:pPr>
            <w:r>
              <w:rPr>
                <w:b/>
                <w:noProof/>
                <w:sz w:val="24"/>
                <w:szCs w:val="24"/>
              </w:rPr>
              <w:t xml:space="preserve">Revenue administration and public financial management </w:t>
            </w:r>
          </w:p>
        </w:tc>
        <w:tc>
          <w:tcPr>
            <w:tcW w:w="6378" w:type="dxa"/>
          </w:tcPr>
          <w:p w:rsidR="003C18FB" w:rsidRDefault="00773466">
            <w:pPr>
              <w:autoSpaceDE w:val="0"/>
              <w:autoSpaceDN w:val="0"/>
              <w:adjustRightInd w:val="0"/>
              <w:spacing w:after="120"/>
              <w:jc w:val="both"/>
              <w:rPr>
                <w:noProof/>
                <w:sz w:val="24"/>
                <w:szCs w:val="24"/>
              </w:rPr>
            </w:pPr>
            <w:r>
              <w:rPr>
                <w:noProof/>
                <w:sz w:val="24"/>
                <w:szCs w:val="24"/>
              </w:rPr>
              <w:t>The SRSP</w:t>
            </w:r>
            <w:r>
              <w:rPr>
                <w:noProof/>
                <w:sz w:val="24"/>
                <w:szCs w:val="24"/>
              </w:rPr>
              <w:t xml:space="preserve"> provides support measures in 16 Member States, in particular in relation to revenue administration, tax policy, budget preparation and spending reviews, budget implementation and transition towards accrual accounting, and fiscal framework.</w:t>
            </w:r>
          </w:p>
        </w:tc>
      </w:tr>
      <w:tr w:rsidR="003C18FB">
        <w:tc>
          <w:tcPr>
            <w:tcW w:w="2802" w:type="dxa"/>
          </w:tcPr>
          <w:p w:rsidR="003C18FB" w:rsidRDefault="00773466">
            <w:pPr>
              <w:autoSpaceDE w:val="0"/>
              <w:autoSpaceDN w:val="0"/>
              <w:adjustRightInd w:val="0"/>
              <w:jc w:val="both"/>
              <w:rPr>
                <w:b/>
                <w:noProof/>
                <w:sz w:val="24"/>
                <w:szCs w:val="24"/>
              </w:rPr>
            </w:pPr>
            <w:r>
              <w:rPr>
                <w:b/>
                <w:noProof/>
                <w:sz w:val="24"/>
                <w:szCs w:val="24"/>
              </w:rPr>
              <w:t>Financial sect</w:t>
            </w:r>
            <w:r>
              <w:rPr>
                <w:b/>
                <w:noProof/>
                <w:sz w:val="24"/>
                <w:szCs w:val="24"/>
              </w:rPr>
              <w:t>or and access to finance</w:t>
            </w:r>
          </w:p>
        </w:tc>
        <w:tc>
          <w:tcPr>
            <w:tcW w:w="6378" w:type="dxa"/>
          </w:tcPr>
          <w:p w:rsidR="003C18FB" w:rsidRDefault="00773466">
            <w:pPr>
              <w:autoSpaceDE w:val="0"/>
              <w:autoSpaceDN w:val="0"/>
              <w:adjustRightInd w:val="0"/>
              <w:spacing w:after="120"/>
              <w:jc w:val="both"/>
              <w:rPr>
                <w:noProof/>
                <w:sz w:val="24"/>
                <w:szCs w:val="24"/>
              </w:rPr>
            </w:pPr>
            <w:r>
              <w:rPr>
                <w:noProof/>
                <w:sz w:val="24"/>
                <w:szCs w:val="24"/>
              </w:rPr>
              <w:t xml:space="preserve">The SRSP provides support measures in 12 Member States, in particular in the fields of capital market diagnostics and strategies, capital market development, insolvency and nonperforming loans, financial literacy and reinforcing </w:t>
            </w:r>
            <w:r>
              <w:rPr>
                <w:noProof/>
                <w:sz w:val="24"/>
                <w:szCs w:val="24"/>
              </w:rPr>
              <w:t>financial stability.</w:t>
            </w:r>
          </w:p>
        </w:tc>
      </w:tr>
    </w:tbl>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largest proportion of support measures selected under the SRSP 2018 round and currently being implemented concern the following sectors/actions (see the figure below and </w:t>
      </w:r>
      <w:r>
        <w:rPr>
          <w:rFonts w:ascii="Times New Roman" w:hAnsi="Times New Roman" w:cs="Times New Roman"/>
          <w:noProof/>
          <w:sz w:val="24"/>
          <w:szCs w:val="24"/>
        </w:rPr>
        <w:t>Annex III for more details)</w:t>
      </w:r>
      <w:r>
        <w:rPr>
          <w:rFonts w:ascii="Times New Roman" w:eastAsia="Times New Roman" w:hAnsi="Times New Roman" w:cs="Times New Roman"/>
          <w:noProof/>
          <w:sz w:val="24"/>
          <w:szCs w:val="24"/>
          <w:lang w:eastAsia="en-GB"/>
        </w:rPr>
        <w:t>:</w:t>
      </w:r>
    </w:p>
    <w:p w:rsidR="003C18FB" w:rsidRDefault="00773466">
      <w:pPr>
        <w:pStyle w:val="ListParagraph"/>
        <w:numPr>
          <w:ilvl w:val="0"/>
          <w:numId w:val="23"/>
        </w:numPr>
        <w:rPr>
          <w:noProof/>
          <w:szCs w:val="24"/>
          <w:lang w:eastAsia="en-GB"/>
        </w:rPr>
      </w:pPr>
      <w:r>
        <w:rPr>
          <w:noProof/>
          <w:szCs w:val="24"/>
          <w:lang w:eastAsia="en-GB"/>
        </w:rPr>
        <w:t>Tax policy (13%);</w:t>
      </w:r>
    </w:p>
    <w:p w:rsidR="003C18FB" w:rsidRDefault="00773466">
      <w:pPr>
        <w:pStyle w:val="ListParagraph"/>
        <w:numPr>
          <w:ilvl w:val="0"/>
          <w:numId w:val="23"/>
        </w:numPr>
        <w:rPr>
          <w:noProof/>
          <w:szCs w:val="24"/>
          <w:lang w:eastAsia="en-GB"/>
        </w:rPr>
      </w:pPr>
      <w:r>
        <w:rPr>
          <w:noProof/>
          <w:szCs w:val="24"/>
          <w:lang w:eastAsia="en-GB"/>
        </w:rPr>
        <w:t>Education and</w:t>
      </w:r>
      <w:r>
        <w:rPr>
          <w:noProof/>
          <w:szCs w:val="24"/>
          <w:lang w:eastAsia="en-GB"/>
        </w:rPr>
        <w:t xml:space="preserve"> training (9%);</w:t>
      </w:r>
    </w:p>
    <w:p w:rsidR="003C18FB" w:rsidRDefault="00773466">
      <w:pPr>
        <w:pStyle w:val="ListParagraph"/>
        <w:numPr>
          <w:ilvl w:val="0"/>
          <w:numId w:val="23"/>
        </w:numPr>
        <w:rPr>
          <w:noProof/>
          <w:szCs w:val="24"/>
          <w:lang w:eastAsia="en-GB"/>
        </w:rPr>
      </w:pPr>
      <w:r>
        <w:rPr>
          <w:noProof/>
          <w:szCs w:val="24"/>
          <w:lang w:eastAsia="en-GB"/>
        </w:rPr>
        <w:t>Digital public administration (8%);</w:t>
      </w:r>
    </w:p>
    <w:p w:rsidR="003C18FB" w:rsidRDefault="00773466">
      <w:pPr>
        <w:pStyle w:val="ListParagraph"/>
        <w:numPr>
          <w:ilvl w:val="0"/>
          <w:numId w:val="23"/>
        </w:numPr>
        <w:rPr>
          <w:noProof/>
          <w:szCs w:val="24"/>
          <w:lang w:eastAsia="en-GB"/>
        </w:rPr>
      </w:pPr>
      <w:r>
        <w:rPr>
          <w:noProof/>
          <w:szCs w:val="24"/>
          <w:lang w:eastAsia="en-GB"/>
        </w:rPr>
        <w:t>Governance (8%);</w:t>
      </w:r>
    </w:p>
    <w:p w:rsidR="003C18FB" w:rsidRDefault="00773466">
      <w:pPr>
        <w:pStyle w:val="ListParagraph"/>
        <w:numPr>
          <w:ilvl w:val="0"/>
          <w:numId w:val="23"/>
        </w:numPr>
        <w:rPr>
          <w:noProof/>
          <w:szCs w:val="24"/>
          <w:lang w:eastAsia="en-GB"/>
        </w:rPr>
      </w:pPr>
      <w:r>
        <w:rPr>
          <w:noProof/>
          <w:szCs w:val="24"/>
          <w:lang w:eastAsia="en-GB"/>
        </w:rPr>
        <w:t>Healthcare system (7%);</w:t>
      </w:r>
    </w:p>
    <w:p w:rsidR="003C18FB" w:rsidRDefault="00773466">
      <w:pPr>
        <w:pStyle w:val="ListParagraph"/>
        <w:numPr>
          <w:ilvl w:val="0"/>
          <w:numId w:val="23"/>
        </w:numPr>
        <w:rPr>
          <w:noProof/>
          <w:szCs w:val="24"/>
          <w:lang w:eastAsia="en-GB"/>
        </w:rPr>
      </w:pPr>
      <w:r>
        <w:rPr>
          <w:noProof/>
          <w:szCs w:val="24"/>
          <w:lang w:eastAsia="en-GB"/>
        </w:rPr>
        <w:t>Capital markets union (5%).</w:t>
      </w:r>
    </w:p>
    <w:p w:rsidR="003C18FB" w:rsidRDefault="00773466">
      <w:pPr>
        <w:keepNext/>
        <w:rPr>
          <w:noProof/>
        </w:rPr>
      </w:pPr>
      <w:r>
        <w:rPr>
          <w:noProof/>
          <w:lang w:eastAsia="en-GB"/>
        </w:rPr>
        <w:drawing>
          <wp:inline distT="0" distB="0" distL="0" distR="0">
            <wp:extent cx="5199321" cy="4997302"/>
            <wp:effectExtent l="0" t="0" r="20955" b="1333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en-GB" w:bidi="ne-NP"/>
        </w:rPr>
        <w:t xml:space="preserve"> </w:t>
      </w:r>
    </w:p>
    <w:p w:rsidR="003C18FB" w:rsidRDefault="00773466">
      <w:pPr>
        <w:pStyle w:val="Caption"/>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12</w:t>
      </w:r>
      <w:r>
        <w:rPr>
          <w:rFonts w:ascii="Times New Roman" w:hAnsi="Times New Roman" w:cs="Times New Roman"/>
          <w:noProof/>
          <w:color w:val="auto"/>
        </w:rPr>
        <w:fldChar w:fldCharType="end"/>
      </w:r>
      <w:r>
        <w:rPr>
          <w:rFonts w:ascii="Times New Roman" w:hAnsi="Times New Roman" w:cs="Times New Roman"/>
          <w:noProof/>
          <w:color w:val="auto"/>
        </w:rPr>
        <w:t>: Sectors / actions covered by the support measures</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For the funds transferred to the SRSP voluntarily by Greece and Bulgaria under Article 11 of the SRSP Regulation, by 30 November 2019, 24% of the projects were under preparation and 74% were being implemented on the ground. One recently approved project ha</w:t>
      </w:r>
      <w:r>
        <w:rPr>
          <w:rFonts w:ascii="Times New Roman" w:hAnsi="Times New Roman" w:cs="Times New Roman"/>
          <w:noProof/>
          <w:sz w:val="24"/>
          <w:szCs w:val="24"/>
        </w:rPr>
        <w:t xml:space="preserve">d not yet started (2%). </w:t>
      </w:r>
      <w:r>
        <w:rPr>
          <w:rFonts w:ascii="Times New Roman" w:eastAsia="Times New Roman" w:hAnsi="Times New Roman" w:cs="Times New Roman"/>
          <w:noProof/>
          <w:sz w:val="24"/>
          <w:szCs w:val="24"/>
          <w:lang w:eastAsia="en-GB"/>
        </w:rPr>
        <w:t>The largest proportion of support measures concerns the environment, circular economy, water and land registry; labour market policies; better regulation, licensing, permits and inspections; central and local administration; and jud</w:t>
      </w:r>
      <w:r>
        <w:rPr>
          <w:rFonts w:ascii="Times New Roman" w:eastAsia="Times New Roman" w:hAnsi="Times New Roman" w:cs="Times New Roman"/>
          <w:noProof/>
          <w:sz w:val="24"/>
          <w:szCs w:val="24"/>
          <w:lang w:eastAsia="en-GB"/>
        </w:rPr>
        <w:t xml:space="preserve">icial reform, social policies and other sectoral expertise. </w:t>
      </w:r>
    </w:p>
    <w:p w:rsidR="003C18FB" w:rsidRDefault="003C18FB">
      <w:pPr>
        <w:spacing w:before="120" w:after="120" w:line="240" w:lineRule="auto"/>
        <w:jc w:val="both"/>
        <w:rPr>
          <w:rFonts w:ascii="Times New Roman" w:eastAsia="Times New Roman" w:hAnsi="Times New Roman" w:cs="Times New Roman"/>
          <w:noProof/>
          <w:sz w:val="24"/>
          <w:szCs w:val="24"/>
          <w:lang w:eastAsia="en-GB"/>
        </w:rPr>
      </w:pP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118 different authorities were recipients of support measures funded under the 2018 SRSP. </w:t>
      </w:r>
    </w:p>
    <w:p w:rsidR="003C18FB" w:rsidRDefault="00773466">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type of beneficiary authority receiving support is shown in the chart below.</w:t>
      </w:r>
    </w:p>
    <w:p w:rsidR="003C18FB" w:rsidRDefault="00773466">
      <w:pPr>
        <w:keepNext/>
        <w:rPr>
          <w:noProof/>
        </w:rPr>
      </w:pPr>
      <w:r>
        <w:rPr>
          <w:noProof/>
          <w:lang w:eastAsia="en-GB"/>
        </w:rPr>
        <w:drawing>
          <wp:inline distT="0" distB="0" distL="0" distR="0">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C18FB" w:rsidRDefault="00773466">
      <w:pPr>
        <w:pStyle w:val="Caption"/>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w:instrText>
      </w:r>
      <w:r>
        <w:rPr>
          <w:rFonts w:ascii="Times New Roman" w:hAnsi="Times New Roman" w:cs="Times New Roman"/>
          <w:noProof/>
          <w:color w:val="auto"/>
        </w:rPr>
        <w:instrText xml:space="preserve">* ARABIC </w:instrText>
      </w:r>
      <w:r>
        <w:rPr>
          <w:rFonts w:ascii="Times New Roman" w:hAnsi="Times New Roman" w:cs="Times New Roman"/>
          <w:noProof/>
          <w:color w:val="auto"/>
        </w:rPr>
        <w:fldChar w:fldCharType="separate"/>
      </w:r>
      <w:r>
        <w:rPr>
          <w:rFonts w:ascii="Times New Roman" w:hAnsi="Times New Roman" w:cs="Times New Roman"/>
          <w:noProof/>
          <w:color w:val="auto"/>
        </w:rPr>
        <w:t>13</w:t>
      </w:r>
      <w:r>
        <w:rPr>
          <w:rFonts w:ascii="Times New Roman" w:hAnsi="Times New Roman" w:cs="Times New Roman"/>
          <w:noProof/>
          <w:color w:val="auto"/>
        </w:rPr>
        <w:fldChar w:fldCharType="end"/>
      </w:r>
      <w:r>
        <w:rPr>
          <w:rFonts w:ascii="Times New Roman" w:hAnsi="Times New Roman" w:cs="Times New Roman"/>
          <w:noProof/>
          <w:color w:val="auto"/>
        </w:rPr>
        <w:t>: Type of beneficiary authority receiving support measures under the 2018 SRSP</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distribution of beneficiary authorities in each Member State is shown by type in the table below. </w:t>
      </w:r>
    </w:p>
    <w:tbl>
      <w:tblPr>
        <w:tblStyle w:val="TableGrid"/>
        <w:tblW w:w="9072" w:type="dxa"/>
        <w:tblInd w:w="108" w:type="dxa"/>
        <w:tblLook w:val="04A0" w:firstRow="1" w:lastRow="0" w:firstColumn="1" w:lastColumn="0" w:noHBand="0" w:noVBand="1"/>
      </w:tblPr>
      <w:tblGrid>
        <w:gridCol w:w="1296"/>
        <w:gridCol w:w="1296"/>
        <w:gridCol w:w="1296"/>
        <w:gridCol w:w="1296"/>
        <w:gridCol w:w="1296"/>
        <w:gridCol w:w="1296"/>
        <w:gridCol w:w="1296"/>
      </w:tblGrid>
      <w:tr w:rsidR="003C18FB">
        <w:tc>
          <w:tcPr>
            <w:tcW w:w="1296" w:type="dxa"/>
            <w:vMerge w:val="restart"/>
            <w:vAlign w:val="center"/>
          </w:tcPr>
          <w:p w:rsidR="003C18FB" w:rsidRDefault="00773466">
            <w:pPr>
              <w:jc w:val="center"/>
              <w:rPr>
                <w:b/>
                <w:bCs/>
                <w:noProof/>
                <w:lang w:val="en-IE" w:eastAsia="it-IT"/>
              </w:rPr>
            </w:pPr>
            <w:r>
              <w:rPr>
                <w:b/>
                <w:bCs/>
                <w:noProof/>
                <w:lang w:val="en-IE" w:eastAsia="it-IT"/>
              </w:rPr>
              <w:t>Member State</w:t>
            </w:r>
          </w:p>
        </w:tc>
        <w:tc>
          <w:tcPr>
            <w:tcW w:w="7776" w:type="dxa"/>
            <w:gridSpan w:val="6"/>
            <w:vAlign w:val="center"/>
          </w:tcPr>
          <w:p w:rsidR="003C18FB" w:rsidRDefault="00773466">
            <w:pPr>
              <w:jc w:val="center"/>
              <w:rPr>
                <w:b/>
                <w:bCs/>
                <w:noProof/>
                <w:lang w:val="en-IE" w:eastAsia="it-IT"/>
              </w:rPr>
            </w:pPr>
            <w:r>
              <w:rPr>
                <w:b/>
                <w:bCs/>
                <w:noProof/>
                <w:lang w:val="en-IE" w:eastAsia="it-IT"/>
              </w:rPr>
              <w:t>Type of beneficiary authority</w:t>
            </w:r>
          </w:p>
        </w:tc>
      </w:tr>
      <w:tr w:rsidR="003C18FB">
        <w:tc>
          <w:tcPr>
            <w:tcW w:w="1296" w:type="dxa"/>
            <w:vMerge/>
            <w:vAlign w:val="center"/>
          </w:tcPr>
          <w:p w:rsidR="003C18FB" w:rsidRDefault="003C18FB">
            <w:pP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 xml:space="preserve">Central </w:t>
            </w:r>
            <w:r>
              <w:rPr>
                <w:b/>
                <w:bCs/>
                <w:noProof/>
                <w:lang w:val="en-IE" w:eastAsia="it-IT"/>
              </w:rPr>
              <w:t>government/ Ministry</w:t>
            </w:r>
          </w:p>
        </w:tc>
        <w:tc>
          <w:tcPr>
            <w:tcW w:w="1296" w:type="dxa"/>
            <w:vAlign w:val="center"/>
          </w:tcPr>
          <w:p w:rsidR="003C18FB" w:rsidRDefault="00773466">
            <w:pPr>
              <w:jc w:val="center"/>
              <w:rPr>
                <w:b/>
                <w:bCs/>
                <w:noProof/>
                <w:lang w:val="en-IE" w:eastAsia="it-IT"/>
              </w:rPr>
            </w:pPr>
            <w:r>
              <w:rPr>
                <w:b/>
                <w:bCs/>
                <w:noProof/>
                <w:lang w:val="en-IE" w:eastAsia="it-IT"/>
              </w:rPr>
              <w:t>Public agency</w:t>
            </w:r>
          </w:p>
        </w:tc>
        <w:tc>
          <w:tcPr>
            <w:tcW w:w="1296" w:type="dxa"/>
            <w:vAlign w:val="center"/>
          </w:tcPr>
          <w:p w:rsidR="003C18FB" w:rsidRDefault="00773466">
            <w:pPr>
              <w:jc w:val="center"/>
              <w:rPr>
                <w:b/>
                <w:bCs/>
                <w:noProof/>
                <w:lang w:val="en-IE" w:eastAsia="it-IT"/>
              </w:rPr>
            </w:pPr>
            <w:r>
              <w:rPr>
                <w:b/>
                <w:bCs/>
                <w:noProof/>
                <w:lang w:val="en-IE" w:eastAsia="it-IT"/>
              </w:rPr>
              <w:t>Regulatory authority</w:t>
            </w:r>
          </w:p>
        </w:tc>
        <w:tc>
          <w:tcPr>
            <w:tcW w:w="1296" w:type="dxa"/>
            <w:vAlign w:val="center"/>
          </w:tcPr>
          <w:p w:rsidR="003C18FB" w:rsidRDefault="00773466">
            <w:pPr>
              <w:jc w:val="center"/>
              <w:rPr>
                <w:b/>
                <w:bCs/>
                <w:noProof/>
                <w:lang w:val="en-IE" w:eastAsia="it-IT"/>
              </w:rPr>
            </w:pPr>
            <w:r>
              <w:rPr>
                <w:b/>
                <w:bCs/>
                <w:noProof/>
                <w:lang w:val="en-IE" w:eastAsia="it-IT"/>
              </w:rPr>
              <w:t>Regional / Local authority</w:t>
            </w:r>
          </w:p>
        </w:tc>
        <w:tc>
          <w:tcPr>
            <w:tcW w:w="1296" w:type="dxa"/>
            <w:vAlign w:val="center"/>
          </w:tcPr>
          <w:p w:rsidR="003C18FB" w:rsidRDefault="00773466">
            <w:pPr>
              <w:jc w:val="center"/>
              <w:rPr>
                <w:b/>
                <w:bCs/>
                <w:noProof/>
                <w:lang w:val="en-IE" w:eastAsia="it-IT"/>
              </w:rPr>
            </w:pPr>
            <w:r>
              <w:rPr>
                <w:b/>
                <w:bCs/>
                <w:noProof/>
                <w:lang w:val="en-IE" w:eastAsia="it-IT"/>
              </w:rPr>
              <w:t>Other public bodies</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Total</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AT</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3</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vAlign w:val="bottom"/>
          </w:tcPr>
          <w:p w:rsidR="003C18FB" w:rsidRDefault="00773466">
            <w:pPr>
              <w:jc w:val="center"/>
              <w:rPr>
                <w:b/>
                <w:bCs/>
                <w:noProof/>
                <w:lang w:val="en-IE" w:eastAsia="it-IT"/>
              </w:rPr>
            </w:pPr>
            <w:r>
              <w:rPr>
                <w:b/>
                <w:noProof/>
                <w:color w:val="000000"/>
              </w:rPr>
              <w:t>BE</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773466">
            <w:pPr>
              <w:jc w:val="center"/>
              <w:rPr>
                <w:b/>
                <w:bCs/>
                <w:noProof/>
                <w:lang w:val="en-IE" w:eastAsia="it-IT"/>
              </w:rPr>
            </w:pPr>
            <w:r>
              <w:rPr>
                <w:b/>
                <w:bCs/>
                <w:noProof/>
                <w:lang w:val="en-IE" w:eastAsia="it-IT"/>
              </w:rPr>
              <w:t>3</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6</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BG</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4</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5</w:t>
            </w:r>
          </w:p>
        </w:tc>
      </w:tr>
      <w:tr w:rsidR="003C18FB">
        <w:tc>
          <w:tcPr>
            <w:tcW w:w="1296" w:type="dxa"/>
            <w:vAlign w:val="bottom"/>
          </w:tcPr>
          <w:p w:rsidR="003C18FB" w:rsidRDefault="00773466">
            <w:pPr>
              <w:jc w:val="center"/>
              <w:rPr>
                <w:b/>
                <w:bCs/>
                <w:noProof/>
                <w:lang w:val="en-IE" w:eastAsia="it-IT"/>
              </w:rPr>
            </w:pPr>
            <w:r>
              <w:rPr>
                <w:b/>
                <w:noProof/>
                <w:color w:val="000000"/>
              </w:rPr>
              <w:t>CY</w:t>
            </w:r>
          </w:p>
        </w:tc>
        <w:tc>
          <w:tcPr>
            <w:tcW w:w="1296" w:type="dxa"/>
            <w:vAlign w:val="center"/>
          </w:tcPr>
          <w:p w:rsidR="003C18FB" w:rsidRDefault="00773466">
            <w:pPr>
              <w:jc w:val="center"/>
              <w:rPr>
                <w:b/>
                <w:bCs/>
                <w:noProof/>
                <w:lang w:val="en-IE" w:eastAsia="it-IT"/>
              </w:rPr>
            </w:pPr>
            <w:r>
              <w:rPr>
                <w:b/>
                <w:bCs/>
                <w:noProof/>
                <w:lang w:val="en-IE" w:eastAsia="it-IT"/>
              </w:rPr>
              <w:t>6</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8</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CZ</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4</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vAlign w:val="bottom"/>
          </w:tcPr>
          <w:p w:rsidR="003C18FB" w:rsidRDefault="00773466">
            <w:pPr>
              <w:jc w:val="center"/>
              <w:rPr>
                <w:b/>
                <w:bCs/>
                <w:noProof/>
                <w:lang w:val="en-IE" w:eastAsia="it-IT"/>
              </w:rPr>
            </w:pPr>
            <w:r>
              <w:rPr>
                <w:b/>
                <w:noProof/>
                <w:color w:val="000000"/>
              </w:rPr>
              <w:t>DE</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EE</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4</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vAlign w:val="bottom"/>
          </w:tcPr>
          <w:p w:rsidR="003C18FB" w:rsidRDefault="00773466">
            <w:pPr>
              <w:jc w:val="center"/>
              <w:rPr>
                <w:b/>
                <w:bCs/>
                <w:noProof/>
                <w:lang w:val="en-IE" w:eastAsia="it-IT"/>
              </w:rPr>
            </w:pPr>
            <w:r>
              <w:rPr>
                <w:b/>
                <w:noProof/>
                <w:color w:val="000000"/>
              </w:rPr>
              <w:t>EL</w:t>
            </w:r>
          </w:p>
        </w:tc>
        <w:tc>
          <w:tcPr>
            <w:tcW w:w="1296" w:type="dxa"/>
            <w:vAlign w:val="center"/>
          </w:tcPr>
          <w:p w:rsidR="003C18FB" w:rsidRDefault="00773466">
            <w:pPr>
              <w:jc w:val="center"/>
              <w:rPr>
                <w:b/>
                <w:bCs/>
                <w:noProof/>
                <w:lang w:val="en-IE" w:eastAsia="it-IT"/>
              </w:rPr>
            </w:pPr>
            <w:r>
              <w:rPr>
                <w:b/>
                <w:bCs/>
                <w:noProof/>
                <w:lang w:val="en-IE" w:eastAsia="it-IT"/>
              </w:rPr>
              <w:t>2</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ES</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5</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6</w:t>
            </w:r>
          </w:p>
        </w:tc>
      </w:tr>
      <w:tr w:rsidR="003C18FB">
        <w:tc>
          <w:tcPr>
            <w:tcW w:w="1296" w:type="dxa"/>
            <w:vAlign w:val="bottom"/>
          </w:tcPr>
          <w:p w:rsidR="003C18FB" w:rsidRDefault="00773466">
            <w:pPr>
              <w:jc w:val="center"/>
              <w:rPr>
                <w:b/>
                <w:bCs/>
                <w:noProof/>
                <w:lang w:val="en-IE" w:eastAsia="it-IT"/>
              </w:rPr>
            </w:pPr>
            <w:r>
              <w:rPr>
                <w:b/>
                <w:noProof/>
                <w:color w:val="000000"/>
              </w:rPr>
              <w:t>HR</w:t>
            </w:r>
          </w:p>
        </w:tc>
        <w:tc>
          <w:tcPr>
            <w:tcW w:w="1296" w:type="dxa"/>
            <w:vAlign w:val="center"/>
          </w:tcPr>
          <w:p w:rsidR="003C18FB" w:rsidRDefault="00773466">
            <w:pPr>
              <w:jc w:val="center"/>
              <w:rPr>
                <w:b/>
                <w:bCs/>
                <w:noProof/>
                <w:lang w:val="en-IE" w:eastAsia="it-IT"/>
              </w:rPr>
            </w:pPr>
            <w:r>
              <w:rPr>
                <w:b/>
                <w:bCs/>
                <w:noProof/>
                <w:lang w:val="en-IE" w:eastAsia="it-IT"/>
              </w:rPr>
              <w:t>7</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10</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HU</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2</w:t>
            </w:r>
          </w:p>
        </w:tc>
      </w:tr>
      <w:tr w:rsidR="003C18FB">
        <w:tc>
          <w:tcPr>
            <w:tcW w:w="1296" w:type="dxa"/>
            <w:vAlign w:val="bottom"/>
          </w:tcPr>
          <w:p w:rsidR="003C18FB" w:rsidRDefault="00773466">
            <w:pPr>
              <w:jc w:val="center"/>
              <w:rPr>
                <w:b/>
                <w:bCs/>
                <w:noProof/>
                <w:lang w:val="en-IE" w:eastAsia="it-IT"/>
              </w:rPr>
            </w:pPr>
            <w:r>
              <w:rPr>
                <w:b/>
                <w:noProof/>
                <w:color w:val="000000"/>
              </w:rPr>
              <w:t>IE</w:t>
            </w:r>
          </w:p>
        </w:tc>
        <w:tc>
          <w:tcPr>
            <w:tcW w:w="1296" w:type="dxa"/>
            <w:vAlign w:val="center"/>
          </w:tcPr>
          <w:p w:rsidR="003C18FB" w:rsidRDefault="00773466">
            <w:pPr>
              <w:jc w:val="center"/>
              <w:rPr>
                <w:b/>
                <w:bCs/>
                <w:noProof/>
                <w:lang w:val="en-IE" w:eastAsia="it-IT"/>
              </w:rPr>
            </w:pPr>
            <w:r>
              <w:rPr>
                <w:b/>
                <w:bCs/>
                <w:noProof/>
                <w:lang w:val="en-IE" w:eastAsia="it-IT"/>
              </w:rPr>
              <w:t>3</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IT</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2</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2</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5</w:t>
            </w:r>
          </w:p>
        </w:tc>
      </w:tr>
      <w:tr w:rsidR="003C18FB">
        <w:tc>
          <w:tcPr>
            <w:tcW w:w="1296" w:type="dxa"/>
            <w:vAlign w:val="bottom"/>
          </w:tcPr>
          <w:p w:rsidR="003C18FB" w:rsidRDefault="00773466">
            <w:pPr>
              <w:jc w:val="center"/>
              <w:rPr>
                <w:b/>
                <w:bCs/>
                <w:noProof/>
                <w:lang w:val="en-IE" w:eastAsia="it-IT"/>
              </w:rPr>
            </w:pPr>
            <w:r>
              <w:rPr>
                <w:b/>
                <w:noProof/>
                <w:color w:val="000000"/>
              </w:rPr>
              <w:t>LT</w:t>
            </w:r>
          </w:p>
        </w:tc>
        <w:tc>
          <w:tcPr>
            <w:tcW w:w="1296" w:type="dxa"/>
            <w:vAlign w:val="center"/>
          </w:tcPr>
          <w:p w:rsidR="003C18FB" w:rsidRDefault="00773466">
            <w:pPr>
              <w:jc w:val="center"/>
              <w:rPr>
                <w:b/>
                <w:bCs/>
                <w:noProof/>
                <w:lang w:val="en-IE" w:eastAsia="it-IT"/>
              </w:rPr>
            </w:pPr>
            <w:r>
              <w:rPr>
                <w:b/>
                <w:bCs/>
                <w:noProof/>
                <w:lang w:val="en-IE" w:eastAsia="it-IT"/>
              </w:rPr>
              <w:t>4</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LU</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w:t>
            </w:r>
          </w:p>
        </w:tc>
      </w:tr>
      <w:tr w:rsidR="003C18FB">
        <w:tc>
          <w:tcPr>
            <w:tcW w:w="1296" w:type="dxa"/>
            <w:vAlign w:val="bottom"/>
          </w:tcPr>
          <w:p w:rsidR="003C18FB" w:rsidRDefault="00773466">
            <w:pPr>
              <w:jc w:val="center"/>
              <w:rPr>
                <w:b/>
                <w:bCs/>
                <w:noProof/>
                <w:lang w:val="en-IE" w:eastAsia="it-IT"/>
              </w:rPr>
            </w:pPr>
            <w:r>
              <w:rPr>
                <w:b/>
                <w:noProof/>
                <w:color w:val="000000"/>
              </w:rPr>
              <w:t>LV</w:t>
            </w:r>
          </w:p>
        </w:tc>
        <w:tc>
          <w:tcPr>
            <w:tcW w:w="1296" w:type="dxa"/>
            <w:vAlign w:val="center"/>
          </w:tcPr>
          <w:p w:rsidR="003C18FB" w:rsidRDefault="00773466">
            <w:pPr>
              <w:jc w:val="center"/>
              <w:rPr>
                <w:b/>
                <w:bCs/>
                <w:noProof/>
                <w:lang w:val="en-IE" w:eastAsia="it-IT"/>
              </w:rPr>
            </w:pPr>
            <w:r>
              <w:rPr>
                <w:b/>
                <w:bCs/>
                <w:noProof/>
                <w:lang w:val="en-IE" w:eastAsia="it-IT"/>
              </w:rPr>
              <w:t>6</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7</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MT</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4</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2</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6</w:t>
            </w:r>
          </w:p>
        </w:tc>
      </w:tr>
      <w:tr w:rsidR="003C18FB">
        <w:tc>
          <w:tcPr>
            <w:tcW w:w="1296" w:type="dxa"/>
            <w:vAlign w:val="bottom"/>
          </w:tcPr>
          <w:p w:rsidR="003C18FB" w:rsidRDefault="00773466">
            <w:pPr>
              <w:jc w:val="center"/>
              <w:rPr>
                <w:b/>
                <w:bCs/>
                <w:noProof/>
                <w:lang w:val="en-IE" w:eastAsia="it-IT"/>
              </w:rPr>
            </w:pPr>
            <w:r>
              <w:rPr>
                <w:b/>
                <w:noProof/>
                <w:color w:val="000000"/>
              </w:rPr>
              <w:t>PL</w:t>
            </w:r>
          </w:p>
        </w:tc>
        <w:tc>
          <w:tcPr>
            <w:tcW w:w="1296" w:type="dxa"/>
            <w:vAlign w:val="center"/>
          </w:tcPr>
          <w:p w:rsidR="003C18FB" w:rsidRDefault="00773466">
            <w:pPr>
              <w:jc w:val="center"/>
              <w:rPr>
                <w:b/>
                <w:bCs/>
                <w:noProof/>
                <w:lang w:val="en-IE" w:eastAsia="it-IT"/>
              </w:rPr>
            </w:pPr>
            <w:r>
              <w:rPr>
                <w:b/>
                <w:bCs/>
                <w:noProof/>
                <w:lang w:val="en-IE" w:eastAsia="it-IT"/>
              </w:rPr>
              <w:t>4</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6</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PT</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2</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4</w:t>
            </w:r>
          </w:p>
        </w:tc>
      </w:tr>
      <w:tr w:rsidR="003C18FB">
        <w:tc>
          <w:tcPr>
            <w:tcW w:w="1296" w:type="dxa"/>
            <w:vAlign w:val="bottom"/>
          </w:tcPr>
          <w:p w:rsidR="003C18FB" w:rsidRDefault="00773466">
            <w:pPr>
              <w:jc w:val="center"/>
              <w:rPr>
                <w:b/>
                <w:bCs/>
                <w:noProof/>
                <w:lang w:val="en-IE" w:eastAsia="it-IT"/>
              </w:rPr>
            </w:pPr>
            <w:r>
              <w:rPr>
                <w:b/>
                <w:noProof/>
                <w:color w:val="000000"/>
              </w:rPr>
              <w:t>RO</w:t>
            </w:r>
          </w:p>
        </w:tc>
        <w:tc>
          <w:tcPr>
            <w:tcW w:w="1296" w:type="dxa"/>
            <w:vAlign w:val="center"/>
          </w:tcPr>
          <w:p w:rsidR="003C18FB" w:rsidRDefault="00773466">
            <w:pPr>
              <w:jc w:val="center"/>
              <w:rPr>
                <w:b/>
                <w:bCs/>
                <w:noProof/>
                <w:lang w:val="en-IE" w:eastAsia="it-IT"/>
              </w:rPr>
            </w:pPr>
            <w:r>
              <w:rPr>
                <w:b/>
                <w:bCs/>
                <w:noProof/>
                <w:lang w:val="en-IE" w:eastAsia="it-IT"/>
              </w:rPr>
              <w:t>7</w:t>
            </w:r>
          </w:p>
        </w:tc>
        <w:tc>
          <w:tcPr>
            <w:tcW w:w="1296" w:type="dxa"/>
            <w:vAlign w:val="center"/>
          </w:tcPr>
          <w:p w:rsidR="003C18FB" w:rsidRDefault="00773466">
            <w:pPr>
              <w:jc w:val="center"/>
              <w:rPr>
                <w:b/>
                <w:bCs/>
                <w:noProof/>
                <w:lang w:val="en-IE" w:eastAsia="it-IT"/>
              </w:rPr>
            </w:pPr>
            <w:r>
              <w:rPr>
                <w:b/>
                <w:bCs/>
                <w:noProof/>
                <w:lang w:val="en-IE" w:eastAsia="it-IT"/>
              </w:rPr>
              <w:t>2</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11</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SE</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w:t>
            </w:r>
          </w:p>
        </w:tc>
      </w:tr>
      <w:tr w:rsidR="003C18FB">
        <w:tc>
          <w:tcPr>
            <w:tcW w:w="1296" w:type="dxa"/>
            <w:vAlign w:val="bottom"/>
          </w:tcPr>
          <w:p w:rsidR="003C18FB" w:rsidRDefault="00773466">
            <w:pPr>
              <w:jc w:val="center"/>
              <w:rPr>
                <w:b/>
                <w:bCs/>
                <w:noProof/>
                <w:lang w:val="en-IE" w:eastAsia="it-IT"/>
              </w:rPr>
            </w:pPr>
            <w:r>
              <w:rPr>
                <w:b/>
                <w:noProof/>
                <w:color w:val="000000"/>
              </w:rPr>
              <w:t>SI</w:t>
            </w:r>
          </w:p>
        </w:tc>
        <w:tc>
          <w:tcPr>
            <w:tcW w:w="1296" w:type="dxa"/>
            <w:vAlign w:val="center"/>
          </w:tcPr>
          <w:p w:rsidR="003C18FB" w:rsidRDefault="00773466">
            <w:pPr>
              <w:jc w:val="center"/>
              <w:rPr>
                <w:b/>
                <w:bCs/>
                <w:noProof/>
                <w:lang w:val="en-IE" w:eastAsia="it-IT"/>
              </w:rPr>
            </w:pPr>
            <w:r>
              <w:rPr>
                <w:b/>
                <w:bCs/>
                <w:noProof/>
                <w:lang w:val="en-IE" w:eastAsia="it-IT"/>
              </w:rPr>
              <w:t>3</w:t>
            </w:r>
          </w:p>
        </w:tc>
        <w:tc>
          <w:tcPr>
            <w:tcW w:w="1296" w:type="dxa"/>
            <w:vAlign w:val="center"/>
          </w:tcPr>
          <w:p w:rsidR="003C18FB" w:rsidRDefault="00773466">
            <w:pPr>
              <w:jc w:val="center"/>
              <w:rPr>
                <w:b/>
                <w:bCs/>
                <w:noProof/>
                <w:lang w:val="en-IE" w:eastAsia="it-IT"/>
              </w:rPr>
            </w:pPr>
            <w:r>
              <w:rPr>
                <w:b/>
                <w:bCs/>
                <w:noProof/>
                <w:lang w:val="en-IE" w:eastAsia="it-IT"/>
              </w:rPr>
              <w:t>3</w:t>
            </w:r>
          </w:p>
        </w:tc>
        <w:tc>
          <w:tcPr>
            <w:tcW w:w="1296" w:type="dxa"/>
            <w:vAlign w:val="center"/>
          </w:tcPr>
          <w:p w:rsidR="003C18FB" w:rsidRDefault="00773466">
            <w:pPr>
              <w:jc w:val="center"/>
              <w:rPr>
                <w:b/>
                <w:bCs/>
                <w:noProof/>
                <w:lang w:val="en-IE" w:eastAsia="it-IT"/>
              </w:rPr>
            </w:pPr>
            <w:r>
              <w:rPr>
                <w:b/>
                <w:bCs/>
                <w:noProof/>
                <w:lang w:val="en-IE" w:eastAsia="it-IT"/>
              </w:rPr>
              <w:t>1</w:t>
            </w:r>
          </w:p>
        </w:tc>
        <w:tc>
          <w:tcPr>
            <w:tcW w:w="1296" w:type="dxa"/>
            <w:vAlign w:val="center"/>
          </w:tcPr>
          <w:p w:rsidR="003C18FB" w:rsidRDefault="003C18FB">
            <w:pPr>
              <w:jc w:val="center"/>
              <w:rPr>
                <w:b/>
                <w:bCs/>
                <w:noProof/>
                <w:lang w:val="en-IE" w:eastAsia="it-IT"/>
              </w:rPr>
            </w:pPr>
          </w:p>
        </w:tc>
        <w:tc>
          <w:tcPr>
            <w:tcW w:w="1296" w:type="dxa"/>
            <w:vAlign w:val="center"/>
          </w:tcPr>
          <w:p w:rsidR="003C18FB" w:rsidRDefault="003C18FB">
            <w:pPr>
              <w:jc w:val="center"/>
              <w:rPr>
                <w:b/>
                <w:bCs/>
                <w:noProof/>
                <w:lang w:val="en-IE" w:eastAsia="it-IT"/>
              </w:rPr>
            </w:pP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7</w:t>
            </w:r>
          </w:p>
        </w:tc>
      </w:tr>
      <w:tr w:rsidR="003C18FB">
        <w:tc>
          <w:tcPr>
            <w:tcW w:w="1296" w:type="dxa"/>
            <w:shd w:val="clear" w:color="auto" w:fill="D9D9D9" w:themeFill="background1" w:themeFillShade="D9"/>
            <w:vAlign w:val="bottom"/>
          </w:tcPr>
          <w:p w:rsidR="003C18FB" w:rsidRDefault="00773466">
            <w:pPr>
              <w:jc w:val="center"/>
              <w:rPr>
                <w:b/>
                <w:bCs/>
                <w:noProof/>
                <w:lang w:val="en-IE" w:eastAsia="it-IT"/>
              </w:rPr>
            </w:pPr>
            <w:r>
              <w:rPr>
                <w:b/>
                <w:noProof/>
                <w:color w:val="000000"/>
              </w:rPr>
              <w:t>SK</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6</w:t>
            </w: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1</w:t>
            </w: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3C18FB">
            <w:pPr>
              <w:jc w:val="center"/>
              <w:rPr>
                <w:b/>
                <w:bCs/>
                <w:noProof/>
                <w:lang w:val="en-IE" w:eastAsia="it-IT"/>
              </w:rPr>
            </w:pPr>
          </w:p>
        </w:tc>
        <w:tc>
          <w:tcPr>
            <w:tcW w:w="1296" w:type="dxa"/>
            <w:shd w:val="clear" w:color="auto" w:fill="D9D9D9" w:themeFill="background1" w:themeFillShade="D9"/>
            <w:vAlign w:val="center"/>
          </w:tcPr>
          <w:p w:rsidR="003C18FB" w:rsidRDefault="00773466">
            <w:pPr>
              <w:jc w:val="center"/>
              <w:rPr>
                <w:b/>
                <w:bCs/>
                <w:noProof/>
                <w:lang w:val="en-IE" w:eastAsia="it-IT"/>
              </w:rPr>
            </w:pPr>
            <w:r>
              <w:rPr>
                <w:b/>
                <w:bCs/>
                <w:noProof/>
                <w:lang w:val="en-IE" w:eastAsia="it-IT"/>
              </w:rPr>
              <w:t>2</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8</w:t>
            </w:r>
          </w:p>
        </w:tc>
      </w:tr>
      <w:tr w:rsidR="003C18FB">
        <w:tc>
          <w:tcPr>
            <w:tcW w:w="1296" w:type="dxa"/>
            <w:shd w:val="clear" w:color="auto" w:fill="BFBFBF" w:themeFill="background1" w:themeFillShade="BF"/>
            <w:vAlign w:val="bottom"/>
          </w:tcPr>
          <w:p w:rsidR="003C18FB" w:rsidRDefault="00773466">
            <w:pPr>
              <w:jc w:val="center"/>
              <w:rPr>
                <w:b/>
                <w:bCs/>
                <w:noProof/>
                <w:color w:val="000000"/>
              </w:rPr>
            </w:pPr>
            <w:r>
              <w:rPr>
                <w:b/>
                <w:bCs/>
                <w:noProof/>
                <w:color w:val="000000"/>
              </w:rPr>
              <w:t>Total</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78</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17</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9</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3</w:t>
            </w:r>
          </w:p>
        </w:tc>
        <w:tc>
          <w:tcPr>
            <w:tcW w:w="1296" w:type="dxa"/>
            <w:shd w:val="clear" w:color="auto" w:fill="BFBFBF" w:themeFill="background1" w:themeFillShade="BF"/>
            <w:vAlign w:val="center"/>
          </w:tcPr>
          <w:p w:rsidR="003C18FB" w:rsidRDefault="00773466">
            <w:pPr>
              <w:jc w:val="center"/>
              <w:rPr>
                <w:b/>
                <w:bCs/>
                <w:noProof/>
                <w:lang w:val="en-IE" w:eastAsia="it-IT"/>
              </w:rPr>
            </w:pPr>
            <w:r>
              <w:rPr>
                <w:b/>
                <w:bCs/>
                <w:noProof/>
                <w:lang w:val="en-IE" w:eastAsia="it-IT"/>
              </w:rPr>
              <w:t>12</w:t>
            </w:r>
          </w:p>
        </w:tc>
        <w:tc>
          <w:tcPr>
            <w:tcW w:w="1296" w:type="dxa"/>
            <w:shd w:val="clear" w:color="auto" w:fill="BFBFBF" w:themeFill="background1" w:themeFillShade="BF"/>
          </w:tcPr>
          <w:p w:rsidR="003C18FB" w:rsidRDefault="00773466">
            <w:pPr>
              <w:jc w:val="center"/>
              <w:rPr>
                <w:b/>
                <w:bCs/>
                <w:noProof/>
                <w:lang w:val="en-IE" w:eastAsia="it-IT"/>
              </w:rPr>
            </w:pPr>
            <w:r>
              <w:rPr>
                <w:b/>
                <w:bCs/>
                <w:noProof/>
                <w:lang w:val="en-IE" w:eastAsia="it-IT"/>
              </w:rPr>
              <w:t>118</w:t>
            </w:r>
          </w:p>
        </w:tc>
      </w:tr>
    </w:tbl>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the funds transferred to the SRSP voluntarily by Greece and </w:t>
      </w:r>
      <w:r>
        <w:rPr>
          <w:rFonts w:ascii="Times New Roman" w:eastAsia="Times New Roman" w:hAnsi="Times New Roman" w:cs="Times New Roman"/>
          <w:noProof/>
          <w:sz w:val="24"/>
          <w:szCs w:val="24"/>
          <w:lang w:eastAsia="en-GB"/>
        </w:rPr>
        <w:t>Bulgaria, the majority of beneficiary authorities were ministries (82%) and the remaining 18% other public bodies, the central government or public agencies.</w:t>
      </w:r>
    </w:p>
    <w:p w:rsidR="003C18FB" w:rsidRDefault="00773466">
      <w:pPr>
        <w:spacing w:line="240" w:lineRule="auto"/>
        <w:ind w:right="-1"/>
        <w:jc w:val="both"/>
        <w:rPr>
          <w:rFonts w:ascii="Times New Roman" w:eastAsia="Times New Roman" w:hAnsi="Times New Roman"/>
          <w:b/>
          <w:noProof/>
          <w:sz w:val="24"/>
          <w:lang w:eastAsia="en-GB"/>
        </w:rPr>
        <w:sectPr w:rsidR="003C18FB">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134" w:right="1418" w:bottom="1134" w:left="1418" w:header="601" w:footer="1077" w:gutter="0"/>
          <w:cols w:space="720"/>
          <w:titlePg/>
        </w:sectPr>
      </w:pPr>
      <w:r>
        <w:rPr>
          <w:rFonts w:ascii="Times New Roman" w:eastAsia="Times New Roman" w:hAnsi="Times New Roman" w:cs="Times New Roman"/>
          <w:noProof/>
          <w:sz w:val="24"/>
          <w:szCs w:val="24"/>
          <w:lang w:eastAsia="en-GB"/>
        </w:rPr>
        <w:t xml:space="preserve"> </w:t>
      </w:r>
    </w:p>
    <w:p w:rsidR="003C18FB" w:rsidRDefault="00773466">
      <w:pPr>
        <w:spacing w:line="240" w:lineRule="auto"/>
        <w:ind w:right="-1"/>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Means of implement</w:t>
      </w:r>
      <w:r>
        <w:rPr>
          <w:rFonts w:ascii="Times New Roman" w:eastAsia="Times New Roman" w:hAnsi="Times New Roman" w:cs="Times New Roman"/>
          <w:b/>
          <w:noProof/>
          <w:sz w:val="24"/>
          <w:szCs w:val="24"/>
          <w:lang w:eastAsia="en-GB"/>
        </w:rPr>
        <w:t>ation</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programme’s support measures can be implemented either directly by the Commission or indirectly by entities and persons other than Member States</w:t>
      </w:r>
      <w:r>
        <w:rPr>
          <w:rStyle w:val="FootnoteReference"/>
          <w:rFonts w:ascii="Times New Roman" w:eastAsia="Times New Roman" w:hAnsi="Times New Roman" w:cs="Times New Roman"/>
          <w:noProof/>
          <w:sz w:val="24"/>
          <w:szCs w:val="24"/>
          <w:lang w:eastAsia="en-GB"/>
        </w:rPr>
        <w:footnoteReference w:id="35"/>
      </w:r>
      <w:r>
        <w:rPr>
          <w:rFonts w:ascii="Times New Roman" w:eastAsia="Times New Roman" w:hAnsi="Times New Roman" w:cs="Times New Roman"/>
          <w:noProof/>
          <w:sz w:val="24"/>
          <w:szCs w:val="24"/>
          <w:lang w:eastAsia="en-GB"/>
        </w:rPr>
        <w:t>. Financing of the support measures can take the form of grants, including grants to the Member State</w:t>
      </w:r>
      <w:r>
        <w:rPr>
          <w:rFonts w:ascii="Times New Roman" w:eastAsia="Times New Roman" w:hAnsi="Times New Roman" w:cs="Times New Roman"/>
          <w:noProof/>
          <w:sz w:val="24"/>
          <w:szCs w:val="24"/>
          <w:lang w:eastAsia="en-GB"/>
        </w:rPr>
        <w:t>s’ national authorities, public procurement contracts, reimbursements of costs incurred by external experts, contributions to trust funds set up by international organisations, and actions carried out in indirect management.</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31 November 2019, the 2018 S</w:t>
      </w:r>
      <w:r>
        <w:rPr>
          <w:rFonts w:ascii="Times New Roman" w:eastAsia="Times New Roman" w:hAnsi="Times New Roman" w:cs="Times New Roman"/>
          <w:noProof/>
          <w:sz w:val="24"/>
          <w:szCs w:val="24"/>
          <w:lang w:eastAsia="en-GB"/>
        </w:rPr>
        <w:t xml:space="preserve">RSP budget of €30.5 million for projects selected for funding under the 2018 SRSP was being implemented as follows. </w:t>
      </w:r>
    </w:p>
    <w:p w:rsidR="003C18FB" w:rsidRDefault="003C18FB">
      <w:pPr>
        <w:keepNext/>
        <w:spacing w:line="240" w:lineRule="auto"/>
        <w:ind w:right="-1"/>
        <w:jc w:val="both"/>
        <w:rPr>
          <w:noProof/>
        </w:rPr>
      </w:pPr>
    </w:p>
    <w:p w:rsidR="003C18FB" w:rsidRDefault="003C18FB">
      <w:pPr>
        <w:pStyle w:val="Caption"/>
        <w:ind w:right="-2"/>
        <w:jc w:val="both"/>
        <w:rPr>
          <w:rFonts w:ascii="Times New Roman" w:hAnsi="Times New Roman" w:cs="Times New Roman"/>
          <w:noProof/>
          <w:color w:val="auto"/>
        </w:rPr>
      </w:pPr>
    </w:p>
    <w:p w:rsidR="003C18FB" w:rsidRDefault="003C18FB">
      <w:pPr>
        <w:pStyle w:val="Caption"/>
        <w:ind w:right="-2"/>
        <w:jc w:val="both"/>
        <w:rPr>
          <w:rFonts w:ascii="Times New Roman" w:hAnsi="Times New Roman" w:cs="Times New Roman"/>
          <w:noProof/>
          <w:color w:val="auto"/>
        </w:rPr>
      </w:pPr>
    </w:p>
    <w:p w:rsidR="003C18FB" w:rsidRDefault="003C18FB">
      <w:pPr>
        <w:pStyle w:val="Caption"/>
        <w:ind w:right="-2"/>
        <w:jc w:val="both"/>
        <w:rPr>
          <w:rFonts w:ascii="Times New Roman" w:hAnsi="Times New Roman" w:cs="Times New Roman"/>
          <w:noProof/>
          <w:color w:val="auto"/>
        </w:rPr>
      </w:pPr>
    </w:p>
    <w:p w:rsidR="003C18FB" w:rsidRDefault="003C18FB">
      <w:pPr>
        <w:pStyle w:val="Caption"/>
        <w:ind w:right="-2"/>
        <w:jc w:val="both"/>
        <w:rPr>
          <w:rFonts w:ascii="Times New Roman" w:hAnsi="Times New Roman" w:cs="Times New Roman"/>
          <w:noProof/>
          <w:color w:val="auto"/>
        </w:rPr>
      </w:pPr>
    </w:p>
    <w:p w:rsidR="003C18FB" w:rsidRDefault="003C18FB">
      <w:pPr>
        <w:pStyle w:val="Caption"/>
        <w:ind w:right="-2"/>
        <w:jc w:val="both"/>
        <w:rPr>
          <w:rFonts w:ascii="Times New Roman" w:hAnsi="Times New Roman" w:cs="Times New Roman"/>
          <w:noProof/>
          <w:color w:val="auto"/>
        </w:rPr>
      </w:pPr>
    </w:p>
    <w:p w:rsidR="003C18FB" w:rsidRDefault="003C18FB">
      <w:pPr>
        <w:pStyle w:val="Caption"/>
        <w:ind w:right="-2"/>
        <w:jc w:val="both"/>
        <w:rPr>
          <w:rFonts w:ascii="Times New Roman" w:hAnsi="Times New Roman" w:cs="Times New Roman"/>
          <w:noProof/>
          <w:color w:val="auto"/>
        </w:rPr>
      </w:pPr>
    </w:p>
    <w:p w:rsidR="003C18FB" w:rsidRDefault="00773466">
      <w:pPr>
        <w:pStyle w:val="Caption"/>
        <w:ind w:right="-2"/>
        <w:jc w:val="both"/>
        <w:rPr>
          <w:rFonts w:ascii="Times New Roman" w:hAnsi="Times New Roman" w:cs="Times New Roman"/>
          <w:noProof/>
          <w:color w:val="auto"/>
        </w:rPr>
      </w:pPr>
      <w:r>
        <w:rPr>
          <w:noProof/>
          <w:lang w:eastAsia="en-GB"/>
        </w:rPr>
        <w:drawing>
          <wp:inline distT="0" distB="0" distL="0" distR="0">
            <wp:extent cx="4295554" cy="2169042"/>
            <wp:effectExtent l="0" t="0" r="1016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C18FB" w:rsidRDefault="00773466">
      <w:pPr>
        <w:pStyle w:val="Caption"/>
        <w:ind w:right="-2"/>
        <w:jc w:val="both"/>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14</w:t>
      </w:r>
      <w:r>
        <w:rPr>
          <w:rFonts w:ascii="Times New Roman" w:hAnsi="Times New Roman" w:cs="Times New Roman"/>
          <w:noProof/>
          <w:color w:val="auto"/>
        </w:rPr>
        <w:fldChar w:fldCharType="end"/>
      </w:r>
      <w:r>
        <w:rPr>
          <w:rFonts w:ascii="Times New Roman" w:hAnsi="Times New Roman" w:cs="Times New Roman"/>
          <w:noProof/>
          <w:color w:val="auto"/>
        </w:rPr>
        <w:t>: Breakdown of the means of implementing projects under the SRSP 2018 budget (% of budget)</w:t>
      </w:r>
    </w:p>
    <w:p w:rsidR="003C18FB" w:rsidRDefault="003C18FB">
      <w:pPr>
        <w:spacing w:line="240" w:lineRule="auto"/>
        <w:rPr>
          <w:rFonts w:ascii="Times New Roman" w:eastAsia="Times New Roman" w:hAnsi="Times New Roman" w:cs="Times New Roman"/>
          <w:b/>
          <w:noProof/>
          <w:sz w:val="24"/>
          <w:szCs w:val="24"/>
          <w:u w:val="single"/>
          <w:lang w:eastAsia="en-GB"/>
        </w:rPr>
      </w:pPr>
    </w:p>
    <w:p w:rsidR="003C18FB" w:rsidRDefault="00773466">
      <w:pPr>
        <w:spacing w:line="240" w:lineRule="auto"/>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Grants</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By 31 November 2019 (referring here only to projects selected for funding under the 2018 round), the majority of grants being implemented</w:t>
      </w:r>
      <w:r>
        <w:rPr>
          <w:rFonts w:ascii="Times New Roman" w:eastAsia="Times New Roman" w:hAnsi="Times New Roman" w:cs="Times New Roman"/>
          <w:noProof/>
          <w:szCs w:val="24"/>
          <w:vertAlign w:val="superscript"/>
          <w:lang w:eastAsia="en-GB"/>
        </w:rPr>
        <w:footnoteReference w:id="36"/>
      </w:r>
      <w:r>
        <w:rPr>
          <w:rFonts w:ascii="Times New Roman" w:eastAsia="Times New Roman" w:hAnsi="Times New Roman" w:cs="Times New Roman"/>
          <w:noProof/>
          <w:sz w:val="24"/>
          <w:szCs w:val="24"/>
          <w:lang w:eastAsia="en-GB"/>
        </w:rPr>
        <w:t xml:space="preserve"> were awarded to international organisations (52%), government bodies (18%) and public law bodies (16%), which </w:t>
      </w:r>
      <w:r>
        <w:rPr>
          <w:rFonts w:ascii="Times New Roman" w:eastAsia="Times New Roman" w:hAnsi="Times New Roman" w:cs="Times New Roman"/>
          <w:noProof/>
          <w:sz w:val="24"/>
          <w:szCs w:val="24"/>
          <w:lang w:eastAsia="en-GB"/>
        </w:rPr>
        <w:t>is similar to the distribution of grants awarded for projects under the 2017 round.</w:t>
      </w:r>
    </w:p>
    <w:p w:rsidR="003C18FB" w:rsidRDefault="00773466">
      <w:pPr>
        <w:pStyle w:val="Caption"/>
        <w:ind w:right="-2"/>
        <w:jc w:val="both"/>
        <w:rPr>
          <w:rFonts w:ascii="Times New Roman" w:hAnsi="Times New Roman" w:cs="Times New Roman"/>
          <w:noProof/>
          <w:color w:val="000000" w:themeColor="text1"/>
        </w:rPr>
      </w:pPr>
      <w:r>
        <w:rPr>
          <w:noProof/>
          <w:lang w:eastAsia="en-GB"/>
        </w:rPr>
        <w:drawing>
          <wp:inline distT="0" distB="0" distL="0" distR="0">
            <wp:extent cx="5677786" cy="2381693"/>
            <wp:effectExtent l="0" t="0" r="1841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C18FB" w:rsidRDefault="00773466">
      <w:pPr>
        <w:pStyle w:val="Caption"/>
        <w:ind w:right="-2"/>
        <w:jc w:val="both"/>
        <w:rPr>
          <w:noProof/>
          <w:lang w:eastAsia="en-GB"/>
        </w:rPr>
      </w:pPr>
      <w:r>
        <w:rPr>
          <w:rFonts w:ascii="Times New Roman" w:hAnsi="Times New Roman" w:cs="Times New Roman"/>
          <w:noProof/>
          <w:color w:val="000000" w:themeColor="text1"/>
        </w:rPr>
        <w:t xml:space="preserve">Figure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SEQ Figure \* ARABIC </w:instrText>
      </w:r>
      <w:r>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15</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 Types of technical support providers implementing grants in the 2018 SRSP round</w:t>
      </w:r>
    </w:p>
    <w:p w:rsidR="003C18FB" w:rsidRDefault="00773466">
      <w:pPr>
        <w:spacing w:line="240" w:lineRule="auto"/>
        <w:jc w:val="both"/>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Public procurement and TAIEX</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By 31 November 2019 (referring only to projects selected for funding under the 2018 round), the majority of the procurements were specific contracts based on framework contracts (79%) followed by direct procurement contracts for services (16%). </w:t>
      </w:r>
    </w:p>
    <w:p w:rsidR="003C18FB" w:rsidRDefault="00773466">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4% of the </w:t>
      </w:r>
      <w:r>
        <w:rPr>
          <w:rFonts w:ascii="Times New Roman" w:eastAsia="Times New Roman" w:hAnsi="Times New Roman" w:cs="Times New Roman"/>
          <w:noProof/>
          <w:sz w:val="24"/>
          <w:szCs w:val="24"/>
          <w:lang w:eastAsia="en-GB"/>
        </w:rPr>
        <w:t>2018 funding has been implemented through a Service Level Agreement entered into with DG NEAR to utilise the TAIEX</w:t>
      </w:r>
      <w:r>
        <w:rPr>
          <w:rStyle w:val="FootnoteReference"/>
          <w:rFonts w:ascii="Times New Roman" w:eastAsia="Times New Roman" w:hAnsi="Times New Roman" w:cs="Times New Roman"/>
          <w:noProof/>
          <w:sz w:val="24"/>
          <w:szCs w:val="24"/>
          <w:lang w:eastAsia="en-GB"/>
        </w:rPr>
        <w:footnoteReference w:id="37"/>
      </w:r>
      <w:r>
        <w:rPr>
          <w:rFonts w:ascii="Times New Roman" w:eastAsia="Times New Roman" w:hAnsi="Times New Roman" w:cs="Times New Roman"/>
          <w:noProof/>
          <w:sz w:val="24"/>
          <w:szCs w:val="24"/>
          <w:lang w:eastAsia="en-GB"/>
        </w:rPr>
        <w:t xml:space="preserve"> instrument under a programme entitled TAIEX SRSP Peer to Peer, which provided for expert exchange between Member States' administrations, an</w:t>
      </w:r>
      <w:r>
        <w:rPr>
          <w:rFonts w:ascii="Times New Roman" w:eastAsia="Times New Roman" w:hAnsi="Times New Roman" w:cs="Times New Roman"/>
          <w:noProof/>
          <w:sz w:val="24"/>
          <w:szCs w:val="24"/>
          <w:lang w:eastAsia="en-GB"/>
        </w:rPr>
        <w:t>d 1% through simplified expert contracts for private sector experts (AMI list).</w:t>
      </w:r>
    </w:p>
    <w:p w:rsidR="003C18FB" w:rsidRDefault="00773466">
      <w:pPr>
        <w:pStyle w:val="Caption"/>
        <w:jc w:val="both"/>
        <w:rPr>
          <w:noProof/>
          <w:lang w:eastAsia="en-GB"/>
        </w:rPr>
      </w:pPr>
      <w:r>
        <w:rPr>
          <w:noProof/>
          <w:lang w:eastAsia="en-GB"/>
        </w:rPr>
        <w:drawing>
          <wp:anchor distT="0" distB="0" distL="114300" distR="114300" simplePos="0" relativeHeight="251669504" behindDoc="0" locked="0" layoutInCell="1" allowOverlap="1">
            <wp:simplePos x="0" y="0"/>
            <wp:positionH relativeFrom="column">
              <wp:posOffset>-3175</wp:posOffset>
            </wp:positionH>
            <wp:positionV relativeFrom="paragraph">
              <wp:posOffset>94615</wp:posOffset>
            </wp:positionV>
            <wp:extent cx="4572000" cy="2743200"/>
            <wp:effectExtent l="0" t="0" r="19050" b="1905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rPr>
        <w:t xml:space="preserve">Figure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SEQ Figure \* ARABIC </w:instrText>
      </w:r>
      <w:r>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16</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 Types of procurement contract and TAIEX actions (value)</w:t>
      </w:r>
      <w:bookmarkStart w:id="54" w:name="_Toc526526890"/>
      <w:bookmarkStart w:id="55" w:name="_Toc526526807"/>
      <w:bookmarkStart w:id="56" w:name="_Toc526528348"/>
      <w:bookmarkStart w:id="57" w:name="_Toc526528404"/>
      <w:bookmarkStart w:id="58" w:name="_Toc526528460"/>
      <w:bookmarkStart w:id="59" w:name="_Toc526531153"/>
      <w:bookmarkStart w:id="60" w:name="_Toc526528405"/>
      <w:bookmarkEnd w:id="54"/>
      <w:bookmarkEnd w:id="55"/>
      <w:bookmarkEnd w:id="56"/>
      <w:bookmarkEnd w:id="57"/>
      <w:bookmarkEnd w:id="58"/>
      <w:bookmarkEnd w:id="59"/>
    </w:p>
    <w:p w:rsidR="003C18FB" w:rsidRDefault="00773466">
      <w:pPr>
        <w:spacing w:line="240" w:lineRule="auto"/>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Delegation agreement</w:t>
      </w:r>
    </w:p>
    <w:p w:rsidR="003C18FB" w:rsidRDefault="00773466">
      <w:pPr>
        <w:spacing w:before="120" w:after="120" w:line="240" w:lineRule="auto"/>
        <w:jc w:val="both"/>
        <w:rPr>
          <w:noProof/>
          <w:lang w:eastAsia="en-GB"/>
        </w:rPr>
      </w:pPr>
      <w:r>
        <w:rPr>
          <w:rFonts w:ascii="Times New Roman" w:eastAsia="Times New Roman" w:hAnsi="Times New Roman" w:cs="Times New Roman"/>
          <w:noProof/>
          <w:sz w:val="24"/>
          <w:szCs w:val="24"/>
          <w:lang w:eastAsia="en-GB"/>
        </w:rPr>
        <w:t xml:space="preserve">By 31 November 2019 (referring here only to projects selected </w:t>
      </w:r>
      <w:r>
        <w:rPr>
          <w:rFonts w:ascii="Times New Roman" w:eastAsia="Times New Roman" w:hAnsi="Times New Roman" w:cs="Times New Roman"/>
          <w:noProof/>
          <w:sz w:val="24"/>
          <w:szCs w:val="24"/>
          <w:lang w:eastAsia="en-GB"/>
        </w:rPr>
        <w:t>for funding under the 2018 round), the implementation of seven projects was being indirectly managed by the European Bank for Reconstruction and Development (EBRD).</w:t>
      </w:r>
    </w:p>
    <w:p w:rsidR="003C18FB" w:rsidRDefault="00773466">
      <w:pPr>
        <w:spacing w:before="120"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4"/>
          <w:lang w:eastAsia="en-GB"/>
        </w:rPr>
        <w:t>For the funds transferred to the SRSP voluntarily by Greece and Bulgaria under Article 11 o</w:t>
      </w:r>
      <w:r>
        <w:rPr>
          <w:rFonts w:ascii="Times New Roman" w:eastAsia="Times New Roman" w:hAnsi="Times New Roman" w:cs="Times New Roman"/>
          <w:noProof/>
          <w:sz w:val="24"/>
          <w:szCs w:val="24"/>
          <w:lang w:eastAsia="en-GB"/>
        </w:rPr>
        <w:t>f the SRSP Regulation, the support measures were implemented mainly through grants (65%), public procurement (30%) and to a smaller extent also through indirect management (5%).</w:t>
      </w:r>
      <w:r>
        <w:rPr>
          <w:noProof/>
          <w:lang w:eastAsia="en-GB"/>
        </w:rPr>
        <w:br w:type="page"/>
      </w:r>
    </w:p>
    <w:p w:rsidR="003C18FB" w:rsidRDefault="00773466">
      <w:pPr>
        <w:pStyle w:val="Heading1"/>
        <w:numPr>
          <w:ilvl w:val="0"/>
          <w:numId w:val="3"/>
        </w:numPr>
        <w:tabs>
          <w:tab w:val="clear" w:pos="480"/>
          <w:tab w:val="num" w:pos="0"/>
        </w:tabs>
        <w:ind w:left="0" w:firstLine="0"/>
        <w:jc w:val="left"/>
        <w:rPr>
          <w:noProof/>
          <w:szCs w:val="24"/>
          <w:lang w:eastAsia="en-GB"/>
        </w:rPr>
      </w:pPr>
      <w:bookmarkStart w:id="61" w:name="_Toc22031555"/>
      <w:r>
        <w:rPr>
          <w:noProof/>
        </w:rPr>
        <w:t>Progress in relation to the programme’s objectives</w:t>
      </w:r>
      <w:bookmarkStart w:id="62" w:name="_Toc526526892"/>
      <w:bookmarkStart w:id="63" w:name="_Toc526528406"/>
      <w:bookmarkEnd w:id="60"/>
      <w:bookmarkEnd w:id="61"/>
      <w:bookmarkEnd w:id="62"/>
      <w:bookmarkEnd w:id="63"/>
    </w:p>
    <w:p w:rsidR="003C18FB" w:rsidRDefault="00773466">
      <w:pPr>
        <w:pStyle w:val="ListParagraph"/>
        <w:tabs>
          <w:tab w:val="num" w:pos="0"/>
        </w:tabs>
        <w:ind w:left="0"/>
        <w:contextualSpacing w:val="0"/>
        <w:rPr>
          <w:noProof/>
          <w:lang w:eastAsia="en-GB"/>
        </w:rPr>
      </w:pPr>
      <w:r>
        <w:rPr>
          <w:noProof/>
          <w:szCs w:val="24"/>
        </w:rPr>
        <w:t>Institutional, administrative and growth-sustaining structural reforms are, by their very nature, complex processes, the design and implementation of which require a complete chain of highly specialised knowledge and skills. In some Member States, the capa</w:t>
      </w:r>
      <w:r>
        <w:rPr>
          <w:noProof/>
          <w:szCs w:val="24"/>
        </w:rPr>
        <w:t xml:space="preserve">city to initiate and implement structural reforms is not always adequate to address the challenges ahead. Inadequate responses to economic and social challenges could hamper competitiveness, growth, employment, and investment. </w:t>
      </w:r>
    </w:p>
    <w:p w:rsidR="003C18FB" w:rsidRDefault="00773466">
      <w:pPr>
        <w:pStyle w:val="ListParagraph"/>
        <w:tabs>
          <w:tab w:val="num" w:pos="0"/>
        </w:tabs>
        <w:ind w:left="0"/>
        <w:contextualSpacing w:val="0"/>
        <w:rPr>
          <w:noProof/>
        </w:rPr>
      </w:pPr>
      <w:r>
        <w:rPr>
          <w:noProof/>
          <w:szCs w:val="24"/>
        </w:rPr>
        <w:t>Considering the European dim</w:t>
      </w:r>
      <w:r>
        <w:rPr>
          <w:noProof/>
          <w:szCs w:val="24"/>
        </w:rPr>
        <w:t xml:space="preserve">ension of these challenges, </w:t>
      </w:r>
      <w:r>
        <w:rPr>
          <w:noProof/>
        </w:rPr>
        <w:t>the SRSP aims to reinforce administrative capacity in the Member States and, by doing so, help the Member States implement institutional, administrative and structural reforms. Better administrative capacity can make administrat</w:t>
      </w:r>
      <w:r>
        <w:rPr>
          <w:noProof/>
        </w:rPr>
        <w:t xml:space="preserve">ive structures more efficient, benefiting the public and business. </w:t>
      </w:r>
    </w:p>
    <w:p w:rsidR="003C18FB" w:rsidRDefault="00773466">
      <w:pPr>
        <w:tabs>
          <w:tab w:val="num" w:pos="0"/>
        </w:tabs>
        <w:spacing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To this end, through its support measures, the SRSP aims to achieve the following results: </w:t>
      </w:r>
    </w:p>
    <w:p w:rsidR="003C18FB" w:rsidRDefault="00773466">
      <w:pPr>
        <w:pStyle w:val="ListParagraph"/>
        <w:numPr>
          <w:ilvl w:val="0"/>
          <w:numId w:val="16"/>
        </w:numPr>
        <w:rPr>
          <w:noProof/>
          <w:szCs w:val="24"/>
        </w:rPr>
      </w:pPr>
      <w:r>
        <w:rPr>
          <w:noProof/>
        </w:rPr>
        <w:t>improved ability of national authorities to identify and address economic and structural weaknes</w:t>
      </w:r>
      <w:r>
        <w:rPr>
          <w:noProof/>
        </w:rPr>
        <w:t xml:space="preserve">ses; </w:t>
      </w:r>
    </w:p>
    <w:p w:rsidR="003C18FB" w:rsidRDefault="00773466">
      <w:pPr>
        <w:pStyle w:val="ListParagraph"/>
        <w:numPr>
          <w:ilvl w:val="0"/>
          <w:numId w:val="16"/>
        </w:numPr>
        <w:rPr>
          <w:noProof/>
        </w:rPr>
      </w:pPr>
      <w:r>
        <w:rPr>
          <w:noProof/>
        </w:rPr>
        <w:t xml:space="preserve">strengthened ability to develop, design and implement reform policies according to priorities; </w:t>
      </w:r>
    </w:p>
    <w:p w:rsidR="003C18FB" w:rsidRDefault="00773466">
      <w:pPr>
        <w:pStyle w:val="ListParagraph"/>
        <w:numPr>
          <w:ilvl w:val="0"/>
          <w:numId w:val="16"/>
        </w:numPr>
        <w:rPr>
          <w:noProof/>
        </w:rPr>
      </w:pPr>
      <w:r>
        <w:rPr>
          <w:noProof/>
        </w:rPr>
        <w:t>improved capacity of national authorities to define processes and methodologies to support the design, management and implementation of reforms, and/or th</w:t>
      </w:r>
      <w:r>
        <w:rPr>
          <w:noProof/>
        </w:rPr>
        <w:t>e efficiency and effectiveness of human resources;</w:t>
      </w:r>
    </w:p>
    <w:p w:rsidR="003C18FB" w:rsidRDefault="00773466">
      <w:pPr>
        <w:pStyle w:val="ListParagraph"/>
        <w:numPr>
          <w:ilvl w:val="0"/>
          <w:numId w:val="16"/>
        </w:numPr>
        <w:rPr>
          <w:noProof/>
        </w:rPr>
      </w:pPr>
      <w:r>
        <w:rPr>
          <w:noProof/>
        </w:rPr>
        <w:t xml:space="preserve">increased professional knowledge, skills and adaptability to change management processes; </w:t>
      </w:r>
    </w:p>
    <w:p w:rsidR="003C18FB" w:rsidRDefault="00773466">
      <w:pPr>
        <w:pStyle w:val="ListParagraph"/>
        <w:numPr>
          <w:ilvl w:val="0"/>
          <w:numId w:val="16"/>
        </w:numPr>
        <w:rPr>
          <w:noProof/>
        </w:rPr>
      </w:pPr>
      <w:r>
        <w:rPr>
          <w:noProof/>
        </w:rPr>
        <w:t xml:space="preserve">improved channels of communication with the Commission, Member States and international organisations in order to </w:t>
      </w:r>
      <w:r>
        <w:rPr>
          <w:noProof/>
        </w:rPr>
        <w:t xml:space="preserve">improve communication and coordination of reform efforts; and </w:t>
      </w:r>
    </w:p>
    <w:p w:rsidR="003C18FB" w:rsidRDefault="00773466">
      <w:pPr>
        <w:pStyle w:val="ListParagraph"/>
        <w:numPr>
          <w:ilvl w:val="0"/>
          <w:numId w:val="16"/>
        </w:numPr>
        <w:rPr>
          <w:noProof/>
          <w:szCs w:val="24"/>
        </w:rPr>
      </w:pPr>
      <w:r>
        <w:rPr>
          <w:noProof/>
        </w:rPr>
        <w:t>improved capacity to ensure progress of reforms recommended within the European Semester cycle, economic adjustment programmes and Member States’ own-initiative reforms</w:t>
      </w:r>
      <w:r>
        <w:rPr>
          <w:noProof/>
          <w:szCs w:val="24"/>
        </w:rPr>
        <w:t>, and to ensure consisten</w:t>
      </w:r>
      <w:r>
        <w:rPr>
          <w:noProof/>
          <w:szCs w:val="24"/>
        </w:rPr>
        <w:t>t and coherent implementation of Union law.</w:t>
      </w:r>
    </w:p>
    <w:p w:rsidR="003C18FB" w:rsidRDefault="003C18FB">
      <w:pPr>
        <w:pStyle w:val="ListParagraph"/>
        <w:rPr>
          <w:noProof/>
          <w:szCs w:val="24"/>
        </w:rPr>
      </w:pPr>
    </w:p>
    <w:p w:rsidR="003C18FB" w:rsidRDefault="00773466">
      <w:pPr>
        <w:pStyle w:val="ListParagraph"/>
        <w:tabs>
          <w:tab w:val="num" w:pos="0"/>
        </w:tabs>
        <w:ind w:left="0"/>
        <w:contextualSpacing w:val="0"/>
        <w:rPr>
          <w:noProof/>
          <w:szCs w:val="24"/>
        </w:rPr>
      </w:pPr>
      <w:bookmarkStart w:id="64" w:name="_Ref525656078"/>
      <w:r>
        <w:rPr>
          <w:noProof/>
          <w:szCs w:val="24"/>
        </w:rPr>
        <w:t>Against this background, the intervention logic of the programme can be illustrated in the chart below: the activities under the programme produce outputs, which in turn generate outcomes. The outcomes then cont</w:t>
      </w:r>
      <w:r>
        <w:rPr>
          <w:noProof/>
          <w:szCs w:val="24"/>
        </w:rPr>
        <w:t>ribute to the achievement of the specific objectives at the project and programme level. This in turn feeds into progress towards the general objective of the programme, which is to support growth-sustaining structural reforms in the Member States.</w:t>
      </w:r>
      <w:r>
        <w:rPr>
          <w:noProof/>
        </w:rPr>
        <w:t xml:space="preserve">   </w:t>
      </w:r>
    </w:p>
    <w:p w:rsidR="003C18FB" w:rsidRDefault="003C18FB">
      <w:pPr>
        <w:pStyle w:val="ListParagraph"/>
        <w:tabs>
          <w:tab w:val="num" w:pos="0"/>
        </w:tabs>
        <w:ind w:left="0"/>
        <w:contextualSpacing w:val="0"/>
        <w:rPr>
          <w:noProof/>
        </w:rPr>
      </w:pPr>
    </w:p>
    <w:p w:rsidR="003C18FB" w:rsidRDefault="00773466">
      <w:pPr>
        <w:tabs>
          <w:tab w:val="num" w:pos="0"/>
        </w:tabs>
        <w:rPr>
          <w:rFonts w:ascii="Times New Roman" w:eastAsia="Times New Roman" w:hAnsi="Times New Roman" w:cs="Times New Roman"/>
          <w:b/>
          <w:noProof/>
          <w:sz w:val="24"/>
          <w:szCs w:val="24"/>
          <w:lang w:eastAsia="en-GB"/>
        </w:rPr>
      </w:pPr>
      <w:r>
        <w:rPr>
          <w:noProof/>
        </w:rPr>
        <w:br w:type="page"/>
      </w:r>
    </w:p>
    <w:p w:rsidR="003C18FB" w:rsidRDefault="00773466">
      <w:pPr>
        <w:tabs>
          <w:tab w:val="num" w:pos="0"/>
        </w:tabs>
        <w:rPr>
          <w:noProof/>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991235</wp:posOffset>
                </wp:positionH>
                <wp:positionV relativeFrom="paragraph">
                  <wp:posOffset>607857</wp:posOffset>
                </wp:positionV>
                <wp:extent cx="0" cy="190500"/>
                <wp:effectExtent l="114300" t="38100" r="76200" b="76200"/>
                <wp:wrapNone/>
                <wp:docPr id="19" name="Straight Arrow Connector 1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124C56" id="_x0000_t32" coordsize="21600,21600" o:spt="32" o:oned="t" path="m,l21600,21600e" filled="f">
                <v:path arrowok="t" fillok="f" o:connecttype="none"/>
                <o:lock v:ext="edit" shapetype="t"/>
              </v:shapetype>
              <v:shape id="Straight Arrow Connector 19" o:spid="_x0000_s1026" type="#_x0000_t32" style="position:absolute;margin-left:78.05pt;margin-top:47.85pt;width:0;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956945</wp:posOffset>
                </wp:positionH>
                <wp:positionV relativeFrom="paragraph">
                  <wp:posOffset>4813773</wp:posOffset>
                </wp:positionV>
                <wp:extent cx="10160" cy="350520"/>
                <wp:effectExtent l="95250" t="38100" r="85090" b="87630"/>
                <wp:wrapNone/>
                <wp:docPr id="7" name="Straight Arrow Connector 7"/>
                <wp:cNvGraphicFramePr/>
                <a:graphic xmlns:a="http://schemas.openxmlformats.org/drawingml/2006/main">
                  <a:graphicData uri="http://schemas.microsoft.com/office/word/2010/wordprocessingShape">
                    <wps:wsp>
                      <wps:cNvCnPr/>
                      <wps:spPr>
                        <a:xfrm flipV="1">
                          <a:off x="0" y="0"/>
                          <a:ext cx="1016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4BA639" id="Straight Arrow Connector 7" o:spid="_x0000_s1026" type="#_x0000_t32" style="position:absolute;margin-left:75.35pt;margin-top:379.05pt;width:.8pt;height:27.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970487</wp:posOffset>
                </wp:positionH>
                <wp:positionV relativeFrom="paragraph">
                  <wp:posOffset>2055318</wp:posOffset>
                </wp:positionV>
                <wp:extent cx="0" cy="329609"/>
                <wp:effectExtent l="114300" t="38100" r="76200" b="70485"/>
                <wp:wrapNone/>
                <wp:docPr id="18" name="Straight Arrow Connector 18"/>
                <wp:cNvGraphicFramePr/>
                <a:graphic xmlns:a="http://schemas.openxmlformats.org/drawingml/2006/main">
                  <a:graphicData uri="http://schemas.microsoft.com/office/word/2010/wordprocessingShape">
                    <wps:wsp>
                      <wps:cNvCnPr/>
                      <wps:spPr>
                        <a:xfrm flipV="1">
                          <a:off x="0" y="0"/>
                          <a:ext cx="0" cy="32960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630BB" id="Straight Arrow Connector 18" o:spid="_x0000_s1026" type="#_x0000_t32" style="position:absolute;margin-left:76.4pt;margin-top:161.85pt;width:0;height:25.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970280</wp:posOffset>
                </wp:positionH>
                <wp:positionV relativeFrom="paragraph">
                  <wp:posOffset>3139440</wp:posOffset>
                </wp:positionV>
                <wp:extent cx="0" cy="424815"/>
                <wp:effectExtent l="114300" t="38100" r="76200" b="70485"/>
                <wp:wrapNone/>
                <wp:docPr id="14" name="Straight Arrow Connector 14"/>
                <wp:cNvGraphicFramePr/>
                <a:graphic xmlns:a="http://schemas.openxmlformats.org/drawingml/2006/main">
                  <a:graphicData uri="http://schemas.microsoft.com/office/word/2010/wordprocessingShape">
                    <wps:wsp>
                      <wps:cNvCnPr/>
                      <wps:spPr>
                        <a:xfrm flipV="1">
                          <a:off x="0" y="0"/>
                          <a:ext cx="0" cy="4248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12A3D" id="Straight Arrow Connector 14" o:spid="_x0000_s1026" type="#_x0000_t32" style="position:absolute;margin-left:76.4pt;margin-top:247.2pt;width:0;height:33.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" strokecolor="black [3200]" strokeweight="2pt">
                <v:stroke endarrow="open"/>
                <v:shadow on="t" color="black" opacity="24903f" origin=",.5" offset="0,.55556mm"/>
              </v:shape>
            </w:pict>
          </mc:Fallback>
        </mc:AlternateContent>
      </w:r>
      <w:bookmarkEnd w:id="64"/>
      <w:r>
        <w:rPr>
          <w:noProof/>
          <w:lang w:eastAsia="en-GB"/>
        </w:rPr>
        <w:drawing>
          <wp:inline distT="0" distB="0" distL="0" distR="0">
            <wp:extent cx="5241981" cy="6619165"/>
            <wp:effectExtent l="0" t="0" r="15875"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C18FB" w:rsidRDefault="00773466">
      <w:pPr>
        <w:pStyle w:val="Caption"/>
        <w:tabs>
          <w:tab w:val="num" w:pos="0"/>
        </w:tabs>
        <w:rPr>
          <w:rFonts w:ascii="Times New Roman" w:hAnsi="Times New Roman" w:cs="Times New Roman"/>
          <w:noProof/>
          <w:color w:val="auto"/>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17</w:t>
      </w:r>
      <w:r>
        <w:rPr>
          <w:rFonts w:ascii="Times New Roman" w:hAnsi="Times New Roman" w:cs="Times New Roman"/>
          <w:noProof/>
          <w:color w:val="auto"/>
        </w:rPr>
        <w:fldChar w:fldCharType="end"/>
      </w:r>
      <w:r>
        <w:rPr>
          <w:rFonts w:ascii="Times New Roman" w:hAnsi="Times New Roman" w:cs="Times New Roman"/>
          <w:noProof/>
          <w:color w:val="auto"/>
        </w:rPr>
        <w:t>: Intervention logic of the SRSP</w:t>
      </w:r>
    </w:p>
    <w:p w:rsidR="003C18FB" w:rsidRDefault="003C18FB">
      <w:pPr>
        <w:tabs>
          <w:tab w:val="num" w:pos="0"/>
        </w:tabs>
        <w:spacing w:line="240" w:lineRule="auto"/>
        <w:rPr>
          <w:noProof/>
        </w:rPr>
      </w:pPr>
    </w:p>
    <w:p w:rsidR="003C18FB" w:rsidRDefault="00773466">
      <w:pPr>
        <w:tabs>
          <w:tab w:val="num" w:pos="0"/>
        </w:tabs>
        <w:rPr>
          <w:rFonts w:ascii="Times New Roman" w:eastAsia="Times New Roman" w:hAnsi="Times New Roman" w:cs="Times New Roman"/>
          <w:b/>
          <w:noProof/>
          <w:sz w:val="24"/>
          <w:szCs w:val="24"/>
          <w:lang w:eastAsia="en-GB"/>
        </w:rPr>
      </w:pPr>
      <w:r>
        <w:rPr>
          <w:noProof/>
        </w:rPr>
        <w:br w:type="page"/>
      </w:r>
    </w:p>
    <w:p w:rsidR="003C18FB" w:rsidRDefault="00773466">
      <w:pPr>
        <w:pStyle w:val="Heading2"/>
        <w:tabs>
          <w:tab w:val="num" w:pos="0"/>
        </w:tabs>
        <w:ind w:left="0" w:firstLine="0"/>
        <w:rPr>
          <w:noProof/>
        </w:rPr>
      </w:pPr>
      <w:bookmarkStart w:id="65" w:name="_Toc526528407"/>
      <w:bookmarkStart w:id="66" w:name="_Toc22031556"/>
      <w:r>
        <w:rPr>
          <w:noProof/>
        </w:rPr>
        <w:t>Progress in achieving the general objective</w:t>
      </w:r>
      <w:bookmarkEnd w:id="65"/>
      <w:bookmarkEnd w:id="66"/>
    </w:p>
    <w:p w:rsidR="003C18FB" w:rsidRDefault="00773466">
      <w:pPr>
        <w:pStyle w:val="ListParagraph"/>
        <w:tabs>
          <w:tab w:val="num" w:pos="0"/>
        </w:tabs>
        <w:spacing w:after="200"/>
        <w:ind w:left="0"/>
        <w:contextualSpacing w:val="0"/>
        <w:rPr>
          <w:noProof/>
          <w:szCs w:val="24"/>
        </w:rPr>
      </w:pPr>
      <w:bookmarkStart w:id="67" w:name="_Toc522900710"/>
      <w:r>
        <w:rPr>
          <w:noProof/>
          <w:szCs w:val="24"/>
        </w:rPr>
        <w:t>The general objective of the programme</w:t>
      </w:r>
      <w:r>
        <w:rPr>
          <w:noProof/>
          <w:szCs w:val="24"/>
          <w:lang w:eastAsia="en-GB"/>
        </w:rPr>
        <w:t xml:space="preserve"> </w:t>
      </w:r>
      <w:r>
        <w:rPr>
          <w:noProof/>
          <w:szCs w:val="24"/>
        </w:rPr>
        <w:t xml:space="preserve">is to contribute to institutional, administrative and growth-sustaining structural reforms in the </w:t>
      </w:r>
      <w:r>
        <w:rPr>
          <w:noProof/>
          <w:szCs w:val="24"/>
        </w:rPr>
        <w:t>Member States by providing support to national authorities for measures aimed at reforming and strengthening institutions, governance, public administration, and economic and social sectors in response to economic and social challenges. This is done with a</w:t>
      </w:r>
      <w:r>
        <w:rPr>
          <w:noProof/>
          <w:szCs w:val="24"/>
        </w:rPr>
        <w:t xml:space="preserve"> view to enhancing cohesion, competitiveness, productivity, sustainable growth, job creation and investment, in particular in the context of economic governance processes, including through assistance for the efficient, effective and transparent use of the</w:t>
      </w:r>
      <w:r>
        <w:rPr>
          <w:noProof/>
          <w:szCs w:val="24"/>
        </w:rPr>
        <w:t xml:space="preserve"> Union funds</w:t>
      </w:r>
      <w:r>
        <w:rPr>
          <w:rStyle w:val="FootnoteReference"/>
          <w:noProof/>
          <w:szCs w:val="24"/>
        </w:rPr>
        <w:footnoteReference w:id="38"/>
      </w:r>
      <w:r>
        <w:rPr>
          <w:noProof/>
          <w:szCs w:val="24"/>
        </w:rPr>
        <w:t>.</w:t>
      </w:r>
    </w:p>
    <w:p w:rsidR="003C18FB" w:rsidRDefault="00773466">
      <w:pPr>
        <w:pStyle w:val="CommentText"/>
        <w:tabs>
          <w:tab w:val="num" w:pos="0"/>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While it is not within the remit of this report to illustrate the ultimate effects of the reforms</w:t>
      </w:r>
      <w:r>
        <w:rPr>
          <w:rFonts w:ascii="Times New Roman" w:eastAsia="Times New Roman" w:hAnsi="Times New Roman" w:cs="Times New Roman"/>
          <w:noProof/>
          <w:szCs w:val="24"/>
          <w:vertAlign w:val="superscript"/>
        </w:rPr>
        <w:footnoteReference w:id="39"/>
      </w:r>
      <w:r>
        <w:rPr>
          <w:rFonts w:ascii="Times New Roman" w:eastAsia="Times New Roman" w:hAnsi="Times New Roman" w:cs="Times New Roman"/>
          <w:noProof/>
          <w:sz w:val="24"/>
          <w:szCs w:val="24"/>
        </w:rPr>
        <w:t xml:space="preserve"> on which a Member State may have embarked and for which some support may be or is being provided under the SRSP, we can say that in general te</w:t>
      </w:r>
      <w:r>
        <w:rPr>
          <w:rFonts w:ascii="Times New Roman" w:eastAsia="Times New Roman" w:hAnsi="Times New Roman" w:cs="Times New Roman"/>
          <w:noProof/>
          <w:sz w:val="24"/>
          <w:szCs w:val="24"/>
        </w:rPr>
        <w:t>rms, the SRSP is on track when it comes to delivering on its general objective</w:t>
      </w:r>
      <w:r>
        <w:rPr>
          <w:rFonts w:ascii="Times New Roman" w:eastAsia="Times New Roman" w:hAnsi="Times New Roman" w:cs="Times New Roman"/>
          <w:noProof/>
          <w:szCs w:val="24"/>
          <w:vertAlign w:val="superscript"/>
        </w:rPr>
        <w:footnoteReference w:id="40"/>
      </w:r>
      <w:r>
        <w:rPr>
          <w:rFonts w:ascii="Times New Roman" w:eastAsia="Times New Roman" w:hAnsi="Times New Roman" w:cs="Times New Roman"/>
          <w:noProof/>
          <w:sz w:val="24"/>
          <w:szCs w:val="24"/>
        </w:rPr>
        <w:t xml:space="preserve">. </w:t>
      </w:r>
    </w:p>
    <w:p w:rsidR="003C18FB" w:rsidRDefault="00773466">
      <w:pPr>
        <w:pStyle w:val="CommentText"/>
        <w:tabs>
          <w:tab w:val="num" w:pos="0"/>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support measures implemented under the SRSP have provided assistance to</w:t>
      </w:r>
      <w:r>
        <w:rPr>
          <w:rFonts w:ascii="Times New Roman" w:eastAsia="Times New Roman" w:hAnsi="Times New Roman"/>
          <w:noProof/>
          <w:sz w:val="24"/>
        </w:rPr>
        <w:t xml:space="preserve"> </w:t>
      </w:r>
      <w:r>
        <w:rPr>
          <w:rFonts w:ascii="Times New Roman" w:eastAsia="Times New Roman" w:hAnsi="Times New Roman" w:cs="Times New Roman"/>
          <w:noProof/>
          <w:sz w:val="24"/>
          <w:szCs w:val="24"/>
        </w:rPr>
        <w:t>national authorities in the design and implementation of a whole range of institutional, administr</w:t>
      </w:r>
      <w:r>
        <w:rPr>
          <w:rFonts w:ascii="Times New Roman" w:eastAsia="Times New Roman" w:hAnsi="Times New Roman" w:cs="Times New Roman"/>
          <w:noProof/>
          <w:sz w:val="24"/>
          <w:szCs w:val="24"/>
        </w:rPr>
        <w:t>ative and structural reforms.</w:t>
      </w:r>
      <w:r>
        <w:rPr>
          <w:noProof/>
          <w:sz w:val="22"/>
          <w:szCs w:val="24"/>
        </w:rPr>
        <w:t xml:space="preserve"> </w:t>
      </w:r>
      <w:r>
        <w:rPr>
          <w:rFonts w:ascii="Times New Roman" w:eastAsia="Times New Roman" w:hAnsi="Times New Roman" w:cs="Times New Roman"/>
          <w:noProof/>
          <w:sz w:val="24"/>
          <w:szCs w:val="24"/>
        </w:rPr>
        <w:t>The activities under the programme and the outputs already delivered under the SRSP 2017 and 2018 rounds (described below) help strengthen the overall capacity and sound governance of the requesting Member States.</w:t>
      </w:r>
    </w:p>
    <w:p w:rsidR="003C18FB" w:rsidRDefault="00773466">
      <w:pPr>
        <w:pStyle w:val="ListParagraph"/>
        <w:tabs>
          <w:tab w:val="num" w:pos="0"/>
        </w:tabs>
        <w:spacing w:after="200"/>
        <w:ind w:left="0"/>
        <w:contextualSpacing w:val="0"/>
        <w:rPr>
          <w:rFonts w:eastAsiaTheme="minorHAnsi"/>
          <w:noProof/>
        </w:rPr>
      </w:pPr>
      <w:r>
        <w:rPr>
          <w:rFonts w:eastAsiaTheme="minorHAnsi"/>
          <w:noProof/>
          <w:szCs w:val="24"/>
        </w:rPr>
        <w:t>Support meas</w:t>
      </w:r>
      <w:r>
        <w:rPr>
          <w:rFonts w:eastAsiaTheme="minorHAnsi"/>
          <w:noProof/>
          <w:szCs w:val="24"/>
        </w:rPr>
        <w:t xml:space="preserve">ures are being implemented in those policy sectors for which institutional, administrative and/or structural reforms have been envisaged and/or should be undertaken by the Member States, also in view of the support provided. </w:t>
      </w:r>
    </w:p>
    <w:p w:rsidR="003C18FB" w:rsidRDefault="00773466">
      <w:pPr>
        <w:pStyle w:val="ListParagraph"/>
        <w:tabs>
          <w:tab w:val="num" w:pos="0"/>
        </w:tabs>
        <w:spacing w:after="200"/>
        <w:ind w:left="0"/>
        <w:contextualSpacing w:val="0"/>
        <w:rPr>
          <w:rFonts w:eastAsiaTheme="minorHAnsi"/>
          <w:noProof/>
          <w:szCs w:val="24"/>
        </w:rPr>
      </w:pPr>
      <w:r>
        <w:rPr>
          <w:rFonts w:eastAsiaTheme="minorHAnsi"/>
          <w:noProof/>
          <w:szCs w:val="24"/>
        </w:rPr>
        <w:t xml:space="preserve">The table below shows that the support measures under way in the requesting Member States and for projects selected for financing under the SRSP 2018 round contribute to the implementation of </w:t>
      </w:r>
      <w:r>
        <w:rPr>
          <w:rFonts w:eastAsiaTheme="minorHAnsi"/>
          <w:b/>
          <w:noProof/>
        </w:rPr>
        <w:t>institutional, administrative and structural reforms</w:t>
      </w:r>
      <w:r>
        <w:rPr>
          <w:rFonts w:eastAsiaTheme="minorHAnsi"/>
          <w:noProof/>
          <w:szCs w:val="24"/>
        </w:rPr>
        <w:t xml:space="preserve"> that Member</w:t>
      </w:r>
      <w:r>
        <w:rPr>
          <w:rFonts w:eastAsiaTheme="minorHAnsi"/>
          <w:noProof/>
          <w:szCs w:val="24"/>
        </w:rPr>
        <w:t xml:space="preserve"> States face in </w:t>
      </w:r>
      <w:r>
        <w:rPr>
          <w:rFonts w:eastAsiaTheme="minorHAnsi"/>
          <w:b/>
          <w:noProof/>
        </w:rPr>
        <w:t xml:space="preserve">various </w:t>
      </w:r>
      <w:r>
        <w:rPr>
          <w:b/>
          <w:noProof/>
        </w:rPr>
        <w:t>economic and social sectors</w:t>
      </w:r>
      <w:r>
        <w:rPr>
          <w:noProof/>
          <w:szCs w:val="24"/>
        </w:rPr>
        <w:t xml:space="preserve">, and which are being undertaken </w:t>
      </w:r>
      <w:r>
        <w:rPr>
          <w:b/>
          <w:noProof/>
        </w:rPr>
        <w:t>in response to economic and social challenges.</w:t>
      </w:r>
    </w:p>
    <w:p w:rsidR="003C18FB" w:rsidRDefault="003C18FB">
      <w:pPr>
        <w:tabs>
          <w:tab w:val="num" w:pos="0"/>
        </w:tabs>
        <w:spacing w:after="0"/>
        <w:rPr>
          <w:rFonts w:ascii="Times New Roman" w:hAnsi="Times New Roman" w:cs="Times New Roman"/>
          <w:noProof/>
          <w:sz w:val="24"/>
          <w:szCs w:val="24"/>
        </w:rPr>
      </w:pPr>
    </w:p>
    <w:tbl>
      <w:tblPr>
        <w:tblW w:w="916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415"/>
        <w:gridCol w:w="651"/>
        <w:gridCol w:w="1100"/>
      </w:tblGrid>
      <w:tr w:rsidR="003C18FB">
        <w:trPr>
          <w:trHeight w:val="640"/>
          <w:jc w:val="center"/>
        </w:trPr>
        <w:tc>
          <w:tcPr>
            <w:tcW w:w="8510" w:type="dxa"/>
            <w:gridSpan w:val="2"/>
            <w:shd w:val="clear" w:color="auto" w:fill="auto"/>
            <w:vAlign w:val="center"/>
          </w:tcPr>
          <w:p w:rsidR="003C18FB" w:rsidRDefault="00773466">
            <w:pPr>
              <w:tabs>
                <w:tab w:val="num" w:pos="0"/>
              </w:tabs>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Contribution to institutional and administrative reforms</w:t>
            </w:r>
          </w:p>
        </w:tc>
        <w:tc>
          <w:tcPr>
            <w:tcW w:w="656" w:type="dxa"/>
            <w:vAlign w:val="bottom"/>
          </w:tcPr>
          <w:p w:rsidR="003C18FB" w:rsidRDefault="00773466">
            <w:pPr>
              <w:tabs>
                <w:tab w:val="num" w:pos="0"/>
              </w:tabs>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N</w:t>
            </w:r>
            <w:r>
              <w:rPr>
                <w:rFonts w:ascii="Calibri" w:eastAsia="Times New Roman" w:hAnsi="Calibri" w:cs="Times New Roman"/>
                <w:b/>
                <w:noProof/>
                <w:color w:val="000000"/>
                <w:sz w:val="24"/>
                <w:szCs w:val="24"/>
                <w:lang w:eastAsia="fr-BE"/>
              </w:rPr>
              <w:t>°</w:t>
            </w:r>
            <w:r>
              <w:rPr>
                <w:rFonts w:ascii="Times New Roman" w:eastAsia="Times New Roman" w:hAnsi="Times New Roman" w:cs="Times New Roman"/>
                <w:b/>
                <w:noProof/>
                <w:color w:val="000000"/>
                <w:sz w:val="24"/>
                <w:szCs w:val="24"/>
                <w:lang w:eastAsia="fr-BE"/>
              </w:rPr>
              <w:t xml:space="preserve"> of measures</w:t>
            </w:r>
          </w:p>
        </w:tc>
      </w:tr>
      <w:tr w:rsidR="003C18FB">
        <w:trPr>
          <w:trHeight w:val="315"/>
          <w:jc w:val="center"/>
        </w:trPr>
        <w:tc>
          <w:tcPr>
            <w:tcW w:w="8510" w:type="dxa"/>
            <w:gridSpan w:val="2"/>
            <w:shd w:val="clear" w:color="auto" w:fill="auto"/>
            <w:vAlign w:val="bottom"/>
          </w:tcPr>
          <w:p w:rsidR="003C18FB" w:rsidRDefault="003C18FB">
            <w:pPr>
              <w:tabs>
                <w:tab w:val="num" w:pos="0"/>
              </w:tabs>
              <w:spacing w:after="0" w:line="240" w:lineRule="auto"/>
              <w:rPr>
                <w:rFonts w:ascii="Times New Roman" w:eastAsia="Times New Roman" w:hAnsi="Times New Roman" w:cs="Times New Roman"/>
                <w:b/>
                <w:noProof/>
                <w:color w:val="000000"/>
                <w:sz w:val="24"/>
                <w:szCs w:val="24"/>
                <w:lang w:eastAsia="fr-BE"/>
              </w:rPr>
            </w:pPr>
          </w:p>
        </w:tc>
        <w:tc>
          <w:tcPr>
            <w:tcW w:w="656" w:type="dxa"/>
            <w:vAlign w:val="bottom"/>
          </w:tcPr>
          <w:p w:rsidR="003C18FB" w:rsidRDefault="003C18FB">
            <w:pPr>
              <w:tabs>
                <w:tab w:val="num" w:pos="0"/>
              </w:tabs>
              <w:spacing w:after="0" w:line="240" w:lineRule="auto"/>
              <w:rPr>
                <w:rFonts w:ascii="Times New Roman" w:eastAsia="Times New Roman" w:hAnsi="Times New Roman" w:cs="Times New Roman"/>
                <w:noProof/>
                <w:color w:val="000000"/>
                <w:sz w:val="24"/>
                <w:szCs w:val="24"/>
                <w:lang w:eastAsia="fr-BE"/>
              </w:rPr>
            </w:pP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color w:val="000000"/>
                <w:szCs w:val="24"/>
                <w:lang w:eastAsia="fr-BE"/>
              </w:rPr>
            </w:pPr>
            <w:r>
              <w:rPr>
                <w:noProof/>
                <w:color w:val="000000"/>
                <w:szCs w:val="24"/>
                <w:lang w:eastAsia="fr-BE"/>
              </w:rPr>
              <w:t>Effectiveness of the judicial system</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Efficiency and effectiveness of the public sector</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Public financial management reforms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Anti-corruption/anti-money-laundering</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Digital economy/digital public administration</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 xml:space="preserve">Reforms improving the regulatory frameworks </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 xml:space="preserve">Reforms in public </w:t>
            </w:r>
            <w:r>
              <w:rPr>
                <w:noProof/>
                <w:color w:val="000000"/>
                <w:szCs w:val="24"/>
                <w:lang w:eastAsia="fr-BE"/>
              </w:rPr>
              <w:t>procurements rules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Spending reviews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rsidR="003C18FB">
        <w:trPr>
          <w:trHeight w:val="315"/>
          <w:jc w:val="center"/>
        </w:trPr>
        <w:tc>
          <w:tcPr>
            <w:tcW w:w="8510" w:type="dxa"/>
            <w:gridSpan w:val="2"/>
            <w:shd w:val="clear" w:color="auto" w:fill="auto"/>
            <w:vAlign w:val="bottom"/>
          </w:tcPr>
          <w:p w:rsidR="003C18FB" w:rsidRDefault="00773466">
            <w:pPr>
              <w:pStyle w:val="ListParagraph"/>
              <w:numPr>
                <w:ilvl w:val="0"/>
                <w:numId w:val="26"/>
              </w:numPr>
              <w:tabs>
                <w:tab w:val="num" w:pos="0"/>
              </w:tabs>
              <w:spacing w:after="0"/>
              <w:ind w:left="0" w:firstLine="0"/>
              <w:rPr>
                <w:noProof/>
                <w:szCs w:val="24"/>
                <w:lang w:eastAsia="fr-BE"/>
              </w:rPr>
            </w:pPr>
            <w:r>
              <w:rPr>
                <w:noProof/>
                <w:color w:val="000000"/>
                <w:szCs w:val="24"/>
                <w:lang w:eastAsia="fr-BE"/>
              </w:rPr>
              <w:t>Tax administration reforms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18</w:t>
            </w:r>
          </w:p>
        </w:tc>
      </w:tr>
      <w:tr w:rsidR="003C18FB">
        <w:trPr>
          <w:trHeight w:val="315"/>
          <w:jc w:val="center"/>
        </w:trPr>
        <w:tc>
          <w:tcPr>
            <w:tcW w:w="8510" w:type="dxa"/>
            <w:gridSpan w:val="2"/>
            <w:shd w:val="clear" w:color="auto" w:fill="auto"/>
            <w:vAlign w:val="bottom"/>
          </w:tcPr>
          <w:p w:rsidR="003C18FB" w:rsidRDefault="003C18FB">
            <w:pPr>
              <w:pStyle w:val="ListParagraph"/>
              <w:tabs>
                <w:tab w:val="num" w:pos="0"/>
              </w:tabs>
              <w:spacing w:after="0"/>
              <w:ind w:left="0"/>
              <w:rPr>
                <w:noProof/>
                <w:szCs w:val="24"/>
                <w:lang w:eastAsia="fr-BE"/>
              </w:rPr>
            </w:pPr>
          </w:p>
        </w:tc>
        <w:tc>
          <w:tcPr>
            <w:tcW w:w="656" w:type="dxa"/>
            <w:vAlign w:val="bottom"/>
          </w:tcPr>
          <w:p w:rsidR="003C18FB" w:rsidRDefault="003C18FB">
            <w:pPr>
              <w:tabs>
                <w:tab w:val="num" w:pos="0"/>
              </w:tabs>
              <w:spacing w:after="0" w:line="240" w:lineRule="auto"/>
              <w:jc w:val="center"/>
              <w:rPr>
                <w:rFonts w:ascii="Times New Roman" w:eastAsia="Times New Roman" w:hAnsi="Times New Roman" w:cs="Times New Roman"/>
                <w:noProof/>
                <w:color w:val="000000"/>
                <w:sz w:val="24"/>
                <w:szCs w:val="24"/>
                <w:lang w:eastAsia="fr-BE"/>
              </w:rPr>
            </w:pPr>
          </w:p>
        </w:tc>
      </w:tr>
      <w:tr w:rsidR="003C18FB">
        <w:trPr>
          <w:trHeight w:val="315"/>
          <w:jc w:val="center"/>
        </w:trPr>
        <w:tc>
          <w:tcPr>
            <w:tcW w:w="7812" w:type="dxa"/>
            <w:shd w:val="clear" w:color="auto" w:fill="auto"/>
            <w:vAlign w:val="bottom"/>
          </w:tcPr>
          <w:p w:rsidR="003C18FB" w:rsidRDefault="00773466">
            <w:pPr>
              <w:tabs>
                <w:tab w:val="num" w:pos="0"/>
              </w:tabs>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Contribution to economic-related and social-related reforms</w:t>
            </w:r>
          </w:p>
        </w:tc>
        <w:tc>
          <w:tcPr>
            <w:tcW w:w="1354" w:type="dxa"/>
            <w:gridSpan w:val="2"/>
            <w:vAlign w:val="bottom"/>
          </w:tcPr>
          <w:p w:rsidR="003C18FB" w:rsidRDefault="003C18FB">
            <w:pPr>
              <w:tabs>
                <w:tab w:val="num" w:pos="0"/>
              </w:tabs>
              <w:spacing w:after="0" w:line="240" w:lineRule="auto"/>
              <w:jc w:val="center"/>
              <w:rPr>
                <w:rFonts w:ascii="Times New Roman" w:eastAsia="Times New Roman" w:hAnsi="Times New Roman" w:cs="Times New Roman"/>
                <w:noProof/>
                <w:color w:val="000000"/>
                <w:sz w:val="24"/>
                <w:szCs w:val="24"/>
                <w:lang w:eastAsia="fr-BE"/>
              </w:rPr>
            </w:pPr>
          </w:p>
        </w:tc>
      </w:tr>
      <w:tr w:rsidR="003C18FB">
        <w:trPr>
          <w:trHeight w:val="315"/>
          <w:jc w:val="center"/>
        </w:trPr>
        <w:tc>
          <w:tcPr>
            <w:tcW w:w="8510" w:type="dxa"/>
            <w:gridSpan w:val="2"/>
            <w:shd w:val="clear" w:color="auto" w:fill="auto"/>
            <w:vAlign w:val="bottom"/>
          </w:tcPr>
          <w:p w:rsidR="003C18FB" w:rsidRDefault="003C18FB">
            <w:pPr>
              <w:tabs>
                <w:tab w:val="num" w:pos="0"/>
              </w:tabs>
              <w:spacing w:after="0" w:line="240" w:lineRule="auto"/>
              <w:rPr>
                <w:rFonts w:ascii="Times New Roman" w:eastAsia="Times New Roman" w:hAnsi="Times New Roman" w:cs="Times New Roman"/>
                <w:noProof/>
                <w:color w:val="000000"/>
                <w:sz w:val="24"/>
                <w:szCs w:val="24"/>
                <w:lang w:eastAsia="fr-BE"/>
              </w:rPr>
            </w:pPr>
          </w:p>
        </w:tc>
        <w:tc>
          <w:tcPr>
            <w:tcW w:w="656" w:type="dxa"/>
            <w:vAlign w:val="bottom"/>
          </w:tcPr>
          <w:p w:rsidR="003C18FB" w:rsidRDefault="003C18FB">
            <w:pPr>
              <w:tabs>
                <w:tab w:val="num" w:pos="0"/>
              </w:tabs>
              <w:spacing w:after="0" w:line="240" w:lineRule="auto"/>
              <w:jc w:val="center"/>
              <w:rPr>
                <w:rFonts w:ascii="Times New Roman" w:eastAsia="Times New Roman" w:hAnsi="Times New Roman" w:cs="Times New Roman"/>
                <w:noProof/>
                <w:color w:val="000000"/>
                <w:sz w:val="24"/>
                <w:szCs w:val="24"/>
                <w:lang w:eastAsia="fr-BE"/>
              </w:rPr>
            </w:pP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Acceleration of Trans-European Networks for Transport projects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 xml:space="preserve">Enhancing competitiveness and productivity of </w:t>
            </w:r>
            <w:r>
              <w:rPr>
                <w:noProof/>
                <w:color w:val="000000"/>
                <w:szCs w:val="24"/>
                <w:lang w:eastAsia="fr-BE"/>
              </w:rPr>
              <w:t>SMEs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rsidR="003C18FB">
        <w:trPr>
          <w:trHeight w:val="630"/>
          <w:jc w:val="center"/>
        </w:trPr>
        <w:tc>
          <w:tcPr>
            <w:tcW w:w="8510" w:type="dxa"/>
            <w:gridSpan w:val="2"/>
            <w:shd w:val="clear" w:color="auto" w:fill="auto"/>
            <w:vAlign w:val="bottom"/>
            <w:hideMark/>
          </w:tcPr>
          <w:p w:rsidR="003C18FB" w:rsidRDefault="00773466">
            <w:pPr>
              <w:pStyle w:val="ListParagraph"/>
              <w:numPr>
                <w:ilvl w:val="0"/>
                <w:numId w:val="25"/>
              </w:numPr>
              <w:spacing w:after="0"/>
              <w:ind w:left="694" w:hanging="694"/>
              <w:rPr>
                <w:noProof/>
                <w:color w:val="000000"/>
                <w:szCs w:val="24"/>
                <w:lang w:eastAsia="fr-BE"/>
              </w:rPr>
            </w:pPr>
            <w:r>
              <w:rPr>
                <w:noProof/>
                <w:color w:val="000000"/>
                <w:szCs w:val="24"/>
                <w:lang w:eastAsia="fr-BE"/>
              </w:rPr>
              <w:t>Implementing legal frameworks in environment, circular economy, water,            land registry and spatial planning</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Making healthcare systems more accessible, effective and resilient</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Investment management &amp; public private partnerships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Legal framework addressing insolvency and non-performing loans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Labour market policies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rsidR="003C18FB">
        <w:trPr>
          <w:trHeight w:val="390"/>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Capital markets union and access to finance</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w:t>
            </w:r>
          </w:p>
        </w:tc>
      </w:tr>
      <w:tr w:rsidR="003C18FB">
        <w:trPr>
          <w:trHeight w:val="630"/>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Improving the quality and innovation of educational and training systems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 xml:space="preserve">Bank supervision and resolution </w:t>
            </w:r>
            <w:r>
              <w:rPr>
                <w:noProof/>
                <w:color w:val="000000"/>
                <w:szCs w:val="24"/>
                <w:lang w:eastAsia="fr-BE"/>
              </w:rPr>
              <w:t>frameworks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Pensions and disabilities schemes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rsidR="003C18FB">
        <w:trPr>
          <w:trHeight w:val="315"/>
          <w:jc w:val="center"/>
        </w:trPr>
        <w:tc>
          <w:tcPr>
            <w:tcW w:w="8510" w:type="dxa"/>
            <w:gridSpan w:val="2"/>
            <w:shd w:val="clear" w:color="auto" w:fill="auto"/>
            <w:vAlign w:val="bottom"/>
            <w:hideMark/>
          </w:tcPr>
          <w:p w:rsidR="003C18FB" w:rsidRDefault="00773466">
            <w:pPr>
              <w:pStyle w:val="ListParagraph"/>
              <w:numPr>
                <w:ilvl w:val="0"/>
                <w:numId w:val="25"/>
              </w:numPr>
              <w:tabs>
                <w:tab w:val="num" w:pos="0"/>
              </w:tabs>
              <w:spacing w:after="0"/>
              <w:ind w:left="0" w:firstLine="0"/>
              <w:rPr>
                <w:noProof/>
                <w:color w:val="000000"/>
                <w:szCs w:val="24"/>
                <w:lang w:eastAsia="fr-BE"/>
              </w:rPr>
            </w:pPr>
            <w:r>
              <w:rPr>
                <w:noProof/>
                <w:color w:val="000000"/>
                <w:szCs w:val="24"/>
                <w:lang w:eastAsia="fr-BE"/>
              </w:rPr>
              <w:t>Energy efficiency, energy poverty and renewables</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rsidR="003C18FB">
        <w:trPr>
          <w:trHeight w:val="315"/>
          <w:jc w:val="center"/>
        </w:trPr>
        <w:tc>
          <w:tcPr>
            <w:tcW w:w="8510" w:type="dxa"/>
            <w:gridSpan w:val="2"/>
            <w:shd w:val="clear" w:color="auto" w:fill="auto"/>
            <w:vAlign w:val="bottom"/>
          </w:tcPr>
          <w:p w:rsidR="003C18FB" w:rsidRDefault="003C18FB">
            <w:pPr>
              <w:tabs>
                <w:tab w:val="num" w:pos="0"/>
              </w:tabs>
              <w:spacing w:after="0" w:line="240" w:lineRule="auto"/>
              <w:rPr>
                <w:rFonts w:ascii="Times New Roman" w:eastAsia="Times New Roman" w:hAnsi="Times New Roman" w:cs="Times New Roman"/>
                <w:noProof/>
                <w:color w:val="000000"/>
                <w:sz w:val="24"/>
                <w:szCs w:val="24"/>
                <w:lang w:eastAsia="fr-BE"/>
              </w:rPr>
            </w:pPr>
          </w:p>
        </w:tc>
        <w:tc>
          <w:tcPr>
            <w:tcW w:w="656" w:type="dxa"/>
            <w:vAlign w:val="bottom"/>
          </w:tcPr>
          <w:p w:rsidR="003C18FB" w:rsidRDefault="003C18FB">
            <w:pPr>
              <w:tabs>
                <w:tab w:val="num" w:pos="0"/>
              </w:tabs>
              <w:spacing w:after="0" w:line="240" w:lineRule="auto"/>
              <w:rPr>
                <w:rFonts w:ascii="Times New Roman" w:eastAsia="Times New Roman" w:hAnsi="Times New Roman" w:cs="Times New Roman"/>
                <w:noProof/>
                <w:color w:val="000000"/>
                <w:sz w:val="24"/>
                <w:szCs w:val="24"/>
                <w:lang w:eastAsia="fr-BE"/>
              </w:rPr>
            </w:pPr>
          </w:p>
        </w:tc>
      </w:tr>
      <w:tr w:rsidR="003C18FB">
        <w:trPr>
          <w:trHeight w:val="315"/>
          <w:jc w:val="center"/>
        </w:trPr>
        <w:tc>
          <w:tcPr>
            <w:tcW w:w="8510" w:type="dxa"/>
            <w:gridSpan w:val="2"/>
            <w:shd w:val="clear" w:color="auto" w:fill="auto"/>
            <w:vAlign w:val="bottom"/>
          </w:tcPr>
          <w:p w:rsidR="003C18FB" w:rsidRDefault="00773466">
            <w:pPr>
              <w:tabs>
                <w:tab w:val="num" w:pos="0"/>
              </w:tabs>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 xml:space="preserve">TOTAL </w:t>
            </w:r>
          </w:p>
        </w:tc>
        <w:tc>
          <w:tcPr>
            <w:tcW w:w="656" w:type="dxa"/>
            <w:vAlign w:val="bottom"/>
          </w:tcPr>
          <w:p w:rsidR="003C18FB" w:rsidRDefault="00773466">
            <w:pPr>
              <w:tabs>
                <w:tab w:val="num" w:pos="0"/>
              </w:tabs>
              <w:spacing w:after="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135</w:t>
            </w:r>
          </w:p>
        </w:tc>
      </w:tr>
    </w:tbl>
    <w:p w:rsidR="003C18FB" w:rsidRDefault="00773466">
      <w:pPr>
        <w:pStyle w:val="ListParagraph"/>
        <w:tabs>
          <w:tab w:val="num" w:pos="0"/>
        </w:tabs>
        <w:spacing w:after="200"/>
        <w:ind w:left="0"/>
        <w:contextualSpacing w:val="0"/>
        <w:rPr>
          <w:noProof/>
          <w:szCs w:val="24"/>
          <w:lang w:eastAsia="en-GB"/>
        </w:rPr>
      </w:pPr>
      <w:r>
        <w:rPr>
          <w:noProof/>
          <w:szCs w:val="24"/>
          <w:lang w:eastAsia="en-GB"/>
        </w:rPr>
        <w:t xml:space="preserve"> </w:t>
      </w:r>
      <w:r>
        <w:rPr>
          <w:noProof/>
          <w:szCs w:val="24"/>
          <w:lang w:eastAsia="en-GB"/>
        </w:rPr>
        <w:br w:type="page"/>
      </w:r>
    </w:p>
    <w:p w:rsidR="003C18FB" w:rsidRDefault="00773466">
      <w:pPr>
        <w:pStyle w:val="Heading2"/>
        <w:tabs>
          <w:tab w:val="num" w:pos="0"/>
        </w:tabs>
        <w:ind w:left="0" w:firstLine="0"/>
        <w:rPr>
          <w:noProof/>
        </w:rPr>
      </w:pPr>
      <w:bookmarkStart w:id="68" w:name="_Toc526526894"/>
      <w:bookmarkStart w:id="69" w:name="_Toc526526811"/>
      <w:bookmarkStart w:id="70" w:name="_Toc526528352"/>
      <w:bookmarkStart w:id="71" w:name="_Toc526528408"/>
      <w:bookmarkStart w:id="72" w:name="_Toc526528464"/>
      <w:bookmarkStart w:id="73" w:name="_Toc526531157"/>
      <w:bookmarkStart w:id="74" w:name="_Toc526526895"/>
      <w:bookmarkStart w:id="75" w:name="_Toc526526812"/>
      <w:bookmarkStart w:id="76" w:name="_Toc526528353"/>
      <w:bookmarkStart w:id="77" w:name="_Toc526528409"/>
      <w:bookmarkStart w:id="78" w:name="_Toc526528465"/>
      <w:bookmarkStart w:id="79" w:name="_Toc526531158"/>
      <w:bookmarkStart w:id="80" w:name="_Toc526526896"/>
      <w:bookmarkStart w:id="81" w:name="_Toc526526813"/>
      <w:bookmarkStart w:id="82" w:name="_Toc526528354"/>
      <w:bookmarkStart w:id="83" w:name="_Toc526528410"/>
      <w:bookmarkStart w:id="84" w:name="_Toc526528466"/>
      <w:bookmarkStart w:id="85" w:name="_Toc526531159"/>
      <w:bookmarkStart w:id="86" w:name="_Toc526526898"/>
      <w:bookmarkStart w:id="87" w:name="_Toc526528356"/>
      <w:bookmarkStart w:id="88" w:name="_Toc526528412"/>
      <w:bookmarkStart w:id="89" w:name="_Toc526528468"/>
      <w:bookmarkStart w:id="90" w:name="_Toc526531161"/>
      <w:bookmarkStart w:id="91" w:name="_Toc526526899"/>
      <w:bookmarkStart w:id="92" w:name="_Toc526528357"/>
      <w:bookmarkStart w:id="93" w:name="_Toc526528413"/>
      <w:bookmarkStart w:id="94" w:name="_Toc526528469"/>
      <w:bookmarkStart w:id="95" w:name="_Toc526531162"/>
      <w:bookmarkStart w:id="96" w:name="_Toc526526900"/>
      <w:bookmarkStart w:id="97" w:name="_Toc526528358"/>
      <w:bookmarkStart w:id="98" w:name="_Toc526528414"/>
      <w:bookmarkStart w:id="99" w:name="_Toc526528470"/>
      <w:bookmarkStart w:id="100" w:name="_Toc526531163"/>
      <w:bookmarkStart w:id="101" w:name="_Toc526526901"/>
      <w:bookmarkStart w:id="102" w:name="_Toc526528359"/>
      <w:bookmarkStart w:id="103" w:name="_Toc526528415"/>
      <w:bookmarkStart w:id="104" w:name="_Toc526528471"/>
      <w:bookmarkStart w:id="105" w:name="_Toc526531164"/>
      <w:bookmarkStart w:id="106" w:name="_Toc526526902"/>
      <w:bookmarkStart w:id="107" w:name="_Toc526528360"/>
      <w:bookmarkStart w:id="108" w:name="_Toc526528416"/>
      <w:bookmarkStart w:id="109" w:name="_Toc526528472"/>
      <w:bookmarkStart w:id="110" w:name="_Toc526531165"/>
      <w:bookmarkStart w:id="111" w:name="_Toc526526903"/>
      <w:bookmarkStart w:id="112" w:name="_Toc526528361"/>
      <w:bookmarkStart w:id="113" w:name="_Toc526528417"/>
      <w:bookmarkStart w:id="114" w:name="_Toc526528473"/>
      <w:bookmarkStart w:id="115" w:name="_Toc526531166"/>
      <w:bookmarkStart w:id="116" w:name="_Toc526526904"/>
      <w:bookmarkStart w:id="117" w:name="_Toc526528362"/>
      <w:bookmarkStart w:id="118" w:name="_Toc526528418"/>
      <w:bookmarkStart w:id="119" w:name="_Toc526528474"/>
      <w:bookmarkStart w:id="120" w:name="_Toc526531167"/>
      <w:bookmarkStart w:id="121" w:name="_Toc526526905"/>
      <w:bookmarkStart w:id="122" w:name="_Toc526528363"/>
      <w:bookmarkStart w:id="123" w:name="_Toc526528419"/>
      <w:bookmarkStart w:id="124" w:name="_Toc526528475"/>
      <w:bookmarkStart w:id="125" w:name="_Toc526531168"/>
      <w:bookmarkStart w:id="126" w:name="_Toc526526906"/>
      <w:bookmarkStart w:id="127" w:name="_Toc526528364"/>
      <w:bookmarkStart w:id="128" w:name="_Toc526528420"/>
      <w:bookmarkStart w:id="129" w:name="_Toc526528476"/>
      <w:bookmarkStart w:id="130" w:name="_Toc526531169"/>
      <w:bookmarkStart w:id="131" w:name="_Toc526526907"/>
      <w:bookmarkStart w:id="132" w:name="_Toc526528365"/>
      <w:bookmarkStart w:id="133" w:name="_Toc526528421"/>
      <w:bookmarkStart w:id="134" w:name="_Toc526528477"/>
      <w:bookmarkStart w:id="135" w:name="_Toc526531170"/>
      <w:bookmarkStart w:id="136" w:name="_Toc526526908"/>
      <w:bookmarkStart w:id="137" w:name="_Toc526528366"/>
      <w:bookmarkStart w:id="138" w:name="_Toc526528422"/>
      <w:bookmarkStart w:id="139" w:name="_Toc526528478"/>
      <w:bookmarkStart w:id="140" w:name="_Toc526531171"/>
      <w:bookmarkStart w:id="141" w:name="_Toc526526909"/>
      <w:bookmarkStart w:id="142" w:name="_Toc526526826"/>
      <w:bookmarkStart w:id="143" w:name="_Toc526528367"/>
      <w:bookmarkStart w:id="144" w:name="_Toc526528423"/>
      <w:bookmarkStart w:id="145" w:name="_Toc526528479"/>
      <w:bookmarkStart w:id="146" w:name="_Toc526531172"/>
      <w:bookmarkStart w:id="147" w:name="_Toc526526910"/>
      <w:bookmarkStart w:id="148" w:name="_Toc526526827"/>
      <w:bookmarkStart w:id="149" w:name="_Toc526528368"/>
      <w:bookmarkStart w:id="150" w:name="_Toc526528424"/>
      <w:bookmarkStart w:id="151" w:name="_Toc526528480"/>
      <w:bookmarkStart w:id="152" w:name="_Toc526531173"/>
      <w:bookmarkStart w:id="153" w:name="_Toc526528425"/>
      <w:bookmarkStart w:id="154" w:name="_Toc2203155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noProof/>
        </w:rPr>
        <w:t>Progress in achieving the specific objectives</w:t>
      </w:r>
      <w:bookmarkEnd w:id="153"/>
      <w:bookmarkEnd w:id="154"/>
    </w:p>
    <w:p w:rsidR="003C18FB" w:rsidRDefault="00773466">
      <w:pPr>
        <w:tabs>
          <w:tab w:val="num" w:pos="0"/>
        </w:tabs>
        <w:spacing w:line="240" w:lineRule="auto"/>
        <w:jc w:val="both"/>
        <w:rPr>
          <w:rFonts w:ascii="Times New Roman" w:hAnsi="Times New Roman" w:cs="Times New Roman"/>
          <w:noProof/>
          <w:sz w:val="24"/>
          <w:szCs w:val="24"/>
        </w:rPr>
      </w:pPr>
      <w:bookmarkStart w:id="155" w:name="_Toc522900713"/>
      <w:bookmarkStart w:id="156" w:name="_Toc525802260"/>
      <w:bookmarkEnd w:id="155"/>
      <w:bookmarkEnd w:id="156"/>
      <w:r>
        <w:rPr>
          <w:rFonts w:ascii="Times New Roman" w:hAnsi="Times New Roman" w:cs="Times New Roman"/>
          <w:noProof/>
          <w:sz w:val="24"/>
          <w:szCs w:val="24"/>
        </w:rPr>
        <w:t xml:space="preserve">Support measures financed by the SRSP 2018 budget are contributing to the specific </w:t>
      </w:r>
      <w:r>
        <w:rPr>
          <w:rFonts w:ascii="Times New Roman" w:hAnsi="Times New Roman" w:cs="Times New Roman"/>
          <w:noProof/>
          <w:sz w:val="24"/>
          <w:szCs w:val="24"/>
        </w:rPr>
        <w:t>objectives of the programme as follows</w:t>
      </w:r>
      <w:r>
        <w:rPr>
          <w:rFonts w:ascii="Times New Roman" w:hAnsi="Times New Roman" w:cs="Times New Roman"/>
          <w:noProof/>
          <w:szCs w:val="24"/>
          <w:vertAlign w:val="superscript"/>
        </w:rPr>
        <w:footnoteReference w:id="41"/>
      </w:r>
      <w:r>
        <w:rPr>
          <w:rFonts w:ascii="Times New Roman" w:hAnsi="Times New Roman" w:cs="Times New Roman"/>
          <w:noProof/>
          <w:sz w:val="24"/>
          <w:szCs w:val="24"/>
        </w:rPr>
        <w:t xml:space="preserve"> (see Annex III for more details):</w:t>
      </w:r>
    </w:p>
    <w:p w:rsidR="003C18FB" w:rsidRDefault="00773466">
      <w:pPr>
        <w:pStyle w:val="ListParagraph"/>
        <w:numPr>
          <w:ilvl w:val="0"/>
          <w:numId w:val="15"/>
        </w:numPr>
        <w:rPr>
          <w:noProof/>
          <w:szCs w:val="24"/>
        </w:rPr>
      </w:pPr>
      <w:r>
        <w:rPr>
          <w:b/>
          <w:noProof/>
          <w:szCs w:val="24"/>
        </w:rPr>
        <w:t>47%</w:t>
      </w:r>
      <w:r>
        <w:rPr>
          <w:noProof/>
          <w:szCs w:val="24"/>
        </w:rPr>
        <w:t xml:space="preserve"> of support measures contribute to the </w:t>
      </w:r>
      <w:r>
        <w:rPr>
          <w:b/>
          <w:noProof/>
          <w:szCs w:val="24"/>
        </w:rPr>
        <w:t>design of reforms</w:t>
      </w:r>
      <w:r>
        <w:rPr>
          <w:noProof/>
          <w:szCs w:val="24"/>
        </w:rPr>
        <w:t>.</w:t>
      </w:r>
    </w:p>
    <w:p w:rsidR="003C18FB" w:rsidRDefault="00773466">
      <w:pPr>
        <w:pStyle w:val="ListParagraph"/>
        <w:numPr>
          <w:ilvl w:val="1"/>
          <w:numId w:val="15"/>
        </w:numPr>
        <w:rPr>
          <w:noProof/>
          <w:szCs w:val="24"/>
        </w:rPr>
      </w:pPr>
      <w:r>
        <w:rPr>
          <w:noProof/>
          <w:szCs w:val="24"/>
        </w:rPr>
        <w:t>The majority of support measures contributing to this objective are in tax policy, digital public administration, educati</w:t>
      </w:r>
      <w:r>
        <w:rPr>
          <w:noProof/>
          <w:szCs w:val="24"/>
        </w:rPr>
        <w:t>on and training and capital markets union.</w:t>
      </w:r>
    </w:p>
    <w:p w:rsidR="003C18FB" w:rsidRDefault="003C18FB">
      <w:pPr>
        <w:pStyle w:val="ListParagraph"/>
        <w:tabs>
          <w:tab w:val="num" w:pos="0"/>
        </w:tabs>
        <w:ind w:left="0"/>
        <w:rPr>
          <w:noProof/>
          <w:szCs w:val="24"/>
        </w:rPr>
      </w:pPr>
    </w:p>
    <w:p w:rsidR="003C18FB" w:rsidRDefault="00773466">
      <w:pPr>
        <w:pStyle w:val="ListParagraph"/>
        <w:numPr>
          <w:ilvl w:val="0"/>
          <w:numId w:val="15"/>
        </w:numPr>
        <w:rPr>
          <w:noProof/>
          <w:szCs w:val="24"/>
        </w:rPr>
      </w:pPr>
      <w:r>
        <w:rPr>
          <w:b/>
          <w:noProof/>
          <w:szCs w:val="24"/>
        </w:rPr>
        <w:t>64%</w:t>
      </w:r>
      <w:r>
        <w:rPr>
          <w:noProof/>
          <w:szCs w:val="24"/>
        </w:rPr>
        <w:t xml:space="preserve"> contribute to the </w:t>
      </w:r>
      <w:r>
        <w:rPr>
          <w:b/>
          <w:noProof/>
          <w:szCs w:val="24"/>
        </w:rPr>
        <w:t>formulation, development and implementation of reforms</w:t>
      </w:r>
      <w:r>
        <w:rPr>
          <w:noProof/>
          <w:szCs w:val="24"/>
        </w:rPr>
        <w:t>;</w:t>
      </w:r>
    </w:p>
    <w:p w:rsidR="003C18FB" w:rsidRDefault="00773466">
      <w:pPr>
        <w:pStyle w:val="ListParagraph"/>
        <w:numPr>
          <w:ilvl w:val="1"/>
          <w:numId w:val="15"/>
        </w:numPr>
        <w:rPr>
          <w:noProof/>
          <w:szCs w:val="24"/>
        </w:rPr>
      </w:pPr>
      <w:r>
        <w:rPr>
          <w:noProof/>
          <w:szCs w:val="24"/>
        </w:rPr>
        <w:t xml:space="preserve">The majority of support measures contributing to this objective are in tax policy, education and training, healthcare, and capital </w:t>
      </w:r>
      <w:r>
        <w:rPr>
          <w:noProof/>
          <w:szCs w:val="24"/>
        </w:rPr>
        <w:t>markets union.</w:t>
      </w:r>
    </w:p>
    <w:p w:rsidR="003C18FB" w:rsidRDefault="003C18FB">
      <w:pPr>
        <w:pStyle w:val="ListParagraph"/>
        <w:tabs>
          <w:tab w:val="num" w:pos="0"/>
        </w:tabs>
        <w:ind w:left="0"/>
        <w:rPr>
          <w:noProof/>
          <w:szCs w:val="24"/>
        </w:rPr>
      </w:pPr>
    </w:p>
    <w:p w:rsidR="003C18FB" w:rsidRDefault="00773466">
      <w:pPr>
        <w:pStyle w:val="ListParagraph"/>
        <w:numPr>
          <w:ilvl w:val="0"/>
          <w:numId w:val="15"/>
        </w:numPr>
        <w:rPr>
          <w:noProof/>
          <w:szCs w:val="24"/>
        </w:rPr>
      </w:pPr>
      <w:r>
        <w:rPr>
          <w:b/>
          <w:noProof/>
          <w:szCs w:val="24"/>
        </w:rPr>
        <w:t>56%</w:t>
      </w:r>
      <w:r>
        <w:rPr>
          <w:noProof/>
          <w:szCs w:val="24"/>
        </w:rPr>
        <w:t xml:space="preserve"> contribute to the </w:t>
      </w:r>
      <w:r>
        <w:rPr>
          <w:b/>
          <w:noProof/>
          <w:szCs w:val="24"/>
        </w:rPr>
        <w:t>definition</w:t>
      </w:r>
      <w:r>
        <w:rPr>
          <w:noProof/>
          <w:szCs w:val="24"/>
        </w:rPr>
        <w:t xml:space="preserve"> </w:t>
      </w:r>
      <w:r>
        <w:rPr>
          <w:b/>
          <w:noProof/>
          <w:szCs w:val="24"/>
        </w:rPr>
        <w:t>and</w:t>
      </w:r>
      <w:r>
        <w:rPr>
          <w:noProof/>
          <w:szCs w:val="24"/>
        </w:rPr>
        <w:t xml:space="preserve"> </w:t>
      </w:r>
      <w:r>
        <w:rPr>
          <w:b/>
          <w:noProof/>
          <w:szCs w:val="24"/>
        </w:rPr>
        <w:t>implementation of processes and methodologies</w:t>
      </w:r>
      <w:r>
        <w:rPr>
          <w:noProof/>
          <w:szCs w:val="24"/>
        </w:rPr>
        <w:t>;</w:t>
      </w:r>
    </w:p>
    <w:p w:rsidR="003C18FB" w:rsidRDefault="00773466">
      <w:pPr>
        <w:pStyle w:val="ListParagraph"/>
        <w:numPr>
          <w:ilvl w:val="1"/>
          <w:numId w:val="15"/>
        </w:numPr>
        <w:rPr>
          <w:noProof/>
          <w:szCs w:val="24"/>
        </w:rPr>
      </w:pPr>
      <w:r>
        <w:rPr>
          <w:noProof/>
          <w:szCs w:val="24"/>
        </w:rPr>
        <w:t>The majority of support measures contributing to this objective are in tax policy, education and training, healthcare, digital public administration, judici</w:t>
      </w:r>
      <w:r>
        <w:rPr>
          <w:noProof/>
          <w:szCs w:val="24"/>
        </w:rPr>
        <w:t>al reform and capital markets union.</w:t>
      </w:r>
    </w:p>
    <w:p w:rsidR="003C18FB" w:rsidRDefault="003C18FB">
      <w:pPr>
        <w:pStyle w:val="ListParagraph"/>
        <w:tabs>
          <w:tab w:val="num" w:pos="0"/>
        </w:tabs>
        <w:ind w:left="0"/>
        <w:rPr>
          <w:noProof/>
        </w:rPr>
      </w:pPr>
    </w:p>
    <w:p w:rsidR="003C18FB" w:rsidRDefault="00773466">
      <w:pPr>
        <w:pStyle w:val="ListParagraph"/>
        <w:numPr>
          <w:ilvl w:val="0"/>
          <w:numId w:val="15"/>
        </w:numPr>
        <w:rPr>
          <w:noProof/>
          <w:szCs w:val="24"/>
        </w:rPr>
      </w:pPr>
      <w:r>
        <w:rPr>
          <w:b/>
          <w:noProof/>
          <w:szCs w:val="24"/>
        </w:rPr>
        <w:t>19%</w:t>
      </w:r>
      <w:r>
        <w:rPr>
          <w:noProof/>
          <w:szCs w:val="24"/>
        </w:rPr>
        <w:t xml:space="preserve"> of support measures aim to help improve </w:t>
      </w:r>
      <w:r>
        <w:rPr>
          <w:b/>
          <w:noProof/>
          <w:szCs w:val="24"/>
        </w:rPr>
        <w:t>efficiency and effectiveness of human resources management</w:t>
      </w:r>
      <w:r>
        <w:rPr>
          <w:noProof/>
          <w:szCs w:val="24"/>
        </w:rPr>
        <w:t>.</w:t>
      </w:r>
    </w:p>
    <w:p w:rsidR="003C18FB" w:rsidRDefault="00773466">
      <w:pPr>
        <w:pStyle w:val="ListParagraph"/>
        <w:numPr>
          <w:ilvl w:val="1"/>
          <w:numId w:val="15"/>
        </w:numPr>
        <w:rPr>
          <w:noProof/>
          <w:szCs w:val="24"/>
        </w:rPr>
      </w:pPr>
      <w:r>
        <w:rPr>
          <w:noProof/>
          <w:szCs w:val="24"/>
        </w:rPr>
        <w:t xml:space="preserve">The majority of support measures contributing to this objective are in digital public administration, healthcare, </w:t>
      </w:r>
      <w:r>
        <w:rPr>
          <w:noProof/>
          <w:szCs w:val="24"/>
        </w:rPr>
        <w:t>judicial reform and management of human resources.</w:t>
      </w:r>
    </w:p>
    <w:p w:rsidR="003C18FB" w:rsidRDefault="00773466">
      <w:pPr>
        <w:tabs>
          <w:tab w:val="num" w:pos="0"/>
        </w:tabs>
        <w:spacing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For the funds transferred to the SRSP voluntarily by Greece and Bulgaria under Article 11 of the SRSP Regulation, the support measures were related to the design of reforms (33%), to the formulation, devel</w:t>
      </w:r>
      <w:r>
        <w:rPr>
          <w:rFonts w:ascii="Times New Roman" w:eastAsia="Times New Roman" w:hAnsi="Times New Roman" w:cs="Times New Roman"/>
          <w:noProof/>
          <w:sz w:val="24"/>
          <w:szCs w:val="24"/>
          <w:lang w:eastAsia="en-GB"/>
        </w:rPr>
        <w:t>opment and implementation of reforms (55%), to the definition and implementation of processes and methodologies (33%) and to improving the efficiency and effectiveness of human resources management (18%).</w:t>
      </w:r>
    </w:p>
    <w:p w:rsidR="003C18FB" w:rsidRDefault="003C18FB">
      <w:pPr>
        <w:tabs>
          <w:tab w:val="num" w:pos="0"/>
        </w:tabs>
        <w:rPr>
          <w:noProof/>
          <w:szCs w:val="24"/>
        </w:rPr>
      </w:pPr>
    </w:p>
    <w:p w:rsidR="003C18FB" w:rsidRDefault="00773466">
      <w:pPr>
        <w:pStyle w:val="Heading2"/>
        <w:tabs>
          <w:tab w:val="num" w:pos="0"/>
        </w:tabs>
        <w:ind w:left="0" w:firstLine="0"/>
        <w:rPr>
          <w:noProof/>
        </w:rPr>
      </w:pPr>
      <w:bookmarkStart w:id="157" w:name="_Toc22031558"/>
      <w:r>
        <w:rPr>
          <w:noProof/>
        </w:rPr>
        <w:t>Expected outcomes of SRSP activities</w:t>
      </w:r>
      <w:bookmarkEnd w:id="157"/>
      <w:r>
        <w:rPr>
          <w:noProof/>
        </w:rPr>
        <w:t xml:space="preserve"> </w:t>
      </w:r>
    </w:p>
    <w:p w:rsidR="003C18FB" w:rsidRDefault="00773466">
      <w:pPr>
        <w:tabs>
          <w:tab w:val="num"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line with</w:t>
      </w:r>
      <w:r>
        <w:rPr>
          <w:rFonts w:ascii="Times New Roman" w:hAnsi="Times New Roman" w:cs="Times New Roman"/>
          <w:noProof/>
          <w:sz w:val="24"/>
          <w:szCs w:val="24"/>
        </w:rPr>
        <w:t xml:space="preserve"> the intervention logic of the programme (see Figure 18), the support measures financed under the 2018 SRSP budget are expected to achieve outcomes that will ultimately contribute to the achievement of the general and specific SRSP objectives as follows</w:t>
      </w:r>
      <w:r>
        <w:rPr>
          <w:rFonts w:ascii="Times New Roman" w:hAnsi="Times New Roman" w:cs="Times New Roman"/>
          <w:noProof/>
          <w:szCs w:val="24"/>
        </w:rPr>
        <w:t>.</w:t>
      </w:r>
      <w:r>
        <w:rPr>
          <w:rFonts w:ascii="Times New Roman" w:hAnsi="Times New Roman" w:cs="Times New Roman"/>
          <w:noProof/>
          <w:sz w:val="24"/>
          <w:szCs w:val="24"/>
        </w:rPr>
        <w:t xml:space="preserve"> </w:t>
      </w:r>
    </w:p>
    <w:p w:rsidR="003C18FB" w:rsidRDefault="00773466">
      <w:pPr>
        <w:pStyle w:val="ListParagraph"/>
        <w:numPr>
          <w:ilvl w:val="0"/>
          <w:numId w:val="15"/>
        </w:numPr>
        <w:tabs>
          <w:tab w:val="num" w:pos="0"/>
        </w:tabs>
        <w:rPr>
          <w:noProof/>
          <w:szCs w:val="24"/>
        </w:rPr>
      </w:pPr>
      <w:r>
        <w:rPr>
          <w:b/>
          <w:noProof/>
          <w:szCs w:val="24"/>
        </w:rPr>
        <w:t>24%</w:t>
      </w:r>
      <w:r>
        <w:rPr>
          <w:noProof/>
          <w:szCs w:val="24"/>
        </w:rPr>
        <w:t xml:space="preserve"> of support measures are expected to lead (or have led) to </w:t>
      </w:r>
      <w:r>
        <w:rPr>
          <w:b/>
          <w:noProof/>
          <w:szCs w:val="24"/>
        </w:rPr>
        <w:t>adoption of a strategy, draft of a new law or act, or modification of an existing one</w:t>
      </w:r>
      <w:r>
        <w:rPr>
          <w:noProof/>
          <w:szCs w:val="24"/>
        </w:rPr>
        <w:t xml:space="preserve">; </w:t>
      </w:r>
    </w:p>
    <w:p w:rsidR="003C18FB" w:rsidRDefault="003C18FB">
      <w:pPr>
        <w:pStyle w:val="ListParagraph"/>
        <w:tabs>
          <w:tab w:val="num" w:pos="0"/>
        </w:tabs>
        <w:ind w:left="0"/>
        <w:rPr>
          <w:noProof/>
          <w:szCs w:val="24"/>
        </w:rPr>
      </w:pPr>
    </w:p>
    <w:p w:rsidR="003C18FB" w:rsidRDefault="00773466">
      <w:pPr>
        <w:pStyle w:val="ListParagraph"/>
        <w:numPr>
          <w:ilvl w:val="0"/>
          <w:numId w:val="15"/>
        </w:numPr>
        <w:tabs>
          <w:tab w:val="num" w:pos="0"/>
        </w:tabs>
        <w:rPr>
          <w:noProof/>
          <w:szCs w:val="24"/>
        </w:rPr>
      </w:pPr>
      <w:r>
        <w:rPr>
          <w:b/>
          <w:noProof/>
          <w:szCs w:val="24"/>
        </w:rPr>
        <w:t>47%</w:t>
      </w:r>
      <w:r>
        <w:rPr>
          <w:noProof/>
          <w:szCs w:val="24"/>
        </w:rPr>
        <w:t xml:space="preserve"> of support measures are expected to lead (or have led) to </w:t>
      </w:r>
      <w:r>
        <w:rPr>
          <w:b/>
          <w:noProof/>
          <w:szCs w:val="24"/>
        </w:rPr>
        <w:t>adoption of (new) procedures and actions to</w:t>
      </w:r>
      <w:r>
        <w:rPr>
          <w:b/>
          <w:noProof/>
          <w:szCs w:val="24"/>
        </w:rPr>
        <w:t xml:space="preserve"> enhance the implementation of reforms</w:t>
      </w:r>
      <w:r>
        <w:rPr>
          <w:noProof/>
          <w:szCs w:val="24"/>
        </w:rPr>
        <w:t>;</w:t>
      </w:r>
    </w:p>
    <w:p w:rsidR="003C18FB" w:rsidRDefault="003C18FB">
      <w:pPr>
        <w:pStyle w:val="ListParagraph"/>
        <w:tabs>
          <w:tab w:val="num" w:pos="0"/>
        </w:tabs>
        <w:ind w:left="0"/>
        <w:rPr>
          <w:noProof/>
          <w:szCs w:val="24"/>
        </w:rPr>
      </w:pPr>
    </w:p>
    <w:p w:rsidR="003C18FB" w:rsidRDefault="00773466">
      <w:pPr>
        <w:pStyle w:val="ListParagraph"/>
        <w:numPr>
          <w:ilvl w:val="0"/>
          <w:numId w:val="15"/>
        </w:numPr>
        <w:tabs>
          <w:tab w:val="num" w:pos="0"/>
        </w:tabs>
        <w:rPr>
          <w:noProof/>
          <w:szCs w:val="24"/>
        </w:rPr>
      </w:pPr>
      <w:r>
        <w:rPr>
          <w:b/>
          <w:noProof/>
          <w:szCs w:val="24"/>
        </w:rPr>
        <w:t>50%</w:t>
      </w:r>
      <w:r>
        <w:rPr>
          <w:noProof/>
          <w:szCs w:val="24"/>
        </w:rPr>
        <w:t xml:space="preserve"> of support measures strive to deliver (or have delivered) </w:t>
      </w:r>
      <w:r>
        <w:rPr>
          <w:b/>
          <w:noProof/>
          <w:szCs w:val="24"/>
        </w:rPr>
        <w:t>improved internal working procedures, methodologies and processes/organisation</w:t>
      </w:r>
      <w:r>
        <w:rPr>
          <w:noProof/>
          <w:szCs w:val="24"/>
        </w:rPr>
        <w:t>;</w:t>
      </w:r>
    </w:p>
    <w:p w:rsidR="003C18FB" w:rsidRDefault="003C18FB">
      <w:pPr>
        <w:pStyle w:val="ListParagraph"/>
        <w:tabs>
          <w:tab w:val="num" w:pos="0"/>
        </w:tabs>
        <w:ind w:left="0"/>
        <w:rPr>
          <w:noProof/>
          <w:szCs w:val="24"/>
        </w:rPr>
      </w:pPr>
    </w:p>
    <w:p w:rsidR="003C18FB" w:rsidRDefault="00773466">
      <w:pPr>
        <w:pStyle w:val="ListParagraph"/>
        <w:numPr>
          <w:ilvl w:val="0"/>
          <w:numId w:val="15"/>
        </w:numPr>
        <w:tabs>
          <w:tab w:val="num" w:pos="0"/>
        </w:tabs>
        <w:rPr>
          <w:noProof/>
          <w:szCs w:val="24"/>
        </w:rPr>
      </w:pPr>
      <w:r>
        <w:rPr>
          <w:b/>
          <w:noProof/>
          <w:szCs w:val="24"/>
        </w:rPr>
        <w:t>14%</w:t>
      </w:r>
      <w:r>
        <w:rPr>
          <w:noProof/>
          <w:szCs w:val="24"/>
        </w:rPr>
        <w:t xml:space="preserve"> of support measures aim to bring about </w:t>
      </w:r>
      <w:r>
        <w:rPr>
          <w:b/>
          <w:noProof/>
          <w:szCs w:val="24"/>
        </w:rPr>
        <w:t>organisational change, change</w:t>
      </w:r>
      <w:r>
        <w:rPr>
          <w:b/>
          <w:noProof/>
          <w:szCs w:val="24"/>
        </w:rPr>
        <w:t xml:space="preserve"> management and improved human resource management</w:t>
      </w:r>
      <w:r>
        <w:rPr>
          <w:noProof/>
          <w:szCs w:val="24"/>
        </w:rPr>
        <w:t xml:space="preserve">; </w:t>
      </w:r>
    </w:p>
    <w:p w:rsidR="003C18FB" w:rsidRDefault="003C18FB">
      <w:pPr>
        <w:pStyle w:val="ListParagraph"/>
        <w:tabs>
          <w:tab w:val="num" w:pos="0"/>
        </w:tabs>
        <w:ind w:left="0"/>
        <w:rPr>
          <w:noProof/>
          <w:szCs w:val="24"/>
        </w:rPr>
      </w:pPr>
    </w:p>
    <w:p w:rsidR="003C18FB" w:rsidRDefault="00773466">
      <w:pPr>
        <w:pStyle w:val="ListParagraph"/>
        <w:numPr>
          <w:ilvl w:val="0"/>
          <w:numId w:val="15"/>
        </w:numPr>
        <w:tabs>
          <w:tab w:val="num" w:pos="0"/>
        </w:tabs>
        <w:rPr>
          <w:noProof/>
          <w:szCs w:val="24"/>
        </w:rPr>
      </w:pPr>
      <w:r>
        <w:rPr>
          <w:b/>
          <w:noProof/>
          <w:szCs w:val="24"/>
        </w:rPr>
        <w:t>16%</w:t>
      </w:r>
      <w:r>
        <w:rPr>
          <w:noProof/>
          <w:szCs w:val="24"/>
        </w:rPr>
        <w:t xml:space="preserve"> of support measures are expected to lead (or have led) to </w:t>
      </w:r>
      <w:r>
        <w:rPr>
          <w:b/>
          <w:noProof/>
          <w:szCs w:val="24"/>
        </w:rPr>
        <w:t>other results</w:t>
      </w:r>
      <w:r>
        <w:rPr>
          <w:noProof/>
          <w:szCs w:val="24"/>
        </w:rPr>
        <w:t xml:space="preserve"> (indentification of policy options, strengthened administrative capacity, collection of data and information, strategic and op</w:t>
      </w:r>
      <w:r>
        <w:rPr>
          <w:noProof/>
          <w:szCs w:val="24"/>
        </w:rPr>
        <w:t>erational planning, etc.).</w:t>
      </w:r>
    </w:p>
    <w:p w:rsidR="003C18FB" w:rsidRDefault="00773466">
      <w:pPr>
        <w:tabs>
          <w:tab w:val="num"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funds transferred to the SRSP voluntarily by Greece and Bulgaria under Article 11 of the SRSP Regulation, 33% are expected to lead (or have led) to the adoption of a strategy, draft of a new law or act, or modification of</w:t>
      </w:r>
      <w:r>
        <w:rPr>
          <w:rFonts w:ascii="Times New Roman" w:hAnsi="Times New Roman" w:cs="Times New Roman"/>
          <w:noProof/>
          <w:sz w:val="24"/>
          <w:szCs w:val="24"/>
        </w:rPr>
        <w:t xml:space="preserve"> an existing one; 30% to the adoption of (new) procedures and actions to enhance the implementation of reforms; 45% of support measures strive to deliver improved internal working procedures, methodologies and processes/organisation; and 21% aim to bring a</w:t>
      </w:r>
      <w:r>
        <w:rPr>
          <w:rFonts w:ascii="Times New Roman" w:hAnsi="Times New Roman" w:cs="Times New Roman"/>
          <w:noProof/>
          <w:sz w:val="24"/>
          <w:szCs w:val="24"/>
        </w:rPr>
        <w:t>bout organisational change, change management, and improved human resource management.</w:t>
      </w:r>
    </w:p>
    <w:p w:rsidR="003C18FB" w:rsidRDefault="003C18FB">
      <w:pPr>
        <w:pStyle w:val="ListParagraph"/>
        <w:tabs>
          <w:tab w:val="num" w:pos="0"/>
        </w:tabs>
        <w:ind w:left="0"/>
        <w:rPr>
          <w:noProof/>
          <w:szCs w:val="24"/>
        </w:rPr>
      </w:pPr>
    </w:p>
    <w:p w:rsidR="003C18FB" w:rsidRDefault="00773466">
      <w:pPr>
        <w:pStyle w:val="Heading2"/>
        <w:tabs>
          <w:tab w:val="num" w:pos="0"/>
        </w:tabs>
        <w:spacing w:after="240"/>
        <w:ind w:left="0" w:firstLine="0"/>
        <w:contextualSpacing w:val="0"/>
        <w:rPr>
          <w:noProof/>
        </w:rPr>
      </w:pPr>
      <w:bookmarkStart w:id="158" w:name="_Toc525802262"/>
      <w:bookmarkStart w:id="159" w:name="_Toc525811874"/>
      <w:bookmarkStart w:id="160" w:name="_Toc525802263"/>
      <w:bookmarkStart w:id="161" w:name="_Toc525811875"/>
      <w:bookmarkStart w:id="162" w:name="_Toc526528427"/>
      <w:bookmarkStart w:id="163" w:name="_Toc22031559"/>
      <w:bookmarkEnd w:id="158"/>
      <w:bookmarkEnd w:id="159"/>
      <w:bookmarkEnd w:id="160"/>
      <w:bookmarkEnd w:id="161"/>
      <w:r>
        <w:rPr>
          <w:noProof/>
        </w:rPr>
        <w:t>European added value</w:t>
      </w:r>
      <w:bookmarkEnd w:id="162"/>
      <w:bookmarkEnd w:id="163"/>
    </w:p>
    <w:p w:rsidR="003C18FB" w:rsidRDefault="00773466">
      <w:pPr>
        <w:pStyle w:val="Heading2"/>
        <w:numPr>
          <w:ilvl w:val="0"/>
          <w:numId w:val="0"/>
        </w:numPr>
        <w:tabs>
          <w:tab w:val="num" w:pos="0"/>
        </w:tabs>
        <w:contextualSpacing w:val="0"/>
        <w:rPr>
          <w:rFonts w:eastAsiaTheme="minorHAnsi"/>
          <w:b w:val="0"/>
          <w:noProof/>
          <w:lang w:eastAsia="en-US"/>
        </w:rPr>
      </w:pPr>
      <w:bookmarkStart w:id="164" w:name="_Toc525929574"/>
      <w:bookmarkStart w:id="165" w:name="_Toc526526914"/>
      <w:bookmarkStart w:id="166" w:name="_Toc526528428"/>
      <w:bookmarkStart w:id="167" w:name="_Toc526531327"/>
      <w:bookmarkStart w:id="168" w:name="_Toc526793685"/>
      <w:bookmarkStart w:id="169" w:name="_Toc526804054"/>
      <w:bookmarkStart w:id="170" w:name="_Toc22024877"/>
      <w:bookmarkStart w:id="171" w:name="_Toc22030710"/>
      <w:bookmarkStart w:id="172" w:name="_Toc22031560"/>
      <w:bookmarkStart w:id="173" w:name="_Toc519623475"/>
      <w:bookmarkStart w:id="174" w:name="_Toc519724473"/>
      <w:bookmarkStart w:id="175" w:name="_Toc522900715"/>
      <w:bookmarkStart w:id="176" w:name="_Toc525802265"/>
      <w:r>
        <w:rPr>
          <w:rFonts w:eastAsiaTheme="minorHAnsi"/>
          <w:b w:val="0"/>
          <w:noProof/>
          <w:lang w:eastAsia="en-US"/>
        </w:rPr>
        <w:t>Actions selected under the SRSP 2018 round are designed to ensure complementarity and synergy with other programmes and policies at national, Union</w:t>
      </w:r>
      <w:r>
        <w:rPr>
          <w:rFonts w:eastAsiaTheme="minorHAnsi"/>
          <w:b w:val="0"/>
          <w:noProof/>
          <w:lang w:eastAsia="en-US"/>
        </w:rPr>
        <w:t xml:space="preserve"> and international level, contribute to further promoting mutual trust and cooperation between beneficiary Member States and the Commission, and ensure consistent and coherent implementation of Union law. In addition, some actions should allow for the deve</w:t>
      </w:r>
      <w:r>
        <w:rPr>
          <w:rFonts w:eastAsiaTheme="minorHAnsi"/>
          <w:b w:val="0"/>
          <w:noProof/>
          <w:lang w:eastAsia="en-US"/>
        </w:rPr>
        <w:t>lopment and implementation of solutions that address national challenges but also have a positive cross-border impact and/or impact on the Union as a whole.</w:t>
      </w:r>
      <w:bookmarkEnd w:id="164"/>
      <w:bookmarkEnd w:id="165"/>
      <w:bookmarkEnd w:id="166"/>
      <w:bookmarkEnd w:id="167"/>
      <w:bookmarkEnd w:id="168"/>
      <w:bookmarkEnd w:id="169"/>
      <w:bookmarkEnd w:id="170"/>
      <w:bookmarkEnd w:id="171"/>
      <w:bookmarkEnd w:id="172"/>
      <w:r>
        <w:rPr>
          <w:rFonts w:eastAsiaTheme="minorHAnsi"/>
          <w:b w:val="0"/>
          <w:noProof/>
          <w:lang w:eastAsia="en-US"/>
        </w:rPr>
        <w:t xml:space="preserve"> </w:t>
      </w:r>
    </w:p>
    <w:p w:rsidR="003C18FB" w:rsidRDefault="00773466">
      <w:pPr>
        <w:pStyle w:val="Heading2"/>
        <w:numPr>
          <w:ilvl w:val="0"/>
          <w:numId w:val="0"/>
        </w:numPr>
        <w:tabs>
          <w:tab w:val="num" w:pos="0"/>
        </w:tabs>
        <w:contextualSpacing w:val="0"/>
        <w:rPr>
          <w:rFonts w:eastAsiaTheme="minorHAnsi"/>
          <w:b w:val="0"/>
          <w:noProof/>
          <w:lang w:eastAsia="en-US"/>
        </w:rPr>
      </w:pPr>
      <w:bookmarkStart w:id="177" w:name="_Toc525929575"/>
      <w:bookmarkStart w:id="178" w:name="_Toc526526915"/>
      <w:bookmarkStart w:id="179" w:name="_Toc526528429"/>
      <w:bookmarkStart w:id="180" w:name="_Toc526531328"/>
      <w:bookmarkStart w:id="181" w:name="_Toc526793686"/>
      <w:bookmarkStart w:id="182" w:name="_Toc526804055"/>
      <w:bookmarkStart w:id="183" w:name="_Toc22024878"/>
      <w:bookmarkStart w:id="184" w:name="_Toc22030711"/>
      <w:bookmarkStart w:id="185" w:name="_Toc22031561"/>
      <w:r>
        <w:rPr>
          <w:rFonts w:eastAsiaTheme="minorHAnsi"/>
          <w:b w:val="0"/>
          <w:noProof/>
          <w:lang w:eastAsia="en-US"/>
        </w:rPr>
        <w:t>The Commission is in a better position than any single Member State to identify and channel good p</w:t>
      </w:r>
      <w:r>
        <w:rPr>
          <w:rFonts w:eastAsiaTheme="minorHAnsi"/>
          <w:b w:val="0"/>
          <w:noProof/>
          <w:lang w:eastAsia="en-US"/>
        </w:rPr>
        <w:t>ractices. In many instances, therefore, support measures delivered to the Member States have been improved by the exchange of good practices among the Member States and between Member States and international organisations. This also enabled efficiency gai</w:t>
      </w:r>
      <w:r>
        <w:rPr>
          <w:rFonts w:eastAsiaTheme="minorHAnsi"/>
          <w:b w:val="0"/>
          <w:noProof/>
          <w:lang w:eastAsia="en-US"/>
        </w:rPr>
        <w:t>ns, as positive results in one Member State could be implemented in another.</w:t>
      </w:r>
      <w:bookmarkEnd w:id="177"/>
      <w:bookmarkEnd w:id="178"/>
      <w:bookmarkEnd w:id="179"/>
      <w:bookmarkEnd w:id="180"/>
      <w:bookmarkEnd w:id="181"/>
      <w:bookmarkEnd w:id="182"/>
      <w:bookmarkEnd w:id="183"/>
      <w:bookmarkEnd w:id="184"/>
      <w:bookmarkEnd w:id="185"/>
    </w:p>
    <w:p w:rsidR="003C18FB" w:rsidRDefault="00773466">
      <w:pPr>
        <w:pStyle w:val="Heading2"/>
        <w:numPr>
          <w:ilvl w:val="0"/>
          <w:numId w:val="0"/>
        </w:numPr>
        <w:tabs>
          <w:tab w:val="num" w:pos="0"/>
        </w:tabs>
        <w:contextualSpacing w:val="0"/>
        <w:rPr>
          <w:rFonts w:eastAsiaTheme="minorHAnsi"/>
          <w:b w:val="0"/>
          <w:noProof/>
          <w:lang w:eastAsia="en-US"/>
        </w:rPr>
      </w:pPr>
      <w:bookmarkStart w:id="186" w:name="_Toc525929576"/>
      <w:bookmarkStart w:id="187" w:name="_Toc526526916"/>
      <w:bookmarkStart w:id="188" w:name="_Toc526528430"/>
      <w:bookmarkStart w:id="189" w:name="_Toc526531329"/>
      <w:bookmarkStart w:id="190" w:name="_Toc526793687"/>
      <w:bookmarkStart w:id="191" w:name="_Toc526804056"/>
      <w:bookmarkStart w:id="192" w:name="_Toc22024879"/>
      <w:bookmarkStart w:id="193" w:name="_Toc22030712"/>
      <w:bookmarkStart w:id="194" w:name="_Toc22031562"/>
      <w:r>
        <w:rPr>
          <w:rFonts w:eastAsiaTheme="minorHAnsi"/>
          <w:b w:val="0"/>
          <w:noProof/>
          <w:lang w:eastAsia="en-US"/>
        </w:rPr>
        <w:t>Support measures implemented under the SRSP 2018 are expected to generate European added value, as the following examples illustrate</w:t>
      </w:r>
      <w:r>
        <w:rPr>
          <w:rFonts w:eastAsiaTheme="minorHAnsi"/>
          <w:b w:val="0"/>
          <w:noProof/>
          <w:vertAlign w:val="superscript"/>
          <w:lang w:eastAsia="en-US"/>
        </w:rPr>
        <w:footnoteReference w:id="42"/>
      </w:r>
      <w:bookmarkEnd w:id="186"/>
      <w:bookmarkEnd w:id="187"/>
      <w:bookmarkEnd w:id="188"/>
      <w:bookmarkEnd w:id="189"/>
      <w:bookmarkEnd w:id="190"/>
      <w:bookmarkEnd w:id="191"/>
      <w:bookmarkEnd w:id="192"/>
      <w:bookmarkEnd w:id="193"/>
      <w:bookmarkEnd w:id="194"/>
      <w:r>
        <w:rPr>
          <w:rFonts w:eastAsiaTheme="minorHAnsi"/>
          <w:b w:val="0"/>
          <w:noProof/>
          <w:lang w:eastAsia="en-US"/>
        </w:rPr>
        <w:t>.</w:t>
      </w:r>
    </w:p>
    <w:p w:rsidR="003C18FB" w:rsidRDefault="00773466">
      <w:pPr>
        <w:pStyle w:val="ListParagraph"/>
        <w:numPr>
          <w:ilvl w:val="0"/>
          <w:numId w:val="15"/>
        </w:numPr>
        <w:tabs>
          <w:tab w:val="num" w:pos="0"/>
        </w:tabs>
        <w:spacing w:after="0"/>
        <w:ind w:hanging="357"/>
        <w:contextualSpacing w:val="0"/>
        <w:rPr>
          <w:rFonts w:eastAsiaTheme="minorHAnsi"/>
          <w:b/>
          <w:noProof/>
        </w:rPr>
      </w:pPr>
      <w:bookmarkStart w:id="195" w:name="_Toc525929577"/>
      <w:bookmarkStart w:id="196" w:name="_Toc526526917"/>
      <w:bookmarkStart w:id="197" w:name="_Toc526528431"/>
      <w:bookmarkStart w:id="198" w:name="_Toc526531330"/>
      <w:bookmarkStart w:id="199" w:name="_Toc526793688"/>
      <w:bookmarkStart w:id="200" w:name="_Toc526804057"/>
      <w:bookmarkEnd w:id="173"/>
      <w:bookmarkEnd w:id="174"/>
      <w:bookmarkEnd w:id="175"/>
      <w:bookmarkEnd w:id="176"/>
      <w:r>
        <w:rPr>
          <w:rFonts w:eastAsiaTheme="minorHAnsi"/>
          <w:b/>
          <w:noProof/>
        </w:rPr>
        <w:t xml:space="preserve">45% </w:t>
      </w:r>
      <w:r>
        <w:rPr>
          <w:rFonts w:eastAsiaTheme="minorHAnsi"/>
          <w:noProof/>
        </w:rPr>
        <w:t>of support</w:t>
      </w:r>
      <w:r>
        <w:rPr>
          <w:rFonts w:eastAsiaTheme="minorHAnsi"/>
          <w:b/>
          <w:noProof/>
        </w:rPr>
        <w:t xml:space="preserve"> </w:t>
      </w:r>
      <w:r>
        <w:rPr>
          <w:noProof/>
          <w:szCs w:val="24"/>
        </w:rPr>
        <w:t>measures</w:t>
      </w:r>
      <w:r>
        <w:rPr>
          <w:rFonts w:eastAsiaTheme="minorHAnsi"/>
          <w:b/>
          <w:noProof/>
        </w:rPr>
        <w:t xml:space="preserve"> are expected to have an impact on cross-border or Union-wide challenges</w:t>
      </w:r>
      <w:bookmarkEnd w:id="195"/>
      <w:bookmarkEnd w:id="196"/>
      <w:bookmarkEnd w:id="197"/>
      <w:bookmarkEnd w:id="198"/>
      <w:bookmarkEnd w:id="199"/>
      <w:bookmarkEnd w:id="200"/>
      <w:r>
        <w:rPr>
          <w:rFonts w:eastAsiaTheme="minorHAnsi"/>
          <w:b/>
          <w:noProof/>
        </w:rPr>
        <w:t>:</w:t>
      </w:r>
    </w:p>
    <w:p w:rsidR="003C18FB" w:rsidRDefault="00773466">
      <w:pPr>
        <w:pStyle w:val="ListParagraph"/>
        <w:numPr>
          <w:ilvl w:val="1"/>
          <w:numId w:val="15"/>
        </w:numPr>
        <w:spacing w:after="0"/>
        <w:contextualSpacing w:val="0"/>
        <w:rPr>
          <w:rFonts w:eastAsiaTheme="minorHAnsi"/>
          <w:noProof/>
        </w:rPr>
      </w:pPr>
      <w:bookmarkStart w:id="201" w:name="_Toc525929578"/>
      <w:bookmarkStart w:id="202" w:name="_Toc526526918"/>
      <w:bookmarkStart w:id="203" w:name="_Toc526528432"/>
      <w:bookmarkStart w:id="204" w:name="_Toc526531331"/>
      <w:bookmarkStart w:id="205" w:name="_Toc526793689"/>
      <w:bookmarkStart w:id="206" w:name="_Toc526804058"/>
      <w:r>
        <w:rPr>
          <w:noProof/>
        </w:rPr>
        <w:t xml:space="preserve">the same support measures are being provided under the SRSP 2018 to three different Member States in the area of health system reform (aiming to extend coverage and effectiveness of </w:t>
      </w:r>
      <w:r>
        <w:rPr>
          <w:noProof/>
        </w:rPr>
        <w:t>colorectal cancer screening programmes and contribute to a reduction in cancer rates in the population). They address cross-border issues with cross-border solutions and respond to Union-wide challenges.</w:t>
      </w:r>
    </w:p>
    <w:p w:rsidR="003C18FB" w:rsidRDefault="003C18FB">
      <w:pPr>
        <w:pStyle w:val="ListParagraph"/>
        <w:ind w:left="1440"/>
        <w:rPr>
          <w:rFonts w:eastAsiaTheme="minorHAnsi"/>
          <w:noProof/>
        </w:rPr>
      </w:pPr>
    </w:p>
    <w:p w:rsidR="003C18FB" w:rsidRDefault="00773466">
      <w:pPr>
        <w:pStyle w:val="ListParagraph"/>
        <w:numPr>
          <w:ilvl w:val="0"/>
          <w:numId w:val="15"/>
        </w:numPr>
        <w:tabs>
          <w:tab w:val="num" w:pos="0"/>
        </w:tabs>
        <w:spacing w:after="0"/>
        <w:ind w:hanging="357"/>
        <w:contextualSpacing w:val="0"/>
        <w:rPr>
          <w:rFonts w:eastAsiaTheme="minorHAnsi"/>
          <w:b/>
          <w:noProof/>
        </w:rPr>
      </w:pPr>
      <w:r>
        <w:rPr>
          <w:rFonts w:eastAsiaTheme="minorHAnsi"/>
          <w:b/>
          <w:noProof/>
        </w:rPr>
        <w:t xml:space="preserve">65% </w:t>
      </w:r>
      <w:r>
        <w:rPr>
          <w:rFonts w:eastAsiaTheme="minorHAnsi"/>
          <w:noProof/>
        </w:rPr>
        <w:t xml:space="preserve">are </w:t>
      </w:r>
      <w:r>
        <w:rPr>
          <w:noProof/>
          <w:szCs w:val="24"/>
        </w:rPr>
        <w:t>expected</w:t>
      </w:r>
      <w:r>
        <w:rPr>
          <w:rFonts w:eastAsiaTheme="minorHAnsi"/>
          <w:b/>
          <w:noProof/>
        </w:rPr>
        <w:t xml:space="preserve"> to complement other Union programm</w:t>
      </w:r>
      <w:r>
        <w:rPr>
          <w:rFonts w:eastAsiaTheme="minorHAnsi"/>
          <w:b/>
          <w:noProof/>
        </w:rPr>
        <w:t>es</w:t>
      </w:r>
      <w:r>
        <w:rPr>
          <w:rStyle w:val="FootnoteReference"/>
          <w:rFonts w:eastAsiaTheme="minorHAnsi"/>
          <w:b/>
          <w:noProof/>
        </w:rPr>
        <w:footnoteReference w:id="43"/>
      </w:r>
      <w:r>
        <w:rPr>
          <w:rFonts w:eastAsiaTheme="minorHAnsi"/>
          <w:noProof/>
        </w:rPr>
        <w:t>:</w:t>
      </w:r>
    </w:p>
    <w:p w:rsidR="003C18FB" w:rsidRDefault="00773466">
      <w:pPr>
        <w:pStyle w:val="ListParagraph"/>
        <w:numPr>
          <w:ilvl w:val="1"/>
          <w:numId w:val="15"/>
        </w:numPr>
        <w:tabs>
          <w:tab w:val="num" w:pos="0"/>
        </w:tabs>
        <w:spacing w:after="0"/>
        <w:ind w:hanging="357"/>
        <w:contextualSpacing w:val="0"/>
        <w:rPr>
          <w:noProof/>
        </w:rPr>
      </w:pPr>
      <w:r>
        <w:rPr>
          <w:noProof/>
          <w:szCs w:val="24"/>
        </w:rPr>
        <w:t>support</w:t>
      </w:r>
      <w:r>
        <w:rPr>
          <w:noProof/>
        </w:rPr>
        <w:t xml:space="preserve"> measures provided under the SRSP 2018 helped a managing authority identify bottlenecks in the implementation of the European Maritime and Fisheries Fund (EMFF), with the aim of improving its management capacity and performance.</w:t>
      </w:r>
    </w:p>
    <w:p w:rsidR="003C18FB" w:rsidRDefault="003C18FB">
      <w:pPr>
        <w:pStyle w:val="ListParagraph"/>
        <w:ind w:left="1440"/>
        <w:rPr>
          <w:noProof/>
        </w:rPr>
      </w:pPr>
    </w:p>
    <w:p w:rsidR="003C18FB" w:rsidRDefault="00773466">
      <w:pPr>
        <w:pStyle w:val="ListParagraph"/>
        <w:numPr>
          <w:ilvl w:val="0"/>
          <w:numId w:val="15"/>
        </w:numPr>
        <w:tabs>
          <w:tab w:val="num" w:pos="0"/>
        </w:tabs>
        <w:spacing w:after="0"/>
        <w:ind w:hanging="357"/>
        <w:contextualSpacing w:val="0"/>
        <w:rPr>
          <w:rFonts w:eastAsiaTheme="minorHAnsi"/>
          <w:b/>
          <w:noProof/>
        </w:rPr>
      </w:pPr>
      <w:r>
        <w:rPr>
          <w:noProof/>
        </w:rPr>
        <w:t>46%</w:t>
      </w:r>
      <w:r>
        <w:rPr>
          <w:b/>
          <w:noProof/>
        </w:rPr>
        <w:t xml:space="preserve"> are expect</w:t>
      </w:r>
      <w:r>
        <w:rPr>
          <w:b/>
          <w:noProof/>
        </w:rPr>
        <w:t xml:space="preserve">ed to </w:t>
      </w:r>
      <w:r>
        <w:rPr>
          <w:rFonts w:eastAsiaTheme="minorHAnsi"/>
          <w:noProof/>
        </w:rPr>
        <w:t>contribute</w:t>
      </w:r>
      <w:r>
        <w:rPr>
          <w:b/>
          <w:noProof/>
        </w:rPr>
        <w:t xml:space="preserve"> to the consistent and coherent implementation of </w:t>
      </w:r>
      <w:r>
        <w:rPr>
          <w:rFonts w:eastAsiaTheme="minorHAnsi"/>
          <w:b/>
          <w:noProof/>
        </w:rPr>
        <w:t>Union laws and policies</w:t>
      </w:r>
      <w:bookmarkEnd w:id="201"/>
      <w:bookmarkEnd w:id="202"/>
      <w:bookmarkEnd w:id="203"/>
      <w:bookmarkEnd w:id="204"/>
      <w:bookmarkEnd w:id="205"/>
      <w:bookmarkEnd w:id="206"/>
      <w:r>
        <w:rPr>
          <w:rFonts w:eastAsiaTheme="minorHAnsi"/>
          <w:b/>
          <w:noProof/>
        </w:rPr>
        <w:t>:</w:t>
      </w:r>
    </w:p>
    <w:p w:rsidR="003C18FB" w:rsidRDefault="00773466">
      <w:pPr>
        <w:pStyle w:val="ListParagraph"/>
        <w:numPr>
          <w:ilvl w:val="1"/>
          <w:numId w:val="15"/>
        </w:numPr>
        <w:tabs>
          <w:tab w:val="num" w:pos="0"/>
        </w:tabs>
        <w:spacing w:after="0"/>
        <w:ind w:hanging="357"/>
        <w:contextualSpacing w:val="0"/>
        <w:rPr>
          <w:rFonts w:eastAsiaTheme="minorHAnsi"/>
          <w:noProof/>
        </w:rPr>
      </w:pPr>
      <w:r>
        <w:rPr>
          <w:noProof/>
          <w:szCs w:val="24"/>
        </w:rPr>
        <w:t>support</w:t>
      </w:r>
      <w:r>
        <w:rPr>
          <w:noProof/>
        </w:rPr>
        <w:t xml:space="preserve"> measures provided under the SRSP 2018 are helping Member States develop capital markets, ensure compliance with the EU’s environmental laws, reform the elect</w:t>
      </w:r>
      <w:r>
        <w:rPr>
          <w:noProof/>
        </w:rPr>
        <w:t>ricity market and foster decarbonisation, or develop guidelines for ensuring compliance with the EU General Data Protection Regulation (GDPR).</w:t>
      </w:r>
    </w:p>
    <w:p w:rsidR="003C18FB" w:rsidRDefault="003C18FB">
      <w:pPr>
        <w:pStyle w:val="ListParagraph"/>
        <w:ind w:left="1440"/>
        <w:rPr>
          <w:rFonts w:eastAsiaTheme="minorHAnsi"/>
          <w:noProof/>
        </w:rPr>
      </w:pPr>
    </w:p>
    <w:p w:rsidR="003C18FB" w:rsidRDefault="00773466">
      <w:pPr>
        <w:pStyle w:val="ListParagraph"/>
        <w:numPr>
          <w:ilvl w:val="0"/>
          <w:numId w:val="15"/>
        </w:numPr>
        <w:tabs>
          <w:tab w:val="num" w:pos="0"/>
        </w:tabs>
        <w:spacing w:after="120"/>
        <w:ind w:hanging="357"/>
        <w:contextualSpacing w:val="0"/>
        <w:rPr>
          <w:rFonts w:eastAsiaTheme="minorHAnsi"/>
          <w:b/>
          <w:noProof/>
        </w:rPr>
      </w:pPr>
      <w:bookmarkStart w:id="207" w:name="_Toc526526919"/>
      <w:bookmarkStart w:id="208" w:name="_Toc526528433"/>
      <w:bookmarkStart w:id="209" w:name="_Toc526531332"/>
      <w:bookmarkStart w:id="210" w:name="_Toc526793690"/>
      <w:bookmarkStart w:id="211" w:name="_Toc526804059"/>
      <w:bookmarkStart w:id="212" w:name="_Toc525929579"/>
      <w:r>
        <w:rPr>
          <w:rFonts w:eastAsiaTheme="minorHAnsi"/>
          <w:b/>
          <w:noProof/>
        </w:rPr>
        <w:t xml:space="preserve">37% of </w:t>
      </w:r>
      <w:r>
        <w:rPr>
          <w:rFonts w:eastAsiaTheme="minorHAnsi"/>
          <w:noProof/>
        </w:rPr>
        <w:t>support</w:t>
      </w:r>
      <w:r>
        <w:rPr>
          <w:rFonts w:eastAsiaTheme="minorHAnsi"/>
          <w:b/>
          <w:noProof/>
        </w:rPr>
        <w:t xml:space="preserve"> measures are expected to contribute to the sharing of good practices</w:t>
      </w:r>
      <w:r>
        <w:rPr>
          <w:rFonts w:eastAsiaTheme="minorHAnsi"/>
          <w:noProof/>
        </w:rPr>
        <w:t>, also with a view to increas</w:t>
      </w:r>
      <w:r>
        <w:rPr>
          <w:rFonts w:eastAsiaTheme="minorHAnsi"/>
          <w:noProof/>
        </w:rPr>
        <w:t>ing the visibility of the programme</w:t>
      </w:r>
      <w:r>
        <w:rPr>
          <w:rFonts w:eastAsiaTheme="minorHAnsi"/>
          <w:b/>
          <w:noProof/>
        </w:rPr>
        <w:t>:</w:t>
      </w:r>
      <w:bookmarkEnd w:id="207"/>
      <w:bookmarkEnd w:id="208"/>
      <w:bookmarkEnd w:id="209"/>
      <w:bookmarkEnd w:id="210"/>
      <w:bookmarkEnd w:id="211"/>
    </w:p>
    <w:p w:rsidR="003C18FB" w:rsidRDefault="00773466">
      <w:pPr>
        <w:pStyle w:val="ListParagraph"/>
        <w:numPr>
          <w:ilvl w:val="1"/>
          <w:numId w:val="15"/>
        </w:numPr>
        <w:spacing w:after="0"/>
        <w:contextualSpacing w:val="0"/>
        <w:rPr>
          <w:rFonts w:eastAsiaTheme="minorHAnsi"/>
          <w:b/>
          <w:noProof/>
        </w:rPr>
      </w:pPr>
      <w:bookmarkStart w:id="213" w:name="_Toc526526920"/>
      <w:bookmarkStart w:id="214" w:name="_Toc526528434"/>
      <w:bookmarkStart w:id="215" w:name="_Toc526531333"/>
      <w:bookmarkStart w:id="216" w:name="_Toc526793691"/>
      <w:bookmarkStart w:id="217" w:name="_Toc526804060"/>
      <w:bookmarkStart w:id="218" w:name="_Toc525929580"/>
      <w:bookmarkStart w:id="219" w:name="_Toc526526921"/>
      <w:bookmarkStart w:id="220" w:name="_Toc526528435"/>
      <w:bookmarkStart w:id="221" w:name="_Toc526531334"/>
      <w:bookmarkStart w:id="222" w:name="_Toc526793692"/>
      <w:bookmarkStart w:id="223" w:name="_Toc526804061"/>
      <w:bookmarkEnd w:id="212"/>
      <w:r>
        <w:rPr>
          <w:rFonts w:eastAsiaTheme="minorHAnsi"/>
          <w:b/>
          <w:noProof/>
        </w:rPr>
        <w:t xml:space="preserve">support </w:t>
      </w:r>
      <w:r>
        <w:rPr>
          <w:noProof/>
          <w:szCs w:val="24"/>
        </w:rPr>
        <w:t>measures</w:t>
      </w:r>
      <w:r>
        <w:rPr>
          <w:rFonts w:eastAsiaTheme="minorHAnsi"/>
          <w:b/>
          <w:noProof/>
        </w:rPr>
        <w:t xml:space="preserve"> provided under the SRSP </w:t>
      </w:r>
      <w:r>
        <w:rPr>
          <w:rFonts w:eastAsiaTheme="minorHAnsi"/>
          <w:noProof/>
        </w:rPr>
        <w:t>involved coaching visits from officials from other Member States which have successfully implemented spending reviews in the same policy areas as the requesting Member State.</w:t>
      </w:r>
    </w:p>
    <w:bookmarkEnd w:id="213"/>
    <w:bookmarkEnd w:id="214"/>
    <w:bookmarkEnd w:id="215"/>
    <w:bookmarkEnd w:id="216"/>
    <w:bookmarkEnd w:id="217"/>
    <w:p w:rsidR="003C18FB" w:rsidRDefault="003C18FB">
      <w:pPr>
        <w:pStyle w:val="ListParagraph"/>
        <w:ind w:left="1440"/>
        <w:rPr>
          <w:rFonts w:eastAsiaTheme="minorHAnsi"/>
          <w:b/>
          <w:noProof/>
        </w:rPr>
      </w:pPr>
    </w:p>
    <w:p w:rsidR="003C18FB" w:rsidRDefault="00773466">
      <w:pPr>
        <w:pStyle w:val="ListParagraph"/>
        <w:numPr>
          <w:ilvl w:val="0"/>
          <w:numId w:val="15"/>
        </w:numPr>
        <w:tabs>
          <w:tab w:val="num" w:pos="0"/>
        </w:tabs>
        <w:spacing w:after="0"/>
        <w:ind w:hanging="357"/>
        <w:contextualSpacing w:val="0"/>
        <w:rPr>
          <w:noProof/>
        </w:rPr>
      </w:pPr>
      <w:r>
        <w:rPr>
          <w:rFonts w:eastAsiaTheme="minorHAnsi"/>
          <w:b/>
          <w:noProof/>
        </w:rPr>
        <w:t xml:space="preserve">35% are </w:t>
      </w:r>
      <w:r>
        <w:rPr>
          <w:rFonts w:eastAsiaTheme="minorHAnsi"/>
          <w:noProof/>
        </w:rPr>
        <w:t>expected</w:t>
      </w:r>
      <w:r>
        <w:rPr>
          <w:rFonts w:eastAsiaTheme="minorHAnsi"/>
          <w:b/>
          <w:noProof/>
        </w:rPr>
        <w:t xml:space="preserve"> to promote mutual trust</w:t>
      </w:r>
      <w:r>
        <w:rPr>
          <w:rFonts w:eastAsiaTheme="minorHAnsi"/>
          <w:noProof/>
        </w:rPr>
        <w:t xml:space="preserve"> between the beneficiary Member State and the Comm</w:t>
      </w:r>
      <w:r>
        <w:rPr>
          <w:noProof/>
        </w:rPr>
        <w:t>ission and between Member States</w:t>
      </w:r>
      <w:bookmarkEnd w:id="218"/>
      <w:bookmarkEnd w:id="219"/>
      <w:bookmarkEnd w:id="220"/>
      <w:bookmarkEnd w:id="221"/>
      <w:bookmarkEnd w:id="222"/>
      <w:bookmarkEnd w:id="223"/>
      <w:r>
        <w:rPr>
          <w:b/>
          <w:noProof/>
        </w:rPr>
        <w:t>:</w:t>
      </w:r>
    </w:p>
    <w:p w:rsidR="003C18FB" w:rsidRDefault="00773466">
      <w:pPr>
        <w:pStyle w:val="ListParagraph"/>
        <w:numPr>
          <w:ilvl w:val="1"/>
          <w:numId w:val="15"/>
        </w:numPr>
        <w:spacing w:after="120"/>
        <w:contextualSpacing w:val="0"/>
        <w:rPr>
          <w:rFonts w:eastAsiaTheme="minorHAnsi"/>
          <w:noProof/>
        </w:rPr>
      </w:pPr>
      <w:r>
        <w:rPr>
          <w:rFonts w:eastAsiaTheme="minorHAnsi"/>
          <w:noProof/>
        </w:rPr>
        <w:t>support measures enabling the exchange of experiences and lessons learned between two national administrations in the field of educa</w:t>
      </w:r>
      <w:r>
        <w:rPr>
          <w:rFonts w:eastAsiaTheme="minorHAnsi"/>
          <w:noProof/>
        </w:rPr>
        <w:t xml:space="preserve">tion. The objective was to help better understand the challenges of comprehensive curricula reform fostering key competencies.  </w:t>
      </w:r>
    </w:p>
    <w:p w:rsidR="003C18FB" w:rsidRDefault="00773466">
      <w:pPr>
        <w:tabs>
          <w:tab w:val="num" w:pos="0"/>
        </w:tabs>
        <w:spacing w:line="240" w:lineRule="auto"/>
        <w:jc w:val="both"/>
        <w:rPr>
          <w:noProof/>
          <w:szCs w:val="24"/>
        </w:rPr>
      </w:pPr>
      <w:r>
        <w:rPr>
          <w:rFonts w:ascii="Times New Roman" w:hAnsi="Times New Roman" w:cs="Times New Roman"/>
          <w:noProof/>
          <w:sz w:val="24"/>
          <w:szCs w:val="24"/>
        </w:rPr>
        <w:t>For the funds transferred to the SRSP voluntarily by Greece and Bulgaria under Article 11 of the SRSP Regulation, 39% of the su</w:t>
      </w:r>
      <w:r>
        <w:rPr>
          <w:rFonts w:ascii="Times New Roman" w:hAnsi="Times New Roman" w:cs="Times New Roman"/>
          <w:noProof/>
          <w:sz w:val="24"/>
          <w:szCs w:val="24"/>
        </w:rPr>
        <w:t>pport measures are expected to have an impact on cross-border or Union-wide challenges, 39% are expected to contribute to the consistent and coherent implementation of Union laws and policies, 36% are expected to contribute to the sharing of good practices</w:t>
      </w:r>
      <w:r>
        <w:rPr>
          <w:rFonts w:ascii="Times New Roman" w:hAnsi="Times New Roman" w:cs="Times New Roman"/>
          <w:noProof/>
          <w:sz w:val="24"/>
          <w:szCs w:val="24"/>
        </w:rPr>
        <w:t xml:space="preserve"> and 15% are expected to promote mutual trust between the beneficiary Member State and the Commission and between the Member States.</w:t>
      </w:r>
    </w:p>
    <w:p w:rsidR="003C18FB" w:rsidRDefault="003C18FB">
      <w:pPr>
        <w:tabs>
          <w:tab w:val="num" w:pos="0"/>
        </w:tabs>
        <w:rPr>
          <w:noProof/>
        </w:rPr>
      </w:pPr>
    </w:p>
    <w:p w:rsidR="003C18FB" w:rsidRDefault="00773466">
      <w:pPr>
        <w:rPr>
          <w:rFonts w:ascii="Times New Roman" w:eastAsia="Times New Roman" w:hAnsi="Times New Roman" w:cs="Times New Roman"/>
          <w:b/>
          <w:smallCaps/>
          <w:noProof/>
          <w:sz w:val="28"/>
          <w:szCs w:val="20"/>
        </w:rPr>
      </w:pPr>
      <w:bookmarkStart w:id="224" w:name="_Toc526528426"/>
      <w:r>
        <w:rPr>
          <w:noProof/>
        </w:rPr>
        <w:br w:type="page"/>
      </w:r>
    </w:p>
    <w:p w:rsidR="003C18FB" w:rsidRDefault="00773466">
      <w:pPr>
        <w:pStyle w:val="Heading1"/>
        <w:numPr>
          <w:ilvl w:val="0"/>
          <w:numId w:val="3"/>
        </w:numPr>
        <w:tabs>
          <w:tab w:val="clear" w:pos="480"/>
          <w:tab w:val="num" w:pos="0"/>
        </w:tabs>
        <w:spacing w:after="480"/>
        <w:ind w:left="0" w:firstLine="0"/>
        <w:jc w:val="left"/>
        <w:rPr>
          <w:noProof/>
        </w:rPr>
      </w:pPr>
      <w:bookmarkStart w:id="225" w:name="_Toc22031563"/>
      <w:r>
        <w:rPr>
          <w:noProof/>
        </w:rPr>
        <w:t>delivered support measures</w:t>
      </w:r>
      <w:bookmarkEnd w:id="224"/>
      <w:r>
        <w:rPr>
          <w:noProof/>
        </w:rPr>
        <w:t xml:space="preserve"> under the programme</w:t>
      </w:r>
      <w:bookmarkEnd w:id="225"/>
    </w:p>
    <w:p w:rsidR="003C18FB" w:rsidRDefault="00773466">
      <w:pPr>
        <w:pStyle w:val="ListParagraph"/>
        <w:tabs>
          <w:tab w:val="num" w:pos="0"/>
        </w:tabs>
        <w:spacing w:after="200"/>
        <w:ind w:left="0"/>
        <w:contextualSpacing w:val="0"/>
        <w:rPr>
          <w:rFonts w:eastAsiaTheme="minorHAnsi"/>
          <w:noProof/>
          <w:szCs w:val="24"/>
        </w:rPr>
      </w:pPr>
      <w:r>
        <w:rPr>
          <w:noProof/>
          <w:szCs w:val="24"/>
        </w:rPr>
        <w:t>The second year of implementation of the SRSP is already showing concrete</w:t>
      </w:r>
      <w:r>
        <w:rPr>
          <w:noProof/>
          <w:szCs w:val="24"/>
        </w:rPr>
        <w:t xml:space="preserve"> results. By 30 November 2019,  123 of the projects implemented under both the 2017 and 2018 SRSP rounds have already delivered concrete results</w:t>
      </w:r>
      <w:r>
        <w:rPr>
          <w:rStyle w:val="FootnoteReference"/>
          <w:noProof/>
          <w:szCs w:val="24"/>
        </w:rPr>
        <w:footnoteReference w:id="44"/>
      </w:r>
      <w:r>
        <w:rPr>
          <w:noProof/>
          <w:szCs w:val="24"/>
        </w:rPr>
        <w:t>.</w:t>
      </w:r>
    </w:p>
    <w:p w:rsidR="003C18FB" w:rsidRDefault="00773466">
      <w:pPr>
        <w:pStyle w:val="ListParagraph"/>
        <w:keepNext/>
        <w:tabs>
          <w:tab w:val="num" w:pos="0"/>
        </w:tabs>
        <w:spacing w:after="200"/>
        <w:ind w:left="0"/>
        <w:contextualSpacing w:val="0"/>
        <w:rPr>
          <w:noProof/>
        </w:rPr>
      </w:pPr>
      <w:r>
        <w:rPr>
          <w:noProof/>
          <w:lang w:eastAsia="en-GB"/>
        </w:rPr>
        <w:t xml:space="preserve"> </w:t>
      </w:r>
      <w:r>
        <w:rPr>
          <w:noProof/>
          <w:lang w:eastAsia="en-GB"/>
        </w:rPr>
        <w:drawing>
          <wp:inline distT="0" distB="0" distL="0" distR="0">
            <wp:extent cx="5759450" cy="2252708"/>
            <wp:effectExtent l="0" t="0" r="1270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C18FB" w:rsidRDefault="00773466">
      <w:pPr>
        <w:pStyle w:val="Caption"/>
        <w:tabs>
          <w:tab w:val="num" w:pos="0"/>
        </w:tabs>
        <w:jc w:val="both"/>
        <w:rPr>
          <w:noProof/>
        </w:rPr>
      </w:pPr>
      <w:r>
        <w:rPr>
          <w:rFonts w:ascii="Times New Roman" w:hAnsi="Times New Roman" w:cs="Times New Roman"/>
          <w:noProof/>
          <w:color w:val="auto"/>
        </w:rPr>
        <w:t xml:space="preserve">Figure </w:t>
      </w:r>
      <w:r>
        <w:rPr>
          <w:rFonts w:ascii="Times New Roman" w:hAnsi="Times New Roman" w:cs="Times New Roman"/>
          <w:noProof/>
          <w:color w:val="auto"/>
        </w:rPr>
        <w:fldChar w:fldCharType="begin"/>
      </w:r>
      <w:r>
        <w:rPr>
          <w:rFonts w:ascii="Times New Roman" w:hAnsi="Times New Roman" w:cs="Times New Roman"/>
          <w:noProof/>
          <w:color w:val="auto"/>
        </w:rPr>
        <w:instrText xml:space="preserve"> SEQ Figure \* ARABIC </w:instrText>
      </w:r>
      <w:r>
        <w:rPr>
          <w:rFonts w:ascii="Times New Roman" w:hAnsi="Times New Roman" w:cs="Times New Roman"/>
          <w:noProof/>
          <w:color w:val="auto"/>
        </w:rPr>
        <w:fldChar w:fldCharType="separate"/>
      </w:r>
      <w:r>
        <w:rPr>
          <w:rFonts w:ascii="Times New Roman" w:hAnsi="Times New Roman" w:cs="Times New Roman"/>
          <w:noProof/>
          <w:color w:val="auto"/>
        </w:rPr>
        <w:t>18</w:t>
      </w:r>
      <w:r>
        <w:rPr>
          <w:rFonts w:ascii="Times New Roman" w:hAnsi="Times New Roman" w:cs="Times New Roman"/>
          <w:noProof/>
          <w:color w:val="auto"/>
        </w:rPr>
        <w:fldChar w:fldCharType="end"/>
      </w:r>
      <w:r>
        <w:rPr>
          <w:rFonts w:ascii="Times New Roman" w:hAnsi="Times New Roman" w:cs="Times New Roman"/>
          <w:noProof/>
          <w:color w:val="auto"/>
        </w:rPr>
        <w:t xml:space="preserve">: Number of completed projects under the SRSP 2017 and 2018 rounds, per </w:t>
      </w:r>
      <w:r>
        <w:rPr>
          <w:rFonts w:ascii="Times New Roman" w:hAnsi="Times New Roman" w:cs="Times New Roman"/>
          <w:noProof/>
          <w:color w:val="auto"/>
        </w:rPr>
        <w:t>Member State</w:t>
      </w:r>
    </w:p>
    <w:p w:rsidR="003C18FB" w:rsidRDefault="00773466">
      <w:pPr>
        <w:pStyle w:val="ListParagraph"/>
        <w:tabs>
          <w:tab w:val="num" w:pos="0"/>
        </w:tabs>
        <w:spacing w:after="200"/>
        <w:ind w:left="0"/>
        <w:contextualSpacing w:val="0"/>
        <w:rPr>
          <w:rFonts w:eastAsiaTheme="minorHAnsi"/>
          <w:noProof/>
          <w:szCs w:val="24"/>
        </w:rPr>
      </w:pPr>
      <w:r>
        <w:rPr>
          <w:rFonts w:eastAsiaTheme="minorHAnsi"/>
          <w:noProof/>
          <w:szCs w:val="24"/>
        </w:rPr>
        <w:t xml:space="preserve">While the outputs of the individual projects are known (a draft law, </w:t>
      </w:r>
      <w:r>
        <w:rPr>
          <w:noProof/>
          <w:szCs w:val="24"/>
          <w:lang w:eastAsia="en-GB"/>
        </w:rPr>
        <w:t xml:space="preserve">strategic and legal advice, studies, training, workshops, recommendations, actions, plans, </w:t>
      </w:r>
      <w:r>
        <w:rPr>
          <w:rFonts w:eastAsiaTheme="minorHAnsi"/>
          <w:noProof/>
          <w:szCs w:val="24"/>
        </w:rPr>
        <w:t>etc.), the report does not systematically evaluate the extent to which the Member S</w:t>
      </w:r>
      <w:r>
        <w:rPr>
          <w:rFonts w:eastAsiaTheme="minorHAnsi"/>
          <w:noProof/>
          <w:szCs w:val="24"/>
        </w:rPr>
        <w:t>tate authorities have used the results of the support measures to design or implement reforms (the outcome).</w:t>
      </w:r>
    </w:p>
    <w:p w:rsidR="003C18FB" w:rsidRDefault="00773466">
      <w:pPr>
        <w:tabs>
          <w:tab w:val="num" w:pos="0"/>
        </w:tabs>
        <w:autoSpaceDE w:val="0"/>
        <w:autoSpaceDN w:val="0"/>
        <w:adjustRightInd w:val="0"/>
        <w:spacing w:line="240" w:lineRule="auto"/>
        <w:jc w:val="both"/>
        <w:rPr>
          <w:rFonts w:ascii="Times New Roman" w:hAnsi="Times New Roman"/>
          <w:noProof/>
          <w:sz w:val="24"/>
        </w:rPr>
      </w:pPr>
      <w:r>
        <w:rPr>
          <w:rFonts w:ascii="Times New Roman" w:hAnsi="Times New Roman"/>
          <w:noProof/>
          <w:sz w:val="24"/>
        </w:rPr>
        <w:t>The SRSS established a mechanism to evaluate the outcomes in order to assess the extent to which the support provided to Member States met its goal</w:t>
      </w:r>
      <w:r>
        <w:rPr>
          <w:rFonts w:ascii="Times New Roman" w:hAnsi="Times New Roman"/>
          <w:noProof/>
          <w:sz w:val="24"/>
        </w:rPr>
        <w:t xml:space="preserve">s and to identify factors which influenced the successful delivery of the support measures. </w:t>
      </w:r>
    </w:p>
    <w:p w:rsidR="003C18FB" w:rsidRDefault="00773466">
      <w:pPr>
        <w:tabs>
          <w:tab w:val="num" w:pos="0"/>
        </w:tabs>
        <w:autoSpaceDE w:val="0"/>
        <w:autoSpaceDN w:val="0"/>
        <w:adjustRightInd w:val="0"/>
        <w:spacing w:line="240" w:lineRule="auto"/>
        <w:jc w:val="both"/>
        <w:rPr>
          <w:rFonts w:ascii="Times New Roman" w:hAnsi="Times New Roman"/>
          <w:noProof/>
          <w:sz w:val="24"/>
        </w:rPr>
      </w:pPr>
      <w:r>
        <w:rPr>
          <w:rFonts w:ascii="Times New Roman" w:hAnsi="Times New Roman"/>
          <w:noProof/>
          <w:sz w:val="24"/>
        </w:rPr>
        <w:t xml:space="preserve">Under this mechanism, authorities benefitting from the programme provide feedback on the support provided (the outputs) and information concerning follow-up actions taken several months after delivery of the support measures. </w:t>
      </w:r>
    </w:p>
    <w:p w:rsidR="003C18FB" w:rsidRDefault="00773466">
      <w:pPr>
        <w:pStyle w:val="ListParagraph"/>
        <w:tabs>
          <w:tab w:val="num" w:pos="0"/>
        </w:tabs>
        <w:spacing w:after="200"/>
        <w:ind w:left="0"/>
        <w:contextualSpacing w:val="0"/>
        <w:rPr>
          <w:rFonts w:eastAsiaTheme="minorHAnsi"/>
          <w:noProof/>
          <w:szCs w:val="24"/>
        </w:rPr>
      </w:pPr>
      <w:r>
        <w:rPr>
          <w:rFonts w:eastAsiaTheme="minorHAnsi"/>
          <w:noProof/>
          <w:szCs w:val="24"/>
        </w:rPr>
        <w:t>Some illustrative examples of</w:t>
      </w:r>
      <w:r>
        <w:rPr>
          <w:rFonts w:eastAsiaTheme="minorHAnsi"/>
          <w:noProof/>
          <w:szCs w:val="24"/>
        </w:rPr>
        <w:t xml:space="preserve"> actual results of the support delivered, and the use of these measures by Member States where available, are provided below.</w:t>
      </w:r>
    </w:p>
    <w:p w:rsidR="003C18FB" w:rsidRDefault="003C18FB">
      <w:pPr>
        <w:tabs>
          <w:tab w:val="num" w:pos="0"/>
        </w:tabs>
        <w:autoSpaceDE w:val="0"/>
        <w:autoSpaceDN w:val="0"/>
        <w:adjustRightInd w:val="0"/>
        <w:spacing w:after="240" w:line="240" w:lineRule="auto"/>
        <w:jc w:val="both"/>
        <w:rPr>
          <w:rFonts w:ascii="Times New Roman" w:eastAsia="Times New Roman" w:hAnsi="Times New Roman" w:cs="Times New Roman"/>
          <w:b/>
          <w:noProof/>
          <w:color w:val="000000"/>
          <w:sz w:val="24"/>
          <w:szCs w:val="24"/>
          <w:lang w:eastAsia="fr-BE"/>
        </w:rPr>
      </w:pPr>
    </w:p>
    <w:p w:rsidR="003C18FB" w:rsidRDefault="00773466">
      <w:pPr>
        <w:tabs>
          <w:tab w:val="num" w:pos="0"/>
        </w:tabs>
        <w:autoSpaceDE w:val="0"/>
        <w:autoSpaceDN w:val="0"/>
        <w:adjustRightInd w:val="0"/>
        <w:spacing w:after="240" w:line="240" w:lineRule="auto"/>
        <w:jc w:val="both"/>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Contribution to institutional and administrative reforms</w:t>
      </w:r>
    </w:p>
    <w:p w:rsidR="003C18FB" w:rsidRDefault="007734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76875" cy="7639050"/>
            <wp:effectExtent l="0" t="0" r="66675" b="571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3C18FB" w:rsidRDefault="003C18FB">
      <w:pPr>
        <w:rPr>
          <w:rFonts w:ascii="Times New Roman" w:eastAsia="Times New Roman" w:hAnsi="Times New Roman" w:cs="Times New Roman"/>
          <w:b/>
          <w:noProof/>
          <w:color w:val="000000"/>
          <w:sz w:val="24"/>
          <w:szCs w:val="24"/>
          <w:lang w:eastAsia="fr-BE"/>
        </w:rPr>
      </w:pPr>
    </w:p>
    <w:p w:rsidR="003C18FB" w:rsidRDefault="00773466">
      <w:pPr>
        <w:rPr>
          <w:noProof/>
        </w:rPr>
      </w:pPr>
      <w:r>
        <w:rPr>
          <w:rFonts w:ascii="Times New Roman" w:eastAsia="Times New Roman" w:hAnsi="Times New Roman" w:cs="Times New Roman"/>
          <w:b/>
          <w:noProof/>
          <w:color w:val="000000"/>
          <w:sz w:val="24"/>
          <w:szCs w:val="24"/>
          <w:lang w:eastAsia="fr-BE"/>
        </w:rPr>
        <w:t>Contribution to economic-related and social-related reforms</w:t>
      </w:r>
    </w:p>
    <w:p w:rsidR="003C18FB" w:rsidRDefault="007734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76875" cy="7718961"/>
            <wp:effectExtent l="0" t="38100" r="85725"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3C18FB" w:rsidRDefault="00773466">
      <w:pPr>
        <w:rPr>
          <w:noProof/>
        </w:rPr>
      </w:pPr>
      <w:r>
        <w:rPr>
          <w:rFonts w:ascii="Times New Roman" w:hAnsi="Times New Roman" w:cs="Times New Roman"/>
          <w:noProof/>
          <w:sz w:val="24"/>
          <w:szCs w:val="24"/>
          <w:lang w:eastAsia="en-GB"/>
        </w:rPr>
        <w:drawing>
          <wp:inline distT="0" distB="0" distL="0" distR="0">
            <wp:extent cx="5472430" cy="7759576"/>
            <wp:effectExtent l="0" t="0" r="71120" b="0"/>
            <wp:docPr id="326" name="Diagram 3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3C18FB" w:rsidRDefault="00773466">
      <w:pPr>
        <w:rPr>
          <w:noProof/>
        </w:rPr>
      </w:pPr>
      <w:r>
        <w:rPr>
          <w:noProof/>
        </w:rPr>
        <w:br w:type="page"/>
      </w:r>
    </w:p>
    <w:p w:rsidR="003C18FB" w:rsidRDefault="00773466">
      <w:pPr>
        <w:rPr>
          <w:b/>
          <w:smallCaps/>
          <w:noProof/>
          <w:sz w:val="28"/>
        </w:rPr>
      </w:pPr>
      <w:r>
        <w:rPr>
          <w:rFonts w:ascii="Times New Roman" w:hAnsi="Times New Roman" w:cs="Times New Roman"/>
          <w:noProof/>
          <w:sz w:val="24"/>
          <w:szCs w:val="24"/>
          <w:lang w:eastAsia="en-GB"/>
        </w:rPr>
        <w:drawing>
          <wp:inline distT="0" distB="0" distL="0" distR="0">
            <wp:extent cx="5472430" cy="7843732"/>
            <wp:effectExtent l="0" t="0" r="52070" b="0"/>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Pr>
          <w:noProof/>
        </w:rPr>
        <w:br w:type="page"/>
      </w:r>
    </w:p>
    <w:p w:rsidR="003C18FB" w:rsidRDefault="00773466">
      <w:pPr>
        <w:pStyle w:val="Heading1"/>
        <w:numPr>
          <w:ilvl w:val="0"/>
          <w:numId w:val="3"/>
        </w:numPr>
        <w:spacing w:after="480"/>
        <w:jc w:val="left"/>
        <w:rPr>
          <w:noProof/>
        </w:rPr>
      </w:pPr>
      <w:bookmarkStart w:id="226" w:name="_Toc526528436"/>
      <w:bookmarkStart w:id="227" w:name="_Toc22031564"/>
      <w:r>
        <w:rPr>
          <w:noProof/>
        </w:rPr>
        <w:t>Conclusion</w:t>
      </w:r>
      <w:bookmarkEnd w:id="226"/>
      <w:bookmarkEnd w:id="227"/>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Structural reforms are crucial to modernising the economies of the Member States and to encourage investment, create jobs and raise living standards. The overall successful implementation of reforms requires </w:t>
      </w:r>
      <w:r>
        <w:rPr>
          <w:rFonts w:ascii="Times New Roman" w:hAnsi="Times New Roman" w:cs="Times New Roman"/>
          <w:b/>
          <w:noProof/>
          <w:sz w:val="24"/>
          <w:szCs w:val="24"/>
        </w:rPr>
        <w:t>good administrative capacity</w:t>
      </w:r>
      <w:r>
        <w:rPr>
          <w:rFonts w:ascii="Times New Roman" w:hAnsi="Times New Roman" w:cs="Times New Roman"/>
          <w:noProof/>
          <w:sz w:val="24"/>
          <w:szCs w:val="24"/>
        </w:rPr>
        <w:t xml:space="preserve"> and </w:t>
      </w:r>
      <w:r>
        <w:rPr>
          <w:rFonts w:ascii="Times New Roman" w:hAnsi="Times New Roman" w:cs="Times New Roman"/>
          <w:b/>
          <w:noProof/>
          <w:sz w:val="24"/>
          <w:szCs w:val="24"/>
        </w:rPr>
        <w:t>a gr</w:t>
      </w:r>
      <w:r>
        <w:rPr>
          <w:rFonts w:ascii="Times New Roman" w:hAnsi="Times New Roman" w:cs="Times New Roman"/>
          <w:b/>
          <w:noProof/>
          <w:sz w:val="24"/>
          <w:szCs w:val="24"/>
        </w:rPr>
        <w:t>eat sense of ownership of the reform process by the Member State concerned</w:t>
      </w:r>
      <w:r>
        <w:rPr>
          <w:rFonts w:ascii="Times New Roman" w:hAnsi="Times New Roman" w:cs="Times New Roman"/>
          <w:noProof/>
          <w:sz w:val="24"/>
          <w:szCs w:val="24"/>
        </w:rPr>
        <w:t>. The SRSP aims to help Member State authorities in their efforts to design and implement growth-enhancing reforms.</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year of the implementation of the SRSP showed an </w:t>
      </w:r>
      <w:r>
        <w:rPr>
          <w:rFonts w:ascii="Times New Roman" w:hAnsi="Times New Roman" w:cs="Times New Roman"/>
          <w:b/>
          <w:noProof/>
          <w:sz w:val="24"/>
          <w:szCs w:val="24"/>
        </w:rPr>
        <w:t>increa</w:t>
      </w:r>
      <w:r>
        <w:rPr>
          <w:rFonts w:ascii="Times New Roman" w:hAnsi="Times New Roman" w:cs="Times New Roman"/>
          <w:b/>
          <w:noProof/>
          <w:sz w:val="24"/>
          <w:szCs w:val="24"/>
        </w:rPr>
        <w:t xml:space="preserve">se in demand for the programme from Member States </w:t>
      </w:r>
      <w:r>
        <w:rPr>
          <w:rFonts w:ascii="Times New Roman" w:hAnsi="Times New Roman" w:cs="Times New Roman"/>
          <w:noProof/>
          <w:sz w:val="24"/>
          <w:szCs w:val="24"/>
        </w:rPr>
        <w:t xml:space="preserve"> – </w:t>
      </w:r>
      <w:r>
        <w:rPr>
          <w:rFonts w:ascii="Times New Roman" w:hAnsi="Times New Roman" w:cs="Times New Roman"/>
          <w:b/>
          <w:noProof/>
          <w:sz w:val="24"/>
          <w:szCs w:val="24"/>
        </w:rPr>
        <w:t>24 Member States</w:t>
      </w:r>
      <w:r>
        <w:rPr>
          <w:rFonts w:ascii="Times New Roman" w:hAnsi="Times New Roman" w:cs="Times New Roman"/>
          <w:noProof/>
          <w:sz w:val="24"/>
          <w:szCs w:val="24"/>
        </w:rPr>
        <w:t xml:space="preserve"> submitted </w:t>
      </w:r>
      <w:r>
        <w:rPr>
          <w:rFonts w:ascii="Times New Roman" w:hAnsi="Times New Roman" w:cs="Times New Roman"/>
          <w:b/>
          <w:noProof/>
          <w:sz w:val="24"/>
          <w:szCs w:val="24"/>
        </w:rPr>
        <w:t>444 requests</w:t>
      </w:r>
      <w:r>
        <w:rPr>
          <w:rFonts w:ascii="Times New Roman" w:hAnsi="Times New Roman" w:cs="Times New Roman"/>
          <w:noProof/>
          <w:sz w:val="24"/>
          <w:szCs w:val="24"/>
        </w:rPr>
        <w:t xml:space="preserve"> for support (the SRSP 2017 round saw 271 requests for support from 16 Member States). This is the first indication that the support provided by the Commission is r</w:t>
      </w:r>
      <w:r>
        <w:rPr>
          <w:rFonts w:ascii="Times New Roman" w:hAnsi="Times New Roman" w:cs="Times New Roman"/>
          <w:noProof/>
          <w:sz w:val="24"/>
          <w:szCs w:val="24"/>
        </w:rPr>
        <w:t xml:space="preserve">elevant and needed. </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report has also described how the Commission has </w:t>
      </w:r>
      <w:r>
        <w:rPr>
          <w:rFonts w:ascii="Times New Roman" w:hAnsi="Times New Roman" w:cs="Times New Roman"/>
          <w:b/>
          <w:noProof/>
          <w:sz w:val="24"/>
          <w:szCs w:val="24"/>
        </w:rPr>
        <w:t xml:space="preserve">implemented the measures funded under the 2018 SRSP </w:t>
      </w:r>
      <w:r>
        <w:rPr>
          <w:rFonts w:ascii="Times New Roman" w:hAnsi="Times New Roman" w:cs="Times New Roman"/>
          <w:noProof/>
          <w:sz w:val="24"/>
          <w:szCs w:val="24"/>
        </w:rPr>
        <w:t xml:space="preserve">and how it is </w:t>
      </w:r>
      <w:r>
        <w:rPr>
          <w:rFonts w:ascii="Times New Roman" w:hAnsi="Times New Roman" w:cs="Times New Roman"/>
          <w:b/>
          <w:noProof/>
          <w:sz w:val="24"/>
          <w:szCs w:val="24"/>
        </w:rPr>
        <w:t>monitoring actions</w:t>
      </w:r>
      <w:r>
        <w:rPr>
          <w:rFonts w:ascii="Times New Roman" w:hAnsi="Times New Roman" w:cs="Times New Roman"/>
          <w:noProof/>
          <w:sz w:val="24"/>
          <w:szCs w:val="24"/>
        </w:rPr>
        <w:t xml:space="preserve"> finalised under both the SRSP 2017 and 2018 rounds.  </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first two years of implementa</w:t>
      </w:r>
      <w:r>
        <w:rPr>
          <w:rFonts w:ascii="Times New Roman" w:hAnsi="Times New Roman" w:cs="Times New Roman"/>
          <w:noProof/>
          <w:sz w:val="24"/>
          <w:szCs w:val="24"/>
        </w:rPr>
        <w:t xml:space="preserve">tion of the SRSP have shown that the programme can </w:t>
      </w:r>
      <w:r>
        <w:rPr>
          <w:rFonts w:ascii="Times New Roman" w:hAnsi="Times New Roman" w:cs="Times New Roman"/>
          <w:b/>
          <w:noProof/>
          <w:sz w:val="24"/>
          <w:szCs w:val="24"/>
        </w:rPr>
        <w:t>provide the necessary assistance to the national authorities to identify and overcome certain structural weaknesses and bottlenecks in the design or implementation of reforms</w:t>
      </w:r>
      <w:r>
        <w:rPr>
          <w:rFonts w:ascii="Times New Roman" w:hAnsi="Times New Roman" w:cs="Times New Roman"/>
          <w:noProof/>
          <w:sz w:val="24"/>
          <w:szCs w:val="24"/>
        </w:rPr>
        <w:t>. Likewise, it has so far prove</w:t>
      </w:r>
      <w:r>
        <w:rPr>
          <w:rFonts w:ascii="Times New Roman" w:hAnsi="Times New Roman" w:cs="Times New Roman"/>
          <w:noProof/>
          <w:sz w:val="24"/>
          <w:szCs w:val="24"/>
        </w:rPr>
        <w:t>n to be a significant tool in improving the Member States’ capacity to define more efficient processes and methodologies and/or progress towards more effective human resource management. A number of concrete examples of results and follow-up actions by the</w:t>
      </w:r>
      <w:r>
        <w:rPr>
          <w:rFonts w:ascii="Times New Roman" w:hAnsi="Times New Roman" w:cs="Times New Roman"/>
          <w:noProof/>
          <w:sz w:val="24"/>
          <w:szCs w:val="24"/>
        </w:rPr>
        <w:t xml:space="preserve"> governments demonstrate this.</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increase in demand and the first positive results are some of the reasons why in November 2018, the European Parliament and the Council decided to step up the support provided and increase the SRSP budget by €80 million f</w:t>
      </w:r>
      <w:r>
        <w:rPr>
          <w:rFonts w:ascii="Times New Roman" w:hAnsi="Times New Roman" w:cs="Times New Roman"/>
          <w:noProof/>
          <w:sz w:val="24"/>
          <w:szCs w:val="24"/>
        </w:rPr>
        <w:t>or 2019-2020.</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results of the support actions carried out under the SRSP contribute to the reform process however, </w:t>
      </w:r>
      <w:r>
        <w:rPr>
          <w:rFonts w:ascii="Times New Roman" w:hAnsi="Times New Roman" w:cs="Times New Roman"/>
          <w:b/>
          <w:noProof/>
          <w:sz w:val="24"/>
          <w:szCs w:val="24"/>
        </w:rPr>
        <w:t>effective follow-up of such actions in terms of concretisation of reforms remain the prerogative of the recipient Member State</w:t>
      </w:r>
      <w:r>
        <w:rPr>
          <w:rFonts w:ascii="Times New Roman" w:hAnsi="Times New Roman" w:cs="Times New Roman"/>
          <w:noProof/>
          <w:sz w:val="24"/>
          <w:szCs w:val="24"/>
        </w:rPr>
        <w:t xml:space="preserve">. </w:t>
      </w:r>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w:t>
      </w:r>
      <w:r>
        <w:rPr>
          <w:rFonts w:ascii="Times New Roman" w:hAnsi="Times New Roman" w:cs="Times New Roman"/>
          <w:noProof/>
          <w:sz w:val="24"/>
          <w:szCs w:val="24"/>
        </w:rPr>
        <w:t>years to come, the Commission will continue to monitor the uptake of the support measures, as well as the implementation of institutional, administrative and growth-enhancing reforms.</w:t>
      </w:r>
    </w:p>
    <w:p w:rsidR="003C18FB" w:rsidRDefault="00773466">
      <w:pPr>
        <w:spacing w:line="240" w:lineRule="auto"/>
        <w:rPr>
          <w:rFonts w:ascii="Times New Roman" w:eastAsia="Times New Roman" w:hAnsi="Times New Roman" w:cs="Times New Roman"/>
          <w:b/>
          <w:smallCaps/>
          <w:noProof/>
          <w:sz w:val="28"/>
          <w:szCs w:val="20"/>
        </w:rPr>
      </w:pPr>
      <w:r>
        <w:rPr>
          <w:noProof/>
        </w:rPr>
        <w:br w:type="page"/>
      </w:r>
    </w:p>
    <w:p w:rsidR="003C18FB" w:rsidRDefault="00773466">
      <w:pPr>
        <w:pStyle w:val="Heading1"/>
        <w:spacing w:after="480"/>
        <w:ind w:left="-567"/>
        <w:rPr>
          <w:noProof/>
          <w:sz w:val="32"/>
        </w:rPr>
      </w:pPr>
      <w:bookmarkStart w:id="228" w:name="_Toc526528437"/>
      <w:bookmarkStart w:id="229" w:name="_Toc22031565"/>
      <w:r>
        <w:rPr>
          <w:noProof/>
          <w:sz w:val="32"/>
        </w:rPr>
        <w:t>ANNEX I</w:t>
      </w:r>
      <w:bookmarkEnd w:id="228"/>
      <w:bookmarkEnd w:id="229"/>
    </w:p>
    <w:p w:rsidR="003C18FB" w:rsidRDefault="00773466">
      <w:pPr>
        <w:pStyle w:val="Heading1"/>
        <w:jc w:val="left"/>
        <w:rPr>
          <w:noProof/>
        </w:rPr>
      </w:pPr>
      <w:bookmarkStart w:id="230" w:name="_Toc526526924"/>
      <w:bookmarkStart w:id="231" w:name="_Toc526528438"/>
      <w:bookmarkStart w:id="232" w:name="_Toc526531337"/>
      <w:bookmarkStart w:id="233" w:name="_Toc526804064"/>
      <w:bookmarkStart w:id="234" w:name="_Toc22031566"/>
      <w:r>
        <w:rPr>
          <w:noProof/>
        </w:rPr>
        <w:t xml:space="preserve">List of support measures implemented under SRSP </w:t>
      </w:r>
      <w:bookmarkEnd w:id="230"/>
      <w:bookmarkEnd w:id="231"/>
      <w:bookmarkEnd w:id="232"/>
      <w:bookmarkEnd w:id="233"/>
      <w:r>
        <w:rPr>
          <w:noProof/>
        </w:rPr>
        <w:t>2018</w:t>
      </w:r>
      <w:bookmarkEnd w:id="234"/>
    </w:p>
    <w:p w:rsidR="003C18FB" w:rsidRDefault="003C18FB">
      <w:pPr>
        <w:spacing w:line="240" w:lineRule="auto"/>
        <w:jc w:val="both"/>
        <w:rPr>
          <w:rFonts w:ascii="Times New Roman" w:hAnsi="Times New Roman" w:cs="Times New Roman"/>
          <w:noProof/>
          <w:sz w:val="24"/>
          <w:szCs w:val="24"/>
        </w:rPr>
      </w:pPr>
    </w:p>
    <w:p w:rsidR="003C18FB" w:rsidRDefault="00773466">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sz w:val="28"/>
          <w:lang w:eastAsia="en-GB"/>
        </w:rPr>
        <w:t>Governance and public administration</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Assistance in introducing modern methods of training at the National Institute of Administration (INA)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Increasing efficiency of the institutions of the public sector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Capacity building for Chief Information Officers (</w:t>
      </w:r>
      <w:r>
        <w:rPr>
          <w:rFonts w:ascii="Times New Roman" w:eastAsia="Times New Roman" w:hAnsi="Times New Roman" w:cs="Times New Roman"/>
          <w:noProof/>
          <w:color w:val="000000"/>
          <w:lang w:eastAsia="en-GB"/>
        </w:rPr>
        <w:t>CIOs) and Information and Communications Technology (ICT) officers in the civil service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Monitoring and evaluation of public administration reform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Introduction of a workforce planning process in the public sector</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Monitoring the performance and implementatio</w:t>
      </w:r>
      <w:r>
        <w:rPr>
          <w:rFonts w:ascii="Times New Roman" w:eastAsia="Times New Roman" w:hAnsi="Times New Roman" w:cs="Times New Roman"/>
          <w:noProof/>
          <w:color w:val="000000"/>
          <w:lang w:eastAsia="en-GB"/>
        </w:rPr>
        <w:t xml:space="preserve">n of the European Maritime and Fisheries Fund (EMFF)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Creation of objective criteria on recruitment and promotion of judges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Infrastructure consolidation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Internal audit and control methodology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Building capacity on digital public service take-up</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Development </w:t>
      </w:r>
      <w:r>
        <w:rPr>
          <w:rFonts w:ascii="Times New Roman" w:eastAsia="Times New Roman" w:hAnsi="Times New Roman" w:cs="Times New Roman"/>
          <w:noProof/>
          <w:color w:val="000000"/>
          <w:lang w:eastAsia="en-GB"/>
        </w:rPr>
        <w:t>of e-catalogues for e-procurement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Implementation of the anti-corruption action plan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for the implementation of the national digital strategy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Efficiency and quality of the justice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Public procurement reform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Re-engineering of processes with a </w:t>
      </w:r>
      <w:r>
        <w:rPr>
          <w:rFonts w:ascii="Times New Roman" w:eastAsia="Times New Roman" w:hAnsi="Times New Roman" w:cs="Times New Roman"/>
          <w:noProof/>
          <w:color w:val="000000"/>
          <w:lang w:eastAsia="en-GB"/>
        </w:rPr>
        <w:t>focus on procurement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Compliance of MoC IT systems with the EU General Data Protection Regulation (GDPR)</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Improve administrative capacity of the Inspectorate to the Supreme Judicial Council</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Public service reform: human resources and innovation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Capacity building for the Chief Information Officers Office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Development of labs for administrative simplification, human resources and administrative branding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Promoting e-Justice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 for the reform of audit performance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 of anti-cyber crime legi</w:t>
      </w:r>
      <w:r>
        <w:rPr>
          <w:rFonts w:ascii="Times New Roman" w:eastAsia="Times New Roman" w:hAnsi="Times New Roman" w:cs="Times New Roman"/>
          <w:noProof/>
          <w:color w:val="000000"/>
          <w:lang w:eastAsia="en-GB"/>
        </w:rPr>
        <w:t>slation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Justice integrated information and management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 functions supporting efficient justice sector systems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the efficiency of whistleblowing mechanism</w:t>
      </w:r>
    </w:p>
    <w:p w:rsidR="003C18FB" w:rsidRDefault="00773466">
      <w:pPr>
        <w:spacing w:after="0" w:line="240" w:lineRule="auto"/>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Study on government websites/portals</w:t>
      </w:r>
    </w:p>
    <w:p w:rsidR="003C18FB" w:rsidRDefault="00773466">
      <w:pPr>
        <w:spacing w:after="0" w:line="240" w:lineRule="auto"/>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Anti-money laundering training</w:t>
      </w:r>
    </w:p>
    <w:p w:rsidR="003C18FB" w:rsidRDefault="00773466">
      <w:pPr>
        <w:spacing w:after="0" w:line="240" w:lineRule="auto"/>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Asset location an</w:t>
      </w:r>
      <w:r>
        <w:rPr>
          <w:rFonts w:ascii="Times New Roman" w:eastAsia="Times New Roman" w:hAnsi="Times New Roman" w:cs="Times New Roman"/>
          <w:noProof/>
          <w:color w:val="000000"/>
          <w:lang w:eastAsia="en-GB"/>
        </w:rPr>
        <w:t>d recovery system</w:t>
      </w:r>
    </w:p>
    <w:p w:rsidR="003C18FB" w:rsidRDefault="003C18FB">
      <w:pPr>
        <w:spacing w:after="0" w:line="240" w:lineRule="auto"/>
        <w:rPr>
          <w:rFonts w:ascii="Times New Roman" w:eastAsia="Times New Roman" w:hAnsi="Times New Roman" w:cs="Times New Roman"/>
          <w:b/>
          <w:noProof/>
          <w:color w:val="000000"/>
          <w:sz w:val="28"/>
          <w:lang w:eastAsia="en-GB"/>
        </w:rPr>
      </w:pPr>
    </w:p>
    <w:p w:rsidR="003C18FB" w:rsidRDefault="003C18FB">
      <w:pPr>
        <w:spacing w:after="0" w:line="240" w:lineRule="auto"/>
        <w:rPr>
          <w:rFonts w:ascii="Times New Roman" w:eastAsia="Times New Roman" w:hAnsi="Times New Roman" w:cs="Times New Roman"/>
          <w:b/>
          <w:noProof/>
          <w:color w:val="000000"/>
          <w:sz w:val="28"/>
          <w:lang w:eastAsia="en-GB"/>
        </w:rPr>
      </w:pPr>
    </w:p>
    <w:p w:rsidR="003C18FB" w:rsidRDefault="003C18FB">
      <w:pPr>
        <w:spacing w:after="0" w:line="240" w:lineRule="auto"/>
        <w:rPr>
          <w:rFonts w:ascii="Times New Roman" w:eastAsia="Times New Roman" w:hAnsi="Times New Roman" w:cs="Times New Roman"/>
          <w:b/>
          <w:noProof/>
          <w:color w:val="000000"/>
          <w:sz w:val="28"/>
          <w:lang w:eastAsia="en-GB"/>
        </w:rPr>
      </w:pPr>
    </w:p>
    <w:p w:rsidR="003C18FB" w:rsidRDefault="00773466">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b/>
          <w:noProof/>
          <w:color w:val="000000"/>
          <w:sz w:val="28"/>
          <w:lang w:eastAsia="en-GB"/>
        </w:rPr>
        <w:t>Growth and business environment</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Implementing electricity balancing guideline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Developing economic diplomacy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Promotion of energy audits in SMEs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Coastal management  and protection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inland navigation and traffic conditions in the</w:t>
      </w:r>
      <w:r>
        <w:rPr>
          <w:rFonts w:ascii="Times New Roman" w:eastAsia="Times New Roman" w:hAnsi="Times New Roman" w:cs="Times New Roman"/>
          <w:noProof/>
          <w:color w:val="000000"/>
          <w:lang w:eastAsia="en-GB"/>
        </w:rPr>
        <w:t xml:space="preserve"> port area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inland waterway transport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Operationalisation of destination management organisations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 of concessions through public-private partnerships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for the reform of the creative industry sector</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State-Owned Enterprises (SOEs) govern</w:t>
      </w:r>
      <w:r>
        <w:rPr>
          <w:rFonts w:ascii="Times New Roman" w:eastAsia="Times New Roman" w:hAnsi="Times New Roman" w:cs="Times New Roman"/>
          <w:noProof/>
          <w:color w:val="000000"/>
          <w:lang w:eastAsia="en-GB"/>
        </w:rPr>
        <w:t xml:space="preserve">ance and performance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Climate policy support for the administration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Enhancing water supply and sanitation systems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Feasiblity study on large cases unit (LCU) in the statistical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Building permits through building information modelling (BIM)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SME support</w:t>
      </w:r>
      <w:r>
        <w:rPr>
          <w:rFonts w:ascii="Times New Roman" w:eastAsia="Times New Roman" w:hAnsi="Times New Roman" w:cs="Times New Roman"/>
          <w:noProof/>
          <w:color w:val="000000"/>
          <w:lang w:eastAsia="en-GB"/>
        </w:rPr>
        <w:t xml:space="preserve"> strategy post 2020</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Regulation of gambling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 comprehensive system to provide for the digitalisation and provision of electronic services to the maritime industry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Irish freight, transport and logistics industry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Enhancing export credit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Enforcment of competit</w:t>
      </w:r>
      <w:r>
        <w:rPr>
          <w:rFonts w:ascii="Times New Roman" w:eastAsia="Times New Roman" w:hAnsi="Times New Roman" w:cs="Times New Roman"/>
          <w:noProof/>
          <w:color w:val="000000"/>
          <w:lang w:eastAsia="en-GB"/>
        </w:rPr>
        <w:t>ion law</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Regulatory policy review</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Strengthening the framework for foreign direct investment and export and innovation-driven cooperation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Electricity and decarbonisation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Forestry statistical data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Transition out of coal in the Trencin region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Investment evalu</w:t>
      </w:r>
      <w:r>
        <w:rPr>
          <w:rFonts w:ascii="Times New Roman" w:eastAsia="Times New Roman" w:hAnsi="Times New Roman" w:cs="Times New Roman"/>
          <w:noProof/>
          <w:color w:val="000000"/>
          <w:lang w:eastAsia="en-GB"/>
        </w:rPr>
        <w:t>ation team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Supporting structural reform in the waste management sector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environmental inspection work</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for the implementation of the proactive investment attraction reform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Building information modelling (BIM) in the public real estate sect</w:t>
      </w:r>
      <w:r>
        <w:rPr>
          <w:rFonts w:ascii="Times New Roman" w:eastAsia="Times New Roman" w:hAnsi="Times New Roman" w:cs="Times New Roman"/>
          <w:noProof/>
          <w:color w:val="000000"/>
          <w:lang w:eastAsia="en-GB"/>
        </w:rPr>
        <w:t xml:space="preserve">or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Project pipeline development for the purposes of the investment plan for Europe</w:t>
      </w:r>
    </w:p>
    <w:p w:rsidR="003C18FB" w:rsidRDefault="003C18FB">
      <w:pPr>
        <w:spacing w:after="120"/>
        <w:jc w:val="both"/>
        <w:rPr>
          <w:rFonts w:ascii="Times New Roman" w:eastAsia="Times New Roman" w:hAnsi="Times New Roman" w:cs="Times New Roman"/>
          <w:noProof/>
          <w:color w:val="000000"/>
          <w:lang w:eastAsia="en-GB"/>
        </w:rPr>
      </w:pPr>
    </w:p>
    <w:p w:rsidR="003C18FB" w:rsidRDefault="00773466">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b/>
          <w:noProof/>
          <w:color w:val="000000"/>
          <w:sz w:val="28"/>
          <w:lang w:eastAsia="en-GB"/>
        </w:rPr>
        <w:t>Labour market, education, health and social services</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to the national authorities for generating diagnosis-related group (DRG) cost weights based on available data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Implementation of the colorectal screening programmes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Hospitals’ collaboration area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Services for primary health care units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colorectal cancer screening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Youth integration in the labour market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colorectal cancer screening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 for the development of the primary care system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Developing an action plan and data collection methodology for the prevention of early school leaving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Capacity building for management of projects to build three regional hospitals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Recommendations on</w:t>
      </w:r>
      <w:r>
        <w:rPr>
          <w:rFonts w:ascii="Times New Roman" w:eastAsia="Times New Roman" w:hAnsi="Times New Roman" w:cs="Times New Roman"/>
          <w:noProof/>
          <w:color w:val="000000"/>
          <w:lang w:eastAsia="en-GB"/>
        </w:rPr>
        <w:t xml:space="preserve"> the design and implementation of a policy framework for developing ambulatory surgery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Integrated primary care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Developing an education strategy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Early identification of students at risk of early school leaving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National Labour Inspectorate (INL) capacity b</w:t>
      </w:r>
      <w:r>
        <w:rPr>
          <w:rFonts w:ascii="Times New Roman" w:eastAsia="Times New Roman" w:hAnsi="Times New Roman" w:cs="Times New Roman"/>
          <w:noProof/>
          <w:color w:val="000000"/>
          <w:lang w:eastAsia="en-GB"/>
        </w:rPr>
        <w:t>uilding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Disability assessment reform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 of the pension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Reform of the medical assessment service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Provision of integrated care services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Supporting the improvement of quality in inclusive education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Development of criterion referenced tests at </w:t>
      </w:r>
      <w:r>
        <w:rPr>
          <w:rFonts w:ascii="Times New Roman" w:eastAsia="Times New Roman" w:hAnsi="Times New Roman" w:cs="Times New Roman"/>
          <w:noProof/>
          <w:color w:val="000000"/>
          <w:lang w:eastAsia="en-GB"/>
        </w:rPr>
        <w:t>primary and lower secondary levels of education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Promoting quality assurance in vocational education and training (VET)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National plan for adult literacy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 to improve the quality of dual vocational education and training (VET)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Development of a suppo</w:t>
      </w:r>
      <w:r>
        <w:rPr>
          <w:rFonts w:ascii="Times New Roman" w:eastAsia="Times New Roman" w:hAnsi="Times New Roman" w:cs="Times New Roman"/>
          <w:noProof/>
          <w:color w:val="000000"/>
          <w:lang w:eastAsia="en-GB"/>
        </w:rPr>
        <w:t>rt system for the implementation of the comprehensive curricular reform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Quality assessment system of in-service teacher training provided by education and teacher training agency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Reforming the network of teacher education institutions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Promoting inclusive s</w:t>
      </w:r>
      <w:r>
        <w:rPr>
          <w:rFonts w:ascii="Times New Roman" w:eastAsia="Times New Roman" w:hAnsi="Times New Roman" w:cs="Times New Roman"/>
          <w:noProof/>
          <w:color w:val="000000"/>
          <w:lang w:eastAsia="en-GB"/>
        </w:rPr>
        <w:t xml:space="preserve">pecial education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National plan for the integration of international protection holders</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b/>
          <w:noProof/>
          <w:color w:val="000000"/>
          <w:sz w:val="28"/>
          <w:lang w:eastAsia="en-GB"/>
        </w:rPr>
        <w:t>Revenue administration and public financial management</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 of the e-commerce policy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Budgetary system reform (BSR)</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Working visit on e-services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Improving the </w:t>
      </w:r>
      <w:r>
        <w:rPr>
          <w:rFonts w:ascii="Times New Roman" w:eastAsia="Times New Roman" w:hAnsi="Times New Roman" w:cs="Times New Roman"/>
          <w:noProof/>
          <w:color w:val="000000"/>
          <w:lang w:eastAsia="en-GB"/>
        </w:rPr>
        <w:t>quality of the state budget preparation process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for improving the design of tax policies in the excise sector</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Municipal debt restructuring and asset management facility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Enhancing tax-benefit microsimulation models of the Parliamentary Budget Office</w:t>
      </w:r>
      <w:r>
        <w:rPr>
          <w:rFonts w:ascii="Times New Roman" w:eastAsia="Times New Roman" w:hAnsi="Times New Roman" w:cs="Times New Roman"/>
          <w:noProof/>
          <w:color w:val="000000"/>
          <w:lang w:eastAsia="en-GB"/>
        </w:rPr>
        <w:t xml:space="preserve"> (PBO)</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Budget planning and key performance indicators (KPIs)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Monitoring and auditing the internet economy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Stimulating the introducation of new technologies for tax administration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Enabling framework for implementation of behavioural economics in debt collec</w:t>
      </w:r>
      <w:r>
        <w:rPr>
          <w:rFonts w:ascii="Times New Roman" w:eastAsia="Times New Roman" w:hAnsi="Times New Roman" w:cs="Times New Roman"/>
          <w:noProof/>
          <w:color w:val="000000"/>
          <w:lang w:eastAsia="en-GB"/>
        </w:rPr>
        <w:t>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 capacity building regarding dealing with preparing implementation of EU General Data Protection Regulation (GDPR), security issues regarding TA information system and IT projects quality assurance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General law of customs &amp; excise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International Finan</w:t>
      </w:r>
      <w:r>
        <w:rPr>
          <w:rFonts w:ascii="Times New Roman" w:eastAsia="Times New Roman" w:hAnsi="Times New Roman" w:cs="Times New Roman"/>
          <w:noProof/>
          <w:color w:val="000000"/>
          <w:lang w:eastAsia="en-GB"/>
        </w:rPr>
        <w:t>cial Reporting Standards (IFRS) education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Missing intra trader community training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Implementation of corporate income tax (CIT) gap analysis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Independent Authority of Public Revenue (IAPR) extension of International Monetary Fund (IMF) support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Behavioural a</w:t>
      </w:r>
      <w:r>
        <w:rPr>
          <w:rFonts w:ascii="Times New Roman" w:eastAsia="Times New Roman" w:hAnsi="Times New Roman" w:cs="Times New Roman"/>
          <w:noProof/>
          <w:color w:val="000000"/>
          <w:lang w:eastAsia="en-GB"/>
        </w:rPr>
        <w:t>pproach analysis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Transfer pricing specialised training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Strengthening the administrative capacity of the National Agency for Fiscal Administration  regarding monitoring, analysis, investigation and auditing electronic commerce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Strengthening the administrati</w:t>
      </w:r>
      <w:r>
        <w:rPr>
          <w:rFonts w:ascii="Times New Roman" w:eastAsia="Times New Roman" w:hAnsi="Times New Roman" w:cs="Times New Roman"/>
          <w:noProof/>
          <w:color w:val="000000"/>
          <w:lang w:eastAsia="en-GB"/>
        </w:rPr>
        <w:t>on of large taxpayers from the perspective of increasing the efficiency and effectiveness of revenue collection process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Spending review</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Financial management reform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Technical assistance in the implementation of the mid-term tax strategy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Measurement, monitor</w:t>
      </w:r>
      <w:r>
        <w:rPr>
          <w:rFonts w:ascii="Times New Roman" w:eastAsia="Times New Roman" w:hAnsi="Times New Roman" w:cs="Times New Roman"/>
          <w:noProof/>
          <w:color w:val="000000"/>
          <w:lang w:eastAsia="en-GB"/>
        </w:rPr>
        <w:t>ing, evaluation and compliance risk management model in the National Revenue Authority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Development and organisation of awareness raising campaigns and similar measures to reduce shadow economy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Introduction of spending reviews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VAT carousel fraud </w:t>
      </w:r>
      <w:r>
        <w:rPr>
          <w:rFonts w:ascii="Times New Roman" w:eastAsia="Times New Roman" w:hAnsi="Times New Roman" w:cs="Times New Roman"/>
          <w:noProof/>
          <w:color w:val="000000"/>
          <w:lang w:eastAsia="en-GB"/>
        </w:rPr>
        <w:t>implementation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Implementation of integrated tax administration system</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b/>
          <w:noProof/>
          <w:color w:val="000000"/>
          <w:sz w:val="28"/>
          <w:lang w:eastAsia="en-GB"/>
        </w:rPr>
        <w:t>Financial services and access to finance</w:t>
      </w:r>
    </w:p>
    <w:p w:rsidR="003C18FB" w:rsidRDefault="003C18FB">
      <w:pPr>
        <w:spacing w:after="0" w:line="240" w:lineRule="auto"/>
        <w:rPr>
          <w:rFonts w:ascii="Times New Roman" w:eastAsia="Times New Roman" w:hAnsi="Times New Roman" w:cs="Times New Roman"/>
          <w:noProof/>
          <w:color w:val="000000"/>
          <w:lang w:eastAsia="en-GB"/>
        </w:rPr>
      </w:pP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Pre listing support programme to sustainably increase SMEs access to capital markets financing in alignment with the capital markets union </w:t>
      </w:r>
      <w:r>
        <w:rPr>
          <w:rFonts w:ascii="Times New Roman" w:eastAsia="Times New Roman" w:hAnsi="Times New Roman" w:cs="Times New Roman"/>
          <w:noProof/>
          <w:color w:val="000000"/>
          <w:lang w:eastAsia="en-GB"/>
        </w:rPr>
        <w:t>(CMU)</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Dormant account resolution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Financial education: analysis for a web-based interactive intelligent educational platform regarding consumer decision making and purchasing process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SME equity support instrument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Creation of pre-insolvency early warning mec</w:t>
      </w:r>
      <w:r>
        <w:rPr>
          <w:rFonts w:ascii="Times New Roman" w:eastAsia="Times New Roman" w:hAnsi="Times New Roman" w:cs="Times New Roman"/>
          <w:noProof/>
          <w:color w:val="000000"/>
          <w:lang w:eastAsia="en-GB"/>
        </w:rPr>
        <w:t>hanisms and solutions for out-of-court settlements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Capital markets diagnostic</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National non-performing loans (NPL) strategy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Designing Bank for Reconstruction and Development 's medium-term strategy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Planning of internal operational processes and procedures s</w:t>
      </w:r>
      <w:r>
        <w:rPr>
          <w:rFonts w:ascii="Times New Roman" w:eastAsia="Times New Roman" w:hAnsi="Times New Roman" w:cs="Times New Roman"/>
          <w:noProof/>
          <w:color w:val="000000"/>
          <w:lang w:eastAsia="en-GB"/>
        </w:rPr>
        <w:t>pecific to resolution authority</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Establishment of supervision of issuer's financial statements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Establishment of FinTech supportive environment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Management of financial instruments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Bank supervision data management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SME equity support instrument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Central Securit</w:t>
      </w:r>
      <w:r>
        <w:rPr>
          <w:rFonts w:ascii="Times New Roman" w:eastAsia="Times New Roman" w:hAnsi="Times New Roman" w:cs="Times New Roman"/>
          <w:noProof/>
          <w:color w:val="000000"/>
          <w:lang w:eastAsia="en-GB"/>
        </w:rPr>
        <w:t>ies Depository: development of an authorisation and supervisory handbook</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Implementation of Central Securities Depositories (CSD) legislation</w:t>
      </w:r>
    </w:p>
    <w:p w:rsidR="003C18FB" w:rsidRDefault="003C18FB">
      <w:pPr>
        <w:spacing w:after="0"/>
        <w:jc w:val="both"/>
        <w:rPr>
          <w:rFonts w:ascii="Times New Roman" w:eastAsia="Times New Roman" w:hAnsi="Times New Roman" w:cs="Times New Roman"/>
          <w:noProof/>
          <w:color w:val="000000"/>
          <w:lang w:eastAsia="en-GB"/>
        </w:rPr>
      </w:pPr>
    </w:p>
    <w:p w:rsidR="003C18FB" w:rsidRDefault="00773466">
      <w:pPr>
        <w:spacing w:after="60"/>
        <w:jc w:val="center"/>
        <w:rPr>
          <w:rFonts w:ascii="Times New Roman" w:eastAsia="Times New Roman" w:hAnsi="Times New Roman" w:cs="Times New Roman"/>
          <w:noProof/>
          <w:sz w:val="24"/>
          <w:szCs w:val="20"/>
        </w:rPr>
      </w:pPr>
      <w:bookmarkStart w:id="235" w:name="_Toc526528439"/>
      <w:r>
        <w:rPr>
          <w:noProof/>
          <w:sz w:val="32"/>
        </w:rPr>
        <w:br w:type="page"/>
      </w:r>
      <w:r>
        <w:rPr>
          <w:rFonts w:ascii="Times New Roman" w:eastAsia="Times New Roman" w:hAnsi="Times New Roman" w:cs="Times New Roman"/>
          <w:b/>
          <w:smallCaps/>
          <w:noProof/>
          <w:sz w:val="32"/>
          <w:szCs w:val="20"/>
        </w:rPr>
        <w:t>ANNEX II</w:t>
      </w:r>
    </w:p>
    <w:p w:rsidR="003C18FB" w:rsidRDefault="00773466">
      <w:pPr>
        <w:spacing w:after="0"/>
        <w:rPr>
          <w:rFonts w:ascii="Times New Roman" w:eastAsia="Times New Roman" w:hAnsi="Times New Roman" w:cs="Times New Roman"/>
          <w:b/>
          <w:smallCaps/>
          <w:noProof/>
          <w:sz w:val="28"/>
          <w:szCs w:val="20"/>
        </w:rPr>
      </w:pPr>
      <w:r>
        <w:rPr>
          <w:rFonts w:ascii="Times New Roman" w:eastAsia="Times New Roman" w:hAnsi="Times New Roman" w:cs="Times New Roman"/>
          <w:b/>
          <w:smallCaps/>
          <w:noProof/>
          <w:sz w:val="28"/>
          <w:szCs w:val="20"/>
        </w:rPr>
        <w:t>List of support measures funded by the voluntary transfers under Article 11</w:t>
      </w:r>
    </w:p>
    <w:p w:rsidR="003C18FB" w:rsidRDefault="00773466">
      <w:pPr>
        <w:spacing w:before="120" w:after="120"/>
        <w:rPr>
          <w:rFonts w:ascii="Times New Roman" w:eastAsia="Times New Roman" w:hAnsi="Times New Roman" w:cs="Times New Roman"/>
          <w:b/>
          <w:smallCaps/>
          <w:noProof/>
          <w:sz w:val="28"/>
          <w:szCs w:val="20"/>
        </w:rPr>
      </w:pPr>
      <w:r>
        <w:rPr>
          <w:rFonts w:ascii="Times New Roman" w:eastAsia="Times New Roman" w:hAnsi="Times New Roman" w:cs="Times New Roman"/>
          <w:b/>
          <w:smallCaps/>
          <w:noProof/>
          <w:sz w:val="28"/>
          <w:szCs w:val="20"/>
        </w:rPr>
        <w:t>Greece</w:t>
      </w:r>
    </w:p>
    <w:tbl>
      <w:tblPr>
        <w:tblW w:w="9923" w:type="dxa"/>
        <w:tblInd w:w="70" w:type="dxa"/>
        <w:tblCellMar>
          <w:left w:w="70" w:type="dxa"/>
          <w:right w:w="70" w:type="dxa"/>
        </w:tblCellMar>
        <w:tblLook w:val="04A0" w:firstRow="1" w:lastRow="0" w:firstColumn="1" w:lastColumn="0" w:noHBand="0" w:noVBand="1"/>
      </w:tblPr>
      <w:tblGrid>
        <w:gridCol w:w="9923"/>
      </w:tblGrid>
      <w:tr w:rsidR="003C18FB">
        <w:trPr>
          <w:trHeight w:val="3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Supporting the </w:t>
            </w:r>
            <w:r>
              <w:rPr>
                <w:rFonts w:ascii="Times New Roman" w:eastAsia="Times New Roman" w:hAnsi="Times New Roman" w:cs="Times New Roman"/>
                <w:noProof/>
                <w:color w:val="000000"/>
                <w:lang w:eastAsia="en-GB"/>
              </w:rPr>
              <w:t>establishment of the single social security agency (EFKA)</w:t>
            </w:r>
          </w:p>
        </w:tc>
      </w:tr>
      <w:tr w:rsidR="003C18FB">
        <w:trPr>
          <w:trHeight w:val="3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for clean energy investments</w:t>
            </w:r>
          </w:p>
        </w:tc>
      </w:tr>
      <w:tr w:rsidR="003C18FB">
        <w:trPr>
          <w:trHeight w:val="6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Roadmap for the systematisation of environmental legislation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Enhancement of Greece’s emergency management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Supporting digital education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Model collection </w:t>
            </w:r>
            <w:r>
              <w:rPr>
                <w:rFonts w:ascii="Times New Roman" w:eastAsia="Times New Roman" w:hAnsi="Times New Roman" w:cs="Times New Roman"/>
                <w:noProof/>
                <w:color w:val="000000"/>
                <w:lang w:eastAsia="en-GB"/>
              </w:rPr>
              <w:t>office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One stop shops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Supporting the implementation of the action plan for tackling undeclared work </w:t>
            </w:r>
          </w:p>
        </w:tc>
      </w:tr>
      <w:tr w:rsidR="003C18FB">
        <w:trPr>
          <w:trHeight w:val="6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Western Macedonia transition through coal platform initiative</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Waste management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Reforming the design of active labour market policies </w:t>
            </w:r>
          </w:p>
        </w:tc>
      </w:tr>
      <w:tr w:rsidR="003C18FB">
        <w:trPr>
          <w:trHeight w:val="3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Technical support on inter-municipal cooperation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Accelerate the digital transformation</w:t>
            </w:r>
          </w:p>
        </w:tc>
      </w:tr>
      <w:tr w:rsidR="003C18FB">
        <w:trPr>
          <w:trHeight w:val="3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Anti-corruption training programmes</w:t>
            </w:r>
          </w:p>
        </w:tc>
      </w:tr>
      <w:tr w:rsidR="003C18FB">
        <w:trPr>
          <w:trHeight w:val="6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Strengthening of the capacity in implementing the deinstitutionalisation process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 to the Hellenic Development Bank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w:t>
            </w:r>
            <w:r>
              <w:rPr>
                <w:rFonts w:ascii="Times New Roman" w:eastAsia="Times New Roman" w:hAnsi="Times New Roman" w:cs="Times New Roman"/>
                <w:noProof/>
                <w:color w:val="000000"/>
                <w:lang w:eastAsia="en-GB"/>
              </w:rPr>
              <w:t xml:space="preserve"> for tendering of public-private partnerships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Regional policy post 2020</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Modernisation of the cadastre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Compliance of IT systems belonging to the Special Secretariat for Private Debt Management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Export promotion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Support on judicial reforms </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Risk </w:t>
            </w:r>
            <w:r>
              <w:rPr>
                <w:rFonts w:ascii="Times New Roman" w:eastAsia="Times New Roman" w:hAnsi="Times New Roman" w:cs="Times New Roman"/>
                <w:noProof/>
                <w:color w:val="000000"/>
                <w:lang w:eastAsia="en-GB"/>
              </w:rPr>
              <w:t>assessment tool for transfer pricing cases selection</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Investment licensing and inspections reform</w:t>
            </w:r>
          </w:p>
          <w:p w:rsidR="003C18FB" w:rsidRDefault="00773466">
            <w:pPr>
              <w:spacing w:after="0"/>
              <w:ind w:right="639"/>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to the General Accounting Office to implement the new chart of accouints and enhance cash management functions</w:t>
            </w:r>
          </w:p>
        </w:tc>
      </w:tr>
      <w:tr w:rsidR="003C18FB">
        <w:trPr>
          <w:trHeight w:val="300"/>
        </w:trPr>
        <w:tc>
          <w:tcPr>
            <w:tcW w:w="9923" w:type="dxa"/>
            <w:tcBorders>
              <w:top w:val="nil"/>
              <w:left w:val="nil"/>
              <w:bottom w:val="nil"/>
              <w:right w:val="nil"/>
            </w:tcBorders>
            <w:shd w:val="clear" w:color="auto" w:fill="auto"/>
            <w:hideMark/>
          </w:tcPr>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Minimum wage setting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Improving performa</w:t>
            </w:r>
            <w:r>
              <w:rPr>
                <w:rFonts w:ascii="Times New Roman" w:eastAsia="Times New Roman" w:hAnsi="Times New Roman" w:cs="Times New Roman"/>
                <w:noProof/>
                <w:color w:val="000000"/>
                <w:lang w:eastAsia="en-GB"/>
              </w:rPr>
              <w:t>nce in doing business report</w:t>
            </w:r>
          </w:p>
          <w:p w:rsidR="003C18FB" w:rsidRDefault="00773466">
            <w:pPr>
              <w:spacing w:after="0"/>
              <w:ind w:right="781"/>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Support to the Hellenic Civil Aviation Regulatory Authority (HCARA) and the Hellenic Civil Aviation Authority (HCAA)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Post-investment licensing and inspections reform support</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Expansion of the ‘ePDE’ information system</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Coordinati</w:t>
            </w:r>
            <w:r>
              <w:rPr>
                <w:rFonts w:ascii="Times New Roman" w:eastAsia="Times New Roman" w:hAnsi="Times New Roman" w:cs="Times New Roman"/>
                <w:noProof/>
                <w:color w:val="000000"/>
                <w:lang w:eastAsia="en-GB"/>
              </w:rPr>
              <w:t>ng, monitoring and assessment of public policies and structural reforms</w:t>
            </w:r>
          </w:p>
          <w:p w:rsidR="003C18FB" w:rsidRDefault="003C18FB">
            <w:pPr>
              <w:spacing w:after="0"/>
              <w:jc w:val="both"/>
              <w:rPr>
                <w:rFonts w:ascii="Times New Roman" w:eastAsia="Times New Roman" w:hAnsi="Times New Roman" w:cs="Times New Roman"/>
                <w:noProof/>
                <w:color w:val="000000"/>
                <w:lang w:eastAsia="en-GB"/>
              </w:rPr>
            </w:pPr>
          </w:p>
          <w:p w:rsidR="003C18FB" w:rsidRDefault="00773466">
            <w:pPr>
              <w:spacing w:after="0"/>
              <w:rPr>
                <w:rFonts w:ascii="Times New Roman" w:eastAsia="Times New Roman" w:hAnsi="Times New Roman" w:cs="Times New Roman"/>
                <w:b/>
                <w:smallCaps/>
                <w:noProof/>
                <w:sz w:val="28"/>
                <w:szCs w:val="20"/>
              </w:rPr>
            </w:pPr>
            <w:r>
              <w:rPr>
                <w:rFonts w:ascii="Times New Roman" w:eastAsia="Times New Roman" w:hAnsi="Times New Roman" w:cs="Times New Roman"/>
                <w:b/>
                <w:smallCaps/>
                <w:noProof/>
                <w:sz w:val="28"/>
                <w:szCs w:val="20"/>
              </w:rPr>
              <w:t>Bulgaria</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Improve the governance of state-owned enterprises</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Insolvency framework review and roadmap</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Reform of the order of payment proceeding</w:t>
            </w:r>
          </w:p>
          <w:p w:rsidR="003C18FB" w:rsidRDefault="00773466">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Strengthening the administrative capacity </w:t>
            </w:r>
            <w:r>
              <w:rPr>
                <w:rFonts w:ascii="Times New Roman" w:eastAsia="Times New Roman" w:hAnsi="Times New Roman" w:cs="Times New Roman"/>
                <w:noProof/>
                <w:color w:val="000000"/>
                <w:lang w:eastAsia="en-GB"/>
              </w:rPr>
              <w:t>of the NRA to monitor and control e-commerce</w:t>
            </w:r>
          </w:p>
        </w:tc>
      </w:tr>
    </w:tbl>
    <w:p w:rsidR="003C18FB" w:rsidRDefault="00773466">
      <w:pPr>
        <w:pStyle w:val="Heading1"/>
        <w:spacing w:after="480"/>
        <w:ind w:left="-567"/>
        <w:rPr>
          <w:noProof/>
          <w:sz w:val="32"/>
        </w:rPr>
      </w:pPr>
      <w:bookmarkStart w:id="236" w:name="_Toc22031567"/>
      <w:r>
        <w:rPr>
          <w:noProof/>
          <w:sz w:val="32"/>
        </w:rPr>
        <w:t>ANNEX II</w:t>
      </w:r>
      <w:bookmarkEnd w:id="235"/>
      <w:r>
        <w:rPr>
          <w:noProof/>
          <w:sz w:val="32"/>
        </w:rPr>
        <w:t>I</w:t>
      </w:r>
      <w:bookmarkEnd w:id="236"/>
    </w:p>
    <w:p w:rsidR="003C18FB" w:rsidRDefault="00773466">
      <w:pPr>
        <w:pStyle w:val="Heading1"/>
        <w:jc w:val="left"/>
        <w:rPr>
          <w:noProof/>
        </w:rPr>
      </w:pPr>
      <w:bookmarkStart w:id="237" w:name="_Toc526526926"/>
      <w:bookmarkStart w:id="238" w:name="_Toc526528440"/>
      <w:bookmarkStart w:id="239" w:name="_Toc526531339"/>
      <w:bookmarkStart w:id="240" w:name="_Toc526804066"/>
      <w:bookmarkStart w:id="241" w:name="_Toc22031568"/>
      <w:r>
        <w:rPr>
          <w:noProof/>
        </w:rPr>
        <w:t>progress in achieving specific objectives of the programme</w:t>
      </w:r>
      <w:bookmarkEnd w:id="237"/>
      <w:bookmarkEnd w:id="238"/>
      <w:bookmarkEnd w:id="239"/>
      <w:bookmarkEnd w:id="240"/>
      <w:bookmarkEnd w:id="241"/>
    </w:p>
    <w:p w:rsidR="003C18FB" w:rsidRDefault="0077346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Support measures funded under the SRSP 2018 are expected to contribute to the specific objectives of the programme in the following way</w:t>
      </w:r>
      <w:r>
        <w:rPr>
          <w:rFonts w:ascii="Times New Roman" w:hAnsi="Times New Roman" w:cs="Times New Roman"/>
          <w:noProof/>
          <w:szCs w:val="24"/>
          <w:vertAlign w:val="superscript"/>
        </w:rPr>
        <w:footnoteReference w:id="45"/>
      </w:r>
      <w:r>
        <w:rPr>
          <w:rFonts w:ascii="Times New Roman" w:hAnsi="Times New Roman" w:cs="Times New Roman"/>
          <w:noProof/>
          <w:sz w:val="24"/>
          <w:szCs w:val="24"/>
        </w:rPr>
        <w:t>.</w:t>
      </w:r>
    </w:p>
    <w:p w:rsidR="003C18FB" w:rsidRDefault="00773466">
      <w:pPr>
        <w:pStyle w:val="ListParagraph"/>
        <w:numPr>
          <w:ilvl w:val="0"/>
          <w:numId w:val="24"/>
        </w:numPr>
        <w:rPr>
          <w:noProof/>
          <w:szCs w:val="24"/>
        </w:rPr>
      </w:pPr>
      <w:r>
        <w:rPr>
          <w:noProof/>
          <w:szCs w:val="24"/>
        </w:rPr>
        <w:t>47%</w:t>
      </w:r>
      <w:r>
        <w:rPr>
          <w:noProof/>
          <w:szCs w:val="24"/>
        </w:rPr>
        <w:t xml:space="preserve"> of support measures contribute to the design of reforms:</w:t>
      </w:r>
    </w:p>
    <w:p w:rsidR="003C18FB" w:rsidRDefault="00773466">
      <w:pPr>
        <w:rPr>
          <w:noProof/>
          <w:szCs w:val="24"/>
        </w:rPr>
      </w:pPr>
      <w:r>
        <w:rPr>
          <w:noProof/>
          <w:lang w:eastAsia="en-GB"/>
        </w:rPr>
        <w:drawing>
          <wp:inline distT="0" distB="0" distL="0" distR="0">
            <wp:extent cx="5759450" cy="3987800"/>
            <wp:effectExtent l="0" t="0" r="12700" b="1270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szCs w:val="24"/>
        </w:rPr>
        <w:br w:type="page"/>
      </w:r>
    </w:p>
    <w:p w:rsidR="003C18FB" w:rsidRDefault="00773466">
      <w:pPr>
        <w:pStyle w:val="ListParagraph"/>
        <w:numPr>
          <w:ilvl w:val="0"/>
          <w:numId w:val="24"/>
        </w:numPr>
        <w:rPr>
          <w:noProof/>
          <w:szCs w:val="24"/>
        </w:rPr>
      </w:pPr>
      <w:r>
        <w:rPr>
          <w:noProof/>
          <w:szCs w:val="24"/>
        </w:rPr>
        <w:t>64% contribute to the formulation, development and implementation of reforms:</w:t>
      </w:r>
    </w:p>
    <w:p w:rsidR="003C18FB" w:rsidRDefault="00773466">
      <w:pPr>
        <w:rPr>
          <w:noProof/>
          <w:szCs w:val="24"/>
        </w:rPr>
      </w:pPr>
      <w:r>
        <w:rPr>
          <w:noProof/>
          <w:lang w:eastAsia="en-GB"/>
        </w:rPr>
        <w:drawing>
          <wp:inline distT="0" distB="0" distL="0" distR="0">
            <wp:extent cx="6129866" cy="4953000"/>
            <wp:effectExtent l="0" t="0" r="4445"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18FB" w:rsidRDefault="00773466">
      <w:pPr>
        <w:rPr>
          <w:rFonts w:ascii="Times New Roman" w:eastAsia="Times New Roman" w:hAnsi="Times New Roman" w:cs="Times New Roman"/>
          <w:noProof/>
          <w:sz w:val="24"/>
          <w:szCs w:val="24"/>
        </w:rPr>
      </w:pPr>
      <w:r>
        <w:rPr>
          <w:noProof/>
          <w:szCs w:val="24"/>
        </w:rPr>
        <w:br w:type="page"/>
      </w:r>
    </w:p>
    <w:p w:rsidR="003C18FB" w:rsidRDefault="00773466">
      <w:pPr>
        <w:pStyle w:val="ListParagraph"/>
        <w:numPr>
          <w:ilvl w:val="0"/>
          <w:numId w:val="24"/>
        </w:numPr>
        <w:rPr>
          <w:noProof/>
          <w:szCs w:val="24"/>
        </w:rPr>
      </w:pPr>
      <w:r>
        <w:rPr>
          <w:noProof/>
          <w:szCs w:val="24"/>
        </w:rPr>
        <w:t>56% contribute to the definition and implementation of processes and methodologies:</w:t>
      </w:r>
    </w:p>
    <w:p w:rsidR="003C18FB" w:rsidRDefault="00773466">
      <w:pPr>
        <w:rPr>
          <w:noProof/>
          <w:szCs w:val="24"/>
        </w:rPr>
      </w:pPr>
      <w:r>
        <w:rPr>
          <w:noProof/>
          <w:lang w:eastAsia="en-GB"/>
        </w:rPr>
        <w:drawing>
          <wp:inline distT="0" distB="0" distL="0" distR="0">
            <wp:extent cx="6002866" cy="4656667"/>
            <wp:effectExtent l="0" t="0" r="17145" b="10795"/>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C18FB" w:rsidRDefault="003C18FB">
      <w:pPr>
        <w:rPr>
          <w:noProof/>
          <w:szCs w:val="24"/>
        </w:rPr>
      </w:pPr>
    </w:p>
    <w:p w:rsidR="003C18FB" w:rsidRDefault="00773466">
      <w:pPr>
        <w:rPr>
          <w:rFonts w:ascii="Times New Roman" w:eastAsia="Times New Roman" w:hAnsi="Times New Roman" w:cs="Times New Roman"/>
          <w:noProof/>
          <w:sz w:val="24"/>
          <w:szCs w:val="24"/>
        </w:rPr>
      </w:pPr>
      <w:r>
        <w:rPr>
          <w:noProof/>
          <w:szCs w:val="24"/>
        </w:rPr>
        <w:br w:type="page"/>
      </w:r>
    </w:p>
    <w:p w:rsidR="003C18FB" w:rsidRDefault="00773466">
      <w:pPr>
        <w:pStyle w:val="ListParagraph"/>
        <w:numPr>
          <w:ilvl w:val="0"/>
          <w:numId w:val="24"/>
        </w:numPr>
        <w:rPr>
          <w:noProof/>
          <w:szCs w:val="24"/>
        </w:rPr>
      </w:pPr>
      <w:r>
        <w:rPr>
          <w:noProof/>
          <w:szCs w:val="24"/>
        </w:rPr>
        <w:t xml:space="preserve">and 19% aim to help </w:t>
      </w:r>
      <w:r>
        <w:rPr>
          <w:noProof/>
          <w:szCs w:val="24"/>
        </w:rPr>
        <w:t>improve the efficiency and effectiveness of human resources management:</w:t>
      </w:r>
    </w:p>
    <w:p w:rsidR="003C18FB" w:rsidRDefault="00773466">
      <w:pPr>
        <w:rPr>
          <w:noProof/>
          <w:szCs w:val="24"/>
        </w:rPr>
      </w:pPr>
      <w:r>
        <w:rPr>
          <w:noProof/>
          <w:lang w:eastAsia="en-GB"/>
        </w:rPr>
        <w:drawing>
          <wp:inline distT="0" distB="0" distL="0" distR="0">
            <wp:extent cx="4572000" cy="27432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C18FB" w:rsidRDefault="003C18FB">
      <w:pPr>
        <w:rPr>
          <w:noProof/>
        </w:rPr>
      </w:pPr>
    </w:p>
    <w:p w:rsidR="003C18FB" w:rsidRDefault="003C18FB">
      <w:pPr>
        <w:rPr>
          <w:noProof/>
        </w:rPr>
      </w:pPr>
    </w:p>
    <w:sectPr w:rsidR="003C18FB">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134" w:right="1418" w:bottom="1134" w:left="1418"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8FB" w:rsidRDefault="00773466">
      <w:pPr>
        <w:spacing w:after="0" w:line="240" w:lineRule="auto"/>
      </w:pPr>
      <w:r>
        <w:separator/>
      </w:r>
    </w:p>
  </w:endnote>
  <w:endnote w:type="continuationSeparator" w:id="0">
    <w:p w:rsidR="003C18FB" w:rsidRDefault="0077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Footer"/>
    </w:pPr>
  </w:p>
  <w:p w:rsidR="003C18FB" w:rsidRDefault="003C18FB"/>
  <w:p w:rsidR="003C18FB" w:rsidRDefault="003C18F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77346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noProof/>
      </w:rPr>
      <w:t>21</w:t>
    </w:r>
    <w:r>
      <w:rPr>
        <w:rFonts w:ascii="Times New Roman" w:hAnsi="Times New Roman" w:cs="Times New Roman"/>
      </w:rPr>
      <w:fldChar w:fldCharType="end"/>
    </w:r>
  </w:p>
  <w:p w:rsidR="003C18FB" w:rsidRDefault="003C18FB"/>
  <w:p w:rsidR="003C18FB" w:rsidRDefault="003C18FB"/>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432966"/>
      <w:docPartObj>
        <w:docPartGallery w:val="Page Numbers (Bottom of Page)"/>
        <w:docPartUnique/>
      </w:docPartObj>
    </w:sdtPr>
    <w:sdtEndPr>
      <w:rPr>
        <w:noProof/>
      </w:rPr>
    </w:sdtEndPr>
    <w:sdtContent>
      <w:p w:rsidR="003C18FB" w:rsidRDefault="0077346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C18FB" w:rsidRDefault="003C18FB">
    <w:pPr>
      <w:pStyle w:val="Footer"/>
    </w:pPr>
  </w:p>
  <w:p w:rsidR="003C18FB" w:rsidRDefault="003C18FB"/>
  <w:p w:rsidR="003C18FB" w:rsidRDefault="003C18F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Footer"/>
    </w:pPr>
  </w:p>
  <w:p w:rsidR="003C18FB" w:rsidRDefault="003C18FB"/>
  <w:p w:rsidR="003C18FB" w:rsidRDefault="003C18FB"/>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77346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noProof/>
      </w:rPr>
      <w:t>24</w:t>
    </w:r>
    <w:r>
      <w:rPr>
        <w:rFonts w:ascii="Times New Roman" w:hAnsi="Times New Roman" w:cs="Times New Roman"/>
      </w:rPr>
      <w:fldChar w:fldCharType="end"/>
    </w:r>
  </w:p>
  <w:p w:rsidR="003C18FB" w:rsidRDefault="003C18FB"/>
  <w:p w:rsidR="003C18FB" w:rsidRDefault="003C18FB"/>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483817"/>
      <w:docPartObj>
        <w:docPartGallery w:val="Page Numbers (Bottom of Page)"/>
        <w:docPartUnique/>
      </w:docPartObj>
    </w:sdtPr>
    <w:sdtEndPr>
      <w:rPr>
        <w:noProof/>
      </w:rPr>
    </w:sdtEndPr>
    <w:sdtContent>
      <w:p w:rsidR="003C18FB" w:rsidRDefault="0077346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C18FB" w:rsidRDefault="003C18FB">
    <w:pPr>
      <w:pStyle w:val="Footer"/>
    </w:pPr>
  </w:p>
  <w:p w:rsidR="003C18FB" w:rsidRDefault="003C18FB"/>
  <w:p w:rsidR="003C18FB" w:rsidRDefault="003C18F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Footer"/>
    </w:pPr>
  </w:p>
  <w:p w:rsidR="003C18FB" w:rsidRDefault="003C18FB"/>
  <w:p w:rsidR="003C18FB" w:rsidRDefault="003C18FB"/>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77346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noProof/>
      </w:rPr>
      <w:t>48</w:t>
    </w:r>
    <w:r>
      <w:rPr>
        <w:rFonts w:ascii="Times New Roman" w:hAnsi="Times New Roman" w:cs="Times New Roman"/>
      </w:rPr>
      <w:fldChar w:fldCharType="end"/>
    </w:r>
  </w:p>
  <w:p w:rsidR="003C18FB" w:rsidRDefault="003C18FB"/>
  <w:p w:rsidR="003C18FB" w:rsidRDefault="003C18FB"/>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20469"/>
      <w:docPartObj>
        <w:docPartGallery w:val="Page Numbers (Bottom of Page)"/>
        <w:docPartUnique/>
      </w:docPartObj>
    </w:sdtPr>
    <w:sdtEndPr>
      <w:rPr>
        <w:noProof/>
      </w:rPr>
    </w:sdtEndPr>
    <w:sdtContent>
      <w:p w:rsidR="003C18FB" w:rsidRDefault="00773466">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3C18FB" w:rsidRDefault="003C18FB">
    <w:pPr>
      <w:pStyle w:val="Footer"/>
    </w:pPr>
  </w:p>
  <w:p w:rsidR="003C18FB" w:rsidRDefault="003C18FB"/>
  <w:p w:rsidR="003C18FB" w:rsidRDefault="003C18F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FooterCoverPage"/>
      <w:rPr>
        <w:rFonts w:ascii="Arial" w:hAnsi="Arial" w:cs="Arial"/>
        <w:b/>
        <w:sz w:val="48"/>
      </w:rPr>
    </w:pPr>
    <w:r w:rsidRPr="00773466">
      <w:rPr>
        <w:rFonts w:ascii="Arial" w:hAnsi="Arial" w:cs="Arial"/>
        <w:b/>
        <w:sz w:val="48"/>
      </w:rPr>
      <w:t>EN</w:t>
    </w:r>
    <w:r w:rsidRPr="00773466">
      <w:rPr>
        <w:rFonts w:ascii="Arial" w:hAnsi="Arial" w:cs="Arial"/>
        <w:b/>
        <w:sz w:val="48"/>
      </w:rPr>
      <w:tab/>
    </w:r>
    <w:r w:rsidRPr="00773466">
      <w:rPr>
        <w:rFonts w:ascii="Arial" w:hAnsi="Arial" w:cs="Arial"/>
        <w:b/>
        <w:sz w:val="48"/>
      </w:rPr>
      <w:tab/>
    </w:r>
    <w:r w:rsidRPr="00773466">
      <w:tab/>
    </w:r>
    <w:r w:rsidRPr="00773466">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773466">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88533"/>
      <w:docPartObj>
        <w:docPartGallery w:val="Page Numbers (Bottom of Page)"/>
        <w:docPartUnique/>
      </w:docPartObj>
    </w:sdtPr>
    <w:sdtEndPr>
      <w:rPr>
        <w:noProof/>
      </w:rPr>
    </w:sdtEndPr>
    <w:sdtContent>
      <w:p w:rsidR="003C18FB" w:rsidRDefault="0077346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C18FB" w:rsidRDefault="003C18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Footer"/>
    </w:pPr>
  </w:p>
  <w:p w:rsidR="003C18FB" w:rsidRDefault="003C18FB"/>
  <w:p w:rsidR="003C18FB" w:rsidRDefault="003C18FB"/>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77346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noProof/>
      </w:rPr>
      <w:t>19</w:t>
    </w:r>
    <w:r>
      <w:rPr>
        <w:rFonts w:ascii="Times New Roman" w:hAnsi="Times New Roman" w:cs="Times New Roman"/>
      </w:rPr>
      <w:fldChar w:fldCharType="end"/>
    </w:r>
  </w:p>
  <w:p w:rsidR="003C18FB" w:rsidRDefault="003C18FB"/>
  <w:p w:rsidR="003C18FB" w:rsidRDefault="003C18FB"/>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051046"/>
      <w:docPartObj>
        <w:docPartGallery w:val="Page Numbers (Bottom of Page)"/>
        <w:docPartUnique/>
      </w:docPartObj>
    </w:sdtPr>
    <w:sdtEndPr>
      <w:rPr>
        <w:noProof/>
      </w:rPr>
    </w:sdtEndPr>
    <w:sdtContent>
      <w:p w:rsidR="003C18FB" w:rsidRDefault="00773466">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3C18FB" w:rsidRDefault="003C18FB">
    <w:pPr>
      <w:pStyle w:val="Footer"/>
    </w:pPr>
  </w:p>
  <w:p w:rsidR="003C18FB" w:rsidRDefault="003C18FB"/>
  <w:p w:rsidR="003C18FB" w:rsidRDefault="003C18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8FB" w:rsidRDefault="00773466">
      <w:pPr>
        <w:spacing w:after="0" w:line="240" w:lineRule="auto"/>
      </w:pPr>
      <w:r>
        <w:separator/>
      </w:r>
    </w:p>
  </w:footnote>
  <w:footnote w:type="continuationSeparator" w:id="0">
    <w:p w:rsidR="003C18FB" w:rsidRDefault="00773466">
      <w:pPr>
        <w:spacing w:after="0" w:line="240" w:lineRule="auto"/>
      </w:pPr>
      <w:r>
        <w:continuationSeparator/>
      </w:r>
    </w:p>
  </w:footnote>
  <w:footnote w:id="1">
    <w:p w:rsidR="003C18FB" w:rsidRDefault="00773466">
      <w:pPr>
        <w:pStyle w:val="FootnoteText"/>
      </w:pPr>
      <w:r>
        <w:rPr>
          <w:rStyle w:val="FootnoteReference"/>
        </w:rPr>
        <w:footnoteRef/>
      </w:r>
      <w:r>
        <w:t xml:space="preserve"> Under Regulation (EU) 2017/825 of the European Parliament and of the Council, OJ L 129, 19.5.2017, p. 1–16, as amended by Regulation (EU) 2018/1671, OJ L 284, 12.11.2018, p. 3–5 (the SRSP Regulation).</w:t>
      </w:r>
    </w:p>
  </w:footnote>
  <w:footnote w:id="2">
    <w:p w:rsidR="003C18FB" w:rsidRDefault="00773466">
      <w:pPr>
        <w:pStyle w:val="FootnoteText"/>
      </w:pPr>
      <w:r>
        <w:rPr>
          <w:rStyle w:val="FootnoteReference"/>
        </w:rPr>
        <w:footnoteRef/>
      </w:r>
      <w:r>
        <w:t xml:space="preserve"> Article 7 of the SRSP Regulation.</w:t>
      </w:r>
    </w:p>
  </w:footnote>
  <w:footnote w:id="3">
    <w:p w:rsidR="003C18FB" w:rsidRDefault="00773466">
      <w:pPr>
        <w:pStyle w:val="FootnoteText"/>
      </w:pPr>
      <w:r>
        <w:rPr>
          <w:rStyle w:val="FootnoteReference"/>
        </w:rPr>
        <w:footnoteRef/>
      </w:r>
      <w:r>
        <w:t xml:space="preserve"> In accordance wi</w:t>
      </w:r>
      <w:r>
        <w:t>th Article 16 of the SRSP Regulation.</w:t>
      </w:r>
    </w:p>
  </w:footnote>
  <w:footnote w:id="4">
    <w:p w:rsidR="003C18FB" w:rsidRDefault="00773466">
      <w:pPr>
        <w:pStyle w:val="FootnoteText"/>
      </w:pPr>
      <w:r>
        <w:rPr>
          <w:rStyle w:val="FootnoteReference"/>
        </w:rPr>
        <w:footnoteRef/>
      </w:r>
      <w:r>
        <w:t xml:space="preserve"> In accordance with Article 7 of the SRSP Regulation.</w:t>
      </w:r>
    </w:p>
  </w:footnote>
  <w:footnote w:id="5">
    <w:p w:rsidR="003C18FB" w:rsidRDefault="00773466">
      <w:pPr>
        <w:pStyle w:val="FootnoteText"/>
        <w:spacing w:after="120"/>
        <w:rPr>
          <w:color w:val="0000FF" w:themeColor="hyperlink"/>
          <w:u w:val="single"/>
        </w:rPr>
      </w:pPr>
      <w:r>
        <w:rPr>
          <w:vertAlign w:val="superscript"/>
        </w:rPr>
        <w:footnoteRef/>
      </w:r>
      <w:r>
        <w:t xml:space="preserve"> Point (f) of Article 16 was added by Regulation (EU) 2018/1671, amending Regulation (EU) 2017/825 (see below).</w:t>
      </w:r>
    </w:p>
  </w:footnote>
  <w:footnote w:id="6">
    <w:p w:rsidR="003C18FB" w:rsidRDefault="00773466">
      <w:pPr>
        <w:pStyle w:val="FootnoteText"/>
      </w:pPr>
      <w:r>
        <w:rPr>
          <w:vertAlign w:val="superscript"/>
        </w:rPr>
        <w:footnoteRef/>
      </w:r>
      <w:r>
        <w:rPr>
          <w:vertAlign w:val="superscript"/>
        </w:rPr>
        <w:t xml:space="preserve"> </w:t>
      </w:r>
      <w:r>
        <w:t>On 6 December 2017, the Commission proposed amending the SRSP Regulation to increase the budget of the programme by €80 million and add support for euro-area membership to the goals to which the programme contributes. Regulation (EU) 2018/1671 of the Europ</w:t>
      </w:r>
      <w:r>
        <w:t>ean Parliament and of the Council of 23 October 2018 amending Regulation (EU) 2017/825 increasing the financial envelope of the Structural Reform Support Programme and adapting its general objective entered into force on 13 November 2018 (OJ L 284, 12.11.2</w:t>
      </w:r>
      <w:r>
        <w:t xml:space="preserve">018, p. 3–5). </w:t>
      </w:r>
    </w:p>
  </w:footnote>
  <w:footnote w:id="7">
    <w:p w:rsidR="003C18FB" w:rsidRDefault="00773466">
      <w:pPr>
        <w:pStyle w:val="FootnoteText"/>
      </w:pPr>
      <w:r>
        <w:rPr>
          <w:rStyle w:val="FootnoteReference"/>
        </w:rPr>
        <w:footnoteRef/>
      </w:r>
      <w:r>
        <w:t xml:space="preserve"> Excluding support expenditure.</w:t>
      </w:r>
    </w:p>
  </w:footnote>
  <w:footnote w:id="8">
    <w:p w:rsidR="003C18FB" w:rsidRDefault="00773466">
      <w:pPr>
        <w:pStyle w:val="FootnoteText"/>
      </w:pPr>
      <w:r>
        <w:rPr>
          <w:rStyle w:val="FootnoteReference"/>
        </w:rPr>
        <w:footnoteRef/>
      </w:r>
      <w:r>
        <w:t xml:space="preserve"> A Member State wishing to contribute additional funds to the SRSP under Article 11 should submit a formal letter requesting to transfer technical assistance funds to the SRSP. After the request for transfer</w:t>
      </w:r>
      <w:r>
        <w:t xml:space="preserve"> of funds is approved, the Member State concerned can submit requests for support under Article 11 of the SRSP Regulation. The Commission will assess and approve these requests in accordance with the criteria and principles laid down in the SRSP Regulation</w:t>
      </w:r>
      <w:r>
        <w:t>. The support provided to the Member State under Article 11 of the SRSP Regulation will be mentioned in a separate annex to the cooperation and support plan concluded with that Member State.</w:t>
      </w:r>
    </w:p>
  </w:footnote>
  <w:footnote w:id="9">
    <w:p w:rsidR="003C18FB" w:rsidRDefault="00773466">
      <w:pPr>
        <w:pStyle w:val="FootnoteText"/>
      </w:pPr>
      <w:r>
        <w:rPr>
          <w:rStyle w:val="FootnoteReference"/>
        </w:rPr>
        <w:footnoteRef/>
      </w:r>
      <w:r>
        <w:t xml:space="preserve"> In accordance with Article 4 of the SRSP Regulation.</w:t>
      </w:r>
    </w:p>
  </w:footnote>
  <w:footnote w:id="10">
    <w:p w:rsidR="003C18FB" w:rsidRDefault="00773466">
      <w:pPr>
        <w:pStyle w:val="FootnoteText"/>
      </w:pPr>
      <w:r>
        <w:rPr>
          <w:rStyle w:val="FootnoteReference"/>
        </w:rPr>
        <w:footnoteRef/>
      </w:r>
      <w:r>
        <w:t xml:space="preserve"> The gene</w:t>
      </w:r>
      <w:r>
        <w:t>ral objective of the programme was amended by Regulation No 2018/1671, which entered into force on 13 November 2018. However, submission of requests for support under the 2018 SRSP round took place before the amendment entered into force. How the amended g</w:t>
      </w:r>
      <w:r>
        <w:t xml:space="preserve">eneral objective of the programme has been achieved will therefore be covered in the next annual monitoring report (since it applies to requests for support submitted for funding under the SRSP 2019 annual budget). </w:t>
      </w:r>
    </w:p>
  </w:footnote>
  <w:footnote w:id="11">
    <w:p w:rsidR="003C18FB" w:rsidRDefault="00773466">
      <w:pPr>
        <w:pStyle w:val="FootnoteText"/>
      </w:pPr>
      <w:r>
        <w:rPr>
          <w:rStyle w:val="FootnoteReference"/>
        </w:rPr>
        <w:footnoteRef/>
      </w:r>
      <w:r>
        <w:t xml:space="preserve"> In accordance with Article 5 of the SR</w:t>
      </w:r>
      <w:r>
        <w:t>SP Regulation.</w:t>
      </w:r>
    </w:p>
  </w:footnote>
  <w:footnote w:id="12">
    <w:p w:rsidR="003C18FB" w:rsidRDefault="00773466">
      <w:pPr>
        <w:pStyle w:val="FootnoteText"/>
      </w:pPr>
      <w:r>
        <w:rPr>
          <w:rStyle w:val="FootnoteReference"/>
        </w:rPr>
        <w:footnoteRef/>
      </w:r>
      <w:r>
        <w:t xml:space="preserve"> For the full list, please refer to Article 5(2) of the SRSP Regulation.</w:t>
      </w:r>
    </w:p>
  </w:footnote>
  <w:footnote w:id="13">
    <w:p w:rsidR="003C18FB" w:rsidRDefault="00773466">
      <w:pPr>
        <w:pStyle w:val="FootnoteText"/>
      </w:pPr>
      <w:r>
        <w:rPr>
          <w:rStyle w:val="FootnoteReference"/>
        </w:rPr>
        <w:footnoteRef/>
      </w:r>
      <w:r>
        <w:t xml:space="preserve"> In accordance with Article 3 of the SRSP Regulation.</w:t>
      </w:r>
    </w:p>
  </w:footnote>
  <w:footnote w:id="14">
    <w:p w:rsidR="003C18FB" w:rsidRDefault="00773466">
      <w:pPr>
        <w:pStyle w:val="FootnoteText"/>
      </w:pPr>
      <w:r>
        <w:rPr>
          <w:rStyle w:val="FootnoteReference"/>
        </w:rPr>
        <w:footnoteRef/>
      </w:r>
      <w:r>
        <w:t xml:space="preserve"> In accordance with Article 6 of the SRSP Regulation.</w:t>
      </w:r>
    </w:p>
  </w:footnote>
  <w:footnote w:id="15">
    <w:p w:rsidR="003C18FB" w:rsidRDefault="00773466">
      <w:pPr>
        <w:pStyle w:val="FootnoteText"/>
      </w:pPr>
      <w:r>
        <w:rPr>
          <w:rStyle w:val="FootnoteReference"/>
        </w:rPr>
        <w:footnoteRef/>
      </w:r>
      <w:r>
        <w:t xml:space="preserve"> Regulation (EU) 2017/825 of the European Parliament and</w:t>
      </w:r>
      <w:r>
        <w:t xml:space="preserve"> the Council of 17 May 2017 on the establishment of the Structural Reform Support Programme for the period 2017 to 2020 entered into force on 20 May 2017.</w:t>
      </w:r>
    </w:p>
  </w:footnote>
  <w:footnote w:id="16">
    <w:p w:rsidR="003C18FB" w:rsidRDefault="00773466">
      <w:pPr>
        <w:pStyle w:val="FootnoteText"/>
        <w:spacing w:after="120"/>
        <w:rPr>
          <w:color w:val="0000FF" w:themeColor="hyperlink"/>
          <w:u w:val="single"/>
        </w:rPr>
      </w:pPr>
      <w:r>
        <w:rPr>
          <w:vertAlign w:val="superscript"/>
        </w:rPr>
        <w:footnoteRef/>
      </w:r>
      <w:r>
        <w:t xml:space="preserve"> Commission Implementing Decision </w:t>
      </w:r>
      <w:r>
        <w:rPr>
          <w:noProof/>
        </w:rPr>
        <w:t>on the adoption of the work programme for 2018 and on the financin</w:t>
      </w:r>
      <w:r>
        <w:rPr>
          <w:noProof/>
        </w:rPr>
        <w:t xml:space="preserve">g of Structural Reform Support Programme, 2018, </w:t>
      </w:r>
      <w:r>
        <w:t>C(2018) 1358 final.</w:t>
      </w:r>
    </w:p>
  </w:footnote>
  <w:footnote w:id="17">
    <w:p w:rsidR="003C18FB" w:rsidRDefault="00773466">
      <w:pPr>
        <w:pStyle w:val="FootnoteText"/>
      </w:pPr>
      <w:r>
        <w:rPr>
          <w:rStyle w:val="FootnoteReference"/>
        </w:rPr>
        <w:footnoteRef/>
      </w:r>
      <w:r>
        <w:t xml:space="preserve"> In line with Article 13(5) of the SRSP Regulation.</w:t>
      </w:r>
    </w:p>
  </w:footnote>
  <w:footnote w:id="18">
    <w:p w:rsidR="003C18FB" w:rsidRDefault="00773466">
      <w:pPr>
        <w:pStyle w:val="FootnoteText"/>
      </w:pPr>
      <w:r>
        <w:rPr>
          <w:rStyle w:val="FootnoteReference"/>
        </w:rPr>
        <w:footnoteRef/>
      </w:r>
      <w:r>
        <w:t xml:space="preserve"> The implementation period covered by thise report (of the support measures selected for funding in 2018) is 31 August 2017 - 31 Novem</w:t>
      </w:r>
      <w:r>
        <w:t>ber 2019.</w:t>
      </w:r>
    </w:p>
  </w:footnote>
  <w:footnote w:id="19">
    <w:p w:rsidR="003C18FB" w:rsidRDefault="00773466">
      <w:pPr>
        <w:pStyle w:val="FootnoteText"/>
      </w:pPr>
      <w:r>
        <w:rPr>
          <w:rStyle w:val="FootnoteReference"/>
        </w:rPr>
        <w:footnoteRef/>
      </w:r>
      <w:r>
        <w:t xml:space="preserve"> In line with Article 7(1) of the SRSP Regulation.</w:t>
      </w:r>
    </w:p>
  </w:footnote>
  <w:footnote w:id="20">
    <w:p w:rsidR="003C18FB" w:rsidRDefault="00773466">
      <w:pPr>
        <w:pStyle w:val="FootnoteText"/>
      </w:pPr>
      <w:r>
        <w:rPr>
          <w:rStyle w:val="FootnoteReference"/>
        </w:rPr>
        <w:footnoteRef/>
      </w:r>
      <w:r>
        <w:t xml:space="preserve"> In accordance with Article 7(3) of the SRSP Regulation.</w:t>
      </w:r>
    </w:p>
  </w:footnote>
  <w:footnote w:id="21">
    <w:p w:rsidR="003C18FB" w:rsidRDefault="00773466">
      <w:pPr>
        <w:pStyle w:val="FootnoteText"/>
      </w:pPr>
      <w:r>
        <w:rPr>
          <w:vertAlign w:val="superscript"/>
        </w:rPr>
        <w:footnoteRef/>
      </w:r>
      <w:r>
        <w:rPr>
          <w:vertAlign w:val="superscript"/>
        </w:rPr>
        <w:t xml:space="preserve"> </w:t>
      </w:r>
      <w:r>
        <w:t>The role of the coordinating authorities is defined in section 18.2 of the cooperation and support plans signed with all Member States</w:t>
      </w:r>
      <w:r>
        <w:t xml:space="preserve"> benefiting from the programme.</w:t>
      </w:r>
    </w:p>
  </w:footnote>
  <w:footnote w:id="22">
    <w:p w:rsidR="003C18FB" w:rsidRDefault="00773466">
      <w:pPr>
        <w:pStyle w:val="FootnoteText"/>
      </w:pPr>
      <w:r>
        <w:rPr>
          <w:vertAlign w:val="superscript"/>
        </w:rPr>
        <w:footnoteRef/>
      </w:r>
      <w:r>
        <w:t xml:space="preserve"> As estimated by the Member States.</w:t>
      </w:r>
    </w:p>
  </w:footnote>
  <w:footnote w:id="23">
    <w:p w:rsidR="003C18FB" w:rsidRDefault="00773466">
      <w:pPr>
        <w:pStyle w:val="FootnoteText"/>
      </w:pPr>
      <w:r>
        <w:rPr>
          <w:rStyle w:val="FootnoteReference"/>
        </w:rPr>
        <w:footnoteRef/>
      </w:r>
      <w:r>
        <w:t xml:space="preserve"> Number of requests submitted by 31 October 2019.</w:t>
      </w:r>
    </w:p>
  </w:footnote>
  <w:footnote w:id="24">
    <w:p w:rsidR="003C18FB" w:rsidRDefault="00773466">
      <w:pPr>
        <w:pStyle w:val="FootnoteText"/>
      </w:pPr>
      <w:r>
        <w:rPr>
          <w:rStyle w:val="FootnoteReference"/>
        </w:rPr>
        <w:footnoteRef/>
      </w:r>
      <w:r>
        <w:t xml:space="preserve"> The exact split was the following: 55% related to the EU economic governance process, 29% to the implementation of Union priorities, 8</w:t>
      </w:r>
      <w:r>
        <w:t>% to the implementation of Member States’ own priorities, 6% to the implementation of Union law and 3% to the implementation of economic adjustment programmes.</w:t>
      </w:r>
    </w:p>
  </w:footnote>
  <w:footnote w:id="25">
    <w:p w:rsidR="003C18FB" w:rsidRDefault="00773466">
      <w:pPr>
        <w:pStyle w:val="FootnoteText"/>
      </w:pPr>
      <w:r>
        <w:rPr>
          <w:rStyle w:val="FootnoteReference"/>
        </w:rPr>
        <w:footnoteRef/>
      </w:r>
      <w:r>
        <w:t xml:space="preserve"> In accordance with Article 7(2) of the SRSP Regulation.</w:t>
      </w:r>
    </w:p>
  </w:footnote>
  <w:footnote w:id="26">
    <w:p w:rsidR="003C18FB" w:rsidRDefault="00773466">
      <w:pPr>
        <w:pStyle w:val="FootnoteText"/>
      </w:pPr>
      <w:r>
        <w:rPr>
          <w:rStyle w:val="FootnoteReference"/>
        </w:rPr>
        <w:footnoteRef/>
      </w:r>
      <w:r>
        <w:t xml:space="preserve"> Defined in Article 7(2) of the SRSP </w:t>
      </w:r>
      <w:r>
        <w:t>Regulation.</w:t>
      </w:r>
    </w:p>
  </w:footnote>
  <w:footnote w:id="27">
    <w:p w:rsidR="003C18FB" w:rsidRDefault="00773466">
      <w:pPr>
        <w:pStyle w:val="FootnoteText"/>
      </w:pPr>
      <w:r>
        <w:rPr>
          <w:vertAlign w:val="superscript"/>
        </w:rPr>
        <w:footnoteRef/>
      </w:r>
      <w:r>
        <w:rPr>
          <w:vertAlign w:val="superscript"/>
        </w:rPr>
        <w:t xml:space="preserve"> </w:t>
      </w:r>
      <w:r>
        <w:t>These socio-economic indicators may be macro-economic indicators, general indicators or indicators related to the policy area concerned, such as unemployment rate, number of early education leavers, number of people in or at risk of poverty a</w:t>
      </w:r>
      <w:r>
        <w:t>nd social exclusion, investment rates, non-performing loans rates, etc.</w:t>
      </w:r>
    </w:p>
    <w:p w:rsidR="003C18FB" w:rsidRDefault="003C18FB">
      <w:pPr>
        <w:pStyle w:val="FootnoteText"/>
      </w:pPr>
    </w:p>
  </w:footnote>
  <w:footnote w:id="28">
    <w:p w:rsidR="003C18FB" w:rsidRDefault="00773466">
      <w:pPr>
        <w:pStyle w:val="FootnoteText"/>
      </w:pPr>
      <w:r>
        <w:rPr>
          <w:vertAlign w:val="superscript"/>
        </w:rPr>
        <w:footnoteRef/>
      </w:r>
      <w:r>
        <w:t xml:space="preserve"> When lower-scored requests (one or several major weaknesses) were selected, it was because of the importance of the reform and relative urgency in that particular country.</w:t>
      </w:r>
    </w:p>
  </w:footnote>
  <w:footnote w:id="29">
    <w:p w:rsidR="003C18FB" w:rsidRDefault="00773466">
      <w:pPr>
        <w:pStyle w:val="FootnoteText"/>
      </w:pPr>
      <w:r>
        <w:rPr>
          <w:rStyle w:val="FootnoteReference"/>
        </w:rPr>
        <w:footnoteRef/>
      </w:r>
      <w:r>
        <w:t xml:space="preserve"> In line</w:t>
      </w:r>
      <w:r>
        <w:t xml:space="preserve"> with Article 7 of the SRSP Regulation.</w:t>
      </w:r>
    </w:p>
  </w:footnote>
  <w:footnote w:id="30">
    <w:p w:rsidR="003C18FB" w:rsidRDefault="00773466">
      <w:pPr>
        <w:pStyle w:val="FootnoteText"/>
        <w:spacing w:after="0"/>
      </w:pPr>
      <w:r>
        <w:rPr>
          <w:vertAlign w:val="superscript"/>
        </w:rPr>
        <w:footnoteRef/>
      </w:r>
      <w:r>
        <w:t xml:space="preserve"> The content of the CSPs is further defined in section 18.2 and in part VII of the cooperation and support plans.</w:t>
      </w:r>
    </w:p>
    <w:p w:rsidR="003C18FB" w:rsidRDefault="003C18FB">
      <w:pPr>
        <w:pStyle w:val="FootnoteText"/>
      </w:pPr>
    </w:p>
  </w:footnote>
  <w:footnote w:id="31">
    <w:p w:rsidR="003C18FB" w:rsidRDefault="00773466">
      <w:pPr>
        <w:pStyle w:val="FootnoteText"/>
        <w:spacing w:after="0"/>
      </w:pPr>
      <w:r>
        <w:rPr>
          <w:vertAlign w:val="superscript"/>
        </w:rPr>
        <w:footnoteRef/>
      </w:r>
      <w:r>
        <w:t xml:space="preserve"> The estimated global contribution per Member State is purely indicative. The final amounts depend </w:t>
      </w:r>
      <w:r>
        <w:t>on how contracts, withdrawals, cancellations, etc, develop.</w:t>
      </w:r>
    </w:p>
    <w:p w:rsidR="003C18FB" w:rsidRDefault="003C18FB">
      <w:pPr>
        <w:pStyle w:val="FootnoteText"/>
      </w:pPr>
    </w:p>
  </w:footnote>
  <w:footnote w:id="32">
    <w:p w:rsidR="003C18FB" w:rsidRDefault="00773466">
      <w:pPr>
        <w:pStyle w:val="FootnoteText"/>
      </w:pPr>
      <w:r>
        <w:rPr>
          <w:rStyle w:val="FootnoteReference"/>
        </w:rPr>
        <w:footnoteRef/>
      </w:r>
      <w:r>
        <w:t xml:space="preserve"> In line with Article 9 of the SRSP Regulation</w:t>
      </w:r>
    </w:p>
  </w:footnote>
  <w:footnote w:id="33">
    <w:p w:rsidR="003C18FB" w:rsidRDefault="00773466">
      <w:pPr>
        <w:pStyle w:val="FootnoteText"/>
      </w:pPr>
      <w:r>
        <w:rPr>
          <w:rStyle w:val="FootnoteReference"/>
        </w:rPr>
        <w:footnoteRef/>
      </w:r>
      <w:r>
        <w:t xml:space="preserve"> In accordance with Article 13(6) of the SRSP Regulation.</w:t>
      </w:r>
    </w:p>
  </w:footnote>
  <w:footnote w:id="34">
    <w:p w:rsidR="003C18FB" w:rsidRDefault="00773466">
      <w:pPr>
        <w:pStyle w:val="FootnoteText"/>
      </w:pPr>
      <w:r>
        <w:rPr>
          <w:rStyle w:val="FootnoteReference"/>
        </w:rPr>
        <w:footnoteRef/>
      </w:r>
      <w:r>
        <w:t xml:space="preserve"> In line with Article 13(6) of the SRSP Regulation ‘special measures are interim in nature, and […] shall end within six months […]’.</w:t>
      </w:r>
    </w:p>
  </w:footnote>
  <w:footnote w:id="35">
    <w:p w:rsidR="003C18FB" w:rsidRDefault="00773466">
      <w:pPr>
        <w:pStyle w:val="FootnoteText"/>
      </w:pPr>
      <w:r>
        <w:rPr>
          <w:rStyle w:val="FootnoteReference"/>
        </w:rPr>
        <w:footnoteRef/>
      </w:r>
      <w:r>
        <w:t xml:space="preserve"> In line with Article 13 of the SRSP Regulation.</w:t>
      </w:r>
    </w:p>
  </w:footnote>
  <w:footnote w:id="36">
    <w:p w:rsidR="003C18FB" w:rsidRDefault="00773466">
      <w:pPr>
        <w:pStyle w:val="FootnoteText"/>
        <w:ind w:right="-2"/>
      </w:pPr>
      <w:r>
        <w:rPr>
          <w:vertAlign w:val="superscript"/>
        </w:rPr>
        <w:footnoteRef/>
      </w:r>
      <w:r>
        <w:t xml:space="preserve"> In accordance with the Commission Implementing Decision on the adoptio</w:t>
      </w:r>
      <w:r>
        <w:t xml:space="preserve">n of the work programme for 2018 and on the financing of Structural Reform Support Programme (C(2018) 1358 final) direct grants may be awarded to international organisations and Member States bodies and other bodies with a public service mission which, in </w:t>
      </w:r>
      <w:r>
        <w:t>view of the nature of the action, have recognised and relevant technical competence, high degrees of specialisation or administrative power in various thematic areas under the SRSP.</w:t>
      </w:r>
    </w:p>
  </w:footnote>
  <w:footnote w:id="37">
    <w:p w:rsidR="003C18FB" w:rsidRDefault="00773466">
      <w:pPr>
        <w:pStyle w:val="FootnoteText"/>
      </w:pPr>
      <w:r>
        <w:rPr>
          <w:rStyle w:val="FootnoteReference"/>
        </w:rPr>
        <w:footnoteRef/>
      </w:r>
      <w:r>
        <w:t xml:space="preserve"> </w:t>
      </w:r>
      <w:r>
        <w:rPr>
          <w:rStyle w:val="Strong"/>
        </w:rPr>
        <w:t>TAIEX</w:t>
      </w:r>
      <w:r>
        <w:t xml:space="preserve"> is the Commission’s Technical Assistance and Information Exchange </w:t>
      </w:r>
      <w:r>
        <w:t xml:space="preserve">instrument. TAIEX supports public administrations in the approximation, application and enforcement of EU legislation as well as facilitating the sharing of EU best practices, </w:t>
      </w:r>
      <w:hyperlink r:id="rId1" w:history="1">
        <w:r>
          <w:rPr>
            <w:rStyle w:val="Hyperlink"/>
          </w:rPr>
          <w:t>https://ec.europa.eu/neighbourhood-enlargement/tenders/taiex_en</w:t>
        </w:r>
      </w:hyperlink>
    </w:p>
  </w:footnote>
  <w:footnote w:id="38">
    <w:p w:rsidR="003C18FB" w:rsidRDefault="00773466">
      <w:pPr>
        <w:pStyle w:val="FootnoteText"/>
      </w:pPr>
      <w:r>
        <w:rPr>
          <w:rStyle w:val="FootnoteReference"/>
        </w:rPr>
        <w:footnoteRef/>
      </w:r>
      <w:r>
        <w:t xml:space="preserve"> In accordance with Article 4 of the SRSP Regulation.</w:t>
      </w:r>
    </w:p>
  </w:footnote>
  <w:footnote w:id="39">
    <w:p w:rsidR="003C18FB" w:rsidRDefault="00773466">
      <w:pPr>
        <w:pStyle w:val="FootnoteText"/>
      </w:pPr>
      <w:r>
        <w:rPr>
          <w:vertAlign w:val="superscript"/>
        </w:rPr>
        <w:footnoteRef/>
      </w:r>
      <w:r>
        <w:t xml:space="preserve"> According to Article 16 of the SRSP Regulation, the Commission shall provide an independent mid-term evaluation report with information</w:t>
      </w:r>
      <w:r>
        <w:t xml:space="preserve"> on the achievement of the programme's objectives, the efficiency of the use of the resources and the programme’s European added value, as well as the continued relevance of objectives and actions.</w:t>
      </w:r>
    </w:p>
  </w:footnote>
  <w:footnote w:id="40">
    <w:p w:rsidR="003C18FB" w:rsidRDefault="00773466">
      <w:pPr>
        <w:pStyle w:val="FootnoteText"/>
      </w:pPr>
      <w:r>
        <w:rPr>
          <w:vertAlign w:val="superscript"/>
        </w:rPr>
        <w:footnoteRef/>
      </w:r>
      <w:r>
        <w:t xml:space="preserve"> Some external factors, such as changes in the political </w:t>
      </w:r>
      <w:r>
        <w:t>priorities of Member States, may influence the implementation of the support measures and there is therefore a risk that reforms for which support had been provided are not implemented in the end. For this reason, the causal link between the support measur</w:t>
      </w:r>
      <w:r>
        <w:t>es provided under the programme and the achievement of the general objective has to be determined on a case-by-case basis and by taking account of external influencing factors.</w:t>
      </w:r>
    </w:p>
    <w:p w:rsidR="003C18FB" w:rsidRDefault="003C18FB">
      <w:pPr>
        <w:pStyle w:val="FootnoteText"/>
        <w:rPr>
          <w:vertAlign w:val="superscript"/>
        </w:rPr>
      </w:pPr>
    </w:p>
  </w:footnote>
  <w:footnote w:id="41">
    <w:p w:rsidR="003C18FB" w:rsidRDefault="00773466">
      <w:pPr>
        <w:pStyle w:val="FootnoteText"/>
        <w:rPr>
          <w:lang w:val="en-US"/>
        </w:rPr>
      </w:pPr>
      <w:r>
        <w:rPr>
          <w:vertAlign w:val="superscript"/>
        </w:rPr>
        <w:footnoteRef/>
      </w:r>
      <w:r>
        <w:t xml:space="preserve"> </w:t>
      </w:r>
      <w:r>
        <w:rPr>
          <w:lang w:val="en-US"/>
        </w:rPr>
        <w:t xml:space="preserve">Each support measure can contribute to more than one specific objective, </w:t>
      </w:r>
      <w:r>
        <w:t>whi</w:t>
      </w:r>
      <w:r>
        <w:t>ch is why the sum of the figures appear to amount to more than 100%</w:t>
      </w:r>
      <w:r>
        <w:rPr>
          <w:lang w:val="en-US"/>
        </w:rPr>
        <w:t>. See Annex III for a more detailed listing.</w:t>
      </w:r>
    </w:p>
    <w:p w:rsidR="003C18FB" w:rsidRDefault="003C18FB">
      <w:pPr>
        <w:pStyle w:val="FootnoteText"/>
      </w:pPr>
    </w:p>
  </w:footnote>
  <w:footnote w:id="42">
    <w:p w:rsidR="003C18FB" w:rsidRDefault="00773466">
      <w:pPr>
        <w:pStyle w:val="FootnoteText"/>
      </w:pPr>
      <w:r>
        <w:rPr>
          <w:vertAlign w:val="superscript"/>
        </w:rPr>
        <w:footnoteRef/>
      </w:r>
      <w:r>
        <w:t xml:space="preserve"> </w:t>
      </w:r>
      <w:r>
        <w:rPr>
          <w:lang w:val="en-US"/>
        </w:rPr>
        <w:t>Each support measure can contribute to more than one element relevant to European added value.</w:t>
      </w:r>
    </w:p>
  </w:footnote>
  <w:footnote w:id="43">
    <w:p w:rsidR="003C18FB" w:rsidRDefault="00773466">
      <w:pPr>
        <w:pStyle w:val="FootnoteText"/>
      </w:pPr>
      <w:r>
        <w:rPr>
          <w:rStyle w:val="FootnoteReference"/>
        </w:rPr>
        <w:footnoteRef/>
      </w:r>
      <w:r>
        <w:t xml:space="preserve"> Other Union funds or programmes, such as the</w:t>
      </w:r>
      <w:r>
        <w:t xml:space="preserve"> European Structural and Investment Funds (ESIF) or other Community programmes.</w:t>
      </w:r>
    </w:p>
  </w:footnote>
  <w:footnote w:id="44">
    <w:p w:rsidR="003C18FB" w:rsidRDefault="00773466">
      <w:pPr>
        <w:pStyle w:val="FootnoteText"/>
      </w:pPr>
      <w:r>
        <w:rPr>
          <w:rStyle w:val="FootnoteReference"/>
        </w:rPr>
        <w:footnoteRef/>
      </w:r>
      <w:r>
        <w:t xml:space="preserve"> The implementation period covered by this report (of support measures selected for funding in 2018) is 31 August 2017 - 31 October 2019.</w:t>
      </w:r>
    </w:p>
  </w:footnote>
  <w:footnote w:id="45">
    <w:p w:rsidR="003C18FB" w:rsidRDefault="00773466">
      <w:pPr>
        <w:pStyle w:val="FootnoteText"/>
        <w:rPr>
          <w:lang w:val="en-US"/>
        </w:rPr>
      </w:pPr>
      <w:r>
        <w:rPr>
          <w:vertAlign w:val="superscript"/>
        </w:rPr>
        <w:footnoteRef/>
      </w:r>
      <w:r>
        <w:t xml:space="preserve"> </w:t>
      </w:r>
      <w:r>
        <w:rPr>
          <w:lang w:val="en-US"/>
        </w:rPr>
        <w:t>Each support measure can contribute</w:t>
      </w:r>
      <w:r>
        <w:rPr>
          <w:lang w:val="en-US"/>
        </w:rPr>
        <w:t xml:space="preserve"> to more than one specific objective. </w:t>
      </w:r>
    </w:p>
    <w:p w:rsidR="003C18FB" w:rsidRDefault="003C18F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466" w:rsidRPr="00773466" w:rsidRDefault="00773466" w:rsidP="0077346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8FB" w:rsidRDefault="003C18FB">
    <w:pPr>
      <w:pStyle w:val="Header"/>
    </w:pPr>
  </w:p>
  <w:p w:rsidR="003C18FB" w:rsidRDefault="003C18FB"/>
  <w:p w:rsidR="003C18FB" w:rsidRDefault="003C18F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70D57"/>
    <w:multiLevelType w:val="hybridMultilevel"/>
    <w:tmpl w:val="0AAE16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AA1124"/>
    <w:multiLevelType w:val="hybridMultilevel"/>
    <w:tmpl w:val="6A64DF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BD4784"/>
    <w:multiLevelType w:val="hybridMultilevel"/>
    <w:tmpl w:val="BE5A3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53EDE"/>
    <w:multiLevelType w:val="hybridMultilevel"/>
    <w:tmpl w:val="FC9E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764CD"/>
    <w:multiLevelType w:val="hybridMultilevel"/>
    <w:tmpl w:val="91C60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529FA"/>
    <w:multiLevelType w:val="hybridMultilevel"/>
    <w:tmpl w:val="478C5564"/>
    <w:lvl w:ilvl="0" w:tplc="4282C50E">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A35FD2"/>
    <w:multiLevelType w:val="hybridMultilevel"/>
    <w:tmpl w:val="7B70FD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D03D15"/>
    <w:multiLevelType w:val="hybridMultilevel"/>
    <w:tmpl w:val="32FC3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7E1B4E"/>
    <w:multiLevelType w:val="hybridMultilevel"/>
    <w:tmpl w:val="7386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E4976"/>
    <w:multiLevelType w:val="hybridMultilevel"/>
    <w:tmpl w:val="11E86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1" w15:restartNumberingAfterBreak="0">
    <w:nsid w:val="4282455A"/>
    <w:multiLevelType w:val="hybridMultilevel"/>
    <w:tmpl w:val="2B723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4DF2"/>
    <w:multiLevelType w:val="hybridMultilevel"/>
    <w:tmpl w:val="246E18DE"/>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1B">
      <w:start w:val="1"/>
      <w:numFmt w:val="lowerRoman"/>
      <w:lvlText w:val="%7."/>
      <w:lvlJc w:val="righ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5C51B65"/>
    <w:multiLevelType w:val="hybridMultilevel"/>
    <w:tmpl w:val="3F5C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12C6F"/>
    <w:multiLevelType w:val="hybridMultilevel"/>
    <w:tmpl w:val="9350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BB05F3"/>
    <w:multiLevelType w:val="hybridMultilevel"/>
    <w:tmpl w:val="DF10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15:restartNumberingAfterBreak="0">
    <w:nsid w:val="60653DDB"/>
    <w:multiLevelType w:val="multilevel"/>
    <w:tmpl w:val="84E857F6"/>
    <w:lvl w:ilvl="0">
      <w:start w:val="1"/>
      <w:numFmt w:val="decimal"/>
      <w:lvlText w:val="%1."/>
      <w:lvlJc w:val="left"/>
      <w:pPr>
        <w:tabs>
          <w:tab w:val="num" w:pos="480"/>
        </w:tabs>
        <w:ind w:left="480" w:hanging="480"/>
      </w:pPr>
      <w:rPr>
        <w:rFonts w:hint="default"/>
      </w:rPr>
    </w:lvl>
    <w:lvl w:ilvl="1">
      <w:start w:val="1"/>
      <w:numFmt w:val="decimal"/>
      <w:pStyle w:val="Heading2"/>
      <w:lvlText w:val="%1.%2."/>
      <w:lvlJc w:val="left"/>
      <w:pPr>
        <w:tabs>
          <w:tab w:val="num" w:pos="1713"/>
        </w:tabs>
        <w:ind w:left="1713" w:hanging="720"/>
      </w:pPr>
      <w:rPr>
        <w:b/>
      </w:rPr>
    </w:lvl>
    <w:lvl w:ilvl="2">
      <w:start w:val="1"/>
      <w:numFmt w:val="decimal"/>
      <w:pStyle w:val="Heading3"/>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5A81E6B"/>
    <w:multiLevelType w:val="hybridMultilevel"/>
    <w:tmpl w:val="6C16D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C4685C"/>
    <w:multiLevelType w:val="hybridMultilevel"/>
    <w:tmpl w:val="B35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A7C70"/>
    <w:multiLevelType w:val="hybridMultilevel"/>
    <w:tmpl w:val="6106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2" w15:restartNumberingAfterBreak="0">
    <w:nsid w:val="6F7C34C3"/>
    <w:multiLevelType w:val="hybridMultilevel"/>
    <w:tmpl w:val="68C840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D212C"/>
    <w:multiLevelType w:val="hybridMultilevel"/>
    <w:tmpl w:val="8FB8EE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096EDE"/>
    <w:multiLevelType w:val="hybridMultilevel"/>
    <w:tmpl w:val="EFF8C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B983A84"/>
    <w:multiLevelType w:val="hybridMultilevel"/>
    <w:tmpl w:val="1C46EE38"/>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7"/>
  </w:num>
  <w:num w:numId="4">
    <w:abstractNumId w:val="8"/>
  </w:num>
  <w:num w:numId="5">
    <w:abstractNumId w:val="4"/>
  </w:num>
  <w:num w:numId="6">
    <w:abstractNumId w:val="13"/>
  </w:num>
  <w:num w:numId="7">
    <w:abstractNumId w:val="14"/>
  </w:num>
  <w:num w:numId="8">
    <w:abstractNumId w:val="3"/>
  </w:num>
  <w:num w:numId="9">
    <w:abstractNumId w:val="15"/>
  </w:num>
  <w:num w:numId="10">
    <w:abstractNumId w:val="2"/>
  </w:num>
  <w:num w:numId="11">
    <w:abstractNumId w:val="12"/>
  </w:num>
  <w:num w:numId="12">
    <w:abstractNumId w:val="18"/>
  </w:num>
  <w:num w:numId="13">
    <w:abstractNumId w:val="19"/>
  </w:num>
  <w:num w:numId="14">
    <w:abstractNumId w:val="21"/>
  </w:num>
  <w:num w:numId="15">
    <w:abstractNumId w:val="25"/>
  </w:num>
  <w:num w:numId="16">
    <w:abstractNumId w:val="0"/>
  </w:num>
  <w:num w:numId="17">
    <w:abstractNumId w:val="1"/>
  </w:num>
  <w:num w:numId="18">
    <w:abstractNumId w:val="6"/>
  </w:num>
  <w:num w:numId="19">
    <w:abstractNumId w:val="9"/>
  </w:num>
  <w:num w:numId="20">
    <w:abstractNumId w:val="23"/>
  </w:num>
  <w:num w:numId="21">
    <w:abstractNumId w:val="7"/>
  </w:num>
  <w:num w:numId="22">
    <w:abstractNumId w:val="5"/>
  </w:num>
  <w:num w:numId="23">
    <w:abstractNumId w:val="24"/>
  </w:num>
  <w:num w:numId="24">
    <w:abstractNumId w:val="22"/>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2628E61-8C0E-4CC1-81EA-DC0ADB750394"/>
    <w:docVar w:name="LW_COVERPAGE_TYPE" w:val="1"/>
    <w:docVar w:name="LW_CROSSREFERENCE" w:val="{COM(2019) 641 final}"/>
    <w:docVar w:name="LW_DocType" w:val="NORMAL"/>
    <w:docVar w:name="LW_EMISSION" w:val="17.12.2019"/>
    <w:docVar w:name="LW_EMISSION_ISODATE" w:val="2019-12-1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nnual Monitoring Report on the implementation of the Structural Reform Support Programme 2018"/>
    <w:docVar w:name="LW_PART_NBR" w:val="1"/>
    <w:docVar w:name="LW_PART_NBR_TOTAL" w:val="1"/>
    <w:docVar w:name="LW_REF.INST.NEW" w:val="SWD"/>
    <w:docVar w:name="LW_REF.INST.NEW_ADOPTED" w:val="final"/>
    <w:docVar w:name="LW_REF.INST.NEW_TEXT" w:val="(2019) 44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
  </w:docVars>
  <w:rsids>
    <w:rsidRoot w:val="003C18FB"/>
    <w:rsid w:val="003C18FB"/>
    <w:rsid w:val="00773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D8C84B-C7A4-4F89-8F0A-CD1D1E1CC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qFormat/>
    <w:pPr>
      <w:keepNext/>
      <w:spacing w:before="240" w:after="240" w:line="240" w:lineRule="auto"/>
      <w:jc w:val="center"/>
      <w:outlineLvl w:val="0"/>
    </w:pPr>
    <w:rPr>
      <w:rFonts w:ascii="Times New Roman" w:eastAsia="Times New Roman" w:hAnsi="Times New Roman" w:cs="Times New Roman"/>
      <w:b/>
      <w:smallCaps/>
      <w:sz w:val="28"/>
      <w:szCs w:val="20"/>
    </w:rPr>
  </w:style>
  <w:style w:type="paragraph" w:styleId="Heading2">
    <w:name w:val="heading 2"/>
    <w:basedOn w:val="ListParagraph"/>
    <w:next w:val="Normal"/>
    <w:link w:val="Heading2Char"/>
    <w:qFormat/>
    <w:pPr>
      <w:numPr>
        <w:ilvl w:val="1"/>
        <w:numId w:val="3"/>
      </w:numPr>
      <w:spacing w:after="120"/>
      <w:outlineLvl w:val="1"/>
    </w:pPr>
    <w:rPr>
      <w:b/>
      <w:szCs w:val="24"/>
      <w:lang w:eastAsia="en-GB"/>
    </w:rPr>
  </w:style>
  <w:style w:type="paragraph" w:styleId="Heading3">
    <w:name w:val="heading 3"/>
    <w:basedOn w:val="Heading2"/>
    <w:next w:val="Normal"/>
    <w:link w:val="Heading3Char"/>
    <w:uiPriority w:val="9"/>
    <w:unhideWhenUsed/>
    <w:qFormat/>
    <w:pPr>
      <w:numPr>
        <w:ilvl w:val="2"/>
      </w:num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spacing w:after="240" w:line="240" w:lineRule="auto"/>
      <w:jc w:val="both"/>
    </w:pPr>
    <w:rPr>
      <w:rFonts w:ascii="Times New Roman" w:eastAsia="Times New Roman" w:hAnsi="Times New Roman" w:cs="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ascii="Times New Roman" w:eastAsia="Times New Roman" w:hAnsi="Times New Roman" w:cs="Times New Roman"/>
      <w:sz w:val="18"/>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link w:val="TOCHeadingChar"/>
    <w:uiPriority w:val="39"/>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i-art">
    <w:name w:val="ti-ar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i-art">
    <w:name w:val="sti-ar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pPr>
      <w:spacing w:after="100"/>
      <w:ind w:left="220"/>
    </w:pPr>
  </w:style>
  <w:style w:type="paragraph" w:customStyle="1" w:styleId="Normal2">
    <w:name w:val="Normal2"/>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pPr>
      <w:spacing w:line="240" w:lineRule="auto"/>
    </w:pPr>
    <w:rPr>
      <w:b/>
      <w:bCs/>
      <w:color w:val="4F81BD" w:themeColor="accent1"/>
      <w:sz w:val="18"/>
      <w:szCs w:val="18"/>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pPr>
      <w:spacing w:after="0" w:line="240" w:lineRule="auto"/>
    </w:pPr>
  </w:style>
  <w:style w:type="paragraph" w:customStyle="1" w:styleId="ListDash3">
    <w:name w:val="List Dash 3"/>
    <w:basedOn w:val="Normal"/>
    <w:pPr>
      <w:numPr>
        <w:numId w:val="14"/>
      </w:numPr>
      <w:spacing w:after="240" w:line="240" w:lineRule="auto"/>
      <w:jc w:val="both"/>
    </w:pPr>
    <w:rPr>
      <w:rFonts w:ascii="Times New Roman" w:eastAsia="Times New Roman" w:hAnsi="Times New Roman" w:cs="Times New Roman"/>
      <w:sz w:val="24"/>
      <w:szCs w:val="20"/>
    </w:rPr>
  </w:style>
  <w:style w:type="character" w:styleId="Emphasis">
    <w:name w:val="Emphasis"/>
    <w:basedOn w:val="DefaultParagraphFont"/>
    <w:uiPriority w:val="20"/>
    <w:qFormat/>
    <w:rPr>
      <w:i/>
      <w:iCs/>
    </w:rPr>
  </w:style>
  <w:style w:type="character" w:customStyle="1" w:styleId="WW8Num4z0">
    <w:name w:val="WW8Num4z0"/>
    <w:rPr>
      <w:rFonts w:ascii="Symbol" w:hAnsi="Symbol" w:cs="Symbol" w:hint="default"/>
      <w:sz w:val="20"/>
    </w:rPr>
  </w:style>
  <w:style w:type="paragraph" w:styleId="TOC3">
    <w:name w:val="toc 3"/>
    <w:basedOn w:val="Normal"/>
    <w:next w:val="Normal"/>
    <w:autoRedefine/>
    <w:uiPriority w:val="39"/>
    <w:unhideWhenUsed/>
    <w:pPr>
      <w:spacing w:after="100"/>
      <w:ind w:left="440"/>
    </w:p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styleId="FootnoteReference">
    <w:name w:val="footnote reference"/>
    <w:basedOn w:val="DefaultParagraphFont"/>
    <w:uiPriority w:val="99"/>
    <w:semiHidden/>
    <w:unhideWhenUsed/>
    <w:qFormat/>
    <w:rPr>
      <w:vertAlign w:val="superscript"/>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TOCHeadingChar">
    <w:name w:val="TOC Heading Char"/>
    <w:basedOn w:val="DefaultParagraphFont"/>
    <w:link w:val="TOCHeading"/>
    <w:uiPriority w:val="39"/>
    <w:rPr>
      <w:rFonts w:ascii="Times New Roman" w:eastAsia="Times New Roman" w:hAnsi="Times New Roman" w:cs="Times New Roman"/>
      <w:b/>
      <w:sz w:val="24"/>
      <w:szCs w:val="20"/>
    </w:rPr>
  </w:style>
  <w:style w:type="character" w:customStyle="1" w:styleId="HeaderSensitivityRightChar">
    <w:name w:val="Header Sensitivity Right Char"/>
    <w:basedOn w:val="TOCHeadingChar"/>
    <w:link w:val="HeaderSensitivityRight"/>
    <w:rPr>
      <w:rFonts w:ascii="Times New Roman" w:eastAsia="Times New Roman" w:hAnsi="Times New Roman" w:cs="Times New Roman"/>
      <w:b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diagramColors" Target="diagrams/colors1.xml"/><Relationship Id="rId39" Type="http://schemas.openxmlformats.org/officeDocument/2006/relationships/footer" Target="footer9.xml"/><Relationship Id="rId21" Type="http://schemas.openxmlformats.org/officeDocument/2006/relationships/image" Target="media/image2.png"/><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chart" Target="charts/chart8.xml"/><Relationship Id="rId50" Type="http://schemas.openxmlformats.org/officeDocument/2006/relationships/header" Target="header13.xml"/><Relationship Id="rId55" Type="http://schemas.openxmlformats.org/officeDocument/2006/relationships/footer" Target="footer15.xml"/><Relationship Id="rId63" Type="http://schemas.microsoft.com/office/2007/relationships/diagramDrawing" Target="diagrams/drawing2.xml"/><Relationship Id="rId68" Type="http://schemas.openxmlformats.org/officeDocument/2006/relationships/diagramColors" Target="diagrams/colors3.xml"/><Relationship Id="rId76" Type="http://schemas.openxmlformats.org/officeDocument/2006/relationships/diagramLayout" Target="diagrams/layout5.xml"/><Relationship Id="rId84" Type="http://schemas.microsoft.com/office/2007/relationships/diagramDrawing" Target="diagrams/drawing6.xml"/><Relationship Id="rId89" Type="http://schemas.openxmlformats.org/officeDocument/2006/relationships/header" Target="header16.xml"/><Relationship Id="rId7" Type="http://schemas.openxmlformats.org/officeDocument/2006/relationships/image" Target="media/image1.emf"/><Relationship Id="rId71" Type="http://schemas.openxmlformats.org/officeDocument/2006/relationships/diagramLayout" Target="diagrams/layout4.xml"/><Relationship Id="rId92"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diagramLayout" Target="diagrams/layout1.xml"/><Relationship Id="rId32" Type="http://schemas.openxmlformats.org/officeDocument/2006/relationships/chart" Target="charts/chart5.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4.xml"/><Relationship Id="rId58" Type="http://schemas.openxmlformats.org/officeDocument/2006/relationships/chart" Target="charts/chart13.xml"/><Relationship Id="rId66" Type="http://schemas.openxmlformats.org/officeDocument/2006/relationships/diagramLayout" Target="diagrams/layout3.xml"/><Relationship Id="rId74" Type="http://schemas.microsoft.com/office/2007/relationships/diagramDrawing" Target="diagrams/drawing4.xml"/><Relationship Id="rId79" Type="http://schemas.microsoft.com/office/2007/relationships/diagramDrawing" Target="diagrams/drawing5.xml"/><Relationship Id="rId87" Type="http://schemas.openxmlformats.org/officeDocument/2006/relationships/chart" Target="charts/chart17.xml"/><Relationship Id="rId5" Type="http://schemas.openxmlformats.org/officeDocument/2006/relationships/footnotes" Target="footnotes.xml"/><Relationship Id="rId61" Type="http://schemas.openxmlformats.org/officeDocument/2006/relationships/diagramQuickStyle" Target="diagrams/quickStyle2.xml"/><Relationship Id="rId82" Type="http://schemas.openxmlformats.org/officeDocument/2006/relationships/diagramQuickStyle" Target="diagrams/quickStyle6.xml"/><Relationship Id="rId90" Type="http://schemas.openxmlformats.org/officeDocument/2006/relationships/header" Target="header17.xml"/><Relationship Id="rId95"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image" Target="media/image4.png"/><Relationship Id="rId35" Type="http://schemas.openxmlformats.org/officeDocument/2006/relationships/header" Target="header8.xml"/><Relationship Id="rId43" Type="http://schemas.openxmlformats.org/officeDocument/2006/relationships/footer" Target="footer11.xml"/><Relationship Id="rId48" Type="http://schemas.openxmlformats.org/officeDocument/2006/relationships/chart" Target="charts/chart9.xml"/><Relationship Id="rId56" Type="http://schemas.openxmlformats.org/officeDocument/2006/relationships/chart" Target="charts/chart11.xml"/><Relationship Id="rId64" Type="http://schemas.openxmlformats.org/officeDocument/2006/relationships/chart" Target="charts/chart14.xml"/><Relationship Id="rId69" Type="http://schemas.microsoft.com/office/2007/relationships/diagramDrawing" Target="diagrams/drawing3.xml"/><Relationship Id="rId77" Type="http://schemas.openxmlformats.org/officeDocument/2006/relationships/diagramQuickStyle" Target="diagrams/quickStyle5.xml"/><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diagramQuickStyle" Target="diagrams/quickStyle4.xml"/><Relationship Id="rId80" Type="http://schemas.openxmlformats.org/officeDocument/2006/relationships/diagramData" Target="diagrams/data6.xml"/><Relationship Id="rId85" Type="http://schemas.openxmlformats.org/officeDocument/2006/relationships/chart" Target="charts/chart15.xml"/><Relationship Id="rId93"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diagramQuickStyle" Target="diagrams/quickStyle1.xml"/><Relationship Id="rId33" Type="http://schemas.openxmlformats.org/officeDocument/2006/relationships/chart" Target="charts/chart6.xml"/><Relationship Id="rId38" Type="http://schemas.openxmlformats.org/officeDocument/2006/relationships/header" Target="header9.xml"/><Relationship Id="rId46" Type="http://schemas.openxmlformats.org/officeDocument/2006/relationships/chart" Target="charts/chart7.xml"/><Relationship Id="rId59" Type="http://schemas.openxmlformats.org/officeDocument/2006/relationships/diagramData" Target="diagrams/data2.xml"/><Relationship Id="rId67" Type="http://schemas.openxmlformats.org/officeDocument/2006/relationships/diagramQuickStyle" Target="diagrams/quickStyle3.xml"/><Relationship Id="rId20" Type="http://schemas.openxmlformats.org/officeDocument/2006/relationships/chart" Target="charts/chart1.xml"/><Relationship Id="rId41" Type="http://schemas.openxmlformats.org/officeDocument/2006/relationships/header" Target="header11.xml"/><Relationship Id="rId54" Type="http://schemas.openxmlformats.org/officeDocument/2006/relationships/header" Target="header15.xml"/><Relationship Id="rId62" Type="http://schemas.openxmlformats.org/officeDocument/2006/relationships/diagramColors" Target="diagrams/colors2.xml"/><Relationship Id="rId70" Type="http://schemas.openxmlformats.org/officeDocument/2006/relationships/diagramData" Target="diagrams/data4.xml"/><Relationship Id="rId75" Type="http://schemas.openxmlformats.org/officeDocument/2006/relationships/diagramData" Target="diagrams/data5.xml"/><Relationship Id="rId83" Type="http://schemas.openxmlformats.org/officeDocument/2006/relationships/diagramColors" Target="diagrams/colors6.xml"/><Relationship Id="rId88" Type="http://schemas.openxmlformats.org/officeDocument/2006/relationships/chart" Target="charts/chart18.xml"/><Relationship Id="rId91" Type="http://schemas.openxmlformats.org/officeDocument/2006/relationships/footer" Target="footer16.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diagramData" Target="diagrams/data1.xml"/><Relationship Id="rId28" Type="http://schemas.openxmlformats.org/officeDocument/2006/relationships/chart" Target="charts/chart2.xml"/><Relationship Id="rId36" Type="http://schemas.openxmlformats.org/officeDocument/2006/relationships/footer" Target="footer7.xml"/><Relationship Id="rId49" Type="http://schemas.openxmlformats.org/officeDocument/2006/relationships/chart" Target="charts/chart10.xml"/><Relationship Id="rId57" Type="http://schemas.openxmlformats.org/officeDocument/2006/relationships/chart" Target="charts/chart12.xml"/><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header" Target="header12.xml"/><Relationship Id="rId52" Type="http://schemas.openxmlformats.org/officeDocument/2006/relationships/footer" Target="footer13.xml"/><Relationship Id="rId60" Type="http://schemas.openxmlformats.org/officeDocument/2006/relationships/diagramLayout" Target="diagrams/layout2.xml"/><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diagramColors" Target="diagrams/colors5.xml"/><Relationship Id="rId81" Type="http://schemas.openxmlformats.org/officeDocument/2006/relationships/diagramLayout" Target="diagrams/layout6.xml"/><Relationship Id="rId86" Type="http://schemas.openxmlformats.org/officeDocument/2006/relationships/chart" Target="charts/chart16.xml"/><Relationship Id="rId9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neighbourhood-enlargement/tenders/taiex_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Data%20for%20graphs_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SG\SRSS\SRSS%2008\SRSP%20coordination\SRSP%20Annual%20Monitoring%20Reports\AMR%20SRSP%202018\Extract_SRSP%202018%20beneficiary%20authorities_O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SG\SRSS\SRSS%2008\SRSP%20coordination\SRSP%20Annual%20Monitoring%20Reports\AMR%20SRSP%202018\Extract_SRSP%202018%20contracts%20AMR_2%20Oc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SG\SRSS\SRSS%2008\SRSP%20coordination\SRSP%20Annual%20Monitoring%20Reports\AMR%20SRSP%202018\Extract_SRSP%202018%20contracts%20AMR_2%20Oc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Projects_objectives_AMR_4%20Oct.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Projects_objectives_AMR_4%20Oct.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Projects_objectives_AMR_4%20Oct.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Projects_objectives_AMR_4%20Oct.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requests%20received%20and%20selected_SRSP%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Data%20for%20graphs_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SG\SRSS\SRSS%2008\SRSP%20coordination\SRSP%20Annual%20Monitoring%20Reports\AMR%20SRSP%202018\Extract_requests%20received_SRSP%202018.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requests%20received%20and%20selected_SRSP%202018.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SG\SRSS\SRSS%2008\SRSP%20coordination\SRSP%20Annual%20Monitoring%20Reports\AMR%20SRSP%202018\Extract_SRSP%202018%20projects%20AMR_25%20Sep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SRSP%202018%20projects%20AMR_30%20Nov.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SRSP%202018%20projects%20AMR_25%20Sept.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net1.cec.eu.int\SG\SRSS\SRSS%2008\SRSP%20coordination\SRSP%20Annual%20Monitoring%20Reports\AMR%20SRSP%202018\Extract_SRSP%202018%20projects%20AMR_25%20Sep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'Requests submitted'!$B$1</c:f>
              <c:strCache>
                <c:ptCount val="1"/>
                <c:pt idx="0">
                  <c:v>SRSP 2017</c:v>
                </c:pt>
              </c:strCache>
            </c:strRef>
          </c:tx>
          <c:spPr>
            <a:solidFill>
              <a:schemeClr val="accent6"/>
            </a:solidFill>
            <a:ln>
              <a:noFill/>
            </a:ln>
            <a:effectLst/>
          </c:spPr>
          <c:invertIfNegative val="0"/>
          <c:dLbls>
            <c:delete val="1"/>
          </c:dLbls>
          <c:cat>
            <c:strRef>
              <c:f>'Requests submitted'!$A$2:$A$26</c:f>
              <c:strCache>
                <c:ptCount val="25"/>
                <c:pt idx="0">
                  <c:v>AT</c:v>
                </c:pt>
                <c:pt idx="1">
                  <c:v>BE</c:v>
                </c:pt>
                <c:pt idx="2">
                  <c:v>BG</c:v>
                </c:pt>
                <c:pt idx="3">
                  <c:v>CY</c:v>
                </c:pt>
                <c:pt idx="4">
                  <c:v>CZ</c:v>
                </c:pt>
                <c:pt idx="5">
                  <c:v>DE</c:v>
                </c:pt>
                <c:pt idx="6">
                  <c:v>EE</c:v>
                </c:pt>
                <c:pt idx="7">
                  <c:v>EL</c:v>
                </c:pt>
                <c:pt idx="8">
                  <c:v>ES</c:v>
                </c:pt>
                <c:pt idx="9">
                  <c:v>FI</c:v>
                </c:pt>
                <c:pt idx="10">
                  <c:v>FR</c:v>
                </c:pt>
                <c:pt idx="11">
                  <c:v>HR</c:v>
                </c:pt>
                <c:pt idx="12">
                  <c:v>HU</c:v>
                </c:pt>
                <c:pt idx="13">
                  <c:v>IE</c:v>
                </c:pt>
                <c:pt idx="14">
                  <c:v>IT</c:v>
                </c:pt>
                <c:pt idx="15">
                  <c:v>LT</c:v>
                </c:pt>
                <c:pt idx="16">
                  <c:v>LU</c:v>
                </c:pt>
                <c:pt idx="17">
                  <c:v>LV</c:v>
                </c:pt>
                <c:pt idx="18">
                  <c:v>MT</c:v>
                </c:pt>
                <c:pt idx="19">
                  <c:v>PL</c:v>
                </c:pt>
                <c:pt idx="20">
                  <c:v>PT</c:v>
                </c:pt>
                <c:pt idx="21">
                  <c:v>RO</c:v>
                </c:pt>
                <c:pt idx="22">
                  <c:v>SE</c:v>
                </c:pt>
                <c:pt idx="23">
                  <c:v>SI</c:v>
                </c:pt>
                <c:pt idx="24">
                  <c:v>SK</c:v>
                </c:pt>
              </c:strCache>
            </c:strRef>
          </c:cat>
          <c:val>
            <c:numRef>
              <c:f>'Requests submitted'!$B$2:$B$26</c:f>
              <c:numCache>
                <c:formatCode>General</c:formatCode>
                <c:ptCount val="25"/>
                <c:pt idx="0">
                  <c:v>0</c:v>
                </c:pt>
                <c:pt idx="1">
                  <c:v>0</c:v>
                </c:pt>
                <c:pt idx="2">
                  <c:v>15</c:v>
                </c:pt>
                <c:pt idx="3">
                  <c:v>19</c:v>
                </c:pt>
                <c:pt idx="4">
                  <c:v>16</c:v>
                </c:pt>
                <c:pt idx="5">
                  <c:v>0</c:v>
                </c:pt>
                <c:pt idx="6">
                  <c:v>5</c:v>
                </c:pt>
                <c:pt idx="7">
                  <c:v>34</c:v>
                </c:pt>
                <c:pt idx="8">
                  <c:v>0</c:v>
                </c:pt>
                <c:pt idx="9">
                  <c:v>0</c:v>
                </c:pt>
                <c:pt idx="10">
                  <c:v>1</c:v>
                </c:pt>
                <c:pt idx="11">
                  <c:v>22</c:v>
                </c:pt>
                <c:pt idx="12">
                  <c:v>0</c:v>
                </c:pt>
                <c:pt idx="13">
                  <c:v>0</c:v>
                </c:pt>
                <c:pt idx="14">
                  <c:v>11</c:v>
                </c:pt>
                <c:pt idx="15">
                  <c:v>18</c:v>
                </c:pt>
                <c:pt idx="16">
                  <c:v>0</c:v>
                </c:pt>
                <c:pt idx="17">
                  <c:v>12</c:v>
                </c:pt>
                <c:pt idx="18">
                  <c:v>18</c:v>
                </c:pt>
                <c:pt idx="19">
                  <c:v>18</c:v>
                </c:pt>
                <c:pt idx="20">
                  <c:v>4</c:v>
                </c:pt>
                <c:pt idx="21">
                  <c:v>32</c:v>
                </c:pt>
                <c:pt idx="22">
                  <c:v>0</c:v>
                </c:pt>
                <c:pt idx="23">
                  <c:v>24</c:v>
                </c:pt>
                <c:pt idx="24">
                  <c:v>22</c:v>
                </c:pt>
              </c:numCache>
            </c:numRef>
          </c:val>
          <c:extLst>
            <c:ext xmlns:c16="http://schemas.microsoft.com/office/drawing/2014/chart" uri="{C3380CC4-5D6E-409C-BE32-E72D297353CC}">
              <c16:uniqueId val="{00000000-891D-4519-ADC8-4E6AC56D768A}"/>
            </c:ext>
          </c:extLst>
        </c:ser>
        <c:ser>
          <c:idx val="1"/>
          <c:order val="1"/>
          <c:tx>
            <c:strRef>
              <c:f>'Requests submitted'!$C$1</c:f>
              <c:strCache>
                <c:ptCount val="1"/>
                <c:pt idx="0">
                  <c:v>SRSP 2018</c:v>
                </c:pt>
              </c:strCache>
            </c:strRef>
          </c:tx>
          <c:spPr>
            <a:solidFill>
              <a:schemeClr val="accent5"/>
            </a:solidFill>
            <a:ln>
              <a:noFill/>
            </a:ln>
            <a:effectLst/>
          </c:spPr>
          <c:invertIfNegative val="0"/>
          <c:dLbls>
            <c:delete val="1"/>
          </c:dLbls>
          <c:cat>
            <c:strRef>
              <c:f>'Requests submitted'!$A$2:$A$26</c:f>
              <c:strCache>
                <c:ptCount val="25"/>
                <c:pt idx="0">
                  <c:v>AT</c:v>
                </c:pt>
                <c:pt idx="1">
                  <c:v>BE</c:v>
                </c:pt>
                <c:pt idx="2">
                  <c:v>BG</c:v>
                </c:pt>
                <c:pt idx="3">
                  <c:v>CY</c:v>
                </c:pt>
                <c:pt idx="4">
                  <c:v>CZ</c:v>
                </c:pt>
                <c:pt idx="5">
                  <c:v>DE</c:v>
                </c:pt>
                <c:pt idx="6">
                  <c:v>EE</c:v>
                </c:pt>
                <c:pt idx="7">
                  <c:v>EL</c:v>
                </c:pt>
                <c:pt idx="8">
                  <c:v>ES</c:v>
                </c:pt>
                <c:pt idx="9">
                  <c:v>FI</c:v>
                </c:pt>
                <c:pt idx="10">
                  <c:v>FR</c:v>
                </c:pt>
                <c:pt idx="11">
                  <c:v>HR</c:v>
                </c:pt>
                <c:pt idx="12">
                  <c:v>HU</c:v>
                </c:pt>
                <c:pt idx="13">
                  <c:v>IE</c:v>
                </c:pt>
                <c:pt idx="14">
                  <c:v>IT</c:v>
                </c:pt>
                <c:pt idx="15">
                  <c:v>LT</c:v>
                </c:pt>
                <c:pt idx="16">
                  <c:v>LU</c:v>
                </c:pt>
                <c:pt idx="17">
                  <c:v>LV</c:v>
                </c:pt>
                <c:pt idx="18">
                  <c:v>MT</c:v>
                </c:pt>
                <c:pt idx="19">
                  <c:v>PL</c:v>
                </c:pt>
                <c:pt idx="20">
                  <c:v>PT</c:v>
                </c:pt>
                <c:pt idx="21">
                  <c:v>RO</c:v>
                </c:pt>
                <c:pt idx="22">
                  <c:v>SE</c:v>
                </c:pt>
                <c:pt idx="23">
                  <c:v>SI</c:v>
                </c:pt>
                <c:pt idx="24">
                  <c:v>SK</c:v>
                </c:pt>
              </c:strCache>
            </c:strRef>
          </c:cat>
          <c:val>
            <c:numRef>
              <c:f>'Requests submitted'!$C$2:$C$26</c:f>
              <c:numCache>
                <c:formatCode>General</c:formatCode>
                <c:ptCount val="25"/>
                <c:pt idx="0">
                  <c:v>12</c:v>
                </c:pt>
                <c:pt idx="1">
                  <c:v>11</c:v>
                </c:pt>
                <c:pt idx="2">
                  <c:v>12</c:v>
                </c:pt>
                <c:pt idx="3">
                  <c:v>53</c:v>
                </c:pt>
                <c:pt idx="4">
                  <c:v>19</c:v>
                </c:pt>
                <c:pt idx="5">
                  <c:v>1</c:v>
                </c:pt>
                <c:pt idx="6">
                  <c:v>10</c:v>
                </c:pt>
                <c:pt idx="7">
                  <c:v>14</c:v>
                </c:pt>
                <c:pt idx="8">
                  <c:v>30</c:v>
                </c:pt>
                <c:pt idx="9">
                  <c:v>1</c:v>
                </c:pt>
                <c:pt idx="10">
                  <c:v>0</c:v>
                </c:pt>
                <c:pt idx="11">
                  <c:v>40</c:v>
                </c:pt>
                <c:pt idx="12">
                  <c:v>6</c:v>
                </c:pt>
                <c:pt idx="13">
                  <c:v>8</c:v>
                </c:pt>
                <c:pt idx="14">
                  <c:v>15</c:v>
                </c:pt>
                <c:pt idx="15">
                  <c:v>21</c:v>
                </c:pt>
                <c:pt idx="16">
                  <c:v>1</c:v>
                </c:pt>
                <c:pt idx="17">
                  <c:v>28</c:v>
                </c:pt>
                <c:pt idx="18">
                  <c:v>19</c:v>
                </c:pt>
                <c:pt idx="19">
                  <c:v>43</c:v>
                </c:pt>
                <c:pt idx="20">
                  <c:v>12</c:v>
                </c:pt>
                <c:pt idx="21">
                  <c:v>60</c:v>
                </c:pt>
                <c:pt idx="22">
                  <c:v>1</c:v>
                </c:pt>
                <c:pt idx="23">
                  <c:v>12</c:v>
                </c:pt>
                <c:pt idx="24">
                  <c:v>15</c:v>
                </c:pt>
              </c:numCache>
            </c:numRef>
          </c:val>
          <c:extLst>
            <c:ext xmlns:c16="http://schemas.microsoft.com/office/drawing/2014/chart" uri="{C3380CC4-5D6E-409C-BE32-E72D297353CC}">
              <c16:uniqueId val="{00000001-891D-4519-ADC8-4E6AC56D768A}"/>
            </c:ext>
          </c:extLst>
        </c:ser>
        <c:dLbls>
          <c:dLblPos val="outEnd"/>
          <c:showLegendKey val="0"/>
          <c:showVal val="1"/>
          <c:showCatName val="0"/>
          <c:showSerName val="0"/>
          <c:showPercent val="0"/>
          <c:showBubbleSize val="0"/>
        </c:dLbls>
        <c:gapWidth val="247"/>
        <c:axId val="92749184"/>
        <c:axId val="92796032"/>
      </c:barChart>
      <c:catAx>
        <c:axId val="92749184"/>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796032"/>
        <c:crosses val="autoZero"/>
        <c:auto val="1"/>
        <c:lblAlgn val="ctr"/>
        <c:lblOffset val="100"/>
        <c:noMultiLvlLbl val="0"/>
      </c:catAx>
      <c:valAx>
        <c:axId val="9279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4918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pattFill prst="ltDnDiag">
          <a:fgClr>
            <a:srgbClr val="000000">
              <a:alpha val="0"/>
            </a:srgbClr>
          </a:fgClr>
          <a:bgClr>
            <a:srgbClr val="FFFFFF"/>
          </a:bgClr>
        </a:patt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[Extract_SRSP 2018 beneficiary authorities_OM.xlsx]Sheet1!PivotTable6</c:name>
    <c:fmtId val="-1"/>
  </c:pivotSource>
  <c:chart>
    <c:autoTitleDeleted val="1"/>
    <c:pivotFmts>
      <c:pivotFmt>
        <c:idx val="0"/>
      </c:pivotFmt>
      <c:pivotFmt>
        <c:idx val="1"/>
        <c:dLbl>
          <c:idx val="0"/>
          <c:delete val="1"/>
          <c:extLst>
            <c:ext xmlns:c15="http://schemas.microsoft.com/office/drawing/2012/chart" uri="{CE6537A1-D6FC-4f65-9D91-7224C49458BB}"/>
          </c:extLst>
        </c:dLbl>
      </c:pivotFmt>
      <c:pivotFmt>
        <c:idx val="2"/>
        <c:dLbl>
          <c:idx val="0"/>
          <c:layout>
            <c:manualLayout>
              <c:x val="9.2782152230971131E-3"/>
              <c:y val="1.076188393117527E-2"/>
            </c:manualLayout>
          </c:layout>
          <c:showLegendKey val="0"/>
          <c:showVal val="0"/>
          <c:showCatName val="0"/>
          <c:showSerName val="0"/>
          <c:showPercent val="1"/>
          <c:showBubbleSize val="0"/>
          <c:extLst>
            <c:ext xmlns:c15="http://schemas.microsoft.com/office/drawing/2012/chart" uri="{CE6537A1-D6FC-4f65-9D91-7224C49458BB}"/>
          </c:extLst>
        </c:dLbl>
      </c:pivotFmt>
      <c:pivotFmt>
        <c:idx val="3"/>
        <c:dLbl>
          <c:idx val="0"/>
          <c:layout>
            <c:manualLayout>
              <c:x val="4.8611111111111112E-3"/>
              <c:y val="-7.7085156022163896E-3"/>
            </c:manualLayout>
          </c:layout>
          <c:showLegendKey val="0"/>
          <c:showVal val="0"/>
          <c:showCatName val="0"/>
          <c:showSerName val="0"/>
          <c:showPercent val="1"/>
          <c:showBubbleSize val="0"/>
          <c:extLst>
            <c:ext xmlns:c15="http://schemas.microsoft.com/office/drawing/2012/chart" uri="{CE6537A1-D6FC-4f65-9D91-7224C49458BB}"/>
          </c:extLst>
        </c:dLbl>
      </c:pivotFmt>
      <c:pivotFmt>
        <c:idx val="4"/>
        <c:dLbl>
          <c:idx val="0"/>
          <c:layout>
            <c:manualLayout>
              <c:x val="3.1427602799650046E-2"/>
              <c:y val="-6.7524788568095656E-2"/>
            </c:manualLayout>
          </c:layout>
          <c:showLegendKey val="0"/>
          <c:showVal val="0"/>
          <c:showCatName val="0"/>
          <c:showSerName val="0"/>
          <c:showPercent val="1"/>
          <c:showBubbleSize val="0"/>
          <c:extLst>
            <c:ext xmlns:c15="http://schemas.microsoft.com/office/drawing/2012/chart" uri="{CE6537A1-D6FC-4f65-9D91-7224C49458BB}"/>
          </c:extLst>
        </c:dLbl>
      </c:pivotFmt>
      <c:pivotFmt>
        <c:idx val="5"/>
        <c:dLbl>
          <c:idx val="0"/>
          <c:layout>
            <c:manualLayout>
              <c:x val="-1.790113735783027E-2"/>
              <c:y val="-1.3743073782443861E-3"/>
            </c:manualLayout>
          </c:layout>
          <c:showLegendKey val="0"/>
          <c:showVal val="0"/>
          <c:showCatName val="0"/>
          <c:showSerName val="0"/>
          <c:showPercent val="1"/>
          <c:showBubbleSize val="0"/>
          <c:extLst>
            <c:ext xmlns:c15="http://schemas.microsoft.com/office/drawing/2012/chart" uri="{CE6537A1-D6FC-4f65-9D91-7224C49458BB}"/>
          </c:extLst>
        </c:dLbl>
      </c:pivotFmt>
      <c:pivotFmt>
        <c:idx val="6"/>
        <c:dLbl>
          <c:idx val="0"/>
          <c:layout>
            <c:manualLayout>
              <c:x val="3.2428477690288712E-2"/>
              <c:y val="-2.0968212306794985E-3"/>
            </c:manualLayout>
          </c:layout>
          <c:showLegendKey val="0"/>
          <c:showVal val="0"/>
          <c:showCatName val="0"/>
          <c:showSerName val="0"/>
          <c:showPercent val="1"/>
          <c:showBubbleSize val="0"/>
          <c:extLst>
            <c:ext xmlns:c15="http://schemas.microsoft.com/office/drawing/2012/chart" uri="{CE6537A1-D6FC-4f65-9D91-7224C49458BB}"/>
          </c:extLst>
        </c:dLbl>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a:outerShdw blurRad="254000" sx="102000" sy="102000" algn="ctr" rotWithShape="0">
              <a:prstClr val="black">
                <a:alpha val="20000"/>
              </a:prstClr>
            </a:outerShdw>
          </a:effectLst>
        </c:spPr>
        <c:marker>
          <c:spPr>
            <a:solidFill>
              <a:schemeClr val="accent1">
                <a:alpha val="85000"/>
              </a:schemeClr>
            </a:solidFill>
            <a:ln>
              <a:noFill/>
            </a:ln>
            <a:effectLst/>
          </c:spPr>
        </c:marker>
        <c:dLbl>
          <c:idx val="0"/>
          <c:dLblPos val="ctr"/>
          <c:showLegendKey val="0"/>
          <c:showVal val="0"/>
          <c:showCatName val="0"/>
          <c:showSerName val="0"/>
          <c:showPercent val="1"/>
          <c:showBubbleSize val="0"/>
          <c:extLst>
            <c:ext xmlns:c15="http://schemas.microsoft.com/office/drawing/2012/chart" uri="{CE6537A1-D6FC-4f65-9D91-7224C49458BB}"/>
          </c:extLst>
        </c:dLbl>
      </c:pivotFmt>
      <c:pivotFmt>
        <c:idx val="14"/>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6"/>
          </a:solidFill>
          <a:ln>
            <a:noFill/>
          </a:ln>
          <a:effectLst>
            <a:outerShdw blurRad="254000" sx="102000" sy="102000" algn="ctr" rotWithShape="0">
              <a:prstClr val="black">
                <a:alpha val="20000"/>
              </a:prstClr>
            </a:outerShdw>
          </a:effectLst>
        </c:spPr>
        <c:dLbl>
          <c:idx val="0"/>
          <c:layout>
            <c:manualLayout>
              <c:x val="5.1657480314960633E-2"/>
              <c:y val="0.1295337561971420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5"/>
          </a:solidFill>
          <a:ln>
            <a:noFill/>
          </a:ln>
          <a:effectLst>
            <a:outerShdw blurRad="254000" sx="102000" sy="102000" algn="ctr" rotWithShape="0">
              <a:prstClr val="black">
                <a:alpha val="20000"/>
              </a:prstClr>
            </a:outerShdw>
          </a:effectLst>
        </c:spPr>
        <c:dLbl>
          <c:idx val="0"/>
          <c:layout>
            <c:manualLayout>
              <c:x val="5.6986657917760281E-2"/>
              <c:y val="0.15493401866433359"/>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outerShdw blurRad="254000" sx="102000" sy="102000" algn="ctr" rotWithShape="0">
              <a:prstClr val="black">
                <a:alpha val="20000"/>
              </a:prstClr>
            </a:outerShdw>
          </a:effectLst>
        </c:spPr>
      </c:pivotFmt>
      <c:pivotFmt>
        <c:idx val="18"/>
        <c:spPr>
          <a:solidFill>
            <a:schemeClr val="accent2"/>
          </a:solidFill>
          <a:ln>
            <a:noFill/>
          </a:ln>
          <a:effectLst>
            <a:outerShdw blurRad="254000" sx="102000" sy="102000" algn="ctr" rotWithShape="0">
              <a:prstClr val="black">
                <a:alpha val="20000"/>
              </a:prstClr>
            </a:outerShdw>
          </a:effectLst>
        </c:spPr>
      </c:pivotFmt>
      <c:pivotFmt>
        <c:idx val="19"/>
        <c:spPr>
          <a:solidFill>
            <a:schemeClr val="accent3"/>
          </a:solidFill>
          <a:ln>
            <a:noFill/>
          </a:ln>
          <a:effectLst>
            <a:outerShdw blurRad="254000" sx="102000" sy="102000" algn="ctr" rotWithShape="0">
              <a:prstClr val="black">
                <a:alpha val="20000"/>
              </a:prstClr>
            </a:outerShdw>
          </a:effectLst>
        </c:spPr>
      </c:pivotFmt>
      <c:pivotFmt>
        <c:idx val="20"/>
        <c:spPr>
          <a:solidFill>
            <a:schemeClr val="accent4"/>
          </a:solidFill>
          <a:ln>
            <a:noFill/>
          </a:ln>
          <a:effectLst>
            <a:outerShdw blurRad="254000" sx="102000" sy="102000" algn="ctr" rotWithShape="0">
              <a:prstClr val="black">
                <a:alpha val="20000"/>
              </a:prstClr>
            </a:outerShdw>
          </a:effectLst>
        </c:spPr>
      </c:pivotFmt>
      <c:pivotFmt>
        <c:idx val="21"/>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2"/>
          </a:solidFill>
          <a:ln>
            <a:noFill/>
          </a:ln>
          <a:effectLst>
            <a:outerShdw blurRad="254000" sx="102000" sy="102000" algn="ctr" rotWithShape="0">
              <a:prstClr val="black">
                <a:alpha val="20000"/>
              </a:prstClr>
            </a:outerShdw>
          </a:effectLst>
        </c:spPr>
      </c:pivotFmt>
      <c:pivotFmt>
        <c:idx val="23"/>
        <c:spPr>
          <a:solidFill>
            <a:schemeClr val="accent3"/>
          </a:solidFill>
          <a:ln>
            <a:noFill/>
          </a:ln>
          <a:effectLst>
            <a:outerShdw blurRad="254000" sx="102000" sy="102000" algn="ctr" rotWithShape="0">
              <a:prstClr val="black">
                <a:alpha val="20000"/>
              </a:prstClr>
            </a:outerShdw>
          </a:effectLst>
        </c:spPr>
      </c:pivotFmt>
      <c:pivotFmt>
        <c:idx val="24"/>
        <c:spPr>
          <a:solidFill>
            <a:schemeClr val="accent4"/>
          </a:solidFill>
          <a:ln>
            <a:noFill/>
          </a:ln>
          <a:effectLst>
            <a:outerShdw blurRad="254000" sx="102000" sy="102000" algn="ctr" rotWithShape="0">
              <a:prstClr val="black">
                <a:alpha val="20000"/>
              </a:prstClr>
            </a:outerShdw>
          </a:effectLst>
        </c:spPr>
      </c:pivotFmt>
      <c:pivotFmt>
        <c:idx val="25"/>
        <c:spPr>
          <a:solidFill>
            <a:schemeClr val="accent5"/>
          </a:solidFill>
          <a:ln>
            <a:noFill/>
          </a:ln>
          <a:effectLst>
            <a:outerShdw blurRad="254000" sx="102000" sy="102000" algn="ctr" rotWithShape="0">
              <a:prstClr val="black">
                <a:alpha val="20000"/>
              </a:prstClr>
            </a:outerShdw>
          </a:effectLst>
        </c:spPr>
        <c:dLbl>
          <c:idx val="0"/>
          <c:layout>
            <c:manualLayout>
              <c:x val="5.6986657917760281E-2"/>
              <c:y val="0.15493401866433359"/>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a:outerShdw blurRad="254000" sx="102000" sy="102000" algn="ctr" rotWithShape="0">
              <a:prstClr val="black">
                <a:alpha val="20000"/>
              </a:prstClr>
            </a:outerShdw>
          </a:effectLst>
        </c:spPr>
        <c:dLbl>
          <c:idx val="0"/>
          <c:layout>
            <c:manualLayout>
              <c:x val="5.1657480314960633E-2"/>
              <c:y val="0.1295337561971420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7"/>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2"/>
          </a:solidFill>
          <a:ln>
            <a:noFill/>
          </a:ln>
          <a:effectLst>
            <a:outerShdw blurRad="254000" sx="102000" sy="102000" algn="ctr" rotWithShape="0">
              <a:prstClr val="black">
                <a:alpha val="20000"/>
              </a:prstClr>
            </a:outerShdw>
          </a:effectLst>
        </c:spPr>
      </c:pivotFmt>
      <c:pivotFmt>
        <c:idx val="29"/>
        <c:spPr>
          <a:solidFill>
            <a:schemeClr val="accent3"/>
          </a:solidFill>
          <a:ln>
            <a:noFill/>
          </a:ln>
          <a:effectLst>
            <a:outerShdw blurRad="254000" sx="102000" sy="102000" algn="ctr" rotWithShape="0">
              <a:prstClr val="black">
                <a:alpha val="20000"/>
              </a:prstClr>
            </a:outerShdw>
          </a:effectLst>
        </c:spPr>
      </c:pivotFmt>
      <c:pivotFmt>
        <c:idx val="30"/>
        <c:spPr>
          <a:solidFill>
            <a:schemeClr val="accent4"/>
          </a:solidFill>
          <a:ln>
            <a:noFill/>
          </a:ln>
          <a:effectLst>
            <a:outerShdw blurRad="254000" sx="102000" sy="102000" algn="ctr" rotWithShape="0">
              <a:prstClr val="black">
                <a:alpha val="20000"/>
              </a:prstClr>
            </a:outerShdw>
          </a:effectLst>
        </c:spPr>
      </c:pivotFmt>
      <c:pivotFmt>
        <c:idx val="31"/>
        <c:spPr>
          <a:solidFill>
            <a:schemeClr val="accent5"/>
          </a:solidFill>
          <a:ln>
            <a:noFill/>
          </a:ln>
          <a:effectLst>
            <a:outerShdw blurRad="254000" sx="102000" sy="102000" algn="ctr" rotWithShape="0">
              <a:prstClr val="black">
                <a:alpha val="20000"/>
              </a:prstClr>
            </a:outerShdw>
          </a:effectLst>
        </c:spPr>
        <c:dLbl>
          <c:idx val="0"/>
          <c:layout>
            <c:manualLayout>
              <c:x val="5.6986657917760281E-2"/>
              <c:y val="0.15493401866433359"/>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6"/>
          </a:solidFill>
          <a:ln>
            <a:noFill/>
          </a:ln>
          <a:effectLst>
            <a:outerShdw blurRad="254000" sx="102000" sy="102000" algn="ctr" rotWithShape="0">
              <a:prstClr val="black">
                <a:alpha val="20000"/>
              </a:prstClr>
            </a:outerShdw>
          </a:effectLst>
        </c:spPr>
        <c:dLbl>
          <c:idx val="0"/>
          <c:layout>
            <c:manualLayout>
              <c:x val="5.1657480314960633E-2"/>
              <c:y val="0.1295337561971420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Sheet1!$B$3</c:f>
              <c:strCache>
                <c:ptCount val="1"/>
                <c:pt idx="0">
                  <c:v>Total</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5E-4BE4-923E-E66A9AEB4A57}"/>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5E-4BE4-923E-E66A9AEB4A57}"/>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5E-4BE4-923E-E66A9AEB4A57}"/>
              </c:ext>
            </c:extLst>
          </c:dPt>
          <c:dPt>
            <c:idx val="3"/>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5E-4BE4-923E-E66A9AEB4A57}"/>
              </c:ext>
            </c:extLst>
          </c:dPt>
          <c:dPt>
            <c:idx val="4"/>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15E-4BE4-923E-E66A9AEB4A57}"/>
              </c:ext>
            </c:extLst>
          </c:dPt>
          <c:dPt>
            <c:idx val="5"/>
            <c:bubble3D val="0"/>
            <c:extLst>
              <c:ext xmlns:c16="http://schemas.microsoft.com/office/drawing/2014/chart" uri="{C3380CC4-5D6E-409C-BE32-E72D297353CC}">
                <c16:uniqueId val="{0000000A-315E-4BE4-923E-E66A9AEB4A57}"/>
              </c:ext>
            </c:extLst>
          </c:dPt>
          <c:dLbls>
            <c:dLbl>
              <c:idx val="3"/>
              <c:layout>
                <c:manualLayout>
                  <c:x val="5.6986657917760281E-2"/>
                  <c:y val="0.154934018664333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5E-4BE4-923E-E66A9AEB4A57}"/>
                </c:ext>
              </c:extLst>
            </c:dLbl>
            <c:dLbl>
              <c:idx val="4"/>
              <c:layout>
                <c:manualLayout>
                  <c:x val="5.1657480314960633E-2"/>
                  <c:y val="0.1295337561971420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5E-4BE4-923E-E66A9AEB4A5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Sheet1!$A$4:$A$9</c:f>
              <c:strCache>
                <c:ptCount val="5"/>
                <c:pt idx="0">
                  <c:v>Central government/ Ministry</c:v>
                </c:pt>
                <c:pt idx="1">
                  <c:v>Other public bodies</c:v>
                </c:pt>
                <c:pt idx="2">
                  <c:v>Public agency</c:v>
                </c:pt>
                <c:pt idx="3">
                  <c:v>Regional/Local authority</c:v>
                </c:pt>
                <c:pt idx="4">
                  <c:v>Regulatory authority</c:v>
                </c:pt>
              </c:strCache>
            </c:strRef>
          </c:cat>
          <c:val>
            <c:numRef>
              <c:f>Sheet1!$B$4:$B$9</c:f>
              <c:numCache>
                <c:formatCode>0%</c:formatCode>
                <c:ptCount val="5"/>
                <c:pt idx="0">
                  <c:v>0.66101694915254239</c:v>
                </c:pt>
                <c:pt idx="1">
                  <c:v>9.3220338983050849E-2</c:v>
                </c:pt>
                <c:pt idx="2">
                  <c:v>0.1440677966101695</c:v>
                </c:pt>
                <c:pt idx="3">
                  <c:v>2.5423728813559324E-2</c:v>
                </c:pt>
                <c:pt idx="4">
                  <c:v>7.6271186440677971E-2</c:v>
                </c:pt>
              </c:numCache>
            </c:numRef>
          </c:val>
          <c:extLst>
            <c:ext xmlns:c16="http://schemas.microsoft.com/office/drawing/2014/chart" uri="{C3380CC4-5D6E-409C-BE32-E72D297353CC}">
              <c16:uniqueId val="{0000000B-315E-4BE4-923E-E66A9AEB4A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653565179352582"/>
          <c:y val="8.5275955088947197E-2"/>
          <c:w val="0.32346434820647418"/>
          <c:h val="0.87524278215223095"/>
        </c:manualLayout>
      </c:layout>
      <c:overlay val="0"/>
      <c:spPr>
        <a:solidFill>
          <a:sysClr val="window" lastClr="FFFFFF"/>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spPr>
              <a:noFill/>
              <a:ln>
                <a:noFill/>
              </a:ln>
              <a:effectLst/>
            </c:spPr>
            <c:txPr>
              <a:bodyPr/>
              <a:lstStyle/>
              <a:p>
                <a:pPr>
                  <a:defRPr sz="20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Sheet4!$A$15:$A$17</c:f>
              <c:strCache>
                <c:ptCount val="3"/>
                <c:pt idx="0">
                  <c:v>Grants</c:v>
                </c:pt>
                <c:pt idx="1">
                  <c:v>Public procurement</c:v>
                </c:pt>
                <c:pt idx="2">
                  <c:v>Indirect management</c:v>
                </c:pt>
              </c:strCache>
            </c:strRef>
          </c:cat>
          <c:val>
            <c:numRef>
              <c:f>Sheet4!$B$15:$B$17</c:f>
              <c:numCache>
                <c:formatCode>0%</c:formatCode>
                <c:ptCount val="3"/>
                <c:pt idx="0">
                  <c:v>0.5182570781256296</c:v>
                </c:pt>
                <c:pt idx="1">
                  <c:v>0.43801736490997706</c:v>
                </c:pt>
                <c:pt idx="2">
                  <c:v>4.3725556964393369E-2</c:v>
                </c:pt>
              </c:numCache>
            </c:numRef>
          </c:val>
          <c:extLst>
            <c:ext xmlns:c16="http://schemas.microsoft.com/office/drawing/2014/chart" uri="{C3380CC4-5D6E-409C-BE32-E72D297353CC}">
              <c16:uniqueId val="{00000000-2C99-4061-AB29-527BE4F9394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22-48B9-88DC-ABCD7A02F9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22-48B9-88DC-ABCD7A02F9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22-48B9-88DC-ABCD7A02F9B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22-48B9-88DC-ABCD7A02F9B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C22-48B9-88DC-ABCD7A02F9B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C22-48B9-88DC-ABCD7A02F9B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C22-48B9-88DC-ABCD7A02F9B0}"/>
              </c:ext>
            </c:extLst>
          </c:dPt>
          <c:dLbls>
            <c:dLbl>
              <c:idx val="6"/>
              <c:layout>
                <c:manualLayout>
                  <c:x val="5.394028871391076E-2"/>
                  <c:y val="0.113468941382327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C22-48B9-88DC-ABCD7A02F9B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'Type of contracts'!$A$29:$A$35</c:f>
              <c:strCache>
                <c:ptCount val="7"/>
                <c:pt idx="0">
                  <c:v>International Organisation</c:v>
                </c:pt>
                <c:pt idx="1">
                  <c:v>Bodies governed by private law with a public service mission</c:v>
                </c:pt>
                <c:pt idx="2">
                  <c:v>Government bodies</c:v>
                </c:pt>
                <c:pt idx="3">
                  <c:v>Private Company</c:v>
                </c:pt>
                <c:pt idx="4">
                  <c:v>Public law bodies</c:v>
                </c:pt>
                <c:pt idx="5">
                  <c:v>NGO</c:v>
                </c:pt>
                <c:pt idx="6">
                  <c:v>Other (specify)</c:v>
                </c:pt>
              </c:strCache>
            </c:strRef>
          </c:cat>
          <c:val>
            <c:numRef>
              <c:f>'Type of contracts'!$B$29:$B$35</c:f>
              <c:numCache>
                <c:formatCode>0%</c:formatCode>
                <c:ptCount val="7"/>
                <c:pt idx="0">
                  <c:v>0.46774193548387094</c:v>
                </c:pt>
                <c:pt idx="1">
                  <c:v>9.6774193548387094E-2</c:v>
                </c:pt>
                <c:pt idx="2">
                  <c:v>0.17741935483870969</c:v>
                </c:pt>
                <c:pt idx="3">
                  <c:v>3.2258064516129031E-2</c:v>
                </c:pt>
                <c:pt idx="4">
                  <c:v>0.16129032258064516</c:v>
                </c:pt>
                <c:pt idx="5">
                  <c:v>1.6129032258064516E-2</c:v>
                </c:pt>
                <c:pt idx="6">
                  <c:v>4.8387096774193547E-2</c:v>
                </c:pt>
              </c:numCache>
            </c:numRef>
          </c:val>
          <c:extLst>
            <c:ext xmlns:c16="http://schemas.microsoft.com/office/drawing/2014/chart" uri="{C3380CC4-5D6E-409C-BE32-E72D297353CC}">
              <c16:uniqueId val="{0000000E-EC22-48B9-88DC-ABCD7A02F9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079440069991246"/>
          <c:y val="5.1283172936716241E-2"/>
          <c:w val="0.33253893263342083"/>
          <c:h val="0.94835958005249366"/>
        </c:manualLayout>
      </c:layout>
      <c:overlay val="0"/>
      <c:spPr>
        <a:solidFill>
          <a:sysClr val="window" lastClr="FFFFFF"/>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A3-49DD-A9F3-DDD866B49A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A3-49DD-A9F3-DDD866B49A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A3-49DD-A9F3-DDD866B49A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A3-49DD-A9F3-DDD866B49A88}"/>
              </c:ext>
            </c:extLst>
          </c:dPt>
          <c:dLbls>
            <c:dLbl>
              <c:idx val="0"/>
              <c:layout>
                <c:manualLayout>
                  <c:x val="3.0587489063867018E-2"/>
                  <c:y val="7.332932341790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A3-49DD-A9F3-DDD866B49A88}"/>
                </c:ext>
              </c:extLst>
            </c:dLbl>
            <c:dLbl>
              <c:idx val="3"/>
              <c:layout>
                <c:manualLayout>
                  <c:x val="-2.0353455818022774E-2"/>
                  <c:y val="8.8583041703120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A3-49DD-A9F3-DDD866B49A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'Type of contracts'!$D$65:$D$68</c:f>
              <c:strCache>
                <c:ptCount val="4"/>
                <c:pt idx="0">
                  <c:v>AMI list (Call for expression of interest)</c:v>
                </c:pt>
                <c:pt idx="1">
                  <c:v>Framework contracts</c:v>
                </c:pt>
                <c:pt idx="2">
                  <c:v>Procurement contracts for services</c:v>
                </c:pt>
                <c:pt idx="3">
                  <c:v>TAIEX</c:v>
                </c:pt>
              </c:strCache>
            </c:strRef>
          </c:cat>
          <c:val>
            <c:numRef>
              <c:f>'Type of contracts'!$E$65:$E$68</c:f>
              <c:numCache>
                <c:formatCode>0%</c:formatCode>
                <c:ptCount val="4"/>
                <c:pt idx="0">
                  <c:v>1.2779310874207174E-2</c:v>
                </c:pt>
                <c:pt idx="1">
                  <c:v>0.78601944614726849</c:v>
                </c:pt>
                <c:pt idx="2">
                  <c:v>0.16382696222320153</c:v>
                </c:pt>
                <c:pt idx="3">
                  <c:v>3.7374280755322772E-2</c:v>
                </c:pt>
              </c:numCache>
            </c:numRef>
          </c:val>
          <c:extLst>
            <c:ext xmlns:c16="http://schemas.microsoft.com/office/drawing/2014/chart" uri="{C3380CC4-5D6E-409C-BE32-E72D297353CC}">
              <c16:uniqueId val="{00000008-12A3-49DD-A9F3-DDD866B49A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663276465441821"/>
          <c:y val="0.30447944006999123"/>
          <c:w val="0.33392279090113736"/>
          <c:h val="0.55770778652668418"/>
        </c:manualLayout>
      </c:layout>
      <c:overlay val="0"/>
      <c:spPr>
        <a:solidFill>
          <a:sysClr val="window" lastClr="FFFFFF"/>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[Extract_completed projects_SRSP_2017_2018_cut off.xlsx]Sheet4!PivotTable3</c:name>
    <c:fmtId val="-1"/>
  </c:pivotSource>
  <c:chart>
    <c:autoTitleDeleted val="0"/>
    <c:pivotFmts>
      <c:pivotFmt>
        <c:idx val="0"/>
        <c:marker>
          <c:symbol val="none"/>
        </c:marker>
      </c:pivotFmt>
      <c:pivotFmt>
        <c:idx val="1"/>
        <c:marker>
          <c:symbol val="none"/>
        </c:marker>
      </c:pivotFmt>
      <c:pivotFmt>
        <c:idx val="2"/>
      </c:pivotFmt>
      <c:pivotFmt>
        <c:idx val="3"/>
      </c:pivotFmt>
      <c:pivotFmt>
        <c:idx val="4"/>
        <c:marker>
          <c:symbol val="none"/>
        </c:marker>
      </c:pivotFmt>
      <c:pivotFmt>
        <c:idx val="5"/>
        <c:marker>
          <c:symbol val="none"/>
        </c:marker>
      </c:pivotFmt>
      <c:pivotFmt>
        <c:idx val="6"/>
        <c:marker>
          <c:symbol val="none"/>
        </c:marker>
      </c:pivotFmt>
      <c:pivotFmt>
        <c:idx val="7"/>
        <c:marker>
          <c:symbol val="none"/>
        </c:marker>
      </c:pivotFmt>
    </c:pivotFmts>
    <c:plotArea>
      <c:layout/>
      <c:barChart>
        <c:barDir val="col"/>
        <c:grouping val="clustered"/>
        <c:varyColors val="0"/>
        <c:ser>
          <c:idx val="0"/>
          <c:order val="0"/>
          <c:tx>
            <c:strRef>
              <c:f>Sheet4!$B$3:$B$4</c:f>
              <c:strCache>
                <c:ptCount val="1"/>
                <c:pt idx="0">
                  <c:v>SRSP 2017</c:v>
                </c:pt>
              </c:strCache>
            </c:strRef>
          </c:tx>
          <c:invertIfNegative val="0"/>
          <c:cat>
            <c:strRef>
              <c:f>Sheet4!$A$5:$A$25</c:f>
              <c:strCache>
                <c:ptCount val="20"/>
                <c:pt idx="0">
                  <c:v>AT</c:v>
                </c:pt>
                <c:pt idx="1">
                  <c:v>BE</c:v>
                </c:pt>
                <c:pt idx="2">
                  <c:v>BG</c:v>
                </c:pt>
                <c:pt idx="3">
                  <c:v>HR</c:v>
                </c:pt>
                <c:pt idx="4">
                  <c:v>CY</c:v>
                </c:pt>
                <c:pt idx="5">
                  <c:v>CZ</c:v>
                </c:pt>
                <c:pt idx="6">
                  <c:v>EE</c:v>
                </c:pt>
                <c:pt idx="7">
                  <c:v>FR</c:v>
                </c:pt>
                <c:pt idx="8">
                  <c:v>EL</c:v>
                </c:pt>
                <c:pt idx="9">
                  <c:v>IE</c:v>
                </c:pt>
                <c:pt idx="10">
                  <c:v>IT</c:v>
                </c:pt>
                <c:pt idx="11">
                  <c:v>LV</c:v>
                </c:pt>
                <c:pt idx="12">
                  <c:v>LT</c:v>
                </c:pt>
                <c:pt idx="13">
                  <c:v>MT</c:v>
                </c:pt>
                <c:pt idx="14">
                  <c:v>PL</c:v>
                </c:pt>
                <c:pt idx="15">
                  <c:v>PT</c:v>
                </c:pt>
                <c:pt idx="16">
                  <c:v>RO </c:v>
                </c:pt>
                <c:pt idx="17">
                  <c:v>SK</c:v>
                </c:pt>
                <c:pt idx="18">
                  <c:v>SI</c:v>
                </c:pt>
                <c:pt idx="19">
                  <c:v>ES</c:v>
                </c:pt>
              </c:strCache>
            </c:strRef>
          </c:cat>
          <c:val>
            <c:numRef>
              <c:f>Sheet4!$B$5:$B$25</c:f>
              <c:numCache>
                <c:formatCode>General</c:formatCode>
                <c:ptCount val="20"/>
                <c:pt idx="2">
                  <c:v>6</c:v>
                </c:pt>
                <c:pt idx="3">
                  <c:v>9</c:v>
                </c:pt>
                <c:pt idx="4">
                  <c:v>3</c:v>
                </c:pt>
                <c:pt idx="5">
                  <c:v>4</c:v>
                </c:pt>
                <c:pt idx="6">
                  <c:v>1</c:v>
                </c:pt>
                <c:pt idx="7">
                  <c:v>1</c:v>
                </c:pt>
                <c:pt idx="8">
                  <c:v>1</c:v>
                </c:pt>
                <c:pt idx="10">
                  <c:v>5</c:v>
                </c:pt>
                <c:pt idx="11">
                  <c:v>8</c:v>
                </c:pt>
                <c:pt idx="12">
                  <c:v>9</c:v>
                </c:pt>
                <c:pt idx="13">
                  <c:v>7</c:v>
                </c:pt>
                <c:pt idx="14">
                  <c:v>8</c:v>
                </c:pt>
                <c:pt idx="15">
                  <c:v>1</c:v>
                </c:pt>
                <c:pt idx="16">
                  <c:v>9</c:v>
                </c:pt>
                <c:pt idx="17">
                  <c:v>3</c:v>
                </c:pt>
                <c:pt idx="18">
                  <c:v>6</c:v>
                </c:pt>
              </c:numCache>
            </c:numRef>
          </c:val>
          <c:extLst>
            <c:ext xmlns:c16="http://schemas.microsoft.com/office/drawing/2014/chart" uri="{C3380CC4-5D6E-409C-BE32-E72D297353CC}">
              <c16:uniqueId val="{00000000-C537-4FB9-A12D-94A8809B4172}"/>
            </c:ext>
          </c:extLst>
        </c:ser>
        <c:ser>
          <c:idx val="1"/>
          <c:order val="1"/>
          <c:tx>
            <c:strRef>
              <c:f>Sheet4!$C$3:$C$4</c:f>
              <c:strCache>
                <c:ptCount val="1"/>
                <c:pt idx="0">
                  <c:v>SRSP 2018</c:v>
                </c:pt>
              </c:strCache>
            </c:strRef>
          </c:tx>
          <c:invertIfNegative val="0"/>
          <c:cat>
            <c:strRef>
              <c:f>Sheet4!$A$5:$A$25</c:f>
              <c:strCache>
                <c:ptCount val="20"/>
                <c:pt idx="0">
                  <c:v>AT</c:v>
                </c:pt>
                <c:pt idx="1">
                  <c:v>BE</c:v>
                </c:pt>
                <c:pt idx="2">
                  <c:v>BG</c:v>
                </c:pt>
                <c:pt idx="3">
                  <c:v>HR</c:v>
                </c:pt>
                <c:pt idx="4">
                  <c:v>CY</c:v>
                </c:pt>
                <c:pt idx="5">
                  <c:v>CZ</c:v>
                </c:pt>
                <c:pt idx="6">
                  <c:v>EE</c:v>
                </c:pt>
                <c:pt idx="7">
                  <c:v>FR</c:v>
                </c:pt>
                <c:pt idx="8">
                  <c:v>EL</c:v>
                </c:pt>
                <c:pt idx="9">
                  <c:v>IE</c:v>
                </c:pt>
                <c:pt idx="10">
                  <c:v>IT</c:v>
                </c:pt>
                <c:pt idx="11">
                  <c:v>LV</c:v>
                </c:pt>
                <c:pt idx="12">
                  <c:v>LT</c:v>
                </c:pt>
                <c:pt idx="13">
                  <c:v>MT</c:v>
                </c:pt>
                <c:pt idx="14">
                  <c:v>PL</c:v>
                </c:pt>
                <c:pt idx="15">
                  <c:v>PT</c:v>
                </c:pt>
                <c:pt idx="16">
                  <c:v>RO </c:v>
                </c:pt>
                <c:pt idx="17">
                  <c:v>SK</c:v>
                </c:pt>
                <c:pt idx="18">
                  <c:v>SI</c:v>
                </c:pt>
                <c:pt idx="19">
                  <c:v>ES</c:v>
                </c:pt>
              </c:strCache>
            </c:strRef>
          </c:cat>
          <c:val>
            <c:numRef>
              <c:f>Sheet4!$C$5:$C$25</c:f>
              <c:numCache>
                <c:formatCode>General</c:formatCode>
                <c:ptCount val="20"/>
                <c:pt idx="0">
                  <c:v>2</c:v>
                </c:pt>
                <c:pt idx="1">
                  <c:v>3</c:v>
                </c:pt>
                <c:pt idx="3">
                  <c:v>4</c:v>
                </c:pt>
                <c:pt idx="4">
                  <c:v>7</c:v>
                </c:pt>
                <c:pt idx="5">
                  <c:v>4</c:v>
                </c:pt>
                <c:pt idx="8">
                  <c:v>1</c:v>
                </c:pt>
                <c:pt idx="9">
                  <c:v>2</c:v>
                </c:pt>
                <c:pt idx="10">
                  <c:v>2</c:v>
                </c:pt>
                <c:pt idx="11">
                  <c:v>2</c:v>
                </c:pt>
                <c:pt idx="12">
                  <c:v>1</c:v>
                </c:pt>
                <c:pt idx="13">
                  <c:v>3</c:v>
                </c:pt>
                <c:pt idx="14">
                  <c:v>4</c:v>
                </c:pt>
                <c:pt idx="16">
                  <c:v>2</c:v>
                </c:pt>
                <c:pt idx="17">
                  <c:v>1</c:v>
                </c:pt>
                <c:pt idx="18">
                  <c:v>1</c:v>
                </c:pt>
                <c:pt idx="19">
                  <c:v>3</c:v>
                </c:pt>
              </c:numCache>
            </c:numRef>
          </c:val>
          <c:extLst>
            <c:ext xmlns:c16="http://schemas.microsoft.com/office/drawing/2014/chart" uri="{C3380CC4-5D6E-409C-BE32-E72D297353CC}">
              <c16:uniqueId val="{00000001-C537-4FB9-A12D-94A8809B4172}"/>
            </c:ext>
          </c:extLst>
        </c:ser>
        <c:dLbls>
          <c:showLegendKey val="0"/>
          <c:showVal val="0"/>
          <c:showCatName val="0"/>
          <c:showSerName val="0"/>
          <c:showPercent val="0"/>
          <c:showBubbleSize val="0"/>
        </c:dLbls>
        <c:gapWidth val="150"/>
        <c:axId val="100346880"/>
        <c:axId val="100348672"/>
      </c:barChart>
      <c:catAx>
        <c:axId val="100346880"/>
        <c:scaling>
          <c:orientation val="minMax"/>
        </c:scaling>
        <c:delete val="0"/>
        <c:axPos val="b"/>
        <c:numFmt formatCode="General" sourceLinked="0"/>
        <c:majorTickMark val="none"/>
        <c:minorTickMark val="none"/>
        <c:tickLblPos val="nextTo"/>
        <c:crossAx val="100348672"/>
        <c:crosses val="autoZero"/>
        <c:auto val="1"/>
        <c:lblAlgn val="ctr"/>
        <c:lblOffset val="100"/>
        <c:noMultiLvlLbl val="0"/>
      </c:catAx>
      <c:valAx>
        <c:axId val="100348672"/>
        <c:scaling>
          <c:orientation val="minMax"/>
        </c:scaling>
        <c:delete val="1"/>
        <c:axPos val="l"/>
        <c:numFmt formatCode="General" sourceLinked="1"/>
        <c:majorTickMark val="none"/>
        <c:minorTickMark val="none"/>
        <c:tickLblPos val="nextTo"/>
        <c:crossAx val="10034688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[Extract_Projects_objectives_AMR_4 Oct.xlsx]Specific objective1!PivotTable4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'Specific objective1'!$B$103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'Specific objective1'!$A$104:$A$132</c:f>
              <c:strCache>
                <c:ptCount val="28"/>
                <c:pt idx="0">
                  <c:v>Anti-corruption / anti-money-laundering</c:v>
                </c:pt>
                <c:pt idx="1">
                  <c:v>Better regulation, Sectoral expertise (transport, logistics, tourism, agriculture, etc.)</c:v>
                </c:pt>
                <c:pt idx="2">
                  <c:v>Capital Markets Union</c:v>
                </c:pt>
                <c:pt idx="3">
                  <c:v>Central and local administration</c:v>
                </c:pt>
                <c:pt idx="4">
                  <c:v>Climate</c:v>
                </c:pt>
                <c:pt idx="5">
                  <c:v>Digital economy</c:v>
                </c:pt>
                <c:pt idx="6">
                  <c:v>Digital Public Administration</c:v>
                </c:pt>
                <c:pt idx="7">
                  <c:v>Education and training</c:v>
                </c:pt>
                <c:pt idx="8">
                  <c:v>Energy</c:v>
                </c:pt>
                <c:pt idx="9">
                  <c:v>Environment, circular economy, water, land registry and spatial planning</c:v>
                </c:pt>
                <c:pt idx="10">
                  <c:v>Fiscal framework</c:v>
                </c:pt>
                <c:pt idx="11">
                  <c:v>Governance</c:v>
                </c:pt>
                <c:pt idx="12">
                  <c:v>Healthcare system</c:v>
                </c:pt>
                <c:pt idx="13">
                  <c:v>Investment management and PPPs</c:v>
                </c:pt>
                <c:pt idx="14">
                  <c:v>Judicial reform</c:v>
                </c:pt>
                <c:pt idx="15">
                  <c:v>Management of human resources</c:v>
                </c:pt>
                <c:pt idx="16">
                  <c:v>Pension and disabilities</c:v>
                </c:pt>
                <c:pt idx="17">
                  <c:v>Public accounting and fiscal statistics</c:v>
                </c:pt>
                <c:pt idx="18">
                  <c:v>Sectoral expertise (transport, logistics, tourism, agriculture, etc.)</c:v>
                </c:pt>
                <c:pt idx="19">
                  <c:v>Small and medium-sized enterprise policy</c:v>
                </c:pt>
                <c:pt idx="20">
                  <c:v>Spending reviews</c:v>
                </c:pt>
                <c:pt idx="21">
                  <c:v>Public procurement</c:v>
                </c:pt>
                <c:pt idx="22">
                  <c:v>Non-performing loans</c:v>
                </c:pt>
                <c:pt idx="23">
                  <c:v>Access to finance</c:v>
                </c:pt>
                <c:pt idx="24">
                  <c:v>Bank supervision and resolution</c:v>
                </c:pt>
                <c:pt idx="25">
                  <c:v>Trade</c:v>
                </c:pt>
                <c:pt idx="26">
                  <c:v>Social policies</c:v>
                </c:pt>
                <c:pt idx="27">
                  <c:v>Tax policy</c:v>
                </c:pt>
              </c:strCache>
            </c:strRef>
          </c:cat>
          <c:val>
            <c:numRef>
              <c:f>'Specific objective1'!$B$104:$B$132</c:f>
              <c:numCache>
                <c:formatCode>General</c:formatCode>
                <c:ptCount val="28"/>
                <c:pt idx="0">
                  <c:v>1</c:v>
                </c:pt>
                <c:pt idx="1">
                  <c:v>1</c:v>
                </c:pt>
                <c:pt idx="2">
                  <c:v>4</c:v>
                </c:pt>
                <c:pt idx="3">
                  <c:v>1</c:v>
                </c:pt>
                <c:pt idx="4">
                  <c:v>1</c:v>
                </c:pt>
                <c:pt idx="5">
                  <c:v>1</c:v>
                </c:pt>
                <c:pt idx="6">
                  <c:v>7</c:v>
                </c:pt>
                <c:pt idx="7">
                  <c:v>7</c:v>
                </c:pt>
                <c:pt idx="8">
                  <c:v>3</c:v>
                </c:pt>
                <c:pt idx="9">
                  <c:v>3</c:v>
                </c:pt>
                <c:pt idx="10">
                  <c:v>1</c:v>
                </c:pt>
                <c:pt idx="11">
                  <c:v>3</c:v>
                </c:pt>
                <c:pt idx="12">
                  <c:v>3</c:v>
                </c:pt>
                <c:pt idx="13">
                  <c:v>3</c:v>
                </c:pt>
                <c:pt idx="14">
                  <c:v>1</c:v>
                </c:pt>
                <c:pt idx="15">
                  <c:v>1</c:v>
                </c:pt>
                <c:pt idx="16">
                  <c:v>3</c:v>
                </c:pt>
                <c:pt idx="17">
                  <c:v>1</c:v>
                </c:pt>
                <c:pt idx="18">
                  <c:v>3</c:v>
                </c:pt>
                <c:pt idx="19">
                  <c:v>2</c:v>
                </c:pt>
                <c:pt idx="20">
                  <c:v>1</c:v>
                </c:pt>
                <c:pt idx="21">
                  <c:v>1</c:v>
                </c:pt>
                <c:pt idx="22">
                  <c:v>1</c:v>
                </c:pt>
                <c:pt idx="23">
                  <c:v>2</c:v>
                </c:pt>
                <c:pt idx="24">
                  <c:v>1</c:v>
                </c:pt>
                <c:pt idx="25">
                  <c:v>1</c:v>
                </c:pt>
                <c:pt idx="26">
                  <c:v>1</c:v>
                </c:pt>
                <c:pt idx="27">
                  <c:v>6</c:v>
                </c:pt>
              </c:numCache>
            </c:numRef>
          </c:val>
          <c:extLst>
            <c:ext xmlns:c16="http://schemas.microsoft.com/office/drawing/2014/chart" uri="{C3380CC4-5D6E-409C-BE32-E72D297353CC}">
              <c16:uniqueId val="{00000000-0B8C-4E58-B335-346B5F360643}"/>
            </c:ext>
          </c:extLst>
        </c:ser>
        <c:dLbls>
          <c:showLegendKey val="0"/>
          <c:showVal val="0"/>
          <c:showCatName val="0"/>
          <c:showSerName val="0"/>
          <c:showPercent val="0"/>
          <c:showBubbleSize val="0"/>
        </c:dLbls>
        <c:gapWidth val="182"/>
        <c:axId val="101454976"/>
        <c:axId val="101456512"/>
      </c:barChart>
      <c:catAx>
        <c:axId val="10145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456512"/>
        <c:crosses val="autoZero"/>
        <c:auto val="1"/>
        <c:lblAlgn val="ctr"/>
        <c:lblOffset val="100"/>
        <c:noMultiLvlLbl val="0"/>
      </c:catAx>
      <c:valAx>
        <c:axId val="101456512"/>
        <c:scaling>
          <c:orientation val="minMax"/>
        </c:scaling>
        <c:delete val="1"/>
        <c:axPos val="b"/>
        <c:numFmt formatCode="General" sourceLinked="1"/>
        <c:majorTickMark val="none"/>
        <c:minorTickMark val="none"/>
        <c:tickLblPos val="nextTo"/>
        <c:crossAx val="10145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[Extract_Projects_objectives_AMR_4 Oct.xlsx]Specific objective2!PivotTable2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'Specific objective2'!$B$130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'Specific objective2'!$A$131:$A$162</c:f>
              <c:strCache>
                <c:ptCount val="31"/>
                <c:pt idx="0">
                  <c:v>Anti-corruption / anti-money-laundering</c:v>
                </c:pt>
                <c:pt idx="1">
                  <c:v>Bank supervision and resolution</c:v>
                </c:pt>
                <c:pt idx="2">
                  <c:v>Better regulation</c:v>
                </c:pt>
                <c:pt idx="3">
                  <c:v>Budget execution and cash management</c:v>
                </c:pt>
                <c:pt idx="4">
                  <c:v>Budgeting</c:v>
                </c:pt>
                <c:pt idx="5">
                  <c:v>Capital Markets Union</c:v>
                </c:pt>
                <c:pt idx="6">
                  <c:v>Central and local administration</c:v>
                </c:pt>
                <c:pt idx="7">
                  <c:v>Digital economy</c:v>
                </c:pt>
                <c:pt idx="8">
                  <c:v>Digital Public Administration</c:v>
                </c:pt>
                <c:pt idx="9">
                  <c:v>Education and training</c:v>
                </c:pt>
                <c:pt idx="10">
                  <c:v>Energy</c:v>
                </c:pt>
                <c:pt idx="11">
                  <c:v>Environment, circular economy, water, land registry and spatial planning</c:v>
                </c:pt>
                <c:pt idx="12">
                  <c:v>Financial literacy</c:v>
                </c:pt>
                <c:pt idx="13">
                  <c:v>Fiscal framework</c:v>
                </c:pt>
                <c:pt idx="14">
                  <c:v>Governance</c:v>
                </c:pt>
                <c:pt idx="15">
                  <c:v>Healthcare system</c:v>
                </c:pt>
                <c:pt idx="16">
                  <c:v>Insolvency</c:v>
                </c:pt>
                <c:pt idx="17">
                  <c:v>Investment management and PPPs</c:v>
                </c:pt>
                <c:pt idx="18">
                  <c:v>Judicial reform</c:v>
                </c:pt>
                <c:pt idx="19">
                  <c:v>Labour market policies, Social policies</c:v>
                </c:pt>
                <c:pt idx="20">
                  <c:v>Migration and border management</c:v>
                </c:pt>
                <c:pt idx="21">
                  <c:v>Modelling, analysis and assessments</c:v>
                </c:pt>
                <c:pt idx="22">
                  <c:v>Non-performing loans</c:v>
                </c:pt>
                <c:pt idx="23">
                  <c:v>Pension and disabilities</c:v>
                </c:pt>
                <c:pt idx="24">
                  <c:v>Public procurement</c:v>
                </c:pt>
                <c:pt idx="25">
                  <c:v>Sectoral expertise (transport, logistics, tourism, agriculture, etc.)</c:v>
                </c:pt>
                <c:pt idx="26">
                  <c:v>Small and medium-sized enterprise policy</c:v>
                </c:pt>
                <c:pt idx="27">
                  <c:v>Social policies</c:v>
                </c:pt>
                <c:pt idx="28">
                  <c:v>Spending reviews</c:v>
                </c:pt>
                <c:pt idx="29">
                  <c:v>State-owned enterprise management</c:v>
                </c:pt>
                <c:pt idx="30">
                  <c:v>Tax policy</c:v>
                </c:pt>
              </c:strCache>
            </c:strRef>
          </c:cat>
          <c:val>
            <c:numRef>
              <c:f>'Specific objective2'!$B$131:$B$162</c:f>
              <c:numCache>
                <c:formatCode>General</c:formatCode>
                <c:ptCount val="31"/>
                <c:pt idx="0">
                  <c:v>3</c:v>
                </c:pt>
                <c:pt idx="1">
                  <c:v>1</c:v>
                </c:pt>
                <c:pt idx="2">
                  <c:v>1</c:v>
                </c:pt>
                <c:pt idx="3">
                  <c:v>1</c:v>
                </c:pt>
                <c:pt idx="4">
                  <c:v>1</c:v>
                </c:pt>
                <c:pt idx="5">
                  <c:v>6</c:v>
                </c:pt>
                <c:pt idx="6">
                  <c:v>1</c:v>
                </c:pt>
                <c:pt idx="7">
                  <c:v>2</c:v>
                </c:pt>
                <c:pt idx="8">
                  <c:v>5</c:v>
                </c:pt>
                <c:pt idx="9">
                  <c:v>9</c:v>
                </c:pt>
                <c:pt idx="10">
                  <c:v>2</c:v>
                </c:pt>
                <c:pt idx="11">
                  <c:v>3</c:v>
                </c:pt>
                <c:pt idx="12">
                  <c:v>1</c:v>
                </c:pt>
                <c:pt idx="13">
                  <c:v>1</c:v>
                </c:pt>
                <c:pt idx="14">
                  <c:v>3</c:v>
                </c:pt>
                <c:pt idx="15">
                  <c:v>8</c:v>
                </c:pt>
                <c:pt idx="16">
                  <c:v>1</c:v>
                </c:pt>
                <c:pt idx="17">
                  <c:v>3</c:v>
                </c:pt>
                <c:pt idx="18">
                  <c:v>3</c:v>
                </c:pt>
                <c:pt idx="19">
                  <c:v>1</c:v>
                </c:pt>
                <c:pt idx="20">
                  <c:v>1</c:v>
                </c:pt>
                <c:pt idx="21">
                  <c:v>4</c:v>
                </c:pt>
                <c:pt idx="22">
                  <c:v>1</c:v>
                </c:pt>
                <c:pt idx="23">
                  <c:v>2</c:v>
                </c:pt>
                <c:pt idx="24">
                  <c:v>1</c:v>
                </c:pt>
                <c:pt idx="25">
                  <c:v>5</c:v>
                </c:pt>
                <c:pt idx="26">
                  <c:v>1</c:v>
                </c:pt>
                <c:pt idx="27">
                  <c:v>1</c:v>
                </c:pt>
                <c:pt idx="28">
                  <c:v>2</c:v>
                </c:pt>
                <c:pt idx="29">
                  <c:v>1</c:v>
                </c:pt>
                <c:pt idx="30">
                  <c:v>12</c:v>
                </c:pt>
              </c:numCache>
            </c:numRef>
          </c:val>
          <c:extLst>
            <c:ext xmlns:c16="http://schemas.microsoft.com/office/drawing/2014/chart" uri="{C3380CC4-5D6E-409C-BE32-E72D297353CC}">
              <c16:uniqueId val="{00000000-0524-4D8B-8844-B5F211A069D0}"/>
            </c:ext>
          </c:extLst>
        </c:ser>
        <c:dLbls>
          <c:showLegendKey val="0"/>
          <c:showVal val="0"/>
          <c:showCatName val="0"/>
          <c:showSerName val="0"/>
          <c:showPercent val="0"/>
          <c:showBubbleSize val="0"/>
        </c:dLbls>
        <c:gapWidth val="182"/>
        <c:axId val="101488128"/>
        <c:axId val="101489664"/>
      </c:barChart>
      <c:catAx>
        <c:axId val="10148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489664"/>
        <c:crosses val="autoZero"/>
        <c:auto val="1"/>
        <c:lblAlgn val="ctr"/>
        <c:lblOffset val="100"/>
        <c:noMultiLvlLbl val="0"/>
      </c:catAx>
      <c:valAx>
        <c:axId val="101489664"/>
        <c:scaling>
          <c:orientation val="minMax"/>
        </c:scaling>
        <c:delete val="1"/>
        <c:axPos val="b"/>
        <c:numFmt formatCode="General" sourceLinked="1"/>
        <c:majorTickMark val="none"/>
        <c:minorTickMark val="none"/>
        <c:tickLblPos val="nextTo"/>
        <c:crossAx val="1014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[Extract_Projects_objectives_AMR_4 Oct.xlsx]Specific objective3!PivotTable1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'Specific objective3'!$B$126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'Specific objective3'!$A$127:$A$160</c:f>
              <c:strCache>
                <c:ptCount val="33"/>
                <c:pt idx="0">
                  <c:v>Access to finance</c:v>
                </c:pt>
                <c:pt idx="1">
                  <c:v>Anti-corruption / anti-money-laundering</c:v>
                </c:pt>
                <c:pt idx="2">
                  <c:v>Bank supervision and resolution</c:v>
                </c:pt>
                <c:pt idx="3">
                  <c:v>Better regulation</c:v>
                </c:pt>
                <c:pt idx="4">
                  <c:v>Budget execution and cash management</c:v>
                </c:pt>
                <c:pt idx="5">
                  <c:v>Budgeting</c:v>
                </c:pt>
                <c:pt idx="6">
                  <c:v>Capital Markets Union</c:v>
                </c:pt>
                <c:pt idx="7">
                  <c:v>Central and local administration</c:v>
                </c:pt>
                <c:pt idx="8">
                  <c:v>Climate</c:v>
                </c:pt>
                <c:pt idx="9">
                  <c:v>Digital economy</c:v>
                </c:pt>
                <c:pt idx="10">
                  <c:v>Digital Public Administration</c:v>
                </c:pt>
                <c:pt idx="11">
                  <c:v>Education and training</c:v>
                </c:pt>
                <c:pt idx="12">
                  <c:v>Energy</c:v>
                </c:pt>
                <c:pt idx="13">
                  <c:v>Environment, circular economy, water, land registry and spatial planning</c:v>
                </c:pt>
                <c:pt idx="14">
                  <c:v>Fiscal framework</c:v>
                </c:pt>
                <c:pt idx="15">
                  <c:v>Governance</c:v>
                </c:pt>
                <c:pt idx="16">
                  <c:v>Healthcare system</c:v>
                </c:pt>
                <c:pt idx="17">
                  <c:v>Insolvency</c:v>
                </c:pt>
                <c:pt idx="18">
                  <c:v>Investment management and PPPs</c:v>
                </c:pt>
                <c:pt idx="19">
                  <c:v>Judicial reform</c:v>
                </c:pt>
                <c:pt idx="20">
                  <c:v>Labour market policies</c:v>
                </c:pt>
                <c:pt idx="21">
                  <c:v>Management of EU funds</c:v>
                </c:pt>
                <c:pt idx="22">
                  <c:v>Management of human resources</c:v>
                </c:pt>
                <c:pt idx="23">
                  <c:v>Migration and border management</c:v>
                </c:pt>
                <c:pt idx="24">
                  <c:v>Modelling, analysis and assessments</c:v>
                </c:pt>
                <c:pt idx="25">
                  <c:v>Non-performing loans</c:v>
                </c:pt>
                <c:pt idx="26">
                  <c:v>Pension and disabilities</c:v>
                </c:pt>
                <c:pt idx="27">
                  <c:v>Public procurement</c:v>
                </c:pt>
                <c:pt idx="28">
                  <c:v>Sectoral expertise (transport, logistics, tourism, agriculture, etc.)</c:v>
                </c:pt>
                <c:pt idx="29">
                  <c:v>Small and medium-sized enterprise policy</c:v>
                </c:pt>
                <c:pt idx="30">
                  <c:v>Social policies</c:v>
                </c:pt>
                <c:pt idx="31">
                  <c:v>State-owned enterprise management</c:v>
                </c:pt>
                <c:pt idx="32">
                  <c:v>Tax policy</c:v>
                </c:pt>
              </c:strCache>
            </c:strRef>
          </c:cat>
          <c:val>
            <c:numRef>
              <c:f>'Specific objective3'!$B$127:$B$160</c:f>
              <c:numCache>
                <c:formatCode>General</c:formatCode>
                <c:ptCount val="33"/>
                <c:pt idx="0">
                  <c:v>1</c:v>
                </c:pt>
                <c:pt idx="1">
                  <c:v>3</c:v>
                </c:pt>
                <c:pt idx="2">
                  <c:v>3</c:v>
                </c:pt>
                <c:pt idx="3">
                  <c:v>2</c:v>
                </c:pt>
                <c:pt idx="4">
                  <c:v>1</c:v>
                </c:pt>
                <c:pt idx="5">
                  <c:v>1</c:v>
                </c:pt>
                <c:pt idx="6">
                  <c:v>4</c:v>
                </c:pt>
                <c:pt idx="7">
                  <c:v>2</c:v>
                </c:pt>
                <c:pt idx="8">
                  <c:v>1</c:v>
                </c:pt>
                <c:pt idx="9">
                  <c:v>3</c:v>
                </c:pt>
                <c:pt idx="10">
                  <c:v>6</c:v>
                </c:pt>
                <c:pt idx="11">
                  <c:v>7</c:v>
                </c:pt>
                <c:pt idx="12">
                  <c:v>2</c:v>
                </c:pt>
                <c:pt idx="13">
                  <c:v>2</c:v>
                </c:pt>
                <c:pt idx="14">
                  <c:v>1</c:v>
                </c:pt>
                <c:pt idx="15">
                  <c:v>2</c:v>
                </c:pt>
                <c:pt idx="16">
                  <c:v>7</c:v>
                </c:pt>
                <c:pt idx="17">
                  <c:v>1</c:v>
                </c:pt>
                <c:pt idx="18">
                  <c:v>1</c:v>
                </c:pt>
                <c:pt idx="19">
                  <c:v>4</c:v>
                </c:pt>
                <c:pt idx="20">
                  <c:v>1</c:v>
                </c:pt>
                <c:pt idx="21">
                  <c:v>1</c:v>
                </c:pt>
                <c:pt idx="22">
                  <c:v>3</c:v>
                </c:pt>
                <c:pt idx="23">
                  <c:v>1</c:v>
                </c:pt>
                <c:pt idx="24">
                  <c:v>1</c:v>
                </c:pt>
                <c:pt idx="25">
                  <c:v>1</c:v>
                </c:pt>
                <c:pt idx="26">
                  <c:v>2</c:v>
                </c:pt>
                <c:pt idx="27">
                  <c:v>1</c:v>
                </c:pt>
                <c:pt idx="28">
                  <c:v>4</c:v>
                </c:pt>
                <c:pt idx="29">
                  <c:v>1</c:v>
                </c:pt>
                <c:pt idx="30">
                  <c:v>1</c:v>
                </c:pt>
                <c:pt idx="31">
                  <c:v>1</c:v>
                </c:pt>
                <c:pt idx="32">
                  <c:v>11</c:v>
                </c:pt>
              </c:numCache>
            </c:numRef>
          </c:val>
          <c:extLst>
            <c:ext xmlns:c16="http://schemas.microsoft.com/office/drawing/2014/chart" uri="{C3380CC4-5D6E-409C-BE32-E72D297353CC}">
              <c16:uniqueId val="{00000000-F6EA-4644-B8A2-EA097AC114E4}"/>
            </c:ext>
          </c:extLst>
        </c:ser>
        <c:dLbls>
          <c:showLegendKey val="0"/>
          <c:showVal val="0"/>
          <c:showCatName val="0"/>
          <c:showSerName val="0"/>
          <c:showPercent val="0"/>
          <c:showBubbleSize val="0"/>
        </c:dLbls>
        <c:gapWidth val="182"/>
        <c:axId val="99505664"/>
        <c:axId val="99507200"/>
      </c:barChart>
      <c:catAx>
        <c:axId val="9950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507200"/>
        <c:crosses val="autoZero"/>
        <c:auto val="1"/>
        <c:lblAlgn val="ctr"/>
        <c:lblOffset val="100"/>
        <c:noMultiLvlLbl val="0"/>
      </c:catAx>
      <c:valAx>
        <c:axId val="99507200"/>
        <c:scaling>
          <c:orientation val="minMax"/>
        </c:scaling>
        <c:delete val="1"/>
        <c:axPos val="b"/>
        <c:numFmt formatCode="General" sourceLinked="1"/>
        <c:majorTickMark val="none"/>
        <c:minorTickMark val="none"/>
        <c:tickLblPos val="nextTo"/>
        <c:crossAx val="9950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[Extract_Projects_objectives_AMR_4 Oct.xlsx]Specific objective4!PivotTable6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'Specific objective4'!$B$26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'Specific objective4'!$A$27:$A$39</c:f>
              <c:strCache>
                <c:ptCount val="12"/>
                <c:pt idx="0">
                  <c:v>Access to finance</c:v>
                </c:pt>
                <c:pt idx="1">
                  <c:v>Climate</c:v>
                </c:pt>
                <c:pt idx="2">
                  <c:v>Digital Public Administration</c:v>
                </c:pt>
                <c:pt idx="3">
                  <c:v>Environment, circular economy, water, land registry and spatial planning</c:v>
                </c:pt>
                <c:pt idx="4">
                  <c:v>Governance</c:v>
                </c:pt>
                <c:pt idx="5">
                  <c:v>Healthcare system</c:v>
                </c:pt>
                <c:pt idx="6">
                  <c:v>Investment management and PPPs</c:v>
                </c:pt>
                <c:pt idx="7">
                  <c:v>Judicial reform</c:v>
                </c:pt>
                <c:pt idx="8">
                  <c:v>Management of human resources</c:v>
                </c:pt>
                <c:pt idx="9">
                  <c:v>Public procurement</c:v>
                </c:pt>
                <c:pt idx="10">
                  <c:v>State-owned enterprise management</c:v>
                </c:pt>
                <c:pt idx="11">
                  <c:v>Tax policy</c:v>
                </c:pt>
              </c:strCache>
            </c:strRef>
          </c:cat>
          <c:val>
            <c:numRef>
              <c:f>'Specific objective4'!$B$27:$B$39</c:f>
              <c:numCache>
                <c:formatCode>General</c:formatCode>
                <c:ptCount val="12"/>
                <c:pt idx="0">
                  <c:v>1</c:v>
                </c:pt>
                <c:pt idx="1">
                  <c:v>1</c:v>
                </c:pt>
                <c:pt idx="2">
                  <c:v>3</c:v>
                </c:pt>
                <c:pt idx="3">
                  <c:v>1</c:v>
                </c:pt>
                <c:pt idx="4">
                  <c:v>1</c:v>
                </c:pt>
                <c:pt idx="5">
                  <c:v>3</c:v>
                </c:pt>
                <c:pt idx="6">
                  <c:v>1</c:v>
                </c:pt>
                <c:pt idx="7">
                  <c:v>3</c:v>
                </c:pt>
                <c:pt idx="8">
                  <c:v>3</c:v>
                </c:pt>
                <c:pt idx="9">
                  <c:v>1</c:v>
                </c:pt>
                <c:pt idx="10">
                  <c:v>1</c:v>
                </c:pt>
                <c:pt idx="11">
                  <c:v>1</c:v>
                </c:pt>
              </c:numCache>
            </c:numRef>
          </c:val>
          <c:extLst>
            <c:ext xmlns:c16="http://schemas.microsoft.com/office/drawing/2014/chart" uri="{C3380CC4-5D6E-409C-BE32-E72D297353CC}">
              <c16:uniqueId val="{00000000-1DFC-4E74-A336-E6323F20498F}"/>
            </c:ext>
          </c:extLst>
        </c:ser>
        <c:dLbls>
          <c:showLegendKey val="0"/>
          <c:showVal val="0"/>
          <c:showCatName val="0"/>
          <c:showSerName val="0"/>
          <c:showPercent val="0"/>
          <c:showBubbleSize val="0"/>
        </c:dLbls>
        <c:gapWidth val="182"/>
        <c:axId val="101587200"/>
        <c:axId val="101605376"/>
      </c:barChart>
      <c:catAx>
        <c:axId val="10158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605376"/>
        <c:crosses val="autoZero"/>
        <c:auto val="1"/>
        <c:lblAlgn val="ctr"/>
        <c:lblOffset val="100"/>
        <c:noMultiLvlLbl val="0"/>
      </c:catAx>
      <c:valAx>
        <c:axId val="101605376"/>
        <c:scaling>
          <c:orientation val="minMax"/>
        </c:scaling>
        <c:delete val="1"/>
        <c:axPos val="b"/>
        <c:numFmt formatCode="General" sourceLinked="1"/>
        <c:majorTickMark val="none"/>
        <c:minorTickMark val="none"/>
        <c:tickLblPos val="nextTo"/>
        <c:crossAx val="10158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C5-4690-9C74-8126A74588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C5-4690-9C74-8126A74588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BC5-4690-9C74-8126A745887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BC5-4690-9C74-8126A74588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Ratings!$L$20:$L$23</c:f>
              <c:strCache>
                <c:ptCount val="4"/>
                <c:pt idx="0">
                  <c:v>High scores</c:v>
                </c:pt>
                <c:pt idx="1">
                  <c:v>Medium scores</c:v>
                </c:pt>
                <c:pt idx="2">
                  <c:v>One major weakness</c:v>
                </c:pt>
                <c:pt idx="3">
                  <c:v>Several major weaknesses </c:v>
                </c:pt>
              </c:strCache>
            </c:strRef>
          </c:cat>
          <c:val>
            <c:numRef>
              <c:f>Ratings!$M$20:$M$23</c:f>
              <c:numCache>
                <c:formatCode>0%</c:formatCode>
                <c:ptCount val="4"/>
                <c:pt idx="0">
                  <c:v>0.58313253012048194</c:v>
                </c:pt>
                <c:pt idx="1">
                  <c:v>0.13012048192771083</c:v>
                </c:pt>
                <c:pt idx="2">
                  <c:v>0.11566265060240964</c:v>
                </c:pt>
                <c:pt idx="3">
                  <c:v>0.1710843373493976</c:v>
                </c:pt>
              </c:numCache>
            </c:numRef>
          </c:val>
          <c:extLst>
            <c:ext xmlns:c16="http://schemas.microsoft.com/office/drawing/2014/chart" uri="{C3380CC4-5D6E-409C-BE32-E72D297353CC}">
              <c16:uniqueId val="{00000008-5BC5-4690-9C74-8126A745887E}"/>
            </c:ext>
          </c:extLst>
        </c:ser>
        <c:ser>
          <c:idx val="0"/>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BC5-4690-9C74-8126A74588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BC5-4690-9C74-8126A74588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BC5-4690-9C74-8126A745887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BC5-4690-9C74-8126A745887E}"/>
              </c:ext>
            </c:extLst>
          </c:dPt>
          <c:dLbls>
            <c:dLbl>
              <c:idx val="3"/>
              <c:layout>
                <c:manualLayout>
                  <c:x val="0.1327401574803149"/>
                  <c:y val="0.212724919801691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BC5-4690-9C74-8126A745887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Ratings!$B$1:$B$4</c:f>
              <c:strCache>
                <c:ptCount val="4"/>
                <c:pt idx="0">
                  <c:v>High scores</c:v>
                </c:pt>
                <c:pt idx="1">
                  <c:v>Medium scores</c:v>
                </c:pt>
                <c:pt idx="2">
                  <c:v>One major weakness</c:v>
                </c:pt>
                <c:pt idx="3">
                  <c:v>Several major weaknesses </c:v>
                </c:pt>
              </c:strCache>
            </c:strRef>
          </c:cat>
          <c:val>
            <c:numRef>
              <c:f>Ratings!$C$1:$C$4</c:f>
              <c:numCache>
                <c:formatCode>0%</c:formatCode>
                <c:ptCount val="4"/>
                <c:pt idx="0">
                  <c:v>0.9726027397260274</c:v>
                </c:pt>
                <c:pt idx="1">
                  <c:v>2.0547945205479451E-2</c:v>
                </c:pt>
                <c:pt idx="2">
                  <c:v>6.8493150684931503E-3</c:v>
                </c:pt>
                <c:pt idx="3">
                  <c:v>0</c:v>
                </c:pt>
              </c:numCache>
            </c:numRef>
          </c:val>
          <c:extLst>
            <c:ext xmlns:c16="http://schemas.microsoft.com/office/drawing/2014/chart" uri="{C3380CC4-5D6E-409C-BE32-E72D297353CC}">
              <c16:uniqueId val="{00000011-5BC5-4690-9C74-8126A74588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'Requests selected'!$B$1</c:f>
              <c:strCache>
                <c:ptCount val="1"/>
                <c:pt idx="0">
                  <c:v>SRSP 2017</c:v>
                </c:pt>
              </c:strCache>
            </c:strRef>
          </c:tx>
          <c:spPr>
            <a:solidFill>
              <a:schemeClr val="accent6"/>
            </a:solidFill>
            <a:ln>
              <a:noFill/>
            </a:ln>
            <a:effectLst/>
          </c:spPr>
          <c:invertIfNegative val="0"/>
          <c:cat>
            <c:strRef>
              <c:f>'Requests selected'!$A$2:$A$26</c:f>
              <c:strCache>
                <c:ptCount val="25"/>
                <c:pt idx="0">
                  <c:v>AT</c:v>
                </c:pt>
                <c:pt idx="1">
                  <c:v>BE</c:v>
                </c:pt>
                <c:pt idx="2">
                  <c:v>BG</c:v>
                </c:pt>
                <c:pt idx="3">
                  <c:v>CY</c:v>
                </c:pt>
                <c:pt idx="4">
                  <c:v>CZ</c:v>
                </c:pt>
                <c:pt idx="5">
                  <c:v>DE</c:v>
                </c:pt>
                <c:pt idx="6">
                  <c:v>EE</c:v>
                </c:pt>
                <c:pt idx="7">
                  <c:v>EL</c:v>
                </c:pt>
                <c:pt idx="8">
                  <c:v>ES</c:v>
                </c:pt>
                <c:pt idx="9">
                  <c:v>FI</c:v>
                </c:pt>
                <c:pt idx="10">
                  <c:v>FR</c:v>
                </c:pt>
                <c:pt idx="11">
                  <c:v>HR</c:v>
                </c:pt>
                <c:pt idx="12">
                  <c:v>HU</c:v>
                </c:pt>
                <c:pt idx="13">
                  <c:v>IE</c:v>
                </c:pt>
                <c:pt idx="14">
                  <c:v>IT</c:v>
                </c:pt>
                <c:pt idx="15">
                  <c:v>LT</c:v>
                </c:pt>
                <c:pt idx="16">
                  <c:v>LU</c:v>
                </c:pt>
                <c:pt idx="17">
                  <c:v>LV</c:v>
                </c:pt>
                <c:pt idx="18">
                  <c:v>MT</c:v>
                </c:pt>
                <c:pt idx="19">
                  <c:v>PL</c:v>
                </c:pt>
                <c:pt idx="20">
                  <c:v>PT</c:v>
                </c:pt>
                <c:pt idx="21">
                  <c:v>RO</c:v>
                </c:pt>
                <c:pt idx="22">
                  <c:v>SE</c:v>
                </c:pt>
                <c:pt idx="23">
                  <c:v>SI</c:v>
                </c:pt>
                <c:pt idx="24">
                  <c:v>SK</c:v>
                </c:pt>
              </c:strCache>
            </c:strRef>
          </c:cat>
          <c:val>
            <c:numRef>
              <c:f>'Requests selected'!$B$2:$B$26</c:f>
              <c:numCache>
                <c:formatCode>General</c:formatCode>
                <c:ptCount val="25"/>
                <c:pt idx="0">
                  <c:v>0</c:v>
                </c:pt>
                <c:pt idx="1">
                  <c:v>0</c:v>
                </c:pt>
                <c:pt idx="2">
                  <c:v>9</c:v>
                </c:pt>
                <c:pt idx="3">
                  <c:v>14</c:v>
                </c:pt>
                <c:pt idx="4">
                  <c:v>10</c:v>
                </c:pt>
                <c:pt idx="5">
                  <c:v>0</c:v>
                </c:pt>
                <c:pt idx="6">
                  <c:v>3</c:v>
                </c:pt>
                <c:pt idx="7">
                  <c:v>9</c:v>
                </c:pt>
                <c:pt idx="8">
                  <c:v>0</c:v>
                </c:pt>
                <c:pt idx="9">
                  <c:v>0</c:v>
                </c:pt>
                <c:pt idx="10">
                  <c:v>1</c:v>
                </c:pt>
                <c:pt idx="11">
                  <c:v>13</c:v>
                </c:pt>
                <c:pt idx="12">
                  <c:v>0</c:v>
                </c:pt>
                <c:pt idx="13">
                  <c:v>0</c:v>
                </c:pt>
                <c:pt idx="14">
                  <c:v>9</c:v>
                </c:pt>
                <c:pt idx="15">
                  <c:v>18</c:v>
                </c:pt>
                <c:pt idx="16">
                  <c:v>0</c:v>
                </c:pt>
                <c:pt idx="17">
                  <c:v>10</c:v>
                </c:pt>
                <c:pt idx="18">
                  <c:v>13</c:v>
                </c:pt>
                <c:pt idx="19">
                  <c:v>11</c:v>
                </c:pt>
                <c:pt idx="20">
                  <c:v>4</c:v>
                </c:pt>
                <c:pt idx="21">
                  <c:v>15</c:v>
                </c:pt>
                <c:pt idx="22">
                  <c:v>0</c:v>
                </c:pt>
                <c:pt idx="23">
                  <c:v>13</c:v>
                </c:pt>
                <c:pt idx="24">
                  <c:v>7</c:v>
                </c:pt>
              </c:numCache>
            </c:numRef>
          </c:val>
          <c:extLst>
            <c:ext xmlns:c16="http://schemas.microsoft.com/office/drawing/2014/chart" uri="{C3380CC4-5D6E-409C-BE32-E72D297353CC}">
              <c16:uniqueId val="{00000000-2EF1-47B9-A617-A483354A3800}"/>
            </c:ext>
          </c:extLst>
        </c:ser>
        <c:ser>
          <c:idx val="1"/>
          <c:order val="1"/>
          <c:tx>
            <c:strRef>
              <c:f>'Requests selected'!$C$1</c:f>
              <c:strCache>
                <c:ptCount val="1"/>
                <c:pt idx="0">
                  <c:v>SRSP 2018</c:v>
                </c:pt>
              </c:strCache>
            </c:strRef>
          </c:tx>
          <c:spPr>
            <a:solidFill>
              <a:schemeClr val="accent5"/>
            </a:solidFill>
            <a:ln>
              <a:noFill/>
            </a:ln>
            <a:effectLst/>
          </c:spPr>
          <c:invertIfNegative val="0"/>
          <c:cat>
            <c:strRef>
              <c:f>'Requests selected'!$A$2:$A$26</c:f>
              <c:strCache>
                <c:ptCount val="25"/>
                <c:pt idx="0">
                  <c:v>AT</c:v>
                </c:pt>
                <c:pt idx="1">
                  <c:v>BE</c:v>
                </c:pt>
                <c:pt idx="2">
                  <c:v>BG</c:v>
                </c:pt>
                <c:pt idx="3">
                  <c:v>CY</c:v>
                </c:pt>
                <c:pt idx="4">
                  <c:v>CZ</c:v>
                </c:pt>
                <c:pt idx="5">
                  <c:v>DE</c:v>
                </c:pt>
                <c:pt idx="6">
                  <c:v>EE</c:v>
                </c:pt>
                <c:pt idx="7">
                  <c:v>EL</c:v>
                </c:pt>
                <c:pt idx="8">
                  <c:v>ES</c:v>
                </c:pt>
                <c:pt idx="9">
                  <c:v>FI</c:v>
                </c:pt>
                <c:pt idx="10">
                  <c:v>FR</c:v>
                </c:pt>
                <c:pt idx="11">
                  <c:v>HR</c:v>
                </c:pt>
                <c:pt idx="12">
                  <c:v>HU</c:v>
                </c:pt>
                <c:pt idx="13">
                  <c:v>IE</c:v>
                </c:pt>
                <c:pt idx="14">
                  <c:v>IT</c:v>
                </c:pt>
                <c:pt idx="15">
                  <c:v>LT</c:v>
                </c:pt>
                <c:pt idx="16">
                  <c:v>LU</c:v>
                </c:pt>
                <c:pt idx="17">
                  <c:v>LV</c:v>
                </c:pt>
                <c:pt idx="18">
                  <c:v>MT</c:v>
                </c:pt>
                <c:pt idx="19">
                  <c:v>PL</c:v>
                </c:pt>
                <c:pt idx="20">
                  <c:v>PT</c:v>
                </c:pt>
                <c:pt idx="21">
                  <c:v>RO</c:v>
                </c:pt>
                <c:pt idx="22">
                  <c:v>SE</c:v>
                </c:pt>
                <c:pt idx="23">
                  <c:v>SI</c:v>
                </c:pt>
                <c:pt idx="24">
                  <c:v>SK</c:v>
                </c:pt>
              </c:strCache>
            </c:strRef>
          </c:cat>
          <c:val>
            <c:numRef>
              <c:f>'Requests selected'!$C$2:$C$26</c:f>
              <c:numCache>
                <c:formatCode>General</c:formatCode>
                <c:ptCount val="25"/>
                <c:pt idx="0">
                  <c:v>4</c:v>
                </c:pt>
                <c:pt idx="1">
                  <c:v>7</c:v>
                </c:pt>
                <c:pt idx="2">
                  <c:v>5</c:v>
                </c:pt>
                <c:pt idx="3">
                  <c:v>10</c:v>
                </c:pt>
                <c:pt idx="4">
                  <c:v>7</c:v>
                </c:pt>
                <c:pt idx="5">
                  <c:v>1</c:v>
                </c:pt>
                <c:pt idx="6">
                  <c:v>6</c:v>
                </c:pt>
                <c:pt idx="7">
                  <c:v>4</c:v>
                </c:pt>
                <c:pt idx="8">
                  <c:v>6</c:v>
                </c:pt>
                <c:pt idx="9">
                  <c:v>1</c:v>
                </c:pt>
                <c:pt idx="10">
                  <c:v>0</c:v>
                </c:pt>
                <c:pt idx="11">
                  <c:v>17</c:v>
                </c:pt>
                <c:pt idx="12">
                  <c:v>3</c:v>
                </c:pt>
                <c:pt idx="13">
                  <c:v>5</c:v>
                </c:pt>
                <c:pt idx="14">
                  <c:v>8</c:v>
                </c:pt>
                <c:pt idx="15">
                  <c:v>5</c:v>
                </c:pt>
                <c:pt idx="16">
                  <c:v>1</c:v>
                </c:pt>
                <c:pt idx="17">
                  <c:v>7</c:v>
                </c:pt>
                <c:pt idx="18">
                  <c:v>7</c:v>
                </c:pt>
                <c:pt idx="19">
                  <c:v>7</c:v>
                </c:pt>
                <c:pt idx="20">
                  <c:v>5</c:v>
                </c:pt>
                <c:pt idx="21">
                  <c:v>14</c:v>
                </c:pt>
                <c:pt idx="22">
                  <c:v>1</c:v>
                </c:pt>
                <c:pt idx="23">
                  <c:v>7</c:v>
                </c:pt>
                <c:pt idx="24">
                  <c:v>8</c:v>
                </c:pt>
              </c:numCache>
            </c:numRef>
          </c:val>
          <c:extLst>
            <c:ext xmlns:c16="http://schemas.microsoft.com/office/drawing/2014/chart" uri="{C3380CC4-5D6E-409C-BE32-E72D297353CC}">
              <c16:uniqueId val="{00000001-2EF1-47B9-A617-A483354A3800}"/>
            </c:ext>
          </c:extLst>
        </c:ser>
        <c:dLbls>
          <c:showLegendKey val="0"/>
          <c:showVal val="0"/>
          <c:showCatName val="0"/>
          <c:showSerName val="0"/>
          <c:showPercent val="0"/>
          <c:showBubbleSize val="0"/>
        </c:dLbls>
        <c:gapWidth val="267"/>
        <c:overlap val="-43"/>
        <c:axId val="98679808"/>
        <c:axId val="98689792"/>
      </c:barChart>
      <c:catAx>
        <c:axId val="986798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689792"/>
        <c:crosses val="autoZero"/>
        <c:auto val="1"/>
        <c:lblAlgn val="ctr"/>
        <c:lblOffset val="100"/>
        <c:noMultiLvlLbl val="0"/>
      </c:catAx>
      <c:valAx>
        <c:axId val="98689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67980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pattFill prst="ltDnDiag">
          <a:fgClr>
            <a:srgbClr val="000000">
              <a:alpha val="0"/>
            </a:srgbClr>
          </a:fgClr>
          <a:bgClr>
            <a:srgbClr val="FFFFFF"/>
          </a:bgClr>
        </a:patt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[Extract_requests received_SRSP 2018.xlsx]Stats requests selected!PivotTable17</c:name>
    <c:fmtId val="-1"/>
  </c:pivotSource>
  <c:chart>
    <c:autoTitleDeleted val="1"/>
    <c:pivotFmts>
      <c:pivotFmt>
        <c:idx val="0"/>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dLbl>
          <c:idx val="0"/>
          <c:layout>
            <c:manualLayout>
              <c:x val="0.1700942694663167"/>
              <c:y val="-0.1815161125692623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dLbl>
          <c:idx val="0"/>
          <c:layout>
            <c:manualLayout>
              <c:x val="0.1700942694663167"/>
              <c:y val="-0.1815161125692623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254000" sx="102000" sy="102000" algn="ctr" rotWithShape="0">
              <a:prstClr val="black">
                <a:alpha val="20000"/>
              </a:prstClr>
            </a:outerShdw>
          </a:effectLst>
        </c:spPr>
      </c:pivotFmt>
      <c:pivotFmt>
        <c:idx val="15"/>
        <c:spPr>
          <a:solidFill>
            <a:schemeClr val="accent1"/>
          </a:solidFill>
          <a:ln>
            <a:noFill/>
          </a:ln>
          <a:effectLst>
            <a:outerShdw blurRad="254000" sx="102000" sy="102000" algn="ctr" rotWithShape="0">
              <a:prstClr val="black">
                <a:alpha val="20000"/>
              </a:prstClr>
            </a:outerShdw>
          </a:effectLst>
        </c:spPr>
      </c:pivotFmt>
      <c:pivotFmt>
        <c:idx val="16"/>
        <c:spPr>
          <a:solidFill>
            <a:schemeClr val="accent1"/>
          </a:solidFill>
          <a:ln>
            <a:noFill/>
          </a:ln>
          <a:effectLst>
            <a:outerShdw blurRad="254000" sx="102000" sy="102000" algn="ctr" rotWithShape="0">
              <a:prstClr val="black">
                <a:alpha val="20000"/>
              </a:prstClr>
            </a:outerShdw>
          </a:effectLst>
        </c:spPr>
        <c:dLbl>
          <c:idx val="0"/>
          <c:layout>
            <c:manualLayout>
              <c:x val="0.1700942694663167"/>
              <c:y val="-0.1815161125692623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254000" sx="102000" sy="102000" algn="ctr" rotWithShape="0">
              <a:prstClr val="black">
                <a:alpha val="20000"/>
              </a:prstClr>
            </a:outerShdw>
          </a:effectLst>
        </c:spPr>
      </c:pivotFmt>
      <c:pivotFmt>
        <c:idx val="18"/>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'Stats requests selected'!$B$45</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4D-441E-8570-60F77EED8AB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4D-441E-8570-60F77EED8AB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4D-441E-8570-60F77EED8AB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4D-441E-8570-60F77EED8AB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44D-441E-8570-60F77EED8ABF}"/>
              </c:ext>
            </c:extLst>
          </c:dPt>
          <c:dLbls>
            <c:dLbl>
              <c:idx val="2"/>
              <c:layout>
                <c:manualLayout>
                  <c:x val="0.1700942694663167"/>
                  <c:y val="-0.1815161125692623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44D-441E-8570-60F77EED8AB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'Stats requests selected'!$A$46:$A$51</c:f>
              <c:strCache>
                <c:ptCount val="5"/>
                <c:pt idx="0">
                  <c:v>Economic adjustment programme</c:v>
                </c:pt>
                <c:pt idx="1">
                  <c:v>Economic governance (e.g. CSRs, Country reports, etc)</c:v>
                </c:pt>
                <c:pt idx="2">
                  <c:v>Member States' own reform priorities</c:v>
                </c:pt>
                <c:pt idx="3">
                  <c:v>Union law (e.g. infringements)</c:v>
                </c:pt>
                <c:pt idx="4">
                  <c:v>Union priorities (e.g. CMU, Energy Union, etc.)</c:v>
                </c:pt>
              </c:strCache>
            </c:strRef>
          </c:cat>
          <c:val>
            <c:numRef>
              <c:f>'Stats requests selected'!$B$46:$B$51</c:f>
              <c:numCache>
                <c:formatCode>General</c:formatCode>
                <c:ptCount val="5"/>
                <c:pt idx="0">
                  <c:v>4</c:v>
                </c:pt>
                <c:pt idx="1">
                  <c:v>80</c:v>
                </c:pt>
                <c:pt idx="2">
                  <c:v>11</c:v>
                </c:pt>
                <c:pt idx="3">
                  <c:v>9</c:v>
                </c:pt>
                <c:pt idx="4">
                  <c:v>42</c:v>
                </c:pt>
              </c:numCache>
            </c:numRef>
          </c:val>
          <c:extLst>
            <c:ext xmlns:c16="http://schemas.microsoft.com/office/drawing/2014/chart" uri="{C3380CC4-5D6E-409C-BE32-E72D297353CC}">
              <c16:uniqueId val="{0000000A-544D-441E-8570-60F77EED8AB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9B-40EF-A652-E0F541A54C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9B-40EF-A652-E0F541A54C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9B-40EF-A652-E0F541A54C5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9B-40EF-A652-E0F541A54C5A}"/>
              </c:ext>
            </c:extLst>
          </c:dPt>
          <c:dLbls>
            <c:dLbl>
              <c:idx val="1"/>
              <c:layout>
                <c:manualLayout>
                  <c:x val="-2.4117498325333483E-2"/>
                  <c:y val="0.21181685622630506"/>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A9B-40EF-A652-E0F541A54C5A}"/>
                </c:ext>
              </c:extLst>
            </c:dLbl>
            <c:dLbl>
              <c:idx val="2"/>
              <c:layout>
                <c:manualLayout>
                  <c:x val="6.533991390656041E-2"/>
                  <c:y val="0.100284339457567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A9B-40EF-A652-E0F541A54C5A}"/>
                </c:ext>
              </c:extLst>
            </c:dLbl>
            <c:dLbl>
              <c:idx val="3"/>
              <c:layout>
                <c:manualLayout>
                  <c:x val="0.1327401574803149"/>
                  <c:y val="0.212724919801691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9B-40EF-A652-E0F541A54C5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Ratings!$B$1:$B$3</c:f>
              <c:strCache>
                <c:ptCount val="3"/>
                <c:pt idx="0">
                  <c:v>High scores</c:v>
                </c:pt>
                <c:pt idx="1">
                  <c:v>Medium scores</c:v>
                </c:pt>
                <c:pt idx="2">
                  <c:v>One major weakness</c:v>
                </c:pt>
              </c:strCache>
            </c:strRef>
          </c:cat>
          <c:val>
            <c:numRef>
              <c:f>Ratings!$C$1:$C$3</c:f>
              <c:numCache>
                <c:formatCode>0%</c:formatCode>
                <c:ptCount val="3"/>
                <c:pt idx="0">
                  <c:v>0.9726027397260274</c:v>
                </c:pt>
                <c:pt idx="1">
                  <c:v>2.0547945205479451E-2</c:v>
                </c:pt>
                <c:pt idx="2">
                  <c:v>6.8493150684931503E-3</c:v>
                </c:pt>
              </c:numCache>
            </c:numRef>
          </c:val>
          <c:extLst>
            <c:ext xmlns:c16="http://schemas.microsoft.com/office/drawing/2014/chart" uri="{C3380CC4-5D6E-409C-BE32-E72D297353CC}">
              <c16:uniqueId val="{00000008-0A9B-40EF-A652-E0F541A54C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[Extract_SRSP 2018 projects AMR_25 Sept.xlsx]Project statistics!PivotTable7</c:name>
    <c:fmtId val="-1"/>
  </c:pivotSource>
  <c:chart>
    <c:autoTitleDeleted val="1"/>
    <c:pivotFmts>
      <c:pivotFmt>
        <c:idx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'Project statistics'!$B$1</c:f>
              <c:strCache>
                <c:ptCount val="1"/>
                <c:pt idx="0">
                  <c:v>Total</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'Project statistics'!$A$2:$A$25</c:f>
              <c:strCache>
                <c:ptCount val="23"/>
                <c:pt idx="0">
                  <c:v>AT</c:v>
                </c:pt>
                <c:pt idx="1">
                  <c:v>BE</c:v>
                </c:pt>
                <c:pt idx="2">
                  <c:v>BG</c:v>
                </c:pt>
                <c:pt idx="3">
                  <c:v>HR</c:v>
                </c:pt>
                <c:pt idx="4">
                  <c:v>CY</c:v>
                </c:pt>
                <c:pt idx="5">
                  <c:v>CZ</c:v>
                </c:pt>
                <c:pt idx="6">
                  <c:v>EE</c:v>
                </c:pt>
                <c:pt idx="7">
                  <c:v>DE</c:v>
                </c:pt>
                <c:pt idx="8">
                  <c:v>EL</c:v>
                </c:pt>
                <c:pt idx="9">
                  <c:v>HU</c:v>
                </c:pt>
                <c:pt idx="10">
                  <c:v>IE</c:v>
                </c:pt>
                <c:pt idx="11">
                  <c:v>IT</c:v>
                </c:pt>
                <c:pt idx="12">
                  <c:v>LV</c:v>
                </c:pt>
                <c:pt idx="13">
                  <c:v>LT</c:v>
                </c:pt>
                <c:pt idx="14">
                  <c:v>LU</c:v>
                </c:pt>
                <c:pt idx="15">
                  <c:v>MT</c:v>
                </c:pt>
                <c:pt idx="16">
                  <c:v>PL</c:v>
                </c:pt>
                <c:pt idx="17">
                  <c:v>PT</c:v>
                </c:pt>
                <c:pt idx="18">
                  <c:v>RO</c:v>
                </c:pt>
                <c:pt idx="19">
                  <c:v>SK</c:v>
                </c:pt>
                <c:pt idx="20">
                  <c:v>SI</c:v>
                </c:pt>
                <c:pt idx="21">
                  <c:v>ES</c:v>
                </c:pt>
                <c:pt idx="22">
                  <c:v>SE</c:v>
                </c:pt>
              </c:strCache>
            </c:strRef>
          </c:cat>
          <c:val>
            <c:numRef>
              <c:f>'Project statistics'!$B$2:$B$25</c:f>
              <c:numCache>
                <c:formatCode>General</c:formatCode>
                <c:ptCount val="23"/>
                <c:pt idx="0">
                  <c:v>4</c:v>
                </c:pt>
                <c:pt idx="1">
                  <c:v>7</c:v>
                </c:pt>
                <c:pt idx="2">
                  <c:v>5</c:v>
                </c:pt>
                <c:pt idx="3">
                  <c:v>12</c:v>
                </c:pt>
                <c:pt idx="4">
                  <c:v>10</c:v>
                </c:pt>
                <c:pt idx="5">
                  <c:v>6</c:v>
                </c:pt>
                <c:pt idx="6">
                  <c:v>5</c:v>
                </c:pt>
                <c:pt idx="7">
                  <c:v>1</c:v>
                </c:pt>
                <c:pt idx="8">
                  <c:v>4</c:v>
                </c:pt>
                <c:pt idx="9">
                  <c:v>3</c:v>
                </c:pt>
                <c:pt idx="10">
                  <c:v>5</c:v>
                </c:pt>
                <c:pt idx="11">
                  <c:v>7</c:v>
                </c:pt>
                <c:pt idx="12">
                  <c:v>7</c:v>
                </c:pt>
                <c:pt idx="13">
                  <c:v>5</c:v>
                </c:pt>
                <c:pt idx="14">
                  <c:v>1</c:v>
                </c:pt>
                <c:pt idx="15">
                  <c:v>7</c:v>
                </c:pt>
                <c:pt idx="16">
                  <c:v>6</c:v>
                </c:pt>
                <c:pt idx="17">
                  <c:v>5</c:v>
                </c:pt>
                <c:pt idx="18">
                  <c:v>13</c:v>
                </c:pt>
                <c:pt idx="19">
                  <c:v>8</c:v>
                </c:pt>
                <c:pt idx="20">
                  <c:v>7</c:v>
                </c:pt>
                <c:pt idx="21">
                  <c:v>6</c:v>
                </c:pt>
                <c:pt idx="22">
                  <c:v>1</c:v>
                </c:pt>
              </c:numCache>
            </c:numRef>
          </c:val>
          <c:extLst>
            <c:ext xmlns:c16="http://schemas.microsoft.com/office/drawing/2014/chart" uri="{C3380CC4-5D6E-409C-BE32-E72D297353CC}">
              <c16:uniqueId val="{00000000-2E4F-455D-8D25-4536F1C8CA42}"/>
            </c:ext>
          </c:extLst>
        </c:ser>
        <c:dLbls>
          <c:showLegendKey val="0"/>
          <c:showVal val="0"/>
          <c:showCatName val="0"/>
          <c:showSerName val="0"/>
          <c:showPercent val="0"/>
          <c:showBubbleSize val="0"/>
        </c:dLbls>
        <c:gapWidth val="219"/>
        <c:overlap val="-27"/>
        <c:axId val="98990336"/>
        <c:axId val="99004416"/>
      </c:barChart>
      <c:catAx>
        <c:axId val="9899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004416"/>
        <c:crosses val="autoZero"/>
        <c:auto val="1"/>
        <c:lblAlgn val="ctr"/>
        <c:lblOffset val="100"/>
        <c:noMultiLvlLbl val="0"/>
      </c:catAx>
      <c:valAx>
        <c:axId val="99004416"/>
        <c:scaling>
          <c:orientation val="minMax"/>
        </c:scaling>
        <c:delete val="1"/>
        <c:axPos val="l"/>
        <c:numFmt formatCode="General" sourceLinked="1"/>
        <c:majorTickMark val="none"/>
        <c:minorTickMark val="none"/>
        <c:tickLblPos val="nextTo"/>
        <c:crossAx val="9899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AB-4ED9-A4BD-0D5D69ED20D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AB-4ED9-A4BD-0D5D69ED20D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'Project statistics'!$A$20:$A$21</c:f>
              <c:strCache>
                <c:ptCount val="2"/>
                <c:pt idx="0">
                  <c:v>Completed</c:v>
                </c:pt>
                <c:pt idx="1">
                  <c:v>On the ground</c:v>
                </c:pt>
              </c:strCache>
            </c:strRef>
          </c:cat>
          <c:val>
            <c:numRef>
              <c:f>'Project statistics'!$B$20:$B$21</c:f>
              <c:numCache>
                <c:formatCode>0%</c:formatCode>
                <c:ptCount val="2"/>
                <c:pt idx="0">
                  <c:v>0.3</c:v>
                </c:pt>
                <c:pt idx="1">
                  <c:v>0.70370370370370372</c:v>
                </c:pt>
              </c:numCache>
            </c:numRef>
          </c:val>
          <c:extLst>
            <c:ext xmlns:c16="http://schemas.microsoft.com/office/drawing/2014/chart" uri="{C3380CC4-5D6E-409C-BE32-E72D297353CC}">
              <c16:uniqueId val="{00000004-8AAB-4ED9-A4BD-0D5D69ED20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ysClr val="window" lastClr="FFFFFF"/>
        </a:solid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1-F939-407F-B6B5-3BF3419C85C9}"/>
              </c:ext>
            </c:extLst>
          </c:dPt>
          <c:dPt>
            <c:idx val="2"/>
            <c:invertIfNegative val="0"/>
            <c:bubble3D val="0"/>
            <c:spPr>
              <a:solidFill>
                <a:schemeClr val="accent3">
                  <a:lumMod val="75000"/>
                </a:schemeClr>
              </a:solidFill>
              <a:ln>
                <a:solidFill>
                  <a:schemeClr val="accent3">
                    <a:lumMod val="75000"/>
                  </a:schemeClr>
                </a:solidFill>
              </a:ln>
              <a:effectLst/>
            </c:spPr>
            <c:extLst>
              <c:ext xmlns:c16="http://schemas.microsoft.com/office/drawing/2014/chart" uri="{C3380CC4-5D6E-409C-BE32-E72D297353CC}">
                <c16:uniqueId val="{00000003-F939-407F-B6B5-3BF3419C85C9}"/>
              </c:ext>
            </c:extLst>
          </c:dPt>
          <c:dPt>
            <c:idx val="3"/>
            <c:invertIfNegative val="0"/>
            <c:bubble3D val="0"/>
            <c:spPr>
              <a:solidFill>
                <a:schemeClr val="accent2">
                  <a:lumMod val="75000"/>
                </a:schemeClr>
              </a:solidFill>
              <a:ln>
                <a:solidFill>
                  <a:schemeClr val="accent2">
                    <a:lumMod val="75000"/>
                  </a:schemeClr>
                </a:solidFill>
              </a:ln>
              <a:effectLst/>
            </c:spPr>
            <c:extLst>
              <c:ext xmlns:c16="http://schemas.microsoft.com/office/drawing/2014/chart" uri="{C3380CC4-5D6E-409C-BE32-E72D297353CC}">
                <c16:uniqueId val="{00000005-F939-407F-B6B5-3BF3419C85C9}"/>
              </c:ext>
            </c:extLst>
          </c:dPt>
          <c:dPt>
            <c:idx val="4"/>
            <c:invertIfNegative val="0"/>
            <c:bubble3D val="0"/>
            <c:spPr>
              <a:solidFill>
                <a:schemeClr val="accent5">
                  <a:lumMod val="75000"/>
                </a:schemeClr>
              </a:solidFill>
              <a:ln>
                <a:solidFill>
                  <a:schemeClr val="accent5">
                    <a:lumMod val="75000"/>
                  </a:schemeClr>
                </a:solidFill>
              </a:ln>
              <a:effectLst/>
            </c:spPr>
            <c:extLst>
              <c:ext xmlns:c16="http://schemas.microsoft.com/office/drawing/2014/chart" uri="{C3380CC4-5D6E-409C-BE32-E72D297353CC}">
                <c16:uniqueId val="{00000007-F939-407F-B6B5-3BF3419C85C9}"/>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939-407F-B6B5-3BF3419C85C9}"/>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39-407F-B6B5-3BF3419C85C9}"/>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39-407F-B6B5-3BF3419C85C9}"/>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39-407F-B6B5-3BF3419C85C9}"/>
                </c:ext>
              </c:extLst>
            </c:dLbl>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939-407F-B6B5-3BF3419C85C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Sheet1!$D$29:$D$33</c:f>
              <c:strCache>
                <c:ptCount val="5"/>
                <c:pt idx="0">
                  <c:v>Governance and public administration</c:v>
                </c:pt>
                <c:pt idx="1">
                  <c:v>Growth and business environment</c:v>
                </c:pt>
                <c:pt idx="2">
                  <c:v>Labour market, education, health and social services</c:v>
                </c:pt>
                <c:pt idx="3">
                  <c:v>Revenue administration and public financial management</c:v>
                </c:pt>
                <c:pt idx="4">
                  <c:v>Financial services and access to finance</c:v>
                </c:pt>
              </c:strCache>
            </c:strRef>
          </c:cat>
          <c:val>
            <c:numRef>
              <c:f>Sheet1!$E$29:$E$33</c:f>
              <c:numCache>
                <c:formatCode>0%</c:formatCode>
                <c:ptCount val="5"/>
                <c:pt idx="0">
                  <c:v>0.22</c:v>
                </c:pt>
                <c:pt idx="1">
                  <c:v>0.22627737226277372</c:v>
                </c:pt>
                <c:pt idx="2">
                  <c:v>0.21167883211678831</c:v>
                </c:pt>
                <c:pt idx="3">
                  <c:v>0.21167883211678831</c:v>
                </c:pt>
                <c:pt idx="4">
                  <c:v>0.13</c:v>
                </c:pt>
              </c:numCache>
            </c:numRef>
          </c:val>
          <c:extLst>
            <c:ext xmlns:c16="http://schemas.microsoft.com/office/drawing/2014/chart" uri="{C3380CC4-5D6E-409C-BE32-E72D297353CC}">
              <c16:uniqueId val="{00000009-F939-407F-B6B5-3BF3419C85C9}"/>
            </c:ext>
          </c:extLst>
        </c:ser>
        <c:dLbls>
          <c:showLegendKey val="0"/>
          <c:showVal val="0"/>
          <c:showCatName val="0"/>
          <c:showSerName val="0"/>
          <c:showPercent val="0"/>
          <c:showBubbleSize val="0"/>
        </c:dLbls>
        <c:gapWidth val="219"/>
        <c:overlap val="-27"/>
        <c:axId val="99072640"/>
        <c:axId val="99094912"/>
      </c:barChart>
      <c:catAx>
        <c:axId val="990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094912"/>
        <c:crosses val="autoZero"/>
        <c:auto val="1"/>
        <c:lblAlgn val="ctr"/>
        <c:lblOffset val="100"/>
        <c:noMultiLvlLbl val="0"/>
      </c:catAx>
      <c:valAx>
        <c:axId val="99094912"/>
        <c:scaling>
          <c:orientation val="minMax"/>
        </c:scaling>
        <c:delete val="1"/>
        <c:axPos val="l"/>
        <c:numFmt formatCode="0%" sourceLinked="1"/>
        <c:majorTickMark val="none"/>
        <c:minorTickMark val="none"/>
        <c:tickLblPos val="nextTo"/>
        <c:crossAx val="9907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[Extract_SRSP 2018 projects AMR_25 Sept.xlsx]Sheet2!PivotTable4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Sheet2!$A$4:$A$39</c:f>
              <c:strCache>
                <c:ptCount val="35"/>
                <c:pt idx="0">
                  <c:v>Access to finance</c:v>
                </c:pt>
                <c:pt idx="1">
                  <c:v>Anti-corruption / anti-money-laundering</c:v>
                </c:pt>
                <c:pt idx="2">
                  <c:v>Bank supervision and resolution</c:v>
                </c:pt>
                <c:pt idx="3">
                  <c:v>Better regulation</c:v>
                </c:pt>
                <c:pt idx="4">
                  <c:v>Budget execution and cash management</c:v>
                </c:pt>
                <c:pt idx="5">
                  <c:v>Budgeting</c:v>
                </c:pt>
                <c:pt idx="6">
                  <c:v>Capital Markets Union</c:v>
                </c:pt>
                <c:pt idx="7">
                  <c:v>Climate</c:v>
                </c:pt>
                <c:pt idx="8">
                  <c:v>Digital economy</c:v>
                </c:pt>
                <c:pt idx="9">
                  <c:v>Digital Public Administration</c:v>
                </c:pt>
                <c:pt idx="10">
                  <c:v>Education and training</c:v>
                </c:pt>
                <c:pt idx="11">
                  <c:v>Energy</c:v>
                </c:pt>
                <c:pt idx="12">
                  <c:v>Enhancing competitiveness and productivity of SMEs</c:v>
                </c:pt>
                <c:pt idx="13">
                  <c:v>Environment, circular economy, water, land registry and spatial planning</c:v>
                </c:pt>
                <c:pt idx="14">
                  <c:v>Financial literacy</c:v>
                </c:pt>
                <c:pt idx="15">
                  <c:v>Fiscal framework</c:v>
                </c:pt>
                <c:pt idx="16">
                  <c:v>Governance</c:v>
                </c:pt>
                <c:pt idx="17">
                  <c:v>Healthcare system</c:v>
                </c:pt>
                <c:pt idx="18">
                  <c:v>Insolvency</c:v>
                </c:pt>
                <c:pt idx="19">
                  <c:v>Investment management and PPPs</c:v>
                </c:pt>
                <c:pt idx="20">
                  <c:v>Judicial reform</c:v>
                </c:pt>
                <c:pt idx="21">
                  <c:v>Labour market policies</c:v>
                </c:pt>
                <c:pt idx="22">
                  <c:v>Migration and border management</c:v>
                </c:pt>
                <c:pt idx="23">
                  <c:v>Modelling, analysis and assessments</c:v>
                </c:pt>
                <c:pt idx="24">
                  <c:v>Non-performing loans</c:v>
                </c:pt>
                <c:pt idx="25">
                  <c:v>Pension and disabilities</c:v>
                </c:pt>
                <c:pt idx="26">
                  <c:v>Public accounting and fiscal statistics</c:v>
                </c:pt>
                <c:pt idx="27">
                  <c:v>Public procurement</c:v>
                </c:pt>
                <c:pt idx="28">
                  <c:v>Sectoral expertise (transport, logistics, tourism, agriculture, etc.)</c:v>
                </c:pt>
                <c:pt idx="29">
                  <c:v>Small and medium-sized enterprise policy</c:v>
                </c:pt>
                <c:pt idx="30">
                  <c:v>Social policies</c:v>
                </c:pt>
                <c:pt idx="31">
                  <c:v>Spending reviews</c:v>
                </c:pt>
                <c:pt idx="32">
                  <c:v>State-owned enterprise management</c:v>
                </c:pt>
                <c:pt idx="33">
                  <c:v>Tax policy</c:v>
                </c:pt>
                <c:pt idx="34">
                  <c:v>Trade</c:v>
                </c:pt>
              </c:strCache>
            </c:strRef>
          </c:cat>
          <c:val>
            <c:numRef>
              <c:f>Sheet2!$B$4:$B$39</c:f>
              <c:numCache>
                <c:formatCode>General</c:formatCode>
                <c:ptCount val="35"/>
                <c:pt idx="0">
                  <c:v>4</c:v>
                </c:pt>
                <c:pt idx="1">
                  <c:v>4</c:v>
                </c:pt>
                <c:pt idx="2">
                  <c:v>3</c:v>
                </c:pt>
                <c:pt idx="3">
                  <c:v>2</c:v>
                </c:pt>
                <c:pt idx="4">
                  <c:v>1</c:v>
                </c:pt>
                <c:pt idx="5">
                  <c:v>2</c:v>
                </c:pt>
                <c:pt idx="6">
                  <c:v>7</c:v>
                </c:pt>
                <c:pt idx="7">
                  <c:v>1</c:v>
                </c:pt>
                <c:pt idx="8">
                  <c:v>2</c:v>
                </c:pt>
                <c:pt idx="9">
                  <c:v>11</c:v>
                </c:pt>
                <c:pt idx="10">
                  <c:v>12</c:v>
                </c:pt>
                <c:pt idx="11">
                  <c:v>3</c:v>
                </c:pt>
                <c:pt idx="12">
                  <c:v>1</c:v>
                </c:pt>
                <c:pt idx="13">
                  <c:v>6</c:v>
                </c:pt>
                <c:pt idx="14">
                  <c:v>1</c:v>
                </c:pt>
                <c:pt idx="15">
                  <c:v>1</c:v>
                </c:pt>
                <c:pt idx="16">
                  <c:v>11</c:v>
                </c:pt>
                <c:pt idx="17">
                  <c:v>10</c:v>
                </c:pt>
                <c:pt idx="18">
                  <c:v>1</c:v>
                </c:pt>
                <c:pt idx="19">
                  <c:v>4</c:v>
                </c:pt>
                <c:pt idx="20">
                  <c:v>5</c:v>
                </c:pt>
                <c:pt idx="21">
                  <c:v>1</c:v>
                </c:pt>
                <c:pt idx="22">
                  <c:v>1</c:v>
                </c:pt>
                <c:pt idx="23">
                  <c:v>4</c:v>
                </c:pt>
                <c:pt idx="24">
                  <c:v>1</c:v>
                </c:pt>
                <c:pt idx="25">
                  <c:v>3</c:v>
                </c:pt>
                <c:pt idx="26">
                  <c:v>1</c:v>
                </c:pt>
                <c:pt idx="27">
                  <c:v>2</c:v>
                </c:pt>
                <c:pt idx="28">
                  <c:v>4</c:v>
                </c:pt>
                <c:pt idx="29">
                  <c:v>2</c:v>
                </c:pt>
                <c:pt idx="30">
                  <c:v>2</c:v>
                </c:pt>
                <c:pt idx="31">
                  <c:v>2</c:v>
                </c:pt>
                <c:pt idx="32">
                  <c:v>1</c:v>
                </c:pt>
                <c:pt idx="33">
                  <c:v>18</c:v>
                </c:pt>
                <c:pt idx="34">
                  <c:v>1</c:v>
                </c:pt>
              </c:numCache>
            </c:numRef>
          </c:val>
          <c:extLst>
            <c:ext xmlns:c16="http://schemas.microsoft.com/office/drawing/2014/chart" uri="{C3380CC4-5D6E-409C-BE32-E72D297353CC}">
              <c16:uniqueId val="{00000000-959E-4790-A8B4-30909A305A87}"/>
            </c:ext>
          </c:extLst>
        </c:ser>
        <c:dLbls>
          <c:dLblPos val="outEnd"/>
          <c:showLegendKey val="0"/>
          <c:showVal val="1"/>
          <c:showCatName val="0"/>
          <c:showSerName val="0"/>
          <c:showPercent val="0"/>
          <c:showBubbleSize val="0"/>
        </c:dLbls>
        <c:gapWidth val="182"/>
        <c:axId val="99125504"/>
        <c:axId val="99619968"/>
      </c:barChart>
      <c:catAx>
        <c:axId val="9912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619968"/>
        <c:crosses val="autoZero"/>
        <c:auto val="1"/>
        <c:lblAlgn val="ctr"/>
        <c:lblOffset val="100"/>
        <c:noMultiLvlLbl val="0"/>
      </c:catAx>
      <c:valAx>
        <c:axId val="99619968"/>
        <c:scaling>
          <c:orientation val="minMax"/>
        </c:scaling>
        <c:delete val="1"/>
        <c:axPos val="b"/>
        <c:numFmt formatCode="General" sourceLinked="1"/>
        <c:majorTickMark val="none"/>
        <c:minorTickMark val="none"/>
        <c:tickLblPos val="nextTo"/>
        <c:crossAx val="9912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diagrams/_rels/data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34583A-85DB-4DD2-81FB-75558DFA5BA6}" type="doc">
      <dgm:prSet loTypeId="urn:microsoft.com/office/officeart/2005/8/layout/hProcess3" loCatId="process" qsTypeId="urn:microsoft.com/office/officeart/2005/8/quickstyle/simple1" qsCatId="simple" csTypeId="urn:microsoft.com/office/officeart/2005/8/colors/accent1_2" csCatId="accent1" phldr="1"/>
      <dgm:spPr/>
      <dgm:t>
        <a:bodyPr/>
        <a:lstStyle/>
        <a:p>
          <a:endParaRPr lang="en-GB"/>
        </a:p>
      </dgm:t>
    </dgm:pt>
    <dgm:pt modelId="{7986029F-18AE-435F-9A78-7E05EF9202C5}">
      <dgm:prSet phldrT="[Text]"/>
      <dgm:spPr/>
      <dgm:t>
        <a:bodyPr/>
        <a:lstStyle/>
        <a:p>
          <a:r>
            <a:rPr lang="en-GB" b="1">
              <a:latin typeface="Times New Roman" panose="02020603050405020304" pitchFamily="18" charset="0"/>
              <a:cs typeface="Times New Roman" panose="02020603050405020304" pitchFamily="18" charset="0"/>
            </a:rPr>
            <a:t>Screening</a:t>
          </a:r>
        </a:p>
      </dgm:t>
    </dgm:pt>
    <dgm:pt modelId="{7E3A5370-11B2-40C2-833B-011D005F1963}" type="parTrans" cxnId="{2CF16ED5-1218-4CBA-8E25-E78B01669386}">
      <dgm:prSet/>
      <dgm:spPr/>
      <dgm:t>
        <a:bodyPr/>
        <a:lstStyle/>
        <a:p>
          <a:endParaRPr lang="en-GB"/>
        </a:p>
      </dgm:t>
    </dgm:pt>
    <dgm:pt modelId="{982BCFF9-DA47-48AB-A06D-2F8FE213B51B}" type="sibTrans" cxnId="{2CF16ED5-1218-4CBA-8E25-E78B01669386}">
      <dgm:prSet/>
      <dgm:spPr/>
      <dgm:t>
        <a:bodyPr/>
        <a:lstStyle/>
        <a:p>
          <a:endParaRPr lang="en-GB"/>
        </a:p>
      </dgm:t>
    </dgm:pt>
    <dgm:pt modelId="{AB7B69B9-34B2-44BB-90A4-FE0564D23C82}">
      <dgm:prSet phldrT="[Text]"/>
      <dgm:spPr/>
      <dgm:t>
        <a:bodyPr/>
        <a:lstStyle/>
        <a:p>
          <a:r>
            <a:rPr lang="en-GB" b="1">
              <a:latin typeface="Times New Roman" panose="02020603050405020304" pitchFamily="18" charset="0"/>
              <a:cs typeface="Times New Roman" panose="02020603050405020304" pitchFamily="18" charset="0"/>
            </a:rPr>
            <a:t>Analysis</a:t>
          </a:r>
        </a:p>
      </dgm:t>
    </dgm:pt>
    <dgm:pt modelId="{765A3A1E-7D06-4B8B-8C25-7C745648C6F3}" type="parTrans" cxnId="{A9422836-5DE3-4571-9817-62B0D6EBB6E6}">
      <dgm:prSet/>
      <dgm:spPr/>
      <dgm:t>
        <a:bodyPr/>
        <a:lstStyle/>
        <a:p>
          <a:endParaRPr lang="en-GB"/>
        </a:p>
      </dgm:t>
    </dgm:pt>
    <dgm:pt modelId="{7D6B2CB8-AD2B-45B9-A8E9-B38E68B59A2E}" type="sibTrans" cxnId="{A9422836-5DE3-4571-9817-62B0D6EBB6E6}">
      <dgm:prSet/>
      <dgm:spPr/>
      <dgm:t>
        <a:bodyPr/>
        <a:lstStyle/>
        <a:p>
          <a:endParaRPr lang="en-GB"/>
        </a:p>
      </dgm:t>
    </dgm:pt>
    <dgm:pt modelId="{A5E9E428-0E10-406E-8E4D-B7B790EF791B}">
      <dgm:prSet phldrT="[Text]"/>
      <dgm:spPr/>
      <dgm:t>
        <a:bodyPr/>
        <a:lstStyle/>
        <a:p>
          <a:r>
            <a:rPr lang="en-GB" b="1">
              <a:latin typeface="Times New Roman" panose="02020603050405020304" pitchFamily="18" charset="0"/>
              <a:cs typeface="Times New Roman" panose="02020603050405020304" pitchFamily="18" charset="0"/>
            </a:rPr>
            <a:t>Prioritisation</a:t>
          </a:r>
        </a:p>
      </dgm:t>
    </dgm:pt>
    <dgm:pt modelId="{B9532C64-179F-4606-AF5F-9653EB7A2EB9}" type="parTrans" cxnId="{0EB91B8C-80D3-4FB2-A1A0-213E1ECE263A}">
      <dgm:prSet/>
      <dgm:spPr/>
      <dgm:t>
        <a:bodyPr/>
        <a:lstStyle/>
        <a:p>
          <a:endParaRPr lang="en-GB"/>
        </a:p>
      </dgm:t>
    </dgm:pt>
    <dgm:pt modelId="{C55E667C-79E4-467F-A6B0-C593553D2DC4}" type="sibTrans" cxnId="{0EB91B8C-80D3-4FB2-A1A0-213E1ECE263A}">
      <dgm:prSet/>
      <dgm:spPr/>
      <dgm:t>
        <a:bodyPr/>
        <a:lstStyle/>
        <a:p>
          <a:endParaRPr lang="en-GB"/>
        </a:p>
      </dgm:t>
    </dgm:pt>
    <dgm:pt modelId="{C366BDCE-1ED9-41DA-A431-310C247018FC}">
      <dgm:prSet phldrT="[Text]"/>
      <dgm:spPr/>
      <dgm:t>
        <a:bodyPr/>
        <a:lstStyle/>
        <a:p>
          <a:r>
            <a:rPr lang="en-GB" b="1">
              <a:latin typeface="Times New Roman" panose="02020603050405020304" pitchFamily="18" charset="0"/>
              <a:cs typeface="Times New Roman" panose="02020603050405020304" pitchFamily="18" charset="0"/>
            </a:rPr>
            <a:t>Selection</a:t>
          </a:r>
        </a:p>
      </dgm:t>
    </dgm:pt>
    <dgm:pt modelId="{22C8D8EA-9D39-4FCD-BE63-25ECF440C732}" type="parTrans" cxnId="{CD32E2E8-EB1E-46DE-BCFF-C908DCCEBA91}">
      <dgm:prSet/>
      <dgm:spPr/>
      <dgm:t>
        <a:bodyPr/>
        <a:lstStyle/>
        <a:p>
          <a:endParaRPr lang="en-GB"/>
        </a:p>
      </dgm:t>
    </dgm:pt>
    <dgm:pt modelId="{011059B8-43ED-4867-95B6-C256F730BF92}" type="sibTrans" cxnId="{CD32E2E8-EB1E-46DE-BCFF-C908DCCEBA91}">
      <dgm:prSet/>
      <dgm:spPr/>
      <dgm:t>
        <a:bodyPr/>
        <a:lstStyle/>
        <a:p>
          <a:endParaRPr lang="en-GB"/>
        </a:p>
      </dgm:t>
    </dgm:pt>
    <dgm:pt modelId="{52ED9F24-0954-46D9-83F6-0FBCAB6B80D7}" type="pres">
      <dgm:prSet presAssocID="{3B34583A-85DB-4DD2-81FB-75558DFA5BA6}" presName="Name0" presStyleCnt="0">
        <dgm:presLayoutVars>
          <dgm:dir/>
          <dgm:animLvl val="lvl"/>
          <dgm:resizeHandles val="exact"/>
        </dgm:presLayoutVars>
      </dgm:prSet>
      <dgm:spPr/>
      <dgm:t>
        <a:bodyPr/>
        <a:lstStyle/>
        <a:p>
          <a:endParaRPr lang="en-GB"/>
        </a:p>
      </dgm:t>
    </dgm:pt>
    <dgm:pt modelId="{4E16E3E6-ADE8-4A59-9B1B-3383A90A33ED}" type="pres">
      <dgm:prSet presAssocID="{3B34583A-85DB-4DD2-81FB-75558DFA5BA6}" presName="dummy" presStyleCnt="0"/>
      <dgm:spPr/>
    </dgm:pt>
    <dgm:pt modelId="{AD31D4FC-4233-4B31-BE88-A1DD6F2C1906}" type="pres">
      <dgm:prSet presAssocID="{3B34583A-85DB-4DD2-81FB-75558DFA5BA6}" presName="linH" presStyleCnt="0"/>
      <dgm:spPr/>
    </dgm:pt>
    <dgm:pt modelId="{0E3B41AA-55CC-4372-8804-F424A8658D60}" type="pres">
      <dgm:prSet presAssocID="{3B34583A-85DB-4DD2-81FB-75558DFA5BA6}" presName="padding1" presStyleCnt="0"/>
      <dgm:spPr/>
    </dgm:pt>
    <dgm:pt modelId="{C7FFDA62-A8A6-4B48-A976-5C7B72C0BA78}" type="pres">
      <dgm:prSet presAssocID="{7986029F-18AE-435F-9A78-7E05EF9202C5}" presName="linV" presStyleCnt="0"/>
      <dgm:spPr/>
    </dgm:pt>
    <dgm:pt modelId="{1365AF6A-F5AF-42FC-8BB9-E2269AA755A5}" type="pres">
      <dgm:prSet presAssocID="{7986029F-18AE-435F-9A78-7E05EF9202C5}" presName="spVertical1" presStyleCnt="0"/>
      <dgm:spPr/>
    </dgm:pt>
    <dgm:pt modelId="{F3A37581-DC7F-42F3-BDB9-DD93CA711F09}" type="pres">
      <dgm:prSet presAssocID="{7986029F-18AE-435F-9A78-7E05EF9202C5}" presName="parTx" presStyleLbl="revTx" presStyleIdx="0" presStyleCnt="4">
        <dgm:presLayoutVars>
          <dgm:chMax val="0"/>
          <dgm:chPref val="0"/>
          <dgm:bulletEnabled val="1"/>
        </dgm:presLayoutVars>
      </dgm:prSet>
      <dgm:spPr/>
      <dgm:t>
        <a:bodyPr/>
        <a:lstStyle/>
        <a:p>
          <a:endParaRPr lang="en-GB"/>
        </a:p>
      </dgm:t>
    </dgm:pt>
    <dgm:pt modelId="{2B508E67-2C35-43D7-8DF1-38B942141FC0}" type="pres">
      <dgm:prSet presAssocID="{7986029F-18AE-435F-9A78-7E05EF9202C5}" presName="spVertical2" presStyleCnt="0"/>
      <dgm:spPr/>
    </dgm:pt>
    <dgm:pt modelId="{3779CF8F-5A10-4862-847D-4428D6799E8F}" type="pres">
      <dgm:prSet presAssocID="{7986029F-18AE-435F-9A78-7E05EF9202C5}" presName="spVertical3" presStyleCnt="0"/>
      <dgm:spPr/>
    </dgm:pt>
    <dgm:pt modelId="{70C339BD-A796-4305-9B45-6AFEABE23753}" type="pres">
      <dgm:prSet presAssocID="{982BCFF9-DA47-48AB-A06D-2F8FE213B51B}" presName="space" presStyleCnt="0"/>
      <dgm:spPr/>
    </dgm:pt>
    <dgm:pt modelId="{2EB365E1-DE97-4FA6-A4E9-2159AC1A4D3F}" type="pres">
      <dgm:prSet presAssocID="{AB7B69B9-34B2-44BB-90A4-FE0564D23C82}" presName="linV" presStyleCnt="0"/>
      <dgm:spPr/>
    </dgm:pt>
    <dgm:pt modelId="{2E4CD5D3-46C6-479A-BB88-49A490B28791}" type="pres">
      <dgm:prSet presAssocID="{AB7B69B9-34B2-44BB-90A4-FE0564D23C82}" presName="spVertical1" presStyleCnt="0"/>
      <dgm:spPr/>
    </dgm:pt>
    <dgm:pt modelId="{B48B2016-C896-4126-AB2B-8C07D54B219B}" type="pres">
      <dgm:prSet presAssocID="{AB7B69B9-34B2-44BB-90A4-FE0564D23C82}" presName="parTx" presStyleLbl="revTx" presStyleIdx="1" presStyleCnt="4">
        <dgm:presLayoutVars>
          <dgm:chMax val="0"/>
          <dgm:chPref val="0"/>
          <dgm:bulletEnabled val="1"/>
        </dgm:presLayoutVars>
      </dgm:prSet>
      <dgm:spPr/>
      <dgm:t>
        <a:bodyPr/>
        <a:lstStyle/>
        <a:p>
          <a:endParaRPr lang="en-GB"/>
        </a:p>
      </dgm:t>
    </dgm:pt>
    <dgm:pt modelId="{24B1090F-1B40-407B-B0D6-F9562EE0E75D}" type="pres">
      <dgm:prSet presAssocID="{AB7B69B9-34B2-44BB-90A4-FE0564D23C82}" presName="spVertical2" presStyleCnt="0"/>
      <dgm:spPr/>
    </dgm:pt>
    <dgm:pt modelId="{61C87A94-DBFD-4906-8F54-63DFCD84B35F}" type="pres">
      <dgm:prSet presAssocID="{AB7B69B9-34B2-44BB-90A4-FE0564D23C82}" presName="spVertical3" presStyleCnt="0"/>
      <dgm:spPr/>
    </dgm:pt>
    <dgm:pt modelId="{BADC5338-B9BF-4DFA-A6A6-D905B0E003D2}" type="pres">
      <dgm:prSet presAssocID="{7D6B2CB8-AD2B-45B9-A8E9-B38E68B59A2E}" presName="space" presStyleCnt="0"/>
      <dgm:spPr/>
    </dgm:pt>
    <dgm:pt modelId="{9E7AF4C3-DC56-42CB-B369-ACFC7588F673}" type="pres">
      <dgm:prSet presAssocID="{A5E9E428-0E10-406E-8E4D-B7B790EF791B}" presName="linV" presStyleCnt="0"/>
      <dgm:spPr/>
    </dgm:pt>
    <dgm:pt modelId="{30AE3065-518B-44D4-AB93-738673CD090F}" type="pres">
      <dgm:prSet presAssocID="{A5E9E428-0E10-406E-8E4D-B7B790EF791B}" presName="spVertical1" presStyleCnt="0"/>
      <dgm:spPr/>
    </dgm:pt>
    <dgm:pt modelId="{A7A9CAF5-8543-49FD-B309-7D367A65C4DD}" type="pres">
      <dgm:prSet presAssocID="{A5E9E428-0E10-406E-8E4D-B7B790EF791B}" presName="parTx" presStyleLbl="revTx" presStyleIdx="2" presStyleCnt="4">
        <dgm:presLayoutVars>
          <dgm:chMax val="0"/>
          <dgm:chPref val="0"/>
          <dgm:bulletEnabled val="1"/>
        </dgm:presLayoutVars>
      </dgm:prSet>
      <dgm:spPr/>
      <dgm:t>
        <a:bodyPr/>
        <a:lstStyle/>
        <a:p>
          <a:endParaRPr lang="en-GB"/>
        </a:p>
      </dgm:t>
    </dgm:pt>
    <dgm:pt modelId="{05A71FAC-E88F-499D-B65D-95603771B56E}" type="pres">
      <dgm:prSet presAssocID="{A5E9E428-0E10-406E-8E4D-B7B790EF791B}" presName="spVertical2" presStyleCnt="0"/>
      <dgm:spPr/>
    </dgm:pt>
    <dgm:pt modelId="{D857D39B-154C-4920-B361-723B9F1A0C3E}" type="pres">
      <dgm:prSet presAssocID="{A5E9E428-0E10-406E-8E4D-B7B790EF791B}" presName="spVertical3" presStyleCnt="0"/>
      <dgm:spPr/>
    </dgm:pt>
    <dgm:pt modelId="{3C4A56AE-88CF-4FE9-828C-291180249A09}" type="pres">
      <dgm:prSet presAssocID="{C55E667C-79E4-467F-A6B0-C593553D2DC4}" presName="space" presStyleCnt="0"/>
      <dgm:spPr/>
    </dgm:pt>
    <dgm:pt modelId="{7659D544-3B03-4F38-A75F-8DA8CD2EB5CB}" type="pres">
      <dgm:prSet presAssocID="{C366BDCE-1ED9-41DA-A431-310C247018FC}" presName="linV" presStyleCnt="0"/>
      <dgm:spPr/>
    </dgm:pt>
    <dgm:pt modelId="{3B254CA4-9AD5-4844-B224-FFC0A3CE931A}" type="pres">
      <dgm:prSet presAssocID="{C366BDCE-1ED9-41DA-A431-310C247018FC}" presName="spVertical1" presStyleCnt="0"/>
      <dgm:spPr/>
    </dgm:pt>
    <dgm:pt modelId="{9EEF8E6D-6100-4E25-A4E7-0CA7D896EE04}" type="pres">
      <dgm:prSet presAssocID="{C366BDCE-1ED9-41DA-A431-310C247018FC}" presName="parTx" presStyleLbl="revTx" presStyleIdx="3" presStyleCnt="4">
        <dgm:presLayoutVars>
          <dgm:chMax val="0"/>
          <dgm:chPref val="0"/>
          <dgm:bulletEnabled val="1"/>
        </dgm:presLayoutVars>
      </dgm:prSet>
      <dgm:spPr/>
      <dgm:t>
        <a:bodyPr/>
        <a:lstStyle/>
        <a:p>
          <a:endParaRPr lang="en-GB"/>
        </a:p>
      </dgm:t>
    </dgm:pt>
    <dgm:pt modelId="{E3930335-8621-4B8B-9106-E06EA5E714F1}" type="pres">
      <dgm:prSet presAssocID="{C366BDCE-1ED9-41DA-A431-310C247018FC}" presName="spVertical2" presStyleCnt="0"/>
      <dgm:spPr/>
    </dgm:pt>
    <dgm:pt modelId="{E7C2A131-65FE-4D5E-9051-0B4A0EA48565}" type="pres">
      <dgm:prSet presAssocID="{C366BDCE-1ED9-41DA-A431-310C247018FC}" presName="spVertical3" presStyleCnt="0"/>
      <dgm:spPr/>
    </dgm:pt>
    <dgm:pt modelId="{23D843EC-2FC0-4145-B173-41E10C844800}" type="pres">
      <dgm:prSet presAssocID="{3B34583A-85DB-4DD2-81FB-75558DFA5BA6}" presName="padding2" presStyleCnt="0"/>
      <dgm:spPr/>
    </dgm:pt>
    <dgm:pt modelId="{2D2DE6D3-84F2-4AF8-B2EA-E7D37A1D3C03}" type="pres">
      <dgm:prSet presAssocID="{3B34583A-85DB-4DD2-81FB-75558DFA5BA6}" presName="negArrow" presStyleCnt="0"/>
      <dgm:spPr/>
    </dgm:pt>
    <dgm:pt modelId="{19391163-5540-4DD7-B3D7-AA3423FA73E6}" type="pres">
      <dgm:prSet presAssocID="{3B34583A-85DB-4DD2-81FB-75558DFA5BA6}" presName="backgroundArrow" presStyleLbl="node1" presStyleIdx="0" presStyleCnt="1"/>
      <dgm:spPr>
        <a:solidFill>
          <a:schemeClr val="accent1">
            <a:lumMod val="60000"/>
            <a:lumOff val="40000"/>
          </a:schemeClr>
        </a:solidFill>
      </dgm:spPr>
    </dgm:pt>
  </dgm:ptLst>
  <dgm:cxnLst>
    <dgm:cxn modelId="{2CF16ED5-1218-4CBA-8E25-E78B01669386}" srcId="{3B34583A-85DB-4DD2-81FB-75558DFA5BA6}" destId="{7986029F-18AE-435F-9A78-7E05EF9202C5}" srcOrd="0" destOrd="0" parTransId="{7E3A5370-11B2-40C2-833B-011D005F1963}" sibTransId="{982BCFF9-DA47-48AB-A06D-2F8FE213B51B}"/>
    <dgm:cxn modelId="{A9422836-5DE3-4571-9817-62B0D6EBB6E6}" srcId="{3B34583A-85DB-4DD2-81FB-75558DFA5BA6}" destId="{AB7B69B9-34B2-44BB-90A4-FE0564D23C82}" srcOrd="1" destOrd="0" parTransId="{765A3A1E-7D06-4B8B-8C25-7C745648C6F3}" sibTransId="{7D6B2CB8-AD2B-45B9-A8E9-B38E68B59A2E}"/>
    <dgm:cxn modelId="{5A73D024-EEA8-4A23-B679-AE824C65CCC0}" type="presOf" srcId="{C366BDCE-1ED9-41DA-A431-310C247018FC}" destId="{9EEF8E6D-6100-4E25-A4E7-0CA7D896EE04}" srcOrd="0" destOrd="0" presId="urn:microsoft.com/office/officeart/2005/8/layout/hProcess3"/>
    <dgm:cxn modelId="{43376284-426C-44F3-A9C7-653788682443}" type="presOf" srcId="{A5E9E428-0E10-406E-8E4D-B7B790EF791B}" destId="{A7A9CAF5-8543-49FD-B309-7D367A65C4DD}" srcOrd="0" destOrd="0" presId="urn:microsoft.com/office/officeart/2005/8/layout/hProcess3"/>
    <dgm:cxn modelId="{F8264936-9DA0-4DDA-A4AD-F79A65BEAFE0}" type="presOf" srcId="{AB7B69B9-34B2-44BB-90A4-FE0564D23C82}" destId="{B48B2016-C896-4126-AB2B-8C07D54B219B}" srcOrd="0" destOrd="0" presId="urn:microsoft.com/office/officeart/2005/8/layout/hProcess3"/>
    <dgm:cxn modelId="{CD32E2E8-EB1E-46DE-BCFF-C908DCCEBA91}" srcId="{3B34583A-85DB-4DD2-81FB-75558DFA5BA6}" destId="{C366BDCE-1ED9-41DA-A431-310C247018FC}" srcOrd="3" destOrd="0" parTransId="{22C8D8EA-9D39-4FCD-BE63-25ECF440C732}" sibTransId="{011059B8-43ED-4867-95B6-C256F730BF92}"/>
    <dgm:cxn modelId="{0EB91B8C-80D3-4FB2-A1A0-213E1ECE263A}" srcId="{3B34583A-85DB-4DD2-81FB-75558DFA5BA6}" destId="{A5E9E428-0E10-406E-8E4D-B7B790EF791B}" srcOrd="2" destOrd="0" parTransId="{B9532C64-179F-4606-AF5F-9653EB7A2EB9}" sibTransId="{C55E667C-79E4-467F-A6B0-C593553D2DC4}"/>
    <dgm:cxn modelId="{F8FE7748-D655-4CEB-9533-E83EC9C2C0C8}" type="presOf" srcId="{7986029F-18AE-435F-9A78-7E05EF9202C5}" destId="{F3A37581-DC7F-42F3-BDB9-DD93CA711F09}" srcOrd="0" destOrd="0" presId="urn:microsoft.com/office/officeart/2005/8/layout/hProcess3"/>
    <dgm:cxn modelId="{7B8EBA02-21B5-479B-BB6A-F4C218116920}" type="presOf" srcId="{3B34583A-85DB-4DD2-81FB-75558DFA5BA6}" destId="{52ED9F24-0954-46D9-83F6-0FBCAB6B80D7}" srcOrd="0" destOrd="0" presId="urn:microsoft.com/office/officeart/2005/8/layout/hProcess3"/>
    <dgm:cxn modelId="{409F7DD9-D7A2-4B88-894E-C5886FB05937}" type="presParOf" srcId="{52ED9F24-0954-46D9-83F6-0FBCAB6B80D7}" destId="{4E16E3E6-ADE8-4A59-9B1B-3383A90A33ED}" srcOrd="0" destOrd="0" presId="urn:microsoft.com/office/officeart/2005/8/layout/hProcess3"/>
    <dgm:cxn modelId="{D2A622BA-E1FA-4CB3-8501-97081EC1F261}" type="presParOf" srcId="{52ED9F24-0954-46D9-83F6-0FBCAB6B80D7}" destId="{AD31D4FC-4233-4B31-BE88-A1DD6F2C1906}" srcOrd="1" destOrd="0" presId="urn:microsoft.com/office/officeart/2005/8/layout/hProcess3"/>
    <dgm:cxn modelId="{0416251E-588F-4D09-89DF-FDAE6E28FBC4}" type="presParOf" srcId="{AD31D4FC-4233-4B31-BE88-A1DD6F2C1906}" destId="{0E3B41AA-55CC-4372-8804-F424A8658D60}" srcOrd="0" destOrd="0" presId="urn:microsoft.com/office/officeart/2005/8/layout/hProcess3"/>
    <dgm:cxn modelId="{3035E96A-DF5F-4C3F-9CCD-FC1E30CC5753}" type="presParOf" srcId="{AD31D4FC-4233-4B31-BE88-A1DD6F2C1906}" destId="{C7FFDA62-A8A6-4B48-A976-5C7B72C0BA78}" srcOrd="1" destOrd="0" presId="urn:microsoft.com/office/officeart/2005/8/layout/hProcess3"/>
    <dgm:cxn modelId="{1F4E32EE-B12B-409B-B91F-47E52973E913}" type="presParOf" srcId="{C7FFDA62-A8A6-4B48-A976-5C7B72C0BA78}" destId="{1365AF6A-F5AF-42FC-8BB9-E2269AA755A5}" srcOrd="0" destOrd="0" presId="urn:microsoft.com/office/officeart/2005/8/layout/hProcess3"/>
    <dgm:cxn modelId="{BC52B740-5137-420D-84D2-04E1AFAEE54A}" type="presParOf" srcId="{C7FFDA62-A8A6-4B48-A976-5C7B72C0BA78}" destId="{F3A37581-DC7F-42F3-BDB9-DD93CA711F09}" srcOrd="1" destOrd="0" presId="urn:microsoft.com/office/officeart/2005/8/layout/hProcess3"/>
    <dgm:cxn modelId="{5D9815F0-8081-4F12-BE36-D3D2923F93D4}" type="presParOf" srcId="{C7FFDA62-A8A6-4B48-A976-5C7B72C0BA78}" destId="{2B508E67-2C35-43D7-8DF1-38B942141FC0}" srcOrd="2" destOrd="0" presId="urn:microsoft.com/office/officeart/2005/8/layout/hProcess3"/>
    <dgm:cxn modelId="{1F11DD68-A0B2-41AB-B623-8D043F5DEE11}" type="presParOf" srcId="{C7FFDA62-A8A6-4B48-A976-5C7B72C0BA78}" destId="{3779CF8F-5A10-4862-847D-4428D6799E8F}" srcOrd="3" destOrd="0" presId="urn:microsoft.com/office/officeart/2005/8/layout/hProcess3"/>
    <dgm:cxn modelId="{328361E6-AFA8-4E28-87B3-5391F76C00F7}" type="presParOf" srcId="{AD31D4FC-4233-4B31-BE88-A1DD6F2C1906}" destId="{70C339BD-A796-4305-9B45-6AFEABE23753}" srcOrd="2" destOrd="0" presId="urn:microsoft.com/office/officeart/2005/8/layout/hProcess3"/>
    <dgm:cxn modelId="{A2C1C814-1714-46B1-AEC3-28ECC7F8F64E}" type="presParOf" srcId="{AD31D4FC-4233-4B31-BE88-A1DD6F2C1906}" destId="{2EB365E1-DE97-4FA6-A4E9-2159AC1A4D3F}" srcOrd="3" destOrd="0" presId="urn:microsoft.com/office/officeart/2005/8/layout/hProcess3"/>
    <dgm:cxn modelId="{61372C44-8430-4978-BCC4-B749294AD27E}" type="presParOf" srcId="{2EB365E1-DE97-4FA6-A4E9-2159AC1A4D3F}" destId="{2E4CD5D3-46C6-479A-BB88-49A490B28791}" srcOrd="0" destOrd="0" presId="urn:microsoft.com/office/officeart/2005/8/layout/hProcess3"/>
    <dgm:cxn modelId="{F074FC51-D5AB-4190-BCDD-86A687A108F8}" type="presParOf" srcId="{2EB365E1-DE97-4FA6-A4E9-2159AC1A4D3F}" destId="{B48B2016-C896-4126-AB2B-8C07D54B219B}" srcOrd="1" destOrd="0" presId="urn:microsoft.com/office/officeart/2005/8/layout/hProcess3"/>
    <dgm:cxn modelId="{BBDFB569-930E-4D1B-B439-568F9E9523F7}" type="presParOf" srcId="{2EB365E1-DE97-4FA6-A4E9-2159AC1A4D3F}" destId="{24B1090F-1B40-407B-B0D6-F9562EE0E75D}" srcOrd="2" destOrd="0" presId="urn:microsoft.com/office/officeart/2005/8/layout/hProcess3"/>
    <dgm:cxn modelId="{828E46AB-FCBC-4757-A7E3-FB7AF2533760}" type="presParOf" srcId="{2EB365E1-DE97-4FA6-A4E9-2159AC1A4D3F}" destId="{61C87A94-DBFD-4906-8F54-63DFCD84B35F}" srcOrd="3" destOrd="0" presId="urn:microsoft.com/office/officeart/2005/8/layout/hProcess3"/>
    <dgm:cxn modelId="{8ADA1BE4-4E15-4C48-BBC8-D3832037BFC6}" type="presParOf" srcId="{AD31D4FC-4233-4B31-BE88-A1DD6F2C1906}" destId="{BADC5338-B9BF-4DFA-A6A6-D905B0E003D2}" srcOrd="4" destOrd="0" presId="urn:microsoft.com/office/officeart/2005/8/layout/hProcess3"/>
    <dgm:cxn modelId="{F4E3D70A-EC3E-420B-87FD-7810D9973912}" type="presParOf" srcId="{AD31D4FC-4233-4B31-BE88-A1DD6F2C1906}" destId="{9E7AF4C3-DC56-42CB-B369-ACFC7588F673}" srcOrd="5" destOrd="0" presId="urn:microsoft.com/office/officeart/2005/8/layout/hProcess3"/>
    <dgm:cxn modelId="{2343BD38-6136-4FC9-900A-EDEA191B9F61}" type="presParOf" srcId="{9E7AF4C3-DC56-42CB-B369-ACFC7588F673}" destId="{30AE3065-518B-44D4-AB93-738673CD090F}" srcOrd="0" destOrd="0" presId="urn:microsoft.com/office/officeart/2005/8/layout/hProcess3"/>
    <dgm:cxn modelId="{4DD9CECE-FE60-4389-BA4C-2232A25AC9CD}" type="presParOf" srcId="{9E7AF4C3-DC56-42CB-B369-ACFC7588F673}" destId="{A7A9CAF5-8543-49FD-B309-7D367A65C4DD}" srcOrd="1" destOrd="0" presId="urn:microsoft.com/office/officeart/2005/8/layout/hProcess3"/>
    <dgm:cxn modelId="{4E728649-5348-46BF-B70E-4CF642371E1B}" type="presParOf" srcId="{9E7AF4C3-DC56-42CB-B369-ACFC7588F673}" destId="{05A71FAC-E88F-499D-B65D-95603771B56E}" srcOrd="2" destOrd="0" presId="urn:microsoft.com/office/officeart/2005/8/layout/hProcess3"/>
    <dgm:cxn modelId="{23251991-2ACF-4EC8-A421-27E906C50EE7}" type="presParOf" srcId="{9E7AF4C3-DC56-42CB-B369-ACFC7588F673}" destId="{D857D39B-154C-4920-B361-723B9F1A0C3E}" srcOrd="3" destOrd="0" presId="urn:microsoft.com/office/officeart/2005/8/layout/hProcess3"/>
    <dgm:cxn modelId="{72445E88-9537-4634-907C-9B0C355557B0}" type="presParOf" srcId="{AD31D4FC-4233-4B31-BE88-A1DD6F2C1906}" destId="{3C4A56AE-88CF-4FE9-828C-291180249A09}" srcOrd="6" destOrd="0" presId="urn:microsoft.com/office/officeart/2005/8/layout/hProcess3"/>
    <dgm:cxn modelId="{44D2D736-6B49-4A9E-B7B3-C9E795A9AE00}" type="presParOf" srcId="{AD31D4FC-4233-4B31-BE88-A1DD6F2C1906}" destId="{7659D544-3B03-4F38-A75F-8DA8CD2EB5CB}" srcOrd="7" destOrd="0" presId="urn:microsoft.com/office/officeart/2005/8/layout/hProcess3"/>
    <dgm:cxn modelId="{6E3DED31-8EE9-4144-9EF6-0E1E1E7AFF0A}" type="presParOf" srcId="{7659D544-3B03-4F38-A75F-8DA8CD2EB5CB}" destId="{3B254CA4-9AD5-4844-B224-FFC0A3CE931A}" srcOrd="0" destOrd="0" presId="urn:microsoft.com/office/officeart/2005/8/layout/hProcess3"/>
    <dgm:cxn modelId="{821A9736-08C3-4B80-9E11-F8B235286C42}" type="presParOf" srcId="{7659D544-3B03-4F38-A75F-8DA8CD2EB5CB}" destId="{9EEF8E6D-6100-4E25-A4E7-0CA7D896EE04}" srcOrd="1" destOrd="0" presId="urn:microsoft.com/office/officeart/2005/8/layout/hProcess3"/>
    <dgm:cxn modelId="{1FF4962F-9300-4B5E-98A0-2C3261309C42}" type="presParOf" srcId="{7659D544-3B03-4F38-A75F-8DA8CD2EB5CB}" destId="{E3930335-8621-4B8B-9106-E06EA5E714F1}" srcOrd="2" destOrd="0" presId="urn:microsoft.com/office/officeart/2005/8/layout/hProcess3"/>
    <dgm:cxn modelId="{941CA030-4A0E-4CE2-8AF3-4C614F2A420B}" type="presParOf" srcId="{7659D544-3B03-4F38-A75F-8DA8CD2EB5CB}" destId="{E7C2A131-65FE-4D5E-9051-0B4A0EA48565}" srcOrd="3" destOrd="0" presId="urn:microsoft.com/office/officeart/2005/8/layout/hProcess3"/>
    <dgm:cxn modelId="{8372766D-EFB7-4D34-B33B-B891D33C4DEF}" type="presParOf" srcId="{AD31D4FC-4233-4B31-BE88-A1DD6F2C1906}" destId="{23D843EC-2FC0-4145-B173-41E10C844800}" srcOrd="8" destOrd="0" presId="urn:microsoft.com/office/officeart/2005/8/layout/hProcess3"/>
    <dgm:cxn modelId="{BA7F18EC-569D-40D1-8102-4414CBD7DECC}" type="presParOf" srcId="{AD31D4FC-4233-4B31-BE88-A1DD6F2C1906}" destId="{2D2DE6D3-84F2-4AF8-B2EA-E7D37A1D3C03}" srcOrd="9" destOrd="0" presId="urn:microsoft.com/office/officeart/2005/8/layout/hProcess3"/>
    <dgm:cxn modelId="{7B4B0BC1-CE02-4A0B-AA66-97810149BD75}" type="presParOf" srcId="{AD31D4FC-4233-4B31-BE88-A1DD6F2C1906}" destId="{19391163-5540-4DD7-B3D7-AA3423FA73E6}" srcOrd="10" destOrd="0" presId="urn:microsoft.com/office/officeart/2005/8/layout/h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4BE943-E39B-4C4E-B936-AD271C425BAF}"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n-US"/>
        </a:p>
      </dgm:t>
    </dgm:pt>
    <dgm:pt modelId="{0CCBAD42-73CE-43E3-AB36-62640876C0E3}">
      <dgm:prSet phldrT="[Text]"/>
      <dgm:spPr/>
      <dgm:t>
        <a:bodyPr/>
        <a:lstStyle/>
        <a:p>
          <a:r>
            <a:rPr lang="en-US">
              <a:latin typeface="Times New Roman" panose="02020603050405020304" pitchFamily="18" charset="0"/>
              <a:cs typeface="Times New Roman" panose="02020603050405020304" pitchFamily="18" charset="0"/>
            </a:rPr>
            <a:t>General Objective of the Programme</a:t>
          </a:r>
        </a:p>
      </dgm:t>
    </dgm:pt>
    <dgm:pt modelId="{35B88528-3793-4BA8-B609-8319B45ADFB0}" type="parTrans" cxnId="{8799FBF9-6CCE-4E60-9791-2CA255E6A4EE}">
      <dgm:prSet/>
      <dgm:spPr/>
      <dgm:t>
        <a:bodyPr/>
        <a:lstStyle/>
        <a:p>
          <a:endParaRPr lang="en-US">
            <a:latin typeface="Times New Roman" panose="02020603050405020304" pitchFamily="18" charset="0"/>
            <a:cs typeface="Times New Roman" panose="02020603050405020304" pitchFamily="18" charset="0"/>
          </a:endParaRPr>
        </a:p>
      </dgm:t>
    </dgm:pt>
    <dgm:pt modelId="{529716C2-BCDD-4232-8C61-4EB7C1340C8E}" type="sibTrans" cxnId="{8799FBF9-6CCE-4E60-9791-2CA255E6A4EE}">
      <dgm:prSet/>
      <dgm:spPr/>
      <dgm:t>
        <a:bodyPr/>
        <a:lstStyle/>
        <a:p>
          <a:endParaRPr lang="en-US">
            <a:latin typeface="Times New Roman" panose="02020603050405020304" pitchFamily="18" charset="0"/>
            <a:cs typeface="Times New Roman" panose="02020603050405020304" pitchFamily="18" charset="0"/>
          </a:endParaRPr>
        </a:p>
      </dgm:t>
    </dgm:pt>
    <dgm:pt modelId="{CE44F294-1C83-4DF5-8599-17216F9EA0A1}">
      <dgm:prSet phldrT="[Text]" custT="1"/>
      <dgm:spPr/>
      <dgm:t>
        <a:bodyPr/>
        <a:lstStyle/>
        <a:p>
          <a:r>
            <a:rPr lang="en-GB" sz="900">
              <a:latin typeface="Times New Roman" panose="02020603050405020304" pitchFamily="18" charset="0"/>
              <a:cs typeface="Times New Roman" panose="02020603050405020304" pitchFamily="18" charset="0"/>
            </a:rPr>
            <a:t>Contributing t</a:t>
          </a:r>
          <a:r>
            <a:rPr lang="en-GB" sz="900" b="0">
              <a:latin typeface="Times New Roman" panose="02020603050405020304" pitchFamily="18" charset="0"/>
              <a:cs typeface="Times New Roman" panose="02020603050405020304" pitchFamily="18" charset="0"/>
            </a:rPr>
            <a:t>o</a:t>
          </a:r>
          <a:r>
            <a:rPr lang="en-GB" sz="900">
              <a:latin typeface="Times New Roman" panose="02020603050405020304" pitchFamily="18" charset="0"/>
              <a:cs typeface="Times New Roman" panose="02020603050405020304" pitchFamily="18" charset="0"/>
            </a:rPr>
            <a:t> institutional, administrative and growth-sustaining structural reforms in the Member States by p</a:t>
          </a:r>
          <a:r>
            <a:rPr lang="en-US" sz="900">
              <a:latin typeface="Times New Roman" panose="02020603050405020304" pitchFamily="18" charset="0"/>
              <a:cs typeface="Times New Roman" panose="02020603050405020304" pitchFamily="18" charset="0"/>
            </a:rPr>
            <a:t>roviding s</a:t>
          </a:r>
          <a:r>
            <a:rPr lang="en-GB" sz="900">
              <a:latin typeface="Times New Roman" panose="02020603050405020304" pitchFamily="18" charset="0"/>
              <a:cs typeface="Times New Roman" panose="02020603050405020304" pitchFamily="18" charset="0"/>
            </a:rPr>
            <a:t>upport to national authorities for measures related to institutional frameworks, governance, administration and socio-economic sectors</a:t>
          </a:r>
          <a:endParaRPr lang="en-US" sz="900">
            <a:latin typeface="Times New Roman" panose="02020603050405020304" pitchFamily="18" charset="0"/>
            <a:cs typeface="Times New Roman" panose="02020603050405020304" pitchFamily="18" charset="0"/>
          </a:endParaRPr>
        </a:p>
      </dgm:t>
    </dgm:pt>
    <dgm:pt modelId="{648F0F73-E9EC-4AFE-AC53-F89EA5ED75E8}" type="parTrans" cxnId="{6724AB9B-D728-4874-89AE-CC5DE5B7A264}">
      <dgm:prSet/>
      <dgm:spPr/>
      <dgm:t>
        <a:bodyPr/>
        <a:lstStyle/>
        <a:p>
          <a:endParaRPr lang="en-US">
            <a:latin typeface="Times New Roman" panose="02020603050405020304" pitchFamily="18" charset="0"/>
            <a:cs typeface="Times New Roman" panose="02020603050405020304" pitchFamily="18" charset="0"/>
          </a:endParaRPr>
        </a:p>
      </dgm:t>
    </dgm:pt>
    <dgm:pt modelId="{C7733324-F5C4-48DF-A0A5-D69471F8AC8A}" type="sibTrans" cxnId="{6724AB9B-D728-4874-89AE-CC5DE5B7A264}">
      <dgm:prSet/>
      <dgm:spPr/>
      <dgm:t>
        <a:bodyPr/>
        <a:lstStyle/>
        <a:p>
          <a:endParaRPr lang="en-US">
            <a:latin typeface="Times New Roman" panose="02020603050405020304" pitchFamily="18" charset="0"/>
            <a:cs typeface="Times New Roman" panose="02020603050405020304" pitchFamily="18" charset="0"/>
          </a:endParaRPr>
        </a:p>
      </dgm:t>
    </dgm:pt>
    <dgm:pt modelId="{B0616BF4-4C6D-4466-A467-151EAD57456C}">
      <dgm:prSet phldrT="[Text]"/>
      <dgm:spPr/>
      <dgm:t>
        <a:bodyPr/>
        <a:lstStyle/>
        <a:p>
          <a:r>
            <a:rPr lang="fr-BE">
              <a:solidFill>
                <a:schemeClr val="bg1"/>
              </a:solidFill>
              <a:latin typeface="Times New Roman" panose="02020603050405020304" pitchFamily="18" charset="0"/>
              <a:cs typeface="Times New Roman" panose="02020603050405020304" pitchFamily="18" charset="0"/>
            </a:rPr>
            <a:t>Expected outcomes</a:t>
          </a:r>
          <a:endParaRPr lang="en-US">
            <a:solidFill>
              <a:schemeClr val="bg1"/>
            </a:solidFill>
            <a:latin typeface="Times New Roman" panose="02020603050405020304" pitchFamily="18" charset="0"/>
            <a:cs typeface="Times New Roman" panose="02020603050405020304" pitchFamily="18" charset="0"/>
          </a:endParaRPr>
        </a:p>
      </dgm:t>
    </dgm:pt>
    <dgm:pt modelId="{CDA015BD-FA25-4B0C-AB2E-165FCFFCEFC5}" type="parTrans" cxnId="{96080228-A58E-42BB-A14F-E08BC45B6DA2}">
      <dgm:prSet/>
      <dgm:spPr/>
      <dgm:t>
        <a:bodyPr/>
        <a:lstStyle/>
        <a:p>
          <a:endParaRPr lang="en-US">
            <a:latin typeface="Times New Roman" panose="02020603050405020304" pitchFamily="18" charset="0"/>
            <a:cs typeface="Times New Roman" panose="02020603050405020304" pitchFamily="18" charset="0"/>
          </a:endParaRPr>
        </a:p>
      </dgm:t>
    </dgm:pt>
    <dgm:pt modelId="{7C7F9384-8AFF-4B42-8B7F-D161FA3BF6C1}" type="sibTrans" cxnId="{96080228-A58E-42BB-A14F-E08BC45B6DA2}">
      <dgm:prSet/>
      <dgm:spPr/>
      <dgm:t>
        <a:bodyPr/>
        <a:lstStyle/>
        <a:p>
          <a:endParaRPr lang="en-US">
            <a:latin typeface="Times New Roman" panose="02020603050405020304" pitchFamily="18" charset="0"/>
            <a:cs typeface="Times New Roman" panose="02020603050405020304" pitchFamily="18" charset="0"/>
          </a:endParaRPr>
        </a:p>
      </dgm:t>
    </dgm:pt>
    <dgm:pt modelId="{244FFF44-F7E8-44FC-B58D-10BD121A06FB}">
      <dgm:prSet phldrT="[Text]" custT="1"/>
      <dgm:spPr/>
      <dgm:t>
        <a:bodyPr/>
        <a:lstStyle/>
        <a:p>
          <a:r>
            <a:rPr lang="en-US" sz="900">
              <a:latin typeface="Times New Roman" panose="02020603050405020304" pitchFamily="18" charset="0"/>
              <a:cs typeface="Times New Roman" panose="02020603050405020304" pitchFamily="18" charset="0"/>
            </a:rPr>
            <a:t>Adoption of a strategy</a:t>
          </a:r>
        </a:p>
      </dgm:t>
    </dgm:pt>
    <dgm:pt modelId="{0032296C-C900-4B36-862B-8A43CD8B97CC}" type="parTrans" cxnId="{8975687F-6255-4261-988E-D8BAE2D08E85}">
      <dgm:prSet/>
      <dgm:spPr/>
      <dgm:t>
        <a:bodyPr/>
        <a:lstStyle/>
        <a:p>
          <a:endParaRPr lang="en-US">
            <a:latin typeface="Times New Roman" panose="02020603050405020304" pitchFamily="18" charset="0"/>
            <a:cs typeface="Times New Roman" panose="02020603050405020304" pitchFamily="18" charset="0"/>
          </a:endParaRPr>
        </a:p>
      </dgm:t>
    </dgm:pt>
    <dgm:pt modelId="{B30D8BF2-8D6E-4167-9D85-70F2CBF5509B}" type="sibTrans" cxnId="{8975687F-6255-4261-988E-D8BAE2D08E85}">
      <dgm:prSet/>
      <dgm:spPr/>
      <dgm:t>
        <a:bodyPr/>
        <a:lstStyle/>
        <a:p>
          <a:endParaRPr lang="en-US">
            <a:latin typeface="Times New Roman" panose="02020603050405020304" pitchFamily="18" charset="0"/>
            <a:cs typeface="Times New Roman" panose="02020603050405020304" pitchFamily="18" charset="0"/>
          </a:endParaRPr>
        </a:p>
      </dgm:t>
    </dgm:pt>
    <dgm:pt modelId="{D9C3293E-A3AB-4226-8FDF-E380013F8751}">
      <dgm:prSet/>
      <dgm:spPr/>
      <dgm:t>
        <a:bodyPr/>
        <a:lstStyle/>
        <a:p>
          <a:r>
            <a:rPr lang="fr-BE">
              <a:latin typeface="Times New Roman" panose="02020603050405020304" pitchFamily="18" charset="0"/>
              <a:cs typeface="Times New Roman" panose="02020603050405020304" pitchFamily="18" charset="0"/>
            </a:rPr>
            <a:t>Outputs</a:t>
          </a:r>
          <a:endParaRPr lang="en-US">
            <a:latin typeface="Times New Roman" panose="02020603050405020304" pitchFamily="18" charset="0"/>
            <a:cs typeface="Times New Roman" panose="02020603050405020304" pitchFamily="18" charset="0"/>
          </a:endParaRPr>
        </a:p>
      </dgm:t>
    </dgm:pt>
    <dgm:pt modelId="{94D2658D-7AEE-4C66-B8AA-BCE07DAE87FF}" type="parTrans" cxnId="{3DF5138C-241B-4B81-9DC7-29FA8E75C7E1}">
      <dgm:prSet/>
      <dgm:spPr/>
      <dgm:t>
        <a:bodyPr/>
        <a:lstStyle/>
        <a:p>
          <a:endParaRPr lang="en-US">
            <a:latin typeface="Times New Roman" panose="02020603050405020304" pitchFamily="18" charset="0"/>
            <a:cs typeface="Times New Roman" panose="02020603050405020304" pitchFamily="18" charset="0"/>
          </a:endParaRPr>
        </a:p>
      </dgm:t>
    </dgm:pt>
    <dgm:pt modelId="{89FB4DA1-A051-434D-99E7-10CB612B002F}" type="sibTrans" cxnId="{3DF5138C-241B-4B81-9DC7-29FA8E75C7E1}">
      <dgm:prSet/>
      <dgm:spPr/>
      <dgm:t>
        <a:bodyPr/>
        <a:lstStyle/>
        <a:p>
          <a:endParaRPr lang="en-US">
            <a:latin typeface="Times New Roman" panose="02020603050405020304" pitchFamily="18" charset="0"/>
            <a:cs typeface="Times New Roman" panose="02020603050405020304" pitchFamily="18" charset="0"/>
          </a:endParaRPr>
        </a:p>
      </dgm:t>
    </dgm:pt>
    <dgm:pt modelId="{98FC8A01-25E0-46BA-8CDC-D3EF166E9C02}">
      <dgm:prSet/>
      <dgm:spPr/>
      <dgm:t>
        <a:bodyPr/>
        <a:lstStyle/>
        <a:p>
          <a:r>
            <a:rPr lang="en-US">
              <a:latin typeface="Times New Roman" panose="02020603050405020304" pitchFamily="18" charset="0"/>
              <a:cs typeface="Times New Roman" panose="02020603050405020304" pitchFamily="18" charset="0"/>
            </a:rPr>
            <a:t>Activities</a:t>
          </a:r>
        </a:p>
      </dgm:t>
    </dgm:pt>
    <dgm:pt modelId="{FA2FDC2D-4F25-46C0-906E-8CA1AA8B3C4E}" type="parTrans" cxnId="{3D052E3F-A59D-416C-8C3C-8B587A34A260}">
      <dgm:prSet/>
      <dgm:spPr/>
      <dgm:t>
        <a:bodyPr/>
        <a:lstStyle/>
        <a:p>
          <a:endParaRPr lang="en-US">
            <a:latin typeface="Times New Roman" panose="02020603050405020304" pitchFamily="18" charset="0"/>
            <a:cs typeface="Times New Roman" panose="02020603050405020304" pitchFamily="18" charset="0"/>
          </a:endParaRPr>
        </a:p>
      </dgm:t>
    </dgm:pt>
    <dgm:pt modelId="{F7F713A4-4344-42D1-8DF1-71EA8D9C6468}" type="sibTrans" cxnId="{3D052E3F-A59D-416C-8C3C-8B587A34A260}">
      <dgm:prSet/>
      <dgm:spPr/>
      <dgm:t>
        <a:bodyPr/>
        <a:lstStyle/>
        <a:p>
          <a:endParaRPr lang="en-US">
            <a:latin typeface="Times New Roman" panose="02020603050405020304" pitchFamily="18" charset="0"/>
            <a:cs typeface="Times New Roman" panose="02020603050405020304" pitchFamily="18" charset="0"/>
          </a:endParaRPr>
        </a:p>
      </dgm:t>
    </dgm:pt>
    <dgm:pt modelId="{AE5408C8-4668-4362-84BE-B5EE29AF212E}">
      <dgm:prSet phldrT="[Text]" custT="1"/>
      <dgm:spPr/>
      <dgm:t>
        <a:bodyPr/>
        <a:lstStyle/>
        <a:p>
          <a:r>
            <a:rPr lang="en-US" sz="900">
              <a:latin typeface="Times New Roman" panose="02020603050405020304" pitchFamily="18" charset="0"/>
              <a:cs typeface="Times New Roman" panose="02020603050405020304" pitchFamily="18" charset="0"/>
            </a:rPr>
            <a:t>Adoption </a:t>
          </a:r>
          <a:r>
            <a:rPr lang="en-GB" sz="900">
              <a:latin typeface="Times New Roman" panose="02020603050405020304" pitchFamily="18" charset="0"/>
              <a:cs typeface="Times New Roman" panose="02020603050405020304" pitchFamily="18" charset="0"/>
            </a:rPr>
            <a:t>of (new) procedures and actions to enhance the implementation of reforms</a:t>
          </a:r>
          <a:endParaRPr lang="en-US" sz="900">
            <a:latin typeface="Times New Roman" panose="02020603050405020304" pitchFamily="18" charset="0"/>
            <a:cs typeface="Times New Roman" panose="02020603050405020304" pitchFamily="18" charset="0"/>
          </a:endParaRPr>
        </a:p>
      </dgm:t>
    </dgm:pt>
    <dgm:pt modelId="{985F36FD-A4A8-4444-9D20-09D0B521578B}" type="parTrans" cxnId="{BD86708A-AF83-4407-8288-A016D9CFB21D}">
      <dgm:prSet/>
      <dgm:spPr/>
      <dgm:t>
        <a:bodyPr/>
        <a:lstStyle/>
        <a:p>
          <a:endParaRPr lang="en-US">
            <a:latin typeface="Times New Roman" panose="02020603050405020304" pitchFamily="18" charset="0"/>
            <a:cs typeface="Times New Roman" panose="02020603050405020304" pitchFamily="18" charset="0"/>
          </a:endParaRPr>
        </a:p>
      </dgm:t>
    </dgm:pt>
    <dgm:pt modelId="{DA4C4606-EEB0-4682-A616-D3ECA6F823F6}" type="sibTrans" cxnId="{BD86708A-AF83-4407-8288-A016D9CFB21D}">
      <dgm:prSet/>
      <dgm:spPr/>
      <dgm:t>
        <a:bodyPr/>
        <a:lstStyle/>
        <a:p>
          <a:endParaRPr lang="en-US">
            <a:latin typeface="Times New Roman" panose="02020603050405020304" pitchFamily="18" charset="0"/>
            <a:cs typeface="Times New Roman" panose="02020603050405020304" pitchFamily="18" charset="0"/>
          </a:endParaRPr>
        </a:p>
      </dgm:t>
    </dgm:pt>
    <dgm:pt modelId="{E49C40BC-4897-477D-8F32-BE7F476C6989}">
      <dgm:prSet phldrT="[Text]" custT="1"/>
      <dgm:spPr/>
      <dgm:t>
        <a:bodyPr/>
        <a:lstStyle/>
        <a:p>
          <a:r>
            <a:rPr lang="en-US" sz="900">
              <a:latin typeface="Times New Roman" panose="02020603050405020304" pitchFamily="18" charset="0"/>
              <a:cs typeface="Times New Roman" panose="02020603050405020304" pitchFamily="18" charset="0"/>
            </a:rPr>
            <a:t>Improved </a:t>
          </a:r>
          <a:r>
            <a:rPr lang="en-GB" sz="900">
              <a:latin typeface="Times New Roman" panose="02020603050405020304" pitchFamily="18" charset="0"/>
              <a:cs typeface="Times New Roman" panose="02020603050405020304" pitchFamily="18" charset="0"/>
            </a:rPr>
            <a:t>internal working procedures, methodologies and processes/organisation</a:t>
          </a:r>
          <a:endParaRPr lang="en-US" sz="900">
            <a:latin typeface="Times New Roman" panose="02020603050405020304" pitchFamily="18" charset="0"/>
            <a:cs typeface="Times New Roman" panose="02020603050405020304" pitchFamily="18" charset="0"/>
          </a:endParaRPr>
        </a:p>
      </dgm:t>
    </dgm:pt>
    <dgm:pt modelId="{111A00A5-CC06-403E-B732-7924E0D39779}" type="parTrans" cxnId="{47AE9707-3CEC-4DE2-9E8F-DD1BE3CE64F4}">
      <dgm:prSet/>
      <dgm:spPr/>
      <dgm:t>
        <a:bodyPr/>
        <a:lstStyle/>
        <a:p>
          <a:endParaRPr lang="en-US">
            <a:latin typeface="Times New Roman" panose="02020603050405020304" pitchFamily="18" charset="0"/>
            <a:cs typeface="Times New Roman" panose="02020603050405020304" pitchFamily="18" charset="0"/>
          </a:endParaRPr>
        </a:p>
      </dgm:t>
    </dgm:pt>
    <dgm:pt modelId="{56232BC4-40EE-4767-A87D-FAB3FC635AD6}" type="sibTrans" cxnId="{47AE9707-3CEC-4DE2-9E8F-DD1BE3CE64F4}">
      <dgm:prSet/>
      <dgm:spPr/>
      <dgm:t>
        <a:bodyPr/>
        <a:lstStyle/>
        <a:p>
          <a:endParaRPr lang="en-US">
            <a:latin typeface="Times New Roman" panose="02020603050405020304" pitchFamily="18" charset="0"/>
            <a:cs typeface="Times New Roman" panose="02020603050405020304" pitchFamily="18" charset="0"/>
          </a:endParaRPr>
        </a:p>
      </dgm:t>
    </dgm:pt>
    <dgm:pt modelId="{ED918430-A04B-47D2-BD03-1D0DADEDDDB0}">
      <dgm:prSet phldrT="[Text]" custT="1"/>
      <dgm:spPr/>
      <dgm:t>
        <a:bodyPr/>
        <a:lstStyle/>
        <a:p>
          <a:r>
            <a:rPr lang="en-US" sz="900">
              <a:latin typeface="Times New Roman" panose="02020603050405020304" pitchFamily="18" charset="0"/>
              <a:cs typeface="Times New Roman" panose="02020603050405020304" pitchFamily="18" charset="0"/>
            </a:rPr>
            <a:t>Organisational change, change management, improved human resource management </a:t>
          </a:r>
        </a:p>
      </dgm:t>
    </dgm:pt>
    <dgm:pt modelId="{5552C91E-3DDA-405B-AB3F-83304C6CD2F6}" type="parTrans" cxnId="{FA419BEF-8B1D-4537-B50F-A49C2A6A1F76}">
      <dgm:prSet/>
      <dgm:spPr/>
      <dgm:t>
        <a:bodyPr/>
        <a:lstStyle/>
        <a:p>
          <a:endParaRPr lang="en-US">
            <a:latin typeface="Times New Roman" panose="02020603050405020304" pitchFamily="18" charset="0"/>
            <a:cs typeface="Times New Roman" panose="02020603050405020304" pitchFamily="18" charset="0"/>
          </a:endParaRPr>
        </a:p>
      </dgm:t>
    </dgm:pt>
    <dgm:pt modelId="{EE11E038-D33B-4712-83FE-87B71227C791}" type="sibTrans" cxnId="{FA419BEF-8B1D-4537-B50F-A49C2A6A1F76}">
      <dgm:prSet/>
      <dgm:spPr/>
      <dgm:t>
        <a:bodyPr/>
        <a:lstStyle/>
        <a:p>
          <a:endParaRPr lang="en-US">
            <a:latin typeface="Times New Roman" panose="02020603050405020304" pitchFamily="18" charset="0"/>
            <a:cs typeface="Times New Roman" panose="02020603050405020304" pitchFamily="18" charset="0"/>
          </a:endParaRPr>
        </a:p>
      </dgm:t>
    </dgm:pt>
    <dgm:pt modelId="{0E2A9474-FFAF-428E-B046-A14748B6A446}">
      <dgm:prSet custT="1"/>
      <dgm:spPr/>
      <dgm:t>
        <a:bodyPr/>
        <a:lstStyle/>
        <a:p>
          <a:r>
            <a:rPr lang="fr-BE" sz="800">
              <a:latin typeface="Times New Roman" panose="02020603050405020304" pitchFamily="18" charset="0"/>
              <a:cs typeface="Times New Roman" panose="02020603050405020304" pitchFamily="18" charset="0"/>
            </a:rPr>
            <a:t>Action plan, roadmap </a:t>
          </a:r>
          <a:endParaRPr lang="en-US" sz="800">
            <a:latin typeface="Times New Roman" panose="02020603050405020304" pitchFamily="18" charset="0"/>
            <a:cs typeface="Times New Roman" panose="02020603050405020304" pitchFamily="18" charset="0"/>
          </a:endParaRPr>
        </a:p>
      </dgm:t>
    </dgm:pt>
    <dgm:pt modelId="{CD6591FE-48B7-41A6-B2F7-1C951C85752F}" type="parTrans" cxnId="{7A9FCD37-BB54-4247-BA4A-53524199EB91}">
      <dgm:prSet/>
      <dgm:spPr/>
      <dgm:t>
        <a:bodyPr/>
        <a:lstStyle/>
        <a:p>
          <a:endParaRPr lang="en-US">
            <a:latin typeface="Times New Roman" panose="02020603050405020304" pitchFamily="18" charset="0"/>
            <a:cs typeface="Times New Roman" panose="02020603050405020304" pitchFamily="18" charset="0"/>
          </a:endParaRPr>
        </a:p>
      </dgm:t>
    </dgm:pt>
    <dgm:pt modelId="{F7979E88-75BE-4394-A290-5A5E1F8F7F14}" type="sibTrans" cxnId="{7A9FCD37-BB54-4247-BA4A-53524199EB91}">
      <dgm:prSet/>
      <dgm:spPr/>
      <dgm:t>
        <a:bodyPr/>
        <a:lstStyle/>
        <a:p>
          <a:endParaRPr lang="en-US">
            <a:latin typeface="Times New Roman" panose="02020603050405020304" pitchFamily="18" charset="0"/>
            <a:cs typeface="Times New Roman" panose="02020603050405020304" pitchFamily="18" charset="0"/>
          </a:endParaRPr>
        </a:p>
      </dgm:t>
    </dgm:pt>
    <dgm:pt modelId="{45D11A08-B88E-44CB-A765-04945398AD5E}">
      <dgm:prSet custT="1"/>
      <dgm:spPr/>
      <dgm:t>
        <a:bodyPr/>
        <a:lstStyle/>
        <a:p>
          <a:endParaRPr lang="en-US" sz="800">
            <a:latin typeface="Times New Roman" panose="02020603050405020304" pitchFamily="18" charset="0"/>
            <a:cs typeface="Times New Roman" panose="02020603050405020304" pitchFamily="18" charset="0"/>
          </a:endParaRPr>
        </a:p>
      </dgm:t>
    </dgm:pt>
    <dgm:pt modelId="{597F4722-7DB2-4AD9-951D-9159C43E808E}" type="parTrans" cxnId="{B3854183-C473-4404-8333-9AB795896077}">
      <dgm:prSet/>
      <dgm:spPr/>
      <dgm:t>
        <a:bodyPr/>
        <a:lstStyle/>
        <a:p>
          <a:endParaRPr lang="en-US">
            <a:latin typeface="Times New Roman" panose="02020603050405020304" pitchFamily="18" charset="0"/>
            <a:cs typeface="Times New Roman" panose="02020603050405020304" pitchFamily="18" charset="0"/>
          </a:endParaRPr>
        </a:p>
      </dgm:t>
    </dgm:pt>
    <dgm:pt modelId="{67E0545F-61C1-4BBE-B9CB-9DC1BEE8D6C6}" type="sibTrans" cxnId="{B3854183-C473-4404-8333-9AB795896077}">
      <dgm:prSet/>
      <dgm:spPr/>
      <dgm:t>
        <a:bodyPr/>
        <a:lstStyle/>
        <a:p>
          <a:endParaRPr lang="en-US">
            <a:latin typeface="Times New Roman" panose="02020603050405020304" pitchFamily="18" charset="0"/>
            <a:cs typeface="Times New Roman" panose="02020603050405020304" pitchFamily="18" charset="0"/>
          </a:endParaRPr>
        </a:p>
      </dgm:t>
    </dgm:pt>
    <dgm:pt modelId="{0CC51E1D-5B97-496F-BBEA-3D236FEBB8A7}">
      <dgm:prSet custT="1"/>
      <dgm:spPr/>
      <dgm:t>
        <a:bodyPr/>
        <a:lstStyle/>
        <a:p>
          <a:r>
            <a:rPr lang="fr-BE" sz="800">
              <a:latin typeface="Times New Roman" panose="02020603050405020304" pitchFamily="18" charset="0"/>
              <a:cs typeface="Times New Roman" panose="02020603050405020304" pitchFamily="18" charset="0"/>
            </a:rPr>
            <a:t>Guidelines, handbook </a:t>
          </a:r>
        </a:p>
      </dgm:t>
    </dgm:pt>
    <dgm:pt modelId="{C4EFA278-FD42-4AEC-A4F1-89D9703555BA}" type="parTrans" cxnId="{2DC06477-C375-4178-8CE1-C68113CB99BA}">
      <dgm:prSet/>
      <dgm:spPr/>
      <dgm:t>
        <a:bodyPr/>
        <a:lstStyle/>
        <a:p>
          <a:endParaRPr lang="en-US">
            <a:latin typeface="Times New Roman" panose="02020603050405020304" pitchFamily="18" charset="0"/>
            <a:cs typeface="Times New Roman" panose="02020603050405020304" pitchFamily="18" charset="0"/>
          </a:endParaRPr>
        </a:p>
      </dgm:t>
    </dgm:pt>
    <dgm:pt modelId="{CEBBF5A6-B139-42E4-BC21-CD953342CADB}" type="sibTrans" cxnId="{2DC06477-C375-4178-8CE1-C68113CB99BA}">
      <dgm:prSet/>
      <dgm:spPr/>
      <dgm:t>
        <a:bodyPr/>
        <a:lstStyle/>
        <a:p>
          <a:endParaRPr lang="en-US">
            <a:latin typeface="Times New Roman" panose="02020603050405020304" pitchFamily="18" charset="0"/>
            <a:cs typeface="Times New Roman" panose="02020603050405020304" pitchFamily="18" charset="0"/>
          </a:endParaRPr>
        </a:p>
      </dgm:t>
    </dgm:pt>
    <dgm:pt modelId="{D8CCB55F-C789-4D97-AA21-7FDD0889DBF6}">
      <dgm:prSet custT="1"/>
      <dgm:spPr/>
      <dgm:t>
        <a:bodyPr/>
        <a:lstStyle/>
        <a:p>
          <a:r>
            <a:rPr lang="fr-BE" sz="800">
              <a:latin typeface="Times New Roman" panose="02020603050405020304" pitchFamily="18" charset="0"/>
              <a:cs typeface="Times New Roman" panose="02020603050405020304" pitchFamily="18" charset="0"/>
            </a:rPr>
            <a:t>Recommendation </a:t>
          </a:r>
        </a:p>
      </dgm:t>
    </dgm:pt>
    <dgm:pt modelId="{81D83E6B-710B-47E8-9DD5-999A7FCB2EE4}" type="parTrans" cxnId="{4E4B836A-B798-41B2-A0F4-7838A5391EFD}">
      <dgm:prSet/>
      <dgm:spPr/>
      <dgm:t>
        <a:bodyPr/>
        <a:lstStyle/>
        <a:p>
          <a:endParaRPr lang="en-US">
            <a:latin typeface="Times New Roman" panose="02020603050405020304" pitchFamily="18" charset="0"/>
            <a:cs typeface="Times New Roman" panose="02020603050405020304" pitchFamily="18" charset="0"/>
          </a:endParaRPr>
        </a:p>
      </dgm:t>
    </dgm:pt>
    <dgm:pt modelId="{0DA1D9DF-2523-4A13-9126-687CD820F7B7}" type="sibTrans" cxnId="{4E4B836A-B798-41B2-A0F4-7838A5391EFD}">
      <dgm:prSet/>
      <dgm:spPr/>
      <dgm:t>
        <a:bodyPr/>
        <a:lstStyle/>
        <a:p>
          <a:endParaRPr lang="en-US">
            <a:latin typeface="Times New Roman" panose="02020603050405020304" pitchFamily="18" charset="0"/>
            <a:cs typeface="Times New Roman" panose="02020603050405020304" pitchFamily="18" charset="0"/>
          </a:endParaRPr>
        </a:p>
      </dgm:t>
    </dgm:pt>
    <dgm:pt modelId="{A1425098-4762-44B6-AC11-07F9C5EFAD6C}">
      <dgm:prSet custT="1"/>
      <dgm:spPr/>
      <dgm:t>
        <a:bodyPr/>
        <a:lstStyle/>
        <a:p>
          <a:r>
            <a:rPr lang="fr-BE" sz="800">
              <a:latin typeface="Times New Roman" panose="02020603050405020304" pitchFamily="18" charset="0"/>
              <a:cs typeface="Times New Roman" panose="02020603050405020304" pitchFamily="18" charset="0"/>
            </a:rPr>
            <a:t>Terms of reference </a:t>
          </a:r>
        </a:p>
      </dgm:t>
    </dgm:pt>
    <dgm:pt modelId="{F2F685DE-3010-4FA5-87C2-C2CFC933EB14}" type="parTrans" cxnId="{01F368C1-9C70-494D-9218-EA6FB1F51446}">
      <dgm:prSet/>
      <dgm:spPr/>
      <dgm:t>
        <a:bodyPr/>
        <a:lstStyle/>
        <a:p>
          <a:endParaRPr lang="en-US">
            <a:latin typeface="Times New Roman" panose="02020603050405020304" pitchFamily="18" charset="0"/>
            <a:cs typeface="Times New Roman" panose="02020603050405020304" pitchFamily="18" charset="0"/>
          </a:endParaRPr>
        </a:p>
      </dgm:t>
    </dgm:pt>
    <dgm:pt modelId="{A69035B0-FC1E-43A8-9D53-FB75759CB37C}" type="sibTrans" cxnId="{01F368C1-9C70-494D-9218-EA6FB1F51446}">
      <dgm:prSet/>
      <dgm:spPr/>
      <dgm:t>
        <a:bodyPr/>
        <a:lstStyle/>
        <a:p>
          <a:endParaRPr lang="en-US">
            <a:latin typeface="Times New Roman" panose="02020603050405020304" pitchFamily="18" charset="0"/>
            <a:cs typeface="Times New Roman" panose="02020603050405020304" pitchFamily="18" charset="0"/>
          </a:endParaRPr>
        </a:p>
      </dgm:t>
    </dgm:pt>
    <dgm:pt modelId="{B76119BD-9FD5-44A6-91D7-8D4FE107221E}">
      <dgm:prSet custT="1"/>
      <dgm:spPr/>
      <dgm:t>
        <a:bodyPr/>
        <a:lstStyle/>
        <a:p>
          <a:r>
            <a:rPr lang="fr-BE" sz="800">
              <a:latin typeface="Times New Roman" panose="02020603050405020304" pitchFamily="18" charset="0"/>
              <a:cs typeface="Times New Roman" panose="02020603050405020304" pitchFamily="18" charset="0"/>
            </a:rPr>
            <a:t>Legislative proposal </a:t>
          </a:r>
        </a:p>
      </dgm:t>
    </dgm:pt>
    <dgm:pt modelId="{3C16863B-7571-4CF8-8BCB-312316307343}" type="parTrans" cxnId="{DA5A6D05-EDE6-4885-AE37-0222334B7A83}">
      <dgm:prSet/>
      <dgm:spPr/>
      <dgm:t>
        <a:bodyPr/>
        <a:lstStyle/>
        <a:p>
          <a:endParaRPr lang="en-US">
            <a:latin typeface="Times New Roman" panose="02020603050405020304" pitchFamily="18" charset="0"/>
            <a:cs typeface="Times New Roman" panose="02020603050405020304" pitchFamily="18" charset="0"/>
          </a:endParaRPr>
        </a:p>
      </dgm:t>
    </dgm:pt>
    <dgm:pt modelId="{A2E496AC-30E0-4EB7-9D3E-C79C86A8CC8F}" type="sibTrans" cxnId="{DA5A6D05-EDE6-4885-AE37-0222334B7A83}">
      <dgm:prSet/>
      <dgm:spPr/>
      <dgm:t>
        <a:bodyPr/>
        <a:lstStyle/>
        <a:p>
          <a:endParaRPr lang="en-US">
            <a:latin typeface="Times New Roman" panose="02020603050405020304" pitchFamily="18" charset="0"/>
            <a:cs typeface="Times New Roman" panose="02020603050405020304" pitchFamily="18" charset="0"/>
          </a:endParaRPr>
        </a:p>
      </dgm:t>
    </dgm:pt>
    <dgm:pt modelId="{2A3764D2-B02F-4EC2-B5E0-D005CE873ED6}">
      <dgm:prSet custT="1"/>
      <dgm:spPr/>
      <dgm:t>
        <a:bodyPr/>
        <a:lstStyle/>
        <a:p>
          <a:r>
            <a:rPr lang="fr-BE" sz="800">
              <a:latin typeface="Times New Roman" panose="02020603050405020304" pitchFamily="18" charset="0"/>
              <a:cs typeface="Times New Roman" panose="02020603050405020304" pitchFamily="18" charset="0"/>
            </a:rPr>
            <a:t>Analysis, report </a:t>
          </a:r>
        </a:p>
      </dgm:t>
    </dgm:pt>
    <dgm:pt modelId="{076FFB6D-F54D-4782-BDA7-2D6F41DA4839}" type="parTrans" cxnId="{3968E4C5-B78F-40A1-B25D-E5211F8FDBE1}">
      <dgm:prSet/>
      <dgm:spPr/>
      <dgm:t>
        <a:bodyPr/>
        <a:lstStyle/>
        <a:p>
          <a:endParaRPr lang="en-US">
            <a:latin typeface="Times New Roman" panose="02020603050405020304" pitchFamily="18" charset="0"/>
            <a:cs typeface="Times New Roman" panose="02020603050405020304" pitchFamily="18" charset="0"/>
          </a:endParaRPr>
        </a:p>
      </dgm:t>
    </dgm:pt>
    <dgm:pt modelId="{D555293F-98D1-4C9E-AC61-C0CB455FBE89}" type="sibTrans" cxnId="{3968E4C5-B78F-40A1-B25D-E5211F8FDBE1}">
      <dgm:prSet/>
      <dgm:spPr/>
      <dgm:t>
        <a:bodyPr/>
        <a:lstStyle/>
        <a:p>
          <a:endParaRPr lang="en-US">
            <a:latin typeface="Times New Roman" panose="02020603050405020304" pitchFamily="18" charset="0"/>
            <a:cs typeface="Times New Roman" panose="02020603050405020304" pitchFamily="18" charset="0"/>
          </a:endParaRPr>
        </a:p>
      </dgm:t>
    </dgm:pt>
    <dgm:pt modelId="{05966DDD-2725-4EEC-98EA-1A75D50B59D0}">
      <dgm:prSet custT="1"/>
      <dgm:spPr/>
      <dgm:t>
        <a:bodyPr/>
        <a:lstStyle/>
        <a:p>
          <a:r>
            <a:rPr lang="en-US" sz="800">
              <a:latin typeface="Times New Roman" panose="02020603050405020304" pitchFamily="18" charset="0"/>
              <a:cs typeface="Times New Roman" panose="02020603050405020304" pitchFamily="18" charset="0"/>
            </a:rPr>
            <a:t>Workshops (including material), training, training material</a:t>
          </a:r>
          <a:endParaRPr lang="fr-BE" sz="800">
            <a:latin typeface="Times New Roman" panose="02020603050405020304" pitchFamily="18" charset="0"/>
            <a:cs typeface="Times New Roman" panose="02020603050405020304" pitchFamily="18" charset="0"/>
          </a:endParaRPr>
        </a:p>
      </dgm:t>
    </dgm:pt>
    <dgm:pt modelId="{8FE12B96-3893-4D89-8DB2-CCACC492016B}" type="parTrans" cxnId="{2BC7FC05-E320-403D-88B1-1808610E474F}">
      <dgm:prSet/>
      <dgm:spPr/>
      <dgm:t>
        <a:bodyPr/>
        <a:lstStyle/>
        <a:p>
          <a:endParaRPr lang="en-US">
            <a:latin typeface="Times New Roman" panose="02020603050405020304" pitchFamily="18" charset="0"/>
            <a:cs typeface="Times New Roman" panose="02020603050405020304" pitchFamily="18" charset="0"/>
          </a:endParaRPr>
        </a:p>
      </dgm:t>
    </dgm:pt>
    <dgm:pt modelId="{BADAE5EC-3600-4CEE-8DE3-E68263685FFC}" type="sibTrans" cxnId="{2BC7FC05-E320-403D-88B1-1808610E474F}">
      <dgm:prSet/>
      <dgm:spPr/>
      <dgm:t>
        <a:bodyPr/>
        <a:lstStyle/>
        <a:p>
          <a:endParaRPr lang="en-US">
            <a:latin typeface="Times New Roman" panose="02020603050405020304" pitchFamily="18" charset="0"/>
            <a:cs typeface="Times New Roman" panose="02020603050405020304" pitchFamily="18" charset="0"/>
          </a:endParaRPr>
        </a:p>
      </dgm:t>
    </dgm:pt>
    <dgm:pt modelId="{0AE76BF4-47C6-4174-933C-B58807D642FA}">
      <dgm:prSet custT="1"/>
      <dgm:spPr/>
      <dgm:t>
        <a:bodyPr/>
        <a:lstStyle/>
        <a:p>
          <a:r>
            <a:rPr lang="fr-BE" sz="800">
              <a:latin typeface="Times New Roman" panose="02020603050405020304" pitchFamily="18" charset="0"/>
              <a:cs typeface="Times New Roman" panose="02020603050405020304" pitchFamily="18" charset="0"/>
            </a:rPr>
            <a:t>Study visit reports </a:t>
          </a:r>
        </a:p>
      </dgm:t>
    </dgm:pt>
    <dgm:pt modelId="{E8174068-7F41-4F7B-820A-ABF1550B3ABE}" type="parTrans" cxnId="{73BEA01E-A7A3-465D-B3B0-D7D2D00D40B4}">
      <dgm:prSet/>
      <dgm:spPr/>
      <dgm:t>
        <a:bodyPr/>
        <a:lstStyle/>
        <a:p>
          <a:endParaRPr lang="en-US">
            <a:latin typeface="Times New Roman" panose="02020603050405020304" pitchFamily="18" charset="0"/>
            <a:cs typeface="Times New Roman" panose="02020603050405020304" pitchFamily="18" charset="0"/>
          </a:endParaRPr>
        </a:p>
      </dgm:t>
    </dgm:pt>
    <dgm:pt modelId="{4ABCC80E-5552-4F84-B86C-36B87F00A0DD}" type="sibTrans" cxnId="{73BEA01E-A7A3-465D-B3B0-D7D2D00D40B4}">
      <dgm:prSet/>
      <dgm:spPr/>
      <dgm:t>
        <a:bodyPr/>
        <a:lstStyle/>
        <a:p>
          <a:endParaRPr lang="en-US">
            <a:latin typeface="Times New Roman" panose="02020603050405020304" pitchFamily="18" charset="0"/>
            <a:cs typeface="Times New Roman" panose="02020603050405020304" pitchFamily="18" charset="0"/>
          </a:endParaRPr>
        </a:p>
      </dgm:t>
    </dgm:pt>
    <dgm:pt modelId="{3E6E7C92-78B8-4D5A-9325-417476FA9C37}">
      <dgm:prSet custT="1"/>
      <dgm:spPr/>
      <dgm:t>
        <a:bodyPr/>
        <a:lstStyle/>
        <a:p>
          <a:r>
            <a:rPr lang="en-US" sz="800">
              <a:latin typeface="Times New Roman" panose="02020603050405020304" pitchFamily="18" charset="0"/>
              <a:cs typeface="Times New Roman" panose="02020603050405020304" pitchFamily="18" charset="0"/>
            </a:rPr>
            <a:t>Communication (including material) and other events </a:t>
          </a:r>
          <a:endParaRPr lang="fr-BE" sz="800">
            <a:latin typeface="Times New Roman" panose="02020603050405020304" pitchFamily="18" charset="0"/>
            <a:cs typeface="Times New Roman" panose="02020603050405020304" pitchFamily="18" charset="0"/>
          </a:endParaRPr>
        </a:p>
      </dgm:t>
    </dgm:pt>
    <dgm:pt modelId="{EFEBBCC1-DBFF-42DD-9F76-BCABC28FAFC8}" type="parTrans" cxnId="{15B1627A-7AD9-4F15-812A-C51BDE702E73}">
      <dgm:prSet/>
      <dgm:spPr/>
      <dgm:t>
        <a:bodyPr/>
        <a:lstStyle/>
        <a:p>
          <a:endParaRPr lang="en-US">
            <a:latin typeface="Times New Roman" panose="02020603050405020304" pitchFamily="18" charset="0"/>
            <a:cs typeface="Times New Roman" panose="02020603050405020304" pitchFamily="18" charset="0"/>
          </a:endParaRPr>
        </a:p>
      </dgm:t>
    </dgm:pt>
    <dgm:pt modelId="{EB6CEF42-0AEF-4BFF-9572-293D0DD7F226}" type="sibTrans" cxnId="{15B1627A-7AD9-4F15-812A-C51BDE702E73}">
      <dgm:prSet/>
      <dgm:spPr/>
      <dgm:t>
        <a:bodyPr/>
        <a:lstStyle/>
        <a:p>
          <a:endParaRPr lang="en-US">
            <a:latin typeface="Times New Roman" panose="02020603050405020304" pitchFamily="18" charset="0"/>
            <a:cs typeface="Times New Roman" panose="02020603050405020304" pitchFamily="18" charset="0"/>
          </a:endParaRPr>
        </a:p>
      </dgm:t>
    </dgm:pt>
    <dgm:pt modelId="{B7DBA33E-5015-48C6-BA93-420FB9443A2E}">
      <dgm:prSet custT="1"/>
      <dgm:spPr/>
      <dgm:t>
        <a:bodyPr/>
        <a:lstStyle/>
        <a:p>
          <a:r>
            <a:rPr lang="en-US" sz="800">
              <a:latin typeface="Times New Roman" panose="02020603050405020304" pitchFamily="18" charset="0"/>
              <a:cs typeface="Times New Roman" panose="02020603050405020304" pitchFamily="18" charset="0"/>
            </a:rPr>
            <a:t>Short term expert mission(s);</a:t>
          </a:r>
          <a:endParaRPr lang="fr-BE" sz="800">
            <a:latin typeface="Times New Roman" panose="02020603050405020304" pitchFamily="18" charset="0"/>
            <a:cs typeface="Times New Roman" panose="02020603050405020304" pitchFamily="18" charset="0"/>
          </a:endParaRPr>
        </a:p>
      </dgm:t>
    </dgm:pt>
    <dgm:pt modelId="{CCC96DFF-E929-48FD-B0BA-FAF31B9E3F18}" type="parTrans" cxnId="{9A20AD1C-4171-45AB-8083-8BFDA072E0D1}">
      <dgm:prSet/>
      <dgm:spPr/>
      <dgm:t>
        <a:bodyPr/>
        <a:lstStyle/>
        <a:p>
          <a:endParaRPr lang="en-US">
            <a:latin typeface="Times New Roman" panose="02020603050405020304" pitchFamily="18" charset="0"/>
            <a:cs typeface="Times New Roman" panose="02020603050405020304" pitchFamily="18" charset="0"/>
          </a:endParaRPr>
        </a:p>
      </dgm:t>
    </dgm:pt>
    <dgm:pt modelId="{39DE8E42-BE19-4A35-AF31-DAE3FA488C4C}" type="sibTrans" cxnId="{9A20AD1C-4171-45AB-8083-8BFDA072E0D1}">
      <dgm:prSet/>
      <dgm:spPr/>
      <dgm:t>
        <a:bodyPr/>
        <a:lstStyle/>
        <a:p>
          <a:endParaRPr lang="en-US">
            <a:latin typeface="Times New Roman" panose="02020603050405020304" pitchFamily="18" charset="0"/>
            <a:cs typeface="Times New Roman" panose="02020603050405020304" pitchFamily="18" charset="0"/>
          </a:endParaRPr>
        </a:p>
      </dgm:t>
    </dgm:pt>
    <dgm:pt modelId="{12302E93-B670-498E-B1D6-551467C0772F}">
      <dgm:prSet custT="1"/>
      <dgm:spPr/>
      <dgm:t>
        <a:bodyPr/>
        <a:lstStyle/>
        <a:p>
          <a:r>
            <a:rPr lang="en-US" sz="800">
              <a:latin typeface="Times New Roman" panose="02020603050405020304" pitchFamily="18" charset="0"/>
              <a:cs typeface="Times New Roman" panose="02020603050405020304" pitchFamily="18" charset="0"/>
            </a:rPr>
            <a:t>Long term expert (resident expert and similar);</a:t>
          </a:r>
          <a:endParaRPr lang="fr-BE" sz="800">
            <a:latin typeface="Times New Roman" panose="02020603050405020304" pitchFamily="18" charset="0"/>
            <a:cs typeface="Times New Roman" panose="02020603050405020304" pitchFamily="18" charset="0"/>
          </a:endParaRPr>
        </a:p>
      </dgm:t>
    </dgm:pt>
    <dgm:pt modelId="{1A355006-0467-46CF-B3B0-F81AA5A5698B}" type="parTrans" cxnId="{EC84C808-88AD-456C-AC9A-9FBABE6E72BF}">
      <dgm:prSet/>
      <dgm:spPr/>
      <dgm:t>
        <a:bodyPr/>
        <a:lstStyle/>
        <a:p>
          <a:endParaRPr lang="en-US">
            <a:latin typeface="Times New Roman" panose="02020603050405020304" pitchFamily="18" charset="0"/>
            <a:cs typeface="Times New Roman" panose="02020603050405020304" pitchFamily="18" charset="0"/>
          </a:endParaRPr>
        </a:p>
      </dgm:t>
    </dgm:pt>
    <dgm:pt modelId="{04C372E9-486F-46EE-9540-826E5AFAF299}" type="sibTrans" cxnId="{EC84C808-88AD-456C-AC9A-9FBABE6E72BF}">
      <dgm:prSet/>
      <dgm:spPr/>
      <dgm:t>
        <a:bodyPr/>
        <a:lstStyle/>
        <a:p>
          <a:endParaRPr lang="en-US">
            <a:latin typeface="Times New Roman" panose="02020603050405020304" pitchFamily="18" charset="0"/>
            <a:cs typeface="Times New Roman" panose="02020603050405020304" pitchFamily="18" charset="0"/>
          </a:endParaRPr>
        </a:p>
      </dgm:t>
    </dgm:pt>
    <dgm:pt modelId="{D8D9EAB3-31BF-4F73-B482-551189827B7B}">
      <dgm:prSet custT="1"/>
      <dgm:spPr/>
      <dgm:t>
        <a:bodyPr/>
        <a:lstStyle/>
        <a:p>
          <a:r>
            <a:rPr lang="en-US" sz="800">
              <a:latin typeface="Times New Roman" panose="02020603050405020304" pitchFamily="18" charset="0"/>
              <a:cs typeface="Times New Roman" panose="02020603050405020304" pitchFamily="18" charset="0"/>
            </a:rPr>
            <a:t>Study visit (of officials of the beneficiary MS);</a:t>
          </a:r>
          <a:endParaRPr lang="fr-BE" sz="800">
            <a:latin typeface="Times New Roman" panose="02020603050405020304" pitchFamily="18" charset="0"/>
            <a:cs typeface="Times New Roman" panose="02020603050405020304" pitchFamily="18" charset="0"/>
          </a:endParaRPr>
        </a:p>
      </dgm:t>
    </dgm:pt>
    <dgm:pt modelId="{F820F617-C946-49FF-9476-6375C381D865}" type="parTrans" cxnId="{E689BBC5-C749-479C-9BCB-51F5FB4C02D3}">
      <dgm:prSet/>
      <dgm:spPr/>
      <dgm:t>
        <a:bodyPr/>
        <a:lstStyle/>
        <a:p>
          <a:endParaRPr lang="en-US">
            <a:latin typeface="Times New Roman" panose="02020603050405020304" pitchFamily="18" charset="0"/>
            <a:cs typeface="Times New Roman" panose="02020603050405020304" pitchFamily="18" charset="0"/>
          </a:endParaRPr>
        </a:p>
      </dgm:t>
    </dgm:pt>
    <dgm:pt modelId="{13490A0C-70B1-489B-BCE8-F26A79D03EFE}" type="sibTrans" cxnId="{E689BBC5-C749-479C-9BCB-51F5FB4C02D3}">
      <dgm:prSet/>
      <dgm:spPr/>
      <dgm:t>
        <a:bodyPr/>
        <a:lstStyle/>
        <a:p>
          <a:endParaRPr lang="en-US">
            <a:latin typeface="Times New Roman" panose="02020603050405020304" pitchFamily="18" charset="0"/>
            <a:cs typeface="Times New Roman" panose="02020603050405020304" pitchFamily="18" charset="0"/>
          </a:endParaRPr>
        </a:p>
      </dgm:t>
    </dgm:pt>
    <dgm:pt modelId="{F4EEFA20-1EC0-45F0-BA9B-C60A7B71D151}">
      <dgm:prSet custT="1"/>
      <dgm:spPr/>
      <dgm:t>
        <a:bodyPr/>
        <a:lstStyle/>
        <a:p>
          <a:r>
            <a:rPr lang="fr-BE" sz="800">
              <a:latin typeface="Times New Roman" panose="02020603050405020304" pitchFamily="18" charset="0"/>
              <a:cs typeface="Times New Roman" panose="02020603050405020304" pitchFamily="18" charset="0"/>
            </a:rPr>
            <a:t>Workshop/conference/seminar;</a:t>
          </a:r>
        </a:p>
      </dgm:t>
    </dgm:pt>
    <dgm:pt modelId="{3EF6B90B-C799-40D4-9D48-C4469CA91F7F}" type="parTrans" cxnId="{159C0F3E-6363-4615-8BAD-0B99EBA50099}">
      <dgm:prSet/>
      <dgm:spPr/>
      <dgm:t>
        <a:bodyPr/>
        <a:lstStyle/>
        <a:p>
          <a:endParaRPr lang="en-US">
            <a:latin typeface="Times New Roman" panose="02020603050405020304" pitchFamily="18" charset="0"/>
            <a:cs typeface="Times New Roman" panose="02020603050405020304" pitchFamily="18" charset="0"/>
          </a:endParaRPr>
        </a:p>
      </dgm:t>
    </dgm:pt>
    <dgm:pt modelId="{ACF598B5-EF18-4FC1-AC76-1C08AF6C0781}" type="sibTrans" cxnId="{159C0F3E-6363-4615-8BAD-0B99EBA50099}">
      <dgm:prSet/>
      <dgm:spPr/>
      <dgm:t>
        <a:bodyPr/>
        <a:lstStyle/>
        <a:p>
          <a:endParaRPr lang="en-US">
            <a:latin typeface="Times New Roman" panose="02020603050405020304" pitchFamily="18" charset="0"/>
            <a:cs typeface="Times New Roman" panose="02020603050405020304" pitchFamily="18" charset="0"/>
          </a:endParaRPr>
        </a:p>
      </dgm:t>
    </dgm:pt>
    <dgm:pt modelId="{F6C627D8-AB43-49D6-AC3B-E79D054E05C5}">
      <dgm:prSet custT="1"/>
      <dgm:spPr/>
      <dgm:t>
        <a:bodyPr/>
        <a:lstStyle/>
        <a:p>
          <a:r>
            <a:rPr lang="fr-BE" sz="800">
              <a:latin typeface="Times New Roman" panose="02020603050405020304" pitchFamily="18" charset="0"/>
              <a:cs typeface="Times New Roman" panose="02020603050405020304" pitchFamily="18" charset="0"/>
            </a:rPr>
            <a:t>Training activity;</a:t>
          </a:r>
        </a:p>
      </dgm:t>
    </dgm:pt>
    <dgm:pt modelId="{B15DE4D8-1792-48AF-BE38-EFB2438DDAEE}" type="parTrans" cxnId="{7C66AD38-73B8-4C3E-8D74-06264563B47A}">
      <dgm:prSet/>
      <dgm:spPr/>
      <dgm:t>
        <a:bodyPr/>
        <a:lstStyle/>
        <a:p>
          <a:endParaRPr lang="en-US">
            <a:latin typeface="Times New Roman" panose="02020603050405020304" pitchFamily="18" charset="0"/>
            <a:cs typeface="Times New Roman" panose="02020603050405020304" pitchFamily="18" charset="0"/>
          </a:endParaRPr>
        </a:p>
      </dgm:t>
    </dgm:pt>
    <dgm:pt modelId="{2A071A70-1D04-4A98-A23D-7BD44E4FED5B}" type="sibTrans" cxnId="{7C66AD38-73B8-4C3E-8D74-06264563B47A}">
      <dgm:prSet/>
      <dgm:spPr/>
      <dgm:t>
        <a:bodyPr/>
        <a:lstStyle/>
        <a:p>
          <a:endParaRPr lang="en-US">
            <a:latin typeface="Times New Roman" panose="02020603050405020304" pitchFamily="18" charset="0"/>
            <a:cs typeface="Times New Roman" panose="02020603050405020304" pitchFamily="18" charset="0"/>
          </a:endParaRPr>
        </a:p>
      </dgm:t>
    </dgm:pt>
    <dgm:pt modelId="{10B4616C-D94C-4B6D-BA0F-D7B67B1C23EE}">
      <dgm:prSet custT="1"/>
      <dgm:spPr/>
      <dgm:t>
        <a:bodyPr/>
        <a:lstStyle/>
        <a:p>
          <a:r>
            <a:rPr lang="fr-BE" sz="800">
              <a:latin typeface="Times New Roman" panose="02020603050405020304" pitchFamily="18" charset="0"/>
              <a:cs typeface="Times New Roman" panose="02020603050405020304" pitchFamily="18" charset="0"/>
            </a:rPr>
            <a:t>IT expertise/advice;</a:t>
          </a:r>
        </a:p>
      </dgm:t>
    </dgm:pt>
    <dgm:pt modelId="{2E0685CB-E7C5-486C-B3D8-826217AEDBD1}" type="parTrans" cxnId="{33485D49-0C9A-4113-9C2C-5195B46342C4}">
      <dgm:prSet/>
      <dgm:spPr/>
      <dgm:t>
        <a:bodyPr/>
        <a:lstStyle/>
        <a:p>
          <a:endParaRPr lang="en-US">
            <a:latin typeface="Times New Roman" panose="02020603050405020304" pitchFamily="18" charset="0"/>
            <a:cs typeface="Times New Roman" panose="02020603050405020304" pitchFamily="18" charset="0"/>
          </a:endParaRPr>
        </a:p>
      </dgm:t>
    </dgm:pt>
    <dgm:pt modelId="{4DEDAC7A-EA17-468B-9D7D-4EAC75D56CF5}" type="sibTrans" cxnId="{33485D49-0C9A-4113-9C2C-5195B46342C4}">
      <dgm:prSet/>
      <dgm:spPr/>
      <dgm:t>
        <a:bodyPr/>
        <a:lstStyle/>
        <a:p>
          <a:endParaRPr lang="en-US">
            <a:latin typeface="Times New Roman" panose="02020603050405020304" pitchFamily="18" charset="0"/>
            <a:cs typeface="Times New Roman" panose="02020603050405020304" pitchFamily="18" charset="0"/>
          </a:endParaRPr>
        </a:p>
      </dgm:t>
    </dgm:pt>
    <dgm:pt modelId="{70482665-2B9D-4680-A72F-B5707A7C833D}">
      <dgm:prSet custT="1"/>
      <dgm:spPr/>
      <dgm:t>
        <a:bodyPr/>
        <a:lstStyle/>
        <a:p>
          <a:r>
            <a:rPr lang="fr-BE" sz="800">
              <a:latin typeface="Times New Roman" panose="02020603050405020304" pitchFamily="18" charset="0"/>
              <a:cs typeface="Times New Roman" panose="02020603050405020304" pitchFamily="18" charset="0"/>
            </a:rPr>
            <a:t>Collection of statistics;</a:t>
          </a:r>
        </a:p>
      </dgm:t>
    </dgm:pt>
    <dgm:pt modelId="{A8BA65D9-7E0D-4E73-9295-3BA746AB362B}" type="parTrans" cxnId="{6256AA0F-57F4-46B4-969D-D241601D52D4}">
      <dgm:prSet/>
      <dgm:spPr/>
      <dgm:t>
        <a:bodyPr/>
        <a:lstStyle/>
        <a:p>
          <a:endParaRPr lang="en-US">
            <a:latin typeface="Times New Roman" panose="02020603050405020304" pitchFamily="18" charset="0"/>
            <a:cs typeface="Times New Roman" panose="02020603050405020304" pitchFamily="18" charset="0"/>
          </a:endParaRPr>
        </a:p>
      </dgm:t>
    </dgm:pt>
    <dgm:pt modelId="{6FDD56A2-E69F-490F-A410-AD4B70848463}" type="sibTrans" cxnId="{6256AA0F-57F4-46B4-969D-D241601D52D4}">
      <dgm:prSet/>
      <dgm:spPr/>
      <dgm:t>
        <a:bodyPr/>
        <a:lstStyle/>
        <a:p>
          <a:endParaRPr lang="en-US">
            <a:latin typeface="Times New Roman" panose="02020603050405020304" pitchFamily="18" charset="0"/>
            <a:cs typeface="Times New Roman" panose="02020603050405020304" pitchFamily="18" charset="0"/>
          </a:endParaRPr>
        </a:p>
      </dgm:t>
    </dgm:pt>
    <dgm:pt modelId="{67C7302E-31D7-431E-BF63-F48A0301D364}">
      <dgm:prSet custT="1"/>
      <dgm:spPr/>
      <dgm:t>
        <a:bodyPr/>
        <a:lstStyle/>
        <a:p>
          <a:r>
            <a:rPr lang="fr-BE" sz="800">
              <a:latin typeface="Times New Roman" panose="02020603050405020304" pitchFamily="18" charset="0"/>
              <a:cs typeface="Times New Roman" panose="02020603050405020304" pitchFamily="18" charset="0"/>
            </a:rPr>
            <a:t>Study, research, evaluation;</a:t>
          </a:r>
        </a:p>
      </dgm:t>
    </dgm:pt>
    <dgm:pt modelId="{BC70C7C8-B306-454E-8310-83CA5530B9A9}" type="parTrans" cxnId="{5403365C-4FAD-408D-8843-0FC08B78FD8A}">
      <dgm:prSet/>
      <dgm:spPr/>
      <dgm:t>
        <a:bodyPr/>
        <a:lstStyle/>
        <a:p>
          <a:endParaRPr lang="en-US">
            <a:latin typeface="Times New Roman" panose="02020603050405020304" pitchFamily="18" charset="0"/>
            <a:cs typeface="Times New Roman" panose="02020603050405020304" pitchFamily="18" charset="0"/>
          </a:endParaRPr>
        </a:p>
      </dgm:t>
    </dgm:pt>
    <dgm:pt modelId="{B45D1084-C6DE-461C-894C-4A2A334BB46E}" type="sibTrans" cxnId="{5403365C-4FAD-408D-8843-0FC08B78FD8A}">
      <dgm:prSet/>
      <dgm:spPr/>
      <dgm:t>
        <a:bodyPr/>
        <a:lstStyle/>
        <a:p>
          <a:endParaRPr lang="en-US">
            <a:latin typeface="Times New Roman" panose="02020603050405020304" pitchFamily="18" charset="0"/>
            <a:cs typeface="Times New Roman" panose="02020603050405020304" pitchFamily="18" charset="0"/>
          </a:endParaRPr>
        </a:p>
      </dgm:t>
    </dgm:pt>
    <dgm:pt modelId="{B67D92EA-EDCC-4A74-821E-B31A75DA6776}">
      <dgm:prSet custT="1"/>
      <dgm:spPr/>
      <dgm:t>
        <a:bodyPr/>
        <a:lstStyle/>
        <a:p>
          <a:r>
            <a:rPr lang="fr-BE" sz="800">
              <a:latin typeface="Times New Roman" panose="02020603050405020304" pitchFamily="18" charset="0"/>
              <a:cs typeface="Times New Roman" panose="02020603050405020304" pitchFamily="18" charset="0"/>
            </a:rPr>
            <a:t>Communication activities</a:t>
          </a:r>
        </a:p>
      </dgm:t>
    </dgm:pt>
    <dgm:pt modelId="{8070B422-59A9-43B3-A675-543D9C6D4E2E}" type="parTrans" cxnId="{4211B7F8-6BD9-42A3-9C87-CE85795731D3}">
      <dgm:prSet/>
      <dgm:spPr/>
      <dgm:t>
        <a:bodyPr/>
        <a:lstStyle/>
        <a:p>
          <a:endParaRPr lang="en-US">
            <a:latin typeface="Times New Roman" panose="02020603050405020304" pitchFamily="18" charset="0"/>
            <a:cs typeface="Times New Roman" panose="02020603050405020304" pitchFamily="18" charset="0"/>
          </a:endParaRPr>
        </a:p>
      </dgm:t>
    </dgm:pt>
    <dgm:pt modelId="{57CF69FE-C69E-47BC-838A-7EB341DB2DE6}" type="sibTrans" cxnId="{4211B7F8-6BD9-42A3-9C87-CE85795731D3}">
      <dgm:prSet/>
      <dgm:spPr/>
      <dgm:t>
        <a:bodyPr/>
        <a:lstStyle/>
        <a:p>
          <a:endParaRPr lang="en-US">
            <a:latin typeface="Times New Roman" panose="02020603050405020304" pitchFamily="18" charset="0"/>
            <a:cs typeface="Times New Roman" panose="02020603050405020304" pitchFamily="18" charset="0"/>
          </a:endParaRPr>
        </a:p>
      </dgm:t>
    </dgm:pt>
    <dgm:pt modelId="{2D295245-799C-40FD-A502-4DB6160241DD}">
      <dgm:prSet custT="1"/>
      <dgm:spPr/>
      <dgm:t>
        <a:bodyPr/>
        <a:lstStyle/>
        <a:p>
          <a:r>
            <a:rPr lang="en-GB" sz="800">
              <a:latin typeface="Times New Roman" panose="02020603050405020304" pitchFamily="18" charset="0"/>
              <a:cs typeface="Times New Roman" panose="02020603050405020304" pitchFamily="18" charset="0"/>
            </a:rPr>
            <a:t>Compilation/dissemination of material (including through information technology systems)</a:t>
          </a:r>
          <a:endParaRPr lang="fr-BE" sz="800">
            <a:latin typeface="Times New Roman" panose="02020603050405020304" pitchFamily="18" charset="0"/>
            <a:cs typeface="Times New Roman" panose="02020603050405020304" pitchFamily="18" charset="0"/>
          </a:endParaRPr>
        </a:p>
      </dgm:t>
    </dgm:pt>
    <dgm:pt modelId="{114D44C2-D393-4DBF-A9CA-8C8AD32B38FC}" type="parTrans" cxnId="{03B8CF9E-5678-4BE4-B5D2-A4A91BA56EBC}">
      <dgm:prSet/>
      <dgm:spPr/>
      <dgm:t>
        <a:bodyPr/>
        <a:lstStyle/>
        <a:p>
          <a:endParaRPr lang="en-US">
            <a:latin typeface="Times New Roman" panose="02020603050405020304" pitchFamily="18" charset="0"/>
            <a:cs typeface="Times New Roman" panose="02020603050405020304" pitchFamily="18" charset="0"/>
          </a:endParaRPr>
        </a:p>
      </dgm:t>
    </dgm:pt>
    <dgm:pt modelId="{7EECBA1D-9D36-4D6A-8842-0BD63BA04F16}" type="sibTrans" cxnId="{03B8CF9E-5678-4BE4-B5D2-A4A91BA56EBC}">
      <dgm:prSet/>
      <dgm:spPr/>
      <dgm:t>
        <a:bodyPr/>
        <a:lstStyle/>
        <a:p>
          <a:endParaRPr lang="en-US">
            <a:latin typeface="Times New Roman" panose="02020603050405020304" pitchFamily="18" charset="0"/>
            <a:cs typeface="Times New Roman" panose="02020603050405020304" pitchFamily="18" charset="0"/>
          </a:endParaRPr>
        </a:p>
      </dgm:t>
    </dgm:pt>
    <dgm:pt modelId="{2F627CD3-A619-4542-949F-80D238A562EB}">
      <dgm:prSet custT="1"/>
      <dgm:spPr/>
      <dgm:t>
        <a:bodyPr/>
        <a:lstStyle/>
        <a:p>
          <a:r>
            <a:rPr lang="en-GB" sz="800">
              <a:latin typeface="Times New Roman" panose="02020603050405020304" pitchFamily="18" charset="0"/>
              <a:cs typeface="Times New Roman" panose="02020603050405020304" pitchFamily="18" charset="0"/>
            </a:rPr>
            <a:t>Organisation of local operations</a:t>
          </a:r>
          <a:endParaRPr lang="fr-BE" sz="800">
            <a:latin typeface="Times New Roman" panose="02020603050405020304" pitchFamily="18" charset="0"/>
            <a:cs typeface="Times New Roman" panose="02020603050405020304" pitchFamily="18" charset="0"/>
          </a:endParaRPr>
        </a:p>
      </dgm:t>
    </dgm:pt>
    <dgm:pt modelId="{52D3ED2C-37FA-4DEA-A6C7-87021126D85A}" type="parTrans" cxnId="{9B29653E-300B-4DAF-B3D5-AC8C9C086632}">
      <dgm:prSet/>
      <dgm:spPr/>
      <dgm:t>
        <a:bodyPr/>
        <a:lstStyle/>
        <a:p>
          <a:endParaRPr lang="en-US">
            <a:latin typeface="Times New Roman" panose="02020603050405020304" pitchFamily="18" charset="0"/>
            <a:cs typeface="Times New Roman" panose="02020603050405020304" pitchFamily="18" charset="0"/>
          </a:endParaRPr>
        </a:p>
      </dgm:t>
    </dgm:pt>
    <dgm:pt modelId="{51BB839F-15D5-4409-9AB7-13181F4B081F}" type="sibTrans" cxnId="{9B29653E-300B-4DAF-B3D5-AC8C9C086632}">
      <dgm:prSet/>
      <dgm:spPr/>
      <dgm:t>
        <a:bodyPr/>
        <a:lstStyle/>
        <a:p>
          <a:endParaRPr lang="en-US">
            <a:latin typeface="Times New Roman" panose="02020603050405020304" pitchFamily="18" charset="0"/>
            <a:cs typeface="Times New Roman" panose="02020603050405020304" pitchFamily="18" charset="0"/>
          </a:endParaRPr>
        </a:p>
      </dgm:t>
    </dgm:pt>
    <dgm:pt modelId="{337E9E47-06AF-4334-95B8-4488FE135F2D}">
      <dgm:prSet/>
      <dgm:spPr/>
      <dgm:t>
        <a:bodyPr/>
        <a:lstStyle/>
        <a:p>
          <a:r>
            <a:rPr lang="en-US">
              <a:latin typeface="Times New Roman" panose="02020603050405020304" pitchFamily="18" charset="0"/>
              <a:cs typeface="Times New Roman" panose="02020603050405020304" pitchFamily="18" charset="0"/>
            </a:rPr>
            <a:t>Specific objectives of the programme/projects</a:t>
          </a:r>
        </a:p>
      </dgm:t>
    </dgm:pt>
    <dgm:pt modelId="{C755EFD6-ADA0-41CD-8AA0-283F034120A5}" type="parTrans" cxnId="{CBD2911E-0973-43EC-AE4D-A2A680678143}">
      <dgm:prSet/>
      <dgm:spPr/>
      <dgm:t>
        <a:bodyPr/>
        <a:lstStyle/>
        <a:p>
          <a:endParaRPr lang="en-US">
            <a:latin typeface="Times New Roman" panose="02020603050405020304" pitchFamily="18" charset="0"/>
            <a:cs typeface="Times New Roman" panose="02020603050405020304" pitchFamily="18" charset="0"/>
          </a:endParaRPr>
        </a:p>
      </dgm:t>
    </dgm:pt>
    <dgm:pt modelId="{702C6806-225B-4317-A142-4281377BA00D}" type="sibTrans" cxnId="{CBD2911E-0973-43EC-AE4D-A2A680678143}">
      <dgm:prSet/>
      <dgm:spPr/>
      <dgm:t>
        <a:bodyPr/>
        <a:lstStyle/>
        <a:p>
          <a:endParaRPr lang="en-US">
            <a:latin typeface="Times New Roman" panose="02020603050405020304" pitchFamily="18" charset="0"/>
            <a:cs typeface="Times New Roman" panose="02020603050405020304" pitchFamily="18" charset="0"/>
          </a:endParaRPr>
        </a:p>
      </dgm:t>
    </dgm:pt>
    <dgm:pt modelId="{D711F23B-D027-48F4-9A5C-4B12FB0033BC}">
      <dgm:prSet/>
      <dgm:spPr/>
      <dgm:t>
        <a:bodyPr/>
        <a:lstStyle/>
        <a:p>
          <a:r>
            <a:rPr lang="en-US">
              <a:latin typeface="Times New Roman" panose="02020603050405020304" pitchFamily="18" charset="0"/>
              <a:cs typeface="Times New Roman" panose="02020603050405020304" pitchFamily="18" charset="0"/>
            </a:rPr>
            <a:t>Support in designing reforms</a:t>
          </a:r>
        </a:p>
      </dgm:t>
    </dgm:pt>
    <dgm:pt modelId="{43C6E07F-3052-4C04-8995-554590255436}" type="parTrans" cxnId="{75FFED0C-04A6-4761-A271-08A13A92AE11}">
      <dgm:prSet/>
      <dgm:spPr/>
      <dgm:t>
        <a:bodyPr/>
        <a:lstStyle/>
        <a:p>
          <a:endParaRPr lang="en-US">
            <a:latin typeface="Times New Roman" panose="02020603050405020304" pitchFamily="18" charset="0"/>
            <a:cs typeface="Times New Roman" panose="02020603050405020304" pitchFamily="18" charset="0"/>
          </a:endParaRPr>
        </a:p>
      </dgm:t>
    </dgm:pt>
    <dgm:pt modelId="{6E184C73-9593-4DD5-B7F2-8DB348D39D17}" type="sibTrans" cxnId="{75FFED0C-04A6-4761-A271-08A13A92AE11}">
      <dgm:prSet/>
      <dgm:spPr/>
      <dgm:t>
        <a:bodyPr/>
        <a:lstStyle/>
        <a:p>
          <a:endParaRPr lang="en-US">
            <a:latin typeface="Times New Roman" panose="02020603050405020304" pitchFamily="18" charset="0"/>
            <a:cs typeface="Times New Roman" panose="02020603050405020304" pitchFamily="18" charset="0"/>
          </a:endParaRPr>
        </a:p>
      </dgm:t>
    </dgm:pt>
    <dgm:pt modelId="{3BC522C8-F046-4946-905F-E7E1DECA81D8}">
      <dgm:prSet/>
      <dgm:spPr/>
      <dgm:t>
        <a:bodyPr/>
        <a:lstStyle/>
        <a:p>
          <a:r>
            <a:rPr lang="en-US">
              <a:latin typeface="Times New Roman" panose="02020603050405020304" pitchFamily="18" charset="0"/>
              <a:cs typeface="Times New Roman" panose="02020603050405020304" pitchFamily="18" charset="0"/>
            </a:rPr>
            <a:t>Support for the development and implementation of reform policies</a:t>
          </a:r>
        </a:p>
      </dgm:t>
    </dgm:pt>
    <dgm:pt modelId="{A65B78CC-24A3-436D-ABA6-72467B14E96B}" type="parTrans" cxnId="{0EF15846-7A44-43DC-B938-AF4590D83888}">
      <dgm:prSet/>
      <dgm:spPr/>
      <dgm:t>
        <a:bodyPr/>
        <a:lstStyle/>
        <a:p>
          <a:endParaRPr lang="en-US">
            <a:latin typeface="Times New Roman" panose="02020603050405020304" pitchFamily="18" charset="0"/>
            <a:cs typeface="Times New Roman" panose="02020603050405020304" pitchFamily="18" charset="0"/>
          </a:endParaRPr>
        </a:p>
      </dgm:t>
    </dgm:pt>
    <dgm:pt modelId="{0BAFA30F-9AB7-4D7B-BB6B-CB248ACC74D3}" type="sibTrans" cxnId="{0EF15846-7A44-43DC-B938-AF4590D83888}">
      <dgm:prSet/>
      <dgm:spPr/>
      <dgm:t>
        <a:bodyPr/>
        <a:lstStyle/>
        <a:p>
          <a:endParaRPr lang="en-US">
            <a:latin typeface="Times New Roman" panose="02020603050405020304" pitchFamily="18" charset="0"/>
            <a:cs typeface="Times New Roman" panose="02020603050405020304" pitchFamily="18" charset="0"/>
          </a:endParaRPr>
        </a:p>
      </dgm:t>
    </dgm:pt>
    <dgm:pt modelId="{A3429E41-CC5A-4FCC-87CB-56A2667A1F93}">
      <dgm:prSet/>
      <dgm:spPr/>
      <dgm:t>
        <a:bodyPr/>
        <a:lstStyle/>
        <a:p>
          <a:r>
            <a:rPr lang="en-US">
              <a:latin typeface="Times New Roman" panose="02020603050405020304" pitchFamily="18" charset="0"/>
              <a:cs typeface="Times New Roman" panose="02020603050405020304" pitchFamily="18" charset="0"/>
            </a:rPr>
            <a:t>Support for the definition and implementation of processes and methodologies</a:t>
          </a:r>
        </a:p>
      </dgm:t>
    </dgm:pt>
    <dgm:pt modelId="{9C38D307-9F8F-4BDC-B1DB-E52EF5B83155}" type="parTrans" cxnId="{44BFFE43-34CA-4641-A9A9-5A72FEC4915B}">
      <dgm:prSet/>
      <dgm:spPr/>
      <dgm:t>
        <a:bodyPr/>
        <a:lstStyle/>
        <a:p>
          <a:endParaRPr lang="en-US">
            <a:latin typeface="Times New Roman" panose="02020603050405020304" pitchFamily="18" charset="0"/>
            <a:cs typeface="Times New Roman" panose="02020603050405020304" pitchFamily="18" charset="0"/>
          </a:endParaRPr>
        </a:p>
      </dgm:t>
    </dgm:pt>
    <dgm:pt modelId="{ACE39DAE-8E94-4BCD-8259-F37B9B2DE739}" type="sibTrans" cxnId="{44BFFE43-34CA-4641-A9A9-5A72FEC4915B}">
      <dgm:prSet/>
      <dgm:spPr/>
      <dgm:t>
        <a:bodyPr/>
        <a:lstStyle/>
        <a:p>
          <a:endParaRPr lang="en-US">
            <a:latin typeface="Times New Roman" panose="02020603050405020304" pitchFamily="18" charset="0"/>
            <a:cs typeface="Times New Roman" panose="02020603050405020304" pitchFamily="18" charset="0"/>
          </a:endParaRPr>
        </a:p>
      </dgm:t>
    </dgm:pt>
    <dgm:pt modelId="{F89B1F9C-20FB-4EBB-8C4B-23F1710BBE8C}">
      <dgm:prSet/>
      <dgm:spPr/>
      <dgm:t>
        <a:bodyPr/>
        <a:lstStyle/>
        <a:p>
          <a:r>
            <a:rPr lang="en-US">
              <a:latin typeface="Times New Roman" panose="02020603050405020304" pitchFamily="18" charset="0"/>
              <a:cs typeface="Times New Roman" panose="02020603050405020304" pitchFamily="18" charset="0"/>
            </a:rPr>
            <a:t>Support for more efficient and effective human resource management </a:t>
          </a:r>
        </a:p>
      </dgm:t>
    </dgm:pt>
    <dgm:pt modelId="{014D5CB0-7E5D-4D36-BE45-EBAFB8014C85}" type="parTrans" cxnId="{22151BA1-BDE0-4439-9C74-3EF55248E39E}">
      <dgm:prSet/>
      <dgm:spPr/>
      <dgm:t>
        <a:bodyPr/>
        <a:lstStyle/>
        <a:p>
          <a:endParaRPr lang="en-US">
            <a:latin typeface="Times New Roman" panose="02020603050405020304" pitchFamily="18" charset="0"/>
            <a:cs typeface="Times New Roman" panose="02020603050405020304" pitchFamily="18" charset="0"/>
          </a:endParaRPr>
        </a:p>
      </dgm:t>
    </dgm:pt>
    <dgm:pt modelId="{76EC72C1-C3D5-4EA6-B97F-1187D5C5CE98}" type="sibTrans" cxnId="{22151BA1-BDE0-4439-9C74-3EF55248E39E}">
      <dgm:prSet/>
      <dgm:spPr/>
      <dgm:t>
        <a:bodyPr/>
        <a:lstStyle/>
        <a:p>
          <a:endParaRPr lang="en-US">
            <a:latin typeface="Times New Roman" panose="02020603050405020304" pitchFamily="18" charset="0"/>
            <a:cs typeface="Times New Roman" panose="02020603050405020304" pitchFamily="18" charset="0"/>
          </a:endParaRPr>
        </a:p>
      </dgm:t>
    </dgm:pt>
    <dgm:pt modelId="{D5129DF9-40FD-46AF-AF80-85A5858431C1}">
      <dgm:prSet phldrT="[Text]" custT="1"/>
      <dgm:spPr/>
      <dgm:t>
        <a:bodyPr/>
        <a:lstStyle/>
        <a:p>
          <a:r>
            <a:rPr lang="en-US" sz="900">
              <a:latin typeface="Times New Roman" panose="02020603050405020304" pitchFamily="18" charset="0"/>
              <a:cs typeface="Times New Roman" panose="02020603050405020304" pitchFamily="18" charset="0"/>
            </a:rPr>
            <a:t>A</a:t>
          </a:r>
          <a:r>
            <a:rPr lang="en-GB" sz="900">
              <a:latin typeface="Times New Roman" panose="02020603050405020304" pitchFamily="18" charset="0"/>
              <a:cs typeface="Times New Roman" panose="02020603050405020304" pitchFamily="18" charset="0"/>
            </a:rPr>
            <a:t>doption of a draft of a new law, act or modification of an existing one</a:t>
          </a:r>
          <a:endParaRPr lang="en-US" sz="900">
            <a:latin typeface="Times New Roman" panose="02020603050405020304" pitchFamily="18" charset="0"/>
            <a:cs typeface="Times New Roman" panose="02020603050405020304" pitchFamily="18" charset="0"/>
          </a:endParaRPr>
        </a:p>
      </dgm:t>
    </dgm:pt>
    <dgm:pt modelId="{242BEED2-25F6-4D8E-8AD1-D1C3DF01EFAF}" type="parTrans" cxnId="{C58F80EB-A4EF-4DFA-B0E4-94D8B3CB765D}">
      <dgm:prSet/>
      <dgm:spPr/>
      <dgm:t>
        <a:bodyPr/>
        <a:lstStyle/>
        <a:p>
          <a:endParaRPr lang="en-GB"/>
        </a:p>
      </dgm:t>
    </dgm:pt>
    <dgm:pt modelId="{D27BA658-AABE-45E8-AB74-E1A7458E3390}" type="sibTrans" cxnId="{C58F80EB-A4EF-4DFA-B0E4-94D8B3CB765D}">
      <dgm:prSet/>
      <dgm:spPr/>
      <dgm:t>
        <a:bodyPr/>
        <a:lstStyle/>
        <a:p>
          <a:endParaRPr lang="en-GB"/>
        </a:p>
      </dgm:t>
    </dgm:pt>
    <dgm:pt modelId="{6616CD99-06F7-4634-A3C2-BE1D277E1FC6}" type="pres">
      <dgm:prSet presAssocID="{744BE943-E39B-4C4E-B936-AD271C425BAF}" presName="Name0" presStyleCnt="0">
        <dgm:presLayoutVars>
          <dgm:dir/>
          <dgm:animLvl val="lvl"/>
          <dgm:resizeHandles val="exact"/>
        </dgm:presLayoutVars>
      </dgm:prSet>
      <dgm:spPr/>
      <dgm:t>
        <a:bodyPr/>
        <a:lstStyle/>
        <a:p>
          <a:endParaRPr lang="en-US"/>
        </a:p>
      </dgm:t>
    </dgm:pt>
    <dgm:pt modelId="{3F4CB8BD-26E5-4FBF-A1B7-89C8C8BF79D5}" type="pres">
      <dgm:prSet presAssocID="{0CCBAD42-73CE-43E3-AB36-62640876C0E3}" presName="linNode" presStyleCnt="0"/>
      <dgm:spPr/>
      <dgm:t>
        <a:bodyPr/>
        <a:lstStyle/>
        <a:p>
          <a:endParaRPr lang="en-GB"/>
        </a:p>
      </dgm:t>
    </dgm:pt>
    <dgm:pt modelId="{19F179A1-D09D-4543-82B8-940EF410CE04}" type="pres">
      <dgm:prSet presAssocID="{0CCBAD42-73CE-43E3-AB36-62640876C0E3}" presName="parentText" presStyleLbl="node1" presStyleIdx="0" presStyleCnt="5" custScaleY="44549">
        <dgm:presLayoutVars>
          <dgm:chMax val="1"/>
          <dgm:bulletEnabled val="1"/>
        </dgm:presLayoutVars>
      </dgm:prSet>
      <dgm:spPr/>
      <dgm:t>
        <a:bodyPr/>
        <a:lstStyle/>
        <a:p>
          <a:endParaRPr lang="en-US"/>
        </a:p>
      </dgm:t>
    </dgm:pt>
    <dgm:pt modelId="{8CA6553C-DB06-4C4D-8868-E5759B94EE3D}" type="pres">
      <dgm:prSet presAssocID="{0CCBAD42-73CE-43E3-AB36-62640876C0E3}" presName="descendantText" presStyleLbl="alignAccFollowNode1" presStyleIdx="0" presStyleCnt="5" custScaleY="68302">
        <dgm:presLayoutVars>
          <dgm:bulletEnabled val="1"/>
        </dgm:presLayoutVars>
      </dgm:prSet>
      <dgm:spPr/>
      <dgm:t>
        <a:bodyPr/>
        <a:lstStyle/>
        <a:p>
          <a:endParaRPr lang="en-US"/>
        </a:p>
      </dgm:t>
    </dgm:pt>
    <dgm:pt modelId="{35B1B5F6-458F-46E6-B53B-36D658AFAD1C}" type="pres">
      <dgm:prSet presAssocID="{529716C2-BCDD-4232-8C61-4EB7C1340C8E}" presName="sp" presStyleCnt="0"/>
      <dgm:spPr/>
      <dgm:t>
        <a:bodyPr/>
        <a:lstStyle/>
        <a:p>
          <a:endParaRPr lang="en-GB"/>
        </a:p>
      </dgm:t>
    </dgm:pt>
    <dgm:pt modelId="{D8899FAA-CD07-4CD8-A511-8DCAA43C134E}" type="pres">
      <dgm:prSet presAssocID="{337E9E47-06AF-4334-95B8-4488FE135F2D}" presName="linNode" presStyleCnt="0"/>
      <dgm:spPr/>
      <dgm:t>
        <a:bodyPr/>
        <a:lstStyle/>
        <a:p>
          <a:endParaRPr lang="en-GB"/>
        </a:p>
      </dgm:t>
    </dgm:pt>
    <dgm:pt modelId="{D41C4BD3-27E1-452B-9DE5-6E42D9161DEF}" type="pres">
      <dgm:prSet presAssocID="{337E9E47-06AF-4334-95B8-4488FE135F2D}" presName="parentText" presStyleLbl="node1" presStyleIdx="1" presStyleCnt="5">
        <dgm:presLayoutVars>
          <dgm:chMax val="1"/>
          <dgm:bulletEnabled val="1"/>
        </dgm:presLayoutVars>
      </dgm:prSet>
      <dgm:spPr/>
      <dgm:t>
        <a:bodyPr/>
        <a:lstStyle/>
        <a:p>
          <a:endParaRPr lang="en-US"/>
        </a:p>
      </dgm:t>
    </dgm:pt>
    <dgm:pt modelId="{0ADD8DB6-1C61-4A46-94D8-358747BF4A5A}" type="pres">
      <dgm:prSet presAssocID="{337E9E47-06AF-4334-95B8-4488FE135F2D}" presName="descendantText" presStyleLbl="alignAccFollowNode1" presStyleIdx="1" presStyleCnt="5">
        <dgm:presLayoutVars>
          <dgm:bulletEnabled val="1"/>
        </dgm:presLayoutVars>
      </dgm:prSet>
      <dgm:spPr/>
      <dgm:t>
        <a:bodyPr/>
        <a:lstStyle/>
        <a:p>
          <a:endParaRPr lang="en-US"/>
        </a:p>
      </dgm:t>
    </dgm:pt>
    <dgm:pt modelId="{7978C5DB-11BD-406D-9066-9FD5AA33A2FD}" type="pres">
      <dgm:prSet presAssocID="{702C6806-225B-4317-A142-4281377BA00D}" presName="sp" presStyleCnt="0"/>
      <dgm:spPr/>
      <dgm:t>
        <a:bodyPr/>
        <a:lstStyle/>
        <a:p>
          <a:endParaRPr lang="en-GB"/>
        </a:p>
      </dgm:t>
    </dgm:pt>
    <dgm:pt modelId="{389BFC44-4ABD-4CE1-935A-A1A310CA37B4}" type="pres">
      <dgm:prSet presAssocID="{B0616BF4-4C6D-4466-A467-151EAD57456C}" presName="linNode" presStyleCnt="0"/>
      <dgm:spPr/>
      <dgm:t>
        <a:bodyPr/>
        <a:lstStyle/>
        <a:p>
          <a:endParaRPr lang="en-GB"/>
        </a:p>
      </dgm:t>
    </dgm:pt>
    <dgm:pt modelId="{55DAFD17-FBC2-4E5B-B3CE-BC1C6F53D568}" type="pres">
      <dgm:prSet presAssocID="{B0616BF4-4C6D-4466-A467-151EAD57456C}" presName="parentText" presStyleLbl="node1" presStyleIdx="2" presStyleCnt="5" custScaleY="62093">
        <dgm:presLayoutVars>
          <dgm:chMax val="1"/>
          <dgm:bulletEnabled val="1"/>
        </dgm:presLayoutVars>
      </dgm:prSet>
      <dgm:spPr/>
      <dgm:t>
        <a:bodyPr/>
        <a:lstStyle/>
        <a:p>
          <a:endParaRPr lang="en-US"/>
        </a:p>
      </dgm:t>
    </dgm:pt>
    <dgm:pt modelId="{65558D56-31DF-4072-B3D5-9F74C14B0F67}" type="pres">
      <dgm:prSet presAssocID="{B0616BF4-4C6D-4466-A467-151EAD57456C}" presName="descendantText" presStyleLbl="alignAccFollowNode1" presStyleIdx="2" presStyleCnt="5" custScaleY="123826">
        <dgm:presLayoutVars>
          <dgm:bulletEnabled val="1"/>
        </dgm:presLayoutVars>
      </dgm:prSet>
      <dgm:spPr/>
      <dgm:t>
        <a:bodyPr/>
        <a:lstStyle/>
        <a:p>
          <a:endParaRPr lang="en-US"/>
        </a:p>
      </dgm:t>
    </dgm:pt>
    <dgm:pt modelId="{FF63C916-478A-47A4-A17D-468CE993DD50}" type="pres">
      <dgm:prSet presAssocID="{7C7F9384-8AFF-4B42-8B7F-D161FA3BF6C1}" presName="sp" presStyleCnt="0"/>
      <dgm:spPr/>
      <dgm:t>
        <a:bodyPr/>
        <a:lstStyle/>
        <a:p>
          <a:endParaRPr lang="en-GB"/>
        </a:p>
      </dgm:t>
    </dgm:pt>
    <dgm:pt modelId="{11F7BA23-4420-4539-848E-F33795458A23}" type="pres">
      <dgm:prSet presAssocID="{D9C3293E-A3AB-4226-8FDF-E380013F8751}" presName="linNode" presStyleCnt="0"/>
      <dgm:spPr/>
      <dgm:t>
        <a:bodyPr/>
        <a:lstStyle/>
        <a:p>
          <a:endParaRPr lang="en-GB"/>
        </a:p>
      </dgm:t>
    </dgm:pt>
    <dgm:pt modelId="{A2148F1C-A042-44E6-9CFD-2BB3CA00BDA4}" type="pres">
      <dgm:prSet presAssocID="{D9C3293E-A3AB-4226-8FDF-E380013F8751}" presName="parentText" presStyleLbl="node1" presStyleIdx="3" presStyleCnt="5" custLinFactNeighborX="-196">
        <dgm:presLayoutVars>
          <dgm:chMax val="1"/>
          <dgm:bulletEnabled val="1"/>
        </dgm:presLayoutVars>
      </dgm:prSet>
      <dgm:spPr/>
      <dgm:t>
        <a:bodyPr/>
        <a:lstStyle/>
        <a:p>
          <a:endParaRPr lang="en-US"/>
        </a:p>
      </dgm:t>
    </dgm:pt>
    <dgm:pt modelId="{FAC588D7-E7CE-4F2E-8F83-991AF0917FCC}" type="pres">
      <dgm:prSet presAssocID="{D9C3293E-A3AB-4226-8FDF-E380013F8751}" presName="descendantText" presStyleLbl="alignAccFollowNode1" presStyleIdx="3" presStyleCnt="5" custScaleX="105686" custScaleY="140000">
        <dgm:presLayoutVars>
          <dgm:bulletEnabled val="1"/>
        </dgm:presLayoutVars>
      </dgm:prSet>
      <dgm:spPr/>
      <dgm:t>
        <a:bodyPr/>
        <a:lstStyle/>
        <a:p>
          <a:endParaRPr lang="en-US"/>
        </a:p>
      </dgm:t>
    </dgm:pt>
    <dgm:pt modelId="{B02D4558-EABE-424E-B0F4-4C4E6E64DE94}" type="pres">
      <dgm:prSet presAssocID="{89FB4DA1-A051-434D-99E7-10CB612B002F}" presName="sp" presStyleCnt="0"/>
      <dgm:spPr/>
      <dgm:t>
        <a:bodyPr/>
        <a:lstStyle/>
        <a:p>
          <a:endParaRPr lang="en-GB"/>
        </a:p>
      </dgm:t>
    </dgm:pt>
    <dgm:pt modelId="{640EFB53-07DC-4E16-94C7-588F9575D24C}" type="pres">
      <dgm:prSet presAssocID="{98FC8A01-25E0-46BA-8CDC-D3EF166E9C02}" presName="linNode" presStyleCnt="0"/>
      <dgm:spPr/>
      <dgm:t>
        <a:bodyPr/>
        <a:lstStyle/>
        <a:p>
          <a:endParaRPr lang="en-GB"/>
        </a:p>
      </dgm:t>
    </dgm:pt>
    <dgm:pt modelId="{9F55D967-F2DC-4317-95EB-3CFCC4F3902D}" type="pres">
      <dgm:prSet presAssocID="{98FC8A01-25E0-46BA-8CDC-D3EF166E9C02}" presName="parentText" presStyleLbl="node1" presStyleIdx="4" presStyleCnt="5">
        <dgm:presLayoutVars>
          <dgm:chMax val="1"/>
          <dgm:bulletEnabled val="1"/>
        </dgm:presLayoutVars>
      </dgm:prSet>
      <dgm:spPr/>
      <dgm:t>
        <a:bodyPr/>
        <a:lstStyle/>
        <a:p>
          <a:endParaRPr lang="en-US"/>
        </a:p>
      </dgm:t>
    </dgm:pt>
    <dgm:pt modelId="{2B368783-C8E0-4C2B-8405-4EF4EAF77E57}" type="pres">
      <dgm:prSet presAssocID="{98FC8A01-25E0-46BA-8CDC-D3EF166E9C02}" presName="descendantText" presStyleLbl="alignAccFollowNode1" presStyleIdx="4" presStyleCnt="5" custScaleY="158641" custLinFactNeighborY="1353">
        <dgm:presLayoutVars>
          <dgm:bulletEnabled val="1"/>
        </dgm:presLayoutVars>
      </dgm:prSet>
      <dgm:spPr/>
      <dgm:t>
        <a:bodyPr/>
        <a:lstStyle/>
        <a:p>
          <a:endParaRPr lang="en-US"/>
        </a:p>
      </dgm:t>
    </dgm:pt>
  </dgm:ptLst>
  <dgm:cxnLst>
    <dgm:cxn modelId="{2DC06477-C375-4178-8CE1-C68113CB99BA}" srcId="{D9C3293E-A3AB-4226-8FDF-E380013F8751}" destId="{0CC51E1D-5B97-496F-BBEA-3D236FEBB8A7}" srcOrd="1" destOrd="0" parTransId="{C4EFA278-FD42-4AEC-A4F1-89D9703555BA}" sibTransId="{CEBBF5A6-B139-42E4-BC21-CD953342CADB}"/>
    <dgm:cxn modelId="{991C411C-B69D-4C8F-8BEF-3AD723FCC1F2}" type="presOf" srcId="{70482665-2B9D-4680-A72F-B5707A7C833D}" destId="{2B368783-C8E0-4C2B-8405-4EF4EAF77E57}" srcOrd="0" destOrd="7" presId="urn:microsoft.com/office/officeart/2005/8/layout/vList5"/>
    <dgm:cxn modelId="{E09AA7E6-765A-42C1-A3BF-5C61136F2F98}" type="presOf" srcId="{E49C40BC-4897-477D-8F32-BE7F476C6989}" destId="{65558D56-31DF-4072-B3D5-9F74C14B0F67}" srcOrd="0" destOrd="3" presId="urn:microsoft.com/office/officeart/2005/8/layout/vList5"/>
    <dgm:cxn modelId="{44BFFE43-34CA-4641-A9A9-5A72FEC4915B}" srcId="{337E9E47-06AF-4334-95B8-4488FE135F2D}" destId="{A3429E41-CC5A-4FCC-87CB-56A2667A1F93}" srcOrd="2" destOrd="0" parTransId="{9C38D307-9F8F-4BDC-B1DB-E52EF5B83155}" sibTransId="{ACE39DAE-8E94-4BCD-8259-F37B9B2DE739}"/>
    <dgm:cxn modelId="{3968E4C5-B78F-40A1-B25D-E5211F8FDBE1}" srcId="{D9C3293E-A3AB-4226-8FDF-E380013F8751}" destId="{2A3764D2-B02F-4EC2-B5E0-D005CE873ED6}" srcOrd="5" destOrd="0" parTransId="{076FFB6D-F54D-4782-BDA7-2D6F41DA4839}" sibTransId="{D555293F-98D1-4C9E-AC61-C0CB455FBE89}"/>
    <dgm:cxn modelId="{8799FBF9-6CCE-4E60-9791-2CA255E6A4EE}" srcId="{744BE943-E39B-4C4E-B936-AD271C425BAF}" destId="{0CCBAD42-73CE-43E3-AB36-62640876C0E3}" srcOrd="0" destOrd="0" parTransId="{35B88528-3793-4BA8-B609-8319B45ADFB0}" sibTransId="{529716C2-BCDD-4232-8C61-4EB7C1340C8E}"/>
    <dgm:cxn modelId="{D9B65367-8FEF-485C-BDE9-51551715FB98}" type="presOf" srcId="{67C7302E-31D7-431E-BF63-F48A0301D364}" destId="{2B368783-C8E0-4C2B-8405-4EF4EAF77E57}" srcOrd="0" destOrd="8" presId="urn:microsoft.com/office/officeart/2005/8/layout/vList5"/>
    <dgm:cxn modelId="{B4F7A89A-1031-4D8C-8E57-BA2BB8F6F7C3}" type="presOf" srcId="{ED918430-A04B-47D2-BD03-1D0DADEDDDB0}" destId="{65558D56-31DF-4072-B3D5-9F74C14B0F67}" srcOrd="0" destOrd="4" presId="urn:microsoft.com/office/officeart/2005/8/layout/vList5"/>
    <dgm:cxn modelId="{C62C5A72-9946-4B5C-B1CD-95AC42B8F151}" type="presOf" srcId="{05966DDD-2725-4EEC-98EA-1A75D50B59D0}" destId="{FAC588D7-E7CE-4F2E-8F83-991AF0917FCC}" srcOrd="0" destOrd="6" presId="urn:microsoft.com/office/officeart/2005/8/layout/vList5"/>
    <dgm:cxn modelId="{4211B7F8-6BD9-42A3-9C87-CE85795731D3}" srcId="{98FC8A01-25E0-46BA-8CDC-D3EF166E9C02}" destId="{B67D92EA-EDCC-4A74-821E-B31A75DA6776}" srcOrd="9" destOrd="0" parTransId="{8070B422-59A9-43B3-A675-543D9C6D4E2E}" sibTransId="{57CF69FE-C69E-47BC-838A-7EB341DB2DE6}"/>
    <dgm:cxn modelId="{16C77E05-D1D7-4FA2-81D8-7D3B788C7F9E}" type="presOf" srcId="{0CC51E1D-5B97-496F-BBEA-3D236FEBB8A7}" destId="{FAC588D7-E7CE-4F2E-8F83-991AF0917FCC}" srcOrd="0" destOrd="1" presId="urn:microsoft.com/office/officeart/2005/8/layout/vList5"/>
    <dgm:cxn modelId="{8975687F-6255-4261-988E-D8BAE2D08E85}" srcId="{B0616BF4-4C6D-4466-A467-151EAD57456C}" destId="{244FFF44-F7E8-44FC-B58D-10BD121A06FB}" srcOrd="0" destOrd="0" parTransId="{0032296C-C900-4B36-862B-8A43CD8B97CC}" sibTransId="{B30D8BF2-8D6E-4167-9D85-70F2CBF5509B}"/>
    <dgm:cxn modelId="{6724AB9B-D728-4874-89AE-CC5DE5B7A264}" srcId="{0CCBAD42-73CE-43E3-AB36-62640876C0E3}" destId="{CE44F294-1C83-4DF5-8599-17216F9EA0A1}" srcOrd="0" destOrd="0" parTransId="{648F0F73-E9EC-4AFE-AC53-F89EA5ED75E8}" sibTransId="{C7733324-F5C4-48DF-A0A5-D69471F8AC8A}"/>
    <dgm:cxn modelId="{FA9D9C54-749C-4A7C-8A6D-2EA1ECEFBD35}" type="presOf" srcId="{10B4616C-D94C-4B6D-BA0F-D7B67B1C23EE}" destId="{2B368783-C8E0-4C2B-8405-4EF4EAF77E57}" srcOrd="0" destOrd="6" presId="urn:microsoft.com/office/officeart/2005/8/layout/vList5"/>
    <dgm:cxn modelId="{7C66AD38-73B8-4C3E-8D74-06264563B47A}" srcId="{98FC8A01-25E0-46BA-8CDC-D3EF166E9C02}" destId="{F6C627D8-AB43-49D6-AC3B-E79D054E05C5}" srcOrd="5" destOrd="0" parTransId="{B15DE4D8-1792-48AF-BE38-EFB2438DDAEE}" sibTransId="{2A071A70-1D04-4A98-A23D-7BD44E4FED5B}"/>
    <dgm:cxn modelId="{6256AA0F-57F4-46B4-969D-D241601D52D4}" srcId="{98FC8A01-25E0-46BA-8CDC-D3EF166E9C02}" destId="{70482665-2B9D-4680-A72F-B5707A7C833D}" srcOrd="7" destOrd="0" parTransId="{A8BA65D9-7E0D-4E73-9295-3BA746AB362B}" sibTransId="{6FDD56A2-E69F-490F-A410-AD4B70848463}"/>
    <dgm:cxn modelId="{EF05F112-AF88-40A6-B5AD-CE36C83E70BE}" type="presOf" srcId="{337E9E47-06AF-4334-95B8-4488FE135F2D}" destId="{D41C4BD3-27E1-452B-9DE5-6E42D9161DEF}" srcOrd="0" destOrd="0" presId="urn:microsoft.com/office/officeart/2005/8/layout/vList5"/>
    <dgm:cxn modelId="{393DE900-441C-442F-9B5B-359F93AE531A}" type="presOf" srcId="{CE44F294-1C83-4DF5-8599-17216F9EA0A1}" destId="{8CA6553C-DB06-4C4D-8868-E5759B94EE3D}" srcOrd="0" destOrd="0" presId="urn:microsoft.com/office/officeart/2005/8/layout/vList5"/>
    <dgm:cxn modelId="{5AB843A7-60CB-4E9F-85C2-8E45A411DDB8}" type="presOf" srcId="{D711F23B-D027-48F4-9A5C-4B12FB0033BC}" destId="{0ADD8DB6-1C61-4A46-94D8-358747BF4A5A}" srcOrd="0" destOrd="0" presId="urn:microsoft.com/office/officeart/2005/8/layout/vList5"/>
    <dgm:cxn modelId="{2C82956D-F01A-4A44-8E23-07545D2BC5EF}" type="presOf" srcId="{D9C3293E-A3AB-4226-8FDF-E380013F8751}" destId="{A2148F1C-A042-44E6-9CFD-2BB3CA00BDA4}" srcOrd="0" destOrd="0" presId="urn:microsoft.com/office/officeart/2005/8/layout/vList5"/>
    <dgm:cxn modelId="{EA4D91DD-4643-41CE-98CB-2CDC4A1C4241}" type="presOf" srcId="{2A3764D2-B02F-4EC2-B5E0-D005CE873ED6}" destId="{FAC588D7-E7CE-4F2E-8F83-991AF0917FCC}" srcOrd="0" destOrd="5" presId="urn:microsoft.com/office/officeart/2005/8/layout/vList5"/>
    <dgm:cxn modelId="{4E4B836A-B798-41B2-A0F4-7838A5391EFD}" srcId="{D9C3293E-A3AB-4226-8FDF-E380013F8751}" destId="{D8CCB55F-C789-4D97-AA21-7FDD0889DBF6}" srcOrd="2" destOrd="0" parTransId="{81D83E6B-710B-47E8-9DD5-999A7FCB2EE4}" sibTransId="{0DA1D9DF-2523-4A13-9126-687CD820F7B7}"/>
    <dgm:cxn modelId="{2BC7FC05-E320-403D-88B1-1808610E474F}" srcId="{D9C3293E-A3AB-4226-8FDF-E380013F8751}" destId="{05966DDD-2725-4EEC-98EA-1A75D50B59D0}" srcOrd="6" destOrd="0" parTransId="{8FE12B96-3893-4D89-8DB2-CCACC492016B}" sibTransId="{BADAE5EC-3600-4CEE-8DE3-E68263685FFC}"/>
    <dgm:cxn modelId="{E689BBC5-C749-479C-9BCB-51F5FB4C02D3}" srcId="{98FC8A01-25E0-46BA-8CDC-D3EF166E9C02}" destId="{D8D9EAB3-31BF-4F73-B482-551189827B7B}" srcOrd="3" destOrd="0" parTransId="{F820F617-C946-49FF-9476-6375C381D865}" sibTransId="{13490A0C-70B1-489B-BCE8-F26A79D03EFE}"/>
    <dgm:cxn modelId="{DA5A6D05-EDE6-4885-AE37-0222334B7A83}" srcId="{D9C3293E-A3AB-4226-8FDF-E380013F8751}" destId="{B76119BD-9FD5-44A6-91D7-8D4FE107221E}" srcOrd="4" destOrd="0" parTransId="{3C16863B-7571-4CF8-8BCB-312316307343}" sibTransId="{A2E496AC-30E0-4EB7-9D3E-C79C86A8CC8F}"/>
    <dgm:cxn modelId="{D577E2C0-66DA-4F57-A349-9BDDBEC70180}" type="presOf" srcId="{D8CCB55F-C789-4D97-AA21-7FDD0889DBF6}" destId="{FAC588D7-E7CE-4F2E-8F83-991AF0917FCC}" srcOrd="0" destOrd="2" presId="urn:microsoft.com/office/officeart/2005/8/layout/vList5"/>
    <dgm:cxn modelId="{56208687-11F4-4FDE-B6FA-AB2F939B6CA9}" type="presOf" srcId="{D5129DF9-40FD-46AF-AF80-85A5858431C1}" destId="{65558D56-31DF-4072-B3D5-9F74C14B0F67}" srcOrd="0" destOrd="1" presId="urn:microsoft.com/office/officeart/2005/8/layout/vList5"/>
    <dgm:cxn modelId="{9B29653E-300B-4DAF-B3D5-AC8C9C086632}" srcId="{98FC8A01-25E0-46BA-8CDC-D3EF166E9C02}" destId="{2F627CD3-A619-4542-949F-80D238A562EB}" srcOrd="11" destOrd="0" parTransId="{52D3ED2C-37FA-4DEA-A6C7-87021126D85A}" sibTransId="{51BB839F-15D5-4409-9AB7-13181F4B081F}"/>
    <dgm:cxn modelId="{96080228-A58E-42BB-A14F-E08BC45B6DA2}" srcId="{744BE943-E39B-4C4E-B936-AD271C425BAF}" destId="{B0616BF4-4C6D-4466-A467-151EAD57456C}" srcOrd="2" destOrd="0" parTransId="{CDA015BD-FA25-4B0C-AB2E-165FCFFCEFC5}" sibTransId="{7C7F9384-8AFF-4B42-8B7F-D161FA3BF6C1}"/>
    <dgm:cxn modelId="{D124FCBD-A573-4805-B590-7552C3C62690}" type="presOf" srcId="{A3429E41-CC5A-4FCC-87CB-56A2667A1F93}" destId="{0ADD8DB6-1C61-4A46-94D8-358747BF4A5A}" srcOrd="0" destOrd="2" presId="urn:microsoft.com/office/officeart/2005/8/layout/vList5"/>
    <dgm:cxn modelId="{CCE11531-9E4E-4194-8689-15051C5CA6F4}" type="presOf" srcId="{A1425098-4762-44B6-AC11-07F9C5EFAD6C}" destId="{FAC588D7-E7CE-4F2E-8F83-991AF0917FCC}" srcOrd="0" destOrd="3" presId="urn:microsoft.com/office/officeart/2005/8/layout/vList5"/>
    <dgm:cxn modelId="{CF9E87E7-D37C-474A-8239-66028F5EA05F}" type="presOf" srcId="{0CCBAD42-73CE-43E3-AB36-62640876C0E3}" destId="{19F179A1-D09D-4543-82B8-940EF410CE04}" srcOrd="0" destOrd="0" presId="urn:microsoft.com/office/officeart/2005/8/layout/vList5"/>
    <dgm:cxn modelId="{FA419BEF-8B1D-4537-B50F-A49C2A6A1F76}" srcId="{B0616BF4-4C6D-4466-A467-151EAD57456C}" destId="{ED918430-A04B-47D2-BD03-1D0DADEDDDB0}" srcOrd="4" destOrd="0" parTransId="{5552C91E-3DDA-405B-AB3F-83304C6CD2F6}" sibTransId="{EE11E038-D33B-4712-83FE-87B71227C791}"/>
    <dgm:cxn modelId="{BD86708A-AF83-4407-8288-A016D9CFB21D}" srcId="{B0616BF4-4C6D-4466-A467-151EAD57456C}" destId="{AE5408C8-4668-4362-84BE-B5EE29AF212E}" srcOrd="2" destOrd="0" parTransId="{985F36FD-A4A8-4444-9D20-09D0B521578B}" sibTransId="{DA4C4606-EEB0-4682-A616-D3ECA6F823F6}"/>
    <dgm:cxn modelId="{9A20AD1C-4171-45AB-8083-8BFDA072E0D1}" srcId="{98FC8A01-25E0-46BA-8CDC-D3EF166E9C02}" destId="{B7DBA33E-5015-48C6-BA93-420FB9443A2E}" srcOrd="1" destOrd="0" parTransId="{CCC96DFF-E929-48FD-B0BA-FAF31B9E3F18}" sibTransId="{39DE8E42-BE19-4A35-AF31-DAE3FA488C4C}"/>
    <dgm:cxn modelId="{15B1627A-7AD9-4F15-812A-C51BDE702E73}" srcId="{D9C3293E-A3AB-4226-8FDF-E380013F8751}" destId="{3E6E7C92-78B8-4D5A-9325-417476FA9C37}" srcOrd="8" destOrd="0" parTransId="{EFEBBCC1-DBFF-42DD-9F76-BCABC28FAFC8}" sibTransId="{EB6CEF42-0AEF-4BFF-9572-293D0DD7F226}"/>
    <dgm:cxn modelId="{2B6E3EB9-8BC2-4180-9BC5-EE500C8BBA5A}" type="presOf" srcId="{45D11A08-B88E-44CB-A765-04945398AD5E}" destId="{2B368783-C8E0-4C2B-8405-4EF4EAF77E57}" srcOrd="0" destOrd="0" presId="urn:microsoft.com/office/officeart/2005/8/layout/vList5"/>
    <dgm:cxn modelId="{C279E262-38AE-4518-A29C-E0294D98DCE0}" type="presOf" srcId="{244FFF44-F7E8-44FC-B58D-10BD121A06FB}" destId="{65558D56-31DF-4072-B3D5-9F74C14B0F67}" srcOrd="0" destOrd="0" presId="urn:microsoft.com/office/officeart/2005/8/layout/vList5"/>
    <dgm:cxn modelId="{F3FBAF78-67EC-4CC2-B977-F17B040B87FC}" type="presOf" srcId="{F6C627D8-AB43-49D6-AC3B-E79D054E05C5}" destId="{2B368783-C8E0-4C2B-8405-4EF4EAF77E57}" srcOrd="0" destOrd="5" presId="urn:microsoft.com/office/officeart/2005/8/layout/vList5"/>
    <dgm:cxn modelId="{0EF15846-7A44-43DC-B938-AF4590D83888}" srcId="{337E9E47-06AF-4334-95B8-4488FE135F2D}" destId="{3BC522C8-F046-4946-905F-E7E1DECA81D8}" srcOrd="1" destOrd="0" parTransId="{A65B78CC-24A3-436D-ABA6-72467B14E96B}" sibTransId="{0BAFA30F-9AB7-4D7B-BB6B-CB248ACC74D3}"/>
    <dgm:cxn modelId="{47AE9707-3CEC-4DE2-9E8F-DD1BE3CE64F4}" srcId="{B0616BF4-4C6D-4466-A467-151EAD57456C}" destId="{E49C40BC-4897-477D-8F32-BE7F476C6989}" srcOrd="3" destOrd="0" parTransId="{111A00A5-CC06-403E-B732-7924E0D39779}" sibTransId="{56232BC4-40EE-4767-A87D-FAB3FC635AD6}"/>
    <dgm:cxn modelId="{B3854183-C473-4404-8333-9AB795896077}" srcId="{98FC8A01-25E0-46BA-8CDC-D3EF166E9C02}" destId="{45D11A08-B88E-44CB-A765-04945398AD5E}" srcOrd="0" destOrd="0" parTransId="{597F4722-7DB2-4AD9-951D-9159C43E808E}" sibTransId="{67E0545F-61C1-4BBE-B9CB-9DC1BEE8D6C6}"/>
    <dgm:cxn modelId="{33485D49-0C9A-4113-9C2C-5195B46342C4}" srcId="{98FC8A01-25E0-46BA-8CDC-D3EF166E9C02}" destId="{10B4616C-D94C-4B6D-BA0F-D7B67B1C23EE}" srcOrd="6" destOrd="0" parTransId="{2E0685CB-E7C5-486C-B3D8-826217AEDBD1}" sibTransId="{4DEDAC7A-EA17-468B-9D7D-4EAC75D56CF5}"/>
    <dgm:cxn modelId="{4B094A6C-40D2-45A2-8577-EC3318A61BF8}" type="presOf" srcId="{3BC522C8-F046-4946-905F-E7E1DECA81D8}" destId="{0ADD8DB6-1C61-4A46-94D8-358747BF4A5A}" srcOrd="0" destOrd="1" presId="urn:microsoft.com/office/officeart/2005/8/layout/vList5"/>
    <dgm:cxn modelId="{E17790B0-B161-46F8-AADD-623B0110A9BA}" type="presOf" srcId="{12302E93-B670-498E-B1D6-551467C0772F}" destId="{2B368783-C8E0-4C2B-8405-4EF4EAF77E57}" srcOrd="0" destOrd="2" presId="urn:microsoft.com/office/officeart/2005/8/layout/vList5"/>
    <dgm:cxn modelId="{3EF83ECB-1F26-481F-A2A0-7242A964C396}" type="presOf" srcId="{B0616BF4-4C6D-4466-A467-151EAD57456C}" destId="{55DAFD17-FBC2-4E5B-B3CE-BC1C6F53D568}" srcOrd="0" destOrd="0" presId="urn:microsoft.com/office/officeart/2005/8/layout/vList5"/>
    <dgm:cxn modelId="{42D44F8F-AF98-4B80-B6F7-B85BBA0EB724}" type="presOf" srcId="{744BE943-E39B-4C4E-B936-AD271C425BAF}" destId="{6616CD99-06F7-4634-A3C2-BE1D277E1FC6}" srcOrd="0" destOrd="0" presId="urn:microsoft.com/office/officeart/2005/8/layout/vList5"/>
    <dgm:cxn modelId="{03B8CF9E-5678-4BE4-B5D2-A4A91BA56EBC}" srcId="{98FC8A01-25E0-46BA-8CDC-D3EF166E9C02}" destId="{2D295245-799C-40FD-A502-4DB6160241DD}" srcOrd="10" destOrd="0" parTransId="{114D44C2-D393-4DBF-A9CA-8C8AD32B38FC}" sibTransId="{7EECBA1D-9D36-4D6A-8842-0BD63BA04F16}"/>
    <dgm:cxn modelId="{01F368C1-9C70-494D-9218-EA6FB1F51446}" srcId="{D9C3293E-A3AB-4226-8FDF-E380013F8751}" destId="{A1425098-4762-44B6-AC11-07F9C5EFAD6C}" srcOrd="3" destOrd="0" parTransId="{F2F685DE-3010-4FA5-87C2-C2CFC933EB14}" sibTransId="{A69035B0-FC1E-43A8-9D53-FB75759CB37C}"/>
    <dgm:cxn modelId="{07C33AB5-384F-412E-9654-8A76BD8A1AD8}" type="presOf" srcId="{2F627CD3-A619-4542-949F-80D238A562EB}" destId="{2B368783-C8E0-4C2B-8405-4EF4EAF77E57}" srcOrd="0" destOrd="11" presId="urn:microsoft.com/office/officeart/2005/8/layout/vList5"/>
    <dgm:cxn modelId="{09C5EE01-2967-4D3D-A0EF-F18D94D8D9F2}" type="presOf" srcId="{0AE76BF4-47C6-4174-933C-B58807D642FA}" destId="{FAC588D7-E7CE-4F2E-8F83-991AF0917FCC}" srcOrd="0" destOrd="7" presId="urn:microsoft.com/office/officeart/2005/8/layout/vList5"/>
    <dgm:cxn modelId="{2AEE6B91-3872-4CB2-AC39-81EC79F9736F}" type="presOf" srcId="{F89B1F9C-20FB-4EBB-8C4B-23F1710BBE8C}" destId="{0ADD8DB6-1C61-4A46-94D8-358747BF4A5A}" srcOrd="0" destOrd="3" presId="urn:microsoft.com/office/officeart/2005/8/layout/vList5"/>
    <dgm:cxn modelId="{4327569B-3615-4D96-B5C4-E89E6C429543}" type="presOf" srcId="{98FC8A01-25E0-46BA-8CDC-D3EF166E9C02}" destId="{9F55D967-F2DC-4317-95EB-3CFCC4F3902D}" srcOrd="0" destOrd="0" presId="urn:microsoft.com/office/officeart/2005/8/layout/vList5"/>
    <dgm:cxn modelId="{159C0F3E-6363-4615-8BAD-0B99EBA50099}" srcId="{98FC8A01-25E0-46BA-8CDC-D3EF166E9C02}" destId="{F4EEFA20-1EC0-45F0-BA9B-C60A7B71D151}" srcOrd="4" destOrd="0" parTransId="{3EF6B90B-C799-40D4-9D48-C4469CA91F7F}" sibTransId="{ACF598B5-EF18-4FC1-AC76-1C08AF6C0781}"/>
    <dgm:cxn modelId="{4C39D9CE-978B-4DB6-BA3B-4E1B2693DEB8}" type="presOf" srcId="{AE5408C8-4668-4362-84BE-B5EE29AF212E}" destId="{65558D56-31DF-4072-B3D5-9F74C14B0F67}" srcOrd="0" destOrd="2" presId="urn:microsoft.com/office/officeart/2005/8/layout/vList5"/>
    <dgm:cxn modelId="{7A9FCD37-BB54-4247-BA4A-53524199EB91}" srcId="{D9C3293E-A3AB-4226-8FDF-E380013F8751}" destId="{0E2A9474-FFAF-428E-B046-A14748B6A446}" srcOrd="0" destOrd="0" parTransId="{CD6591FE-48B7-41A6-B2F7-1C951C85752F}" sibTransId="{F7979E88-75BE-4394-A290-5A5E1F8F7F14}"/>
    <dgm:cxn modelId="{22151BA1-BDE0-4439-9C74-3EF55248E39E}" srcId="{337E9E47-06AF-4334-95B8-4488FE135F2D}" destId="{F89B1F9C-20FB-4EBB-8C4B-23F1710BBE8C}" srcOrd="3" destOrd="0" parTransId="{014D5CB0-7E5D-4D36-BE45-EBAFB8014C85}" sibTransId="{76EC72C1-C3D5-4EA6-B97F-1187D5C5CE98}"/>
    <dgm:cxn modelId="{75FFED0C-04A6-4761-A271-08A13A92AE11}" srcId="{337E9E47-06AF-4334-95B8-4488FE135F2D}" destId="{D711F23B-D027-48F4-9A5C-4B12FB0033BC}" srcOrd="0" destOrd="0" parTransId="{43C6E07F-3052-4C04-8995-554590255436}" sibTransId="{6E184C73-9593-4DD5-B7F2-8DB348D39D17}"/>
    <dgm:cxn modelId="{CBD2911E-0973-43EC-AE4D-A2A680678143}" srcId="{744BE943-E39B-4C4E-B936-AD271C425BAF}" destId="{337E9E47-06AF-4334-95B8-4488FE135F2D}" srcOrd="1" destOrd="0" parTransId="{C755EFD6-ADA0-41CD-8AA0-283F034120A5}" sibTransId="{702C6806-225B-4317-A142-4281377BA00D}"/>
    <dgm:cxn modelId="{E889D7D7-024E-45C7-B28F-ED2F459D1EA8}" type="presOf" srcId="{D8D9EAB3-31BF-4F73-B482-551189827B7B}" destId="{2B368783-C8E0-4C2B-8405-4EF4EAF77E57}" srcOrd="0" destOrd="3" presId="urn:microsoft.com/office/officeart/2005/8/layout/vList5"/>
    <dgm:cxn modelId="{666BB5CE-977E-43BF-94E0-59C97C631B11}" type="presOf" srcId="{3E6E7C92-78B8-4D5A-9325-417476FA9C37}" destId="{FAC588D7-E7CE-4F2E-8F83-991AF0917FCC}" srcOrd="0" destOrd="8" presId="urn:microsoft.com/office/officeart/2005/8/layout/vList5"/>
    <dgm:cxn modelId="{BD1C0FAB-B177-45DB-8E27-42EC401AD292}" type="presOf" srcId="{0E2A9474-FFAF-428E-B046-A14748B6A446}" destId="{FAC588D7-E7CE-4F2E-8F83-991AF0917FCC}" srcOrd="0" destOrd="0" presId="urn:microsoft.com/office/officeart/2005/8/layout/vList5"/>
    <dgm:cxn modelId="{C58F80EB-A4EF-4DFA-B0E4-94D8B3CB765D}" srcId="{B0616BF4-4C6D-4466-A467-151EAD57456C}" destId="{D5129DF9-40FD-46AF-AF80-85A5858431C1}" srcOrd="1" destOrd="0" parTransId="{242BEED2-25F6-4D8E-8AD1-D1C3DF01EFAF}" sibTransId="{D27BA658-AABE-45E8-AB74-E1A7458E3390}"/>
    <dgm:cxn modelId="{3D052E3F-A59D-416C-8C3C-8B587A34A260}" srcId="{744BE943-E39B-4C4E-B936-AD271C425BAF}" destId="{98FC8A01-25E0-46BA-8CDC-D3EF166E9C02}" srcOrd="4" destOrd="0" parTransId="{FA2FDC2D-4F25-46C0-906E-8CA1AA8B3C4E}" sibTransId="{F7F713A4-4344-42D1-8DF1-71EA8D9C6468}"/>
    <dgm:cxn modelId="{3DF5138C-241B-4B81-9DC7-29FA8E75C7E1}" srcId="{744BE943-E39B-4C4E-B936-AD271C425BAF}" destId="{D9C3293E-A3AB-4226-8FDF-E380013F8751}" srcOrd="3" destOrd="0" parTransId="{94D2658D-7AEE-4C66-B8AA-BCE07DAE87FF}" sibTransId="{89FB4DA1-A051-434D-99E7-10CB612B002F}"/>
    <dgm:cxn modelId="{5403365C-4FAD-408D-8843-0FC08B78FD8A}" srcId="{98FC8A01-25E0-46BA-8CDC-D3EF166E9C02}" destId="{67C7302E-31D7-431E-BF63-F48A0301D364}" srcOrd="8" destOrd="0" parTransId="{BC70C7C8-B306-454E-8310-83CA5530B9A9}" sibTransId="{B45D1084-C6DE-461C-894C-4A2A334BB46E}"/>
    <dgm:cxn modelId="{4194A0BB-94C3-4056-93F2-B0128019D764}" type="presOf" srcId="{2D295245-799C-40FD-A502-4DB6160241DD}" destId="{2B368783-C8E0-4C2B-8405-4EF4EAF77E57}" srcOrd="0" destOrd="10" presId="urn:microsoft.com/office/officeart/2005/8/layout/vList5"/>
    <dgm:cxn modelId="{EC84C808-88AD-456C-AC9A-9FBABE6E72BF}" srcId="{98FC8A01-25E0-46BA-8CDC-D3EF166E9C02}" destId="{12302E93-B670-498E-B1D6-551467C0772F}" srcOrd="2" destOrd="0" parTransId="{1A355006-0467-46CF-B3B0-F81AA5A5698B}" sibTransId="{04C372E9-486F-46EE-9540-826E5AFAF299}"/>
    <dgm:cxn modelId="{6167C6DF-84AC-4633-91C6-5A775718FAE0}" type="presOf" srcId="{B7DBA33E-5015-48C6-BA93-420FB9443A2E}" destId="{2B368783-C8E0-4C2B-8405-4EF4EAF77E57}" srcOrd="0" destOrd="1" presId="urn:microsoft.com/office/officeart/2005/8/layout/vList5"/>
    <dgm:cxn modelId="{73BEA01E-A7A3-465D-B3B0-D7D2D00D40B4}" srcId="{D9C3293E-A3AB-4226-8FDF-E380013F8751}" destId="{0AE76BF4-47C6-4174-933C-B58807D642FA}" srcOrd="7" destOrd="0" parTransId="{E8174068-7F41-4F7B-820A-ABF1550B3ABE}" sibTransId="{4ABCC80E-5552-4F84-B86C-36B87F00A0DD}"/>
    <dgm:cxn modelId="{2BE6F235-03A0-4845-88DC-D39F4F274DD7}" type="presOf" srcId="{B76119BD-9FD5-44A6-91D7-8D4FE107221E}" destId="{FAC588D7-E7CE-4F2E-8F83-991AF0917FCC}" srcOrd="0" destOrd="4" presId="urn:microsoft.com/office/officeart/2005/8/layout/vList5"/>
    <dgm:cxn modelId="{6BFD1962-AF28-4D83-BB41-7D3D31DC180C}" type="presOf" srcId="{F4EEFA20-1EC0-45F0-BA9B-C60A7B71D151}" destId="{2B368783-C8E0-4C2B-8405-4EF4EAF77E57}" srcOrd="0" destOrd="4" presId="urn:microsoft.com/office/officeart/2005/8/layout/vList5"/>
    <dgm:cxn modelId="{BE81C8F8-7D9C-4977-850D-6E4E96A436F7}" type="presOf" srcId="{B67D92EA-EDCC-4A74-821E-B31A75DA6776}" destId="{2B368783-C8E0-4C2B-8405-4EF4EAF77E57}" srcOrd="0" destOrd="9" presId="urn:microsoft.com/office/officeart/2005/8/layout/vList5"/>
    <dgm:cxn modelId="{C3163361-4EAE-4E4D-B689-AEE024E69B62}" type="presParOf" srcId="{6616CD99-06F7-4634-A3C2-BE1D277E1FC6}" destId="{3F4CB8BD-26E5-4FBF-A1B7-89C8C8BF79D5}" srcOrd="0" destOrd="0" presId="urn:microsoft.com/office/officeart/2005/8/layout/vList5"/>
    <dgm:cxn modelId="{5DDE57DA-2D90-487D-A4ED-A1037230EB2A}" type="presParOf" srcId="{3F4CB8BD-26E5-4FBF-A1B7-89C8C8BF79D5}" destId="{19F179A1-D09D-4543-82B8-940EF410CE04}" srcOrd="0" destOrd="0" presId="urn:microsoft.com/office/officeart/2005/8/layout/vList5"/>
    <dgm:cxn modelId="{B94A9DEE-37AC-4DF8-ABF5-798AD0D0761C}" type="presParOf" srcId="{3F4CB8BD-26E5-4FBF-A1B7-89C8C8BF79D5}" destId="{8CA6553C-DB06-4C4D-8868-E5759B94EE3D}" srcOrd="1" destOrd="0" presId="urn:microsoft.com/office/officeart/2005/8/layout/vList5"/>
    <dgm:cxn modelId="{197C1E53-3ABF-41F6-A9B6-B0513A73190F}" type="presParOf" srcId="{6616CD99-06F7-4634-A3C2-BE1D277E1FC6}" destId="{35B1B5F6-458F-46E6-B53B-36D658AFAD1C}" srcOrd="1" destOrd="0" presId="urn:microsoft.com/office/officeart/2005/8/layout/vList5"/>
    <dgm:cxn modelId="{C4D1E087-D2EF-418C-BB72-BEA31B9F0B0C}" type="presParOf" srcId="{6616CD99-06F7-4634-A3C2-BE1D277E1FC6}" destId="{D8899FAA-CD07-4CD8-A511-8DCAA43C134E}" srcOrd="2" destOrd="0" presId="urn:microsoft.com/office/officeart/2005/8/layout/vList5"/>
    <dgm:cxn modelId="{8A1F0E8A-A811-4B7B-B8D2-019E2E5A9F3E}" type="presParOf" srcId="{D8899FAA-CD07-4CD8-A511-8DCAA43C134E}" destId="{D41C4BD3-27E1-452B-9DE5-6E42D9161DEF}" srcOrd="0" destOrd="0" presId="urn:microsoft.com/office/officeart/2005/8/layout/vList5"/>
    <dgm:cxn modelId="{9DAA9B97-C1FB-4BED-8D1B-0EEA5B289548}" type="presParOf" srcId="{D8899FAA-CD07-4CD8-A511-8DCAA43C134E}" destId="{0ADD8DB6-1C61-4A46-94D8-358747BF4A5A}" srcOrd="1" destOrd="0" presId="urn:microsoft.com/office/officeart/2005/8/layout/vList5"/>
    <dgm:cxn modelId="{78DE912E-B2B4-4FE8-A434-2D6AB6539369}" type="presParOf" srcId="{6616CD99-06F7-4634-A3C2-BE1D277E1FC6}" destId="{7978C5DB-11BD-406D-9066-9FD5AA33A2FD}" srcOrd="3" destOrd="0" presId="urn:microsoft.com/office/officeart/2005/8/layout/vList5"/>
    <dgm:cxn modelId="{A490C951-E63F-4FD9-8A12-044CC65229C3}" type="presParOf" srcId="{6616CD99-06F7-4634-A3C2-BE1D277E1FC6}" destId="{389BFC44-4ABD-4CE1-935A-A1A310CA37B4}" srcOrd="4" destOrd="0" presId="urn:microsoft.com/office/officeart/2005/8/layout/vList5"/>
    <dgm:cxn modelId="{D5D47E01-B045-43CB-8D2A-CC2919BB8D9A}" type="presParOf" srcId="{389BFC44-4ABD-4CE1-935A-A1A310CA37B4}" destId="{55DAFD17-FBC2-4E5B-B3CE-BC1C6F53D568}" srcOrd="0" destOrd="0" presId="urn:microsoft.com/office/officeart/2005/8/layout/vList5"/>
    <dgm:cxn modelId="{E8B0243C-7109-44C8-9F84-A6B9DA84B96D}" type="presParOf" srcId="{389BFC44-4ABD-4CE1-935A-A1A310CA37B4}" destId="{65558D56-31DF-4072-B3D5-9F74C14B0F67}" srcOrd="1" destOrd="0" presId="urn:microsoft.com/office/officeart/2005/8/layout/vList5"/>
    <dgm:cxn modelId="{58498896-951B-43DF-8A66-C30A05B092FB}" type="presParOf" srcId="{6616CD99-06F7-4634-A3C2-BE1D277E1FC6}" destId="{FF63C916-478A-47A4-A17D-468CE993DD50}" srcOrd="5" destOrd="0" presId="urn:microsoft.com/office/officeart/2005/8/layout/vList5"/>
    <dgm:cxn modelId="{28AAF23A-C495-409D-8F72-380C091BBD0B}" type="presParOf" srcId="{6616CD99-06F7-4634-A3C2-BE1D277E1FC6}" destId="{11F7BA23-4420-4539-848E-F33795458A23}" srcOrd="6" destOrd="0" presId="urn:microsoft.com/office/officeart/2005/8/layout/vList5"/>
    <dgm:cxn modelId="{0695D6C7-6A2C-449C-9019-EF80701F75AD}" type="presParOf" srcId="{11F7BA23-4420-4539-848E-F33795458A23}" destId="{A2148F1C-A042-44E6-9CFD-2BB3CA00BDA4}" srcOrd="0" destOrd="0" presId="urn:microsoft.com/office/officeart/2005/8/layout/vList5"/>
    <dgm:cxn modelId="{BA74C9B0-89DF-49E7-81B6-6E9A7331BCB3}" type="presParOf" srcId="{11F7BA23-4420-4539-848E-F33795458A23}" destId="{FAC588D7-E7CE-4F2E-8F83-991AF0917FCC}" srcOrd="1" destOrd="0" presId="urn:microsoft.com/office/officeart/2005/8/layout/vList5"/>
    <dgm:cxn modelId="{6277836A-F12F-4B2C-B18A-756FC082550A}" type="presParOf" srcId="{6616CD99-06F7-4634-A3C2-BE1D277E1FC6}" destId="{B02D4558-EABE-424E-B0F4-4C4E6E64DE94}" srcOrd="7" destOrd="0" presId="urn:microsoft.com/office/officeart/2005/8/layout/vList5"/>
    <dgm:cxn modelId="{1257B902-7F3B-481E-A879-941241B3DC14}" type="presParOf" srcId="{6616CD99-06F7-4634-A3C2-BE1D277E1FC6}" destId="{640EFB53-07DC-4E16-94C7-588F9575D24C}" srcOrd="8" destOrd="0" presId="urn:microsoft.com/office/officeart/2005/8/layout/vList5"/>
    <dgm:cxn modelId="{14BDF6BC-C1B1-4303-A47A-063D53DC3ACE}" type="presParOf" srcId="{640EFB53-07DC-4E16-94C7-588F9575D24C}" destId="{9F55D967-F2DC-4317-95EB-3CFCC4F3902D}" srcOrd="0" destOrd="0" presId="urn:microsoft.com/office/officeart/2005/8/layout/vList5"/>
    <dgm:cxn modelId="{197668DC-EE6A-4AE8-A29E-2CF621DD4D2E}" type="presParOf" srcId="{640EFB53-07DC-4E16-94C7-588F9575D24C}" destId="{2B368783-C8E0-4C2B-8405-4EF4EAF77E57}" srcOrd="1" destOrd="0" presId="urn:microsoft.com/office/officeart/2005/8/layout/vList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D802EA-E4DC-481B-832B-C94F0FE5F541}" type="doc">
      <dgm:prSet loTypeId="urn:microsoft.com/office/officeart/2005/8/layout/vList4" loCatId="list" qsTypeId="urn:microsoft.com/office/officeart/2005/8/quickstyle/simple1" qsCatId="simple" csTypeId="urn:microsoft.com/office/officeart/2005/8/colors/accent4_3" csCatId="accent4" phldr="1"/>
      <dgm:spPr/>
      <dgm:t>
        <a:bodyPr/>
        <a:lstStyle/>
        <a:p>
          <a:endParaRPr lang="en-US"/>
        </a:p>
      </dgm:t>
    </dgm:pt>
    <dgm:pt modelId="{D1AFAC9A-99C9-45A9-A870-5C9694355A22}">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Strategy for internal audit and training of internal auditors in local government in Romania (SRSP 2017)</a:t>
          </a:r>
        </a:p>
        <a:p>
          <a:pPr algn="just"/>
          <a:r>
            <a:rPr lang="en-GB" sz="900">
              <a:solidFill>
                <a:sysClr val="windowText" lastClr="000000"/>
              </a:solidFill>
              <a:latin typeface="Times New Roman" panose="02020603050405020304" pitchFamily="18" charset="0"/>
              <a:cs typeface="Times New Roman" panose="02020603050405020304" pitchFamily="18" charset="0"/>
            </a:rPr>
            <a:t>The overall objective of the support measures was to strengthen the operation of the public internal audit system in Romania, by providing support to the Central Harmonisation Unit for Public Internal Audit (CHUPIA). </a:t>
          </a:r>
        </a:p>
        <a:p>
          <a:pPr algn="just"/>
          <a:r>
            <a:rPr lang="en-GB" sz="900">
              <a:solidFill>
                <a:sysClr val="windowText" lastClr="000000"/>
              </a:solidFill>
              <a:latin typeface="Times New Roman" panose="02020603050405020304" pitchFamily="18" charset="0"/>
              <a:cs typeface="Times New Roman" panose="02020603050405020304" pitchFamily="18" charset="0"/>
            </a:rPr>
            <a:t>The project delivered </a:t>
          </a:r>
          <a:r>
            <a:rPr lang="en-GB" sz="900" b="1">
              <a:solidFill>
                <a:sysClr val="windowText" lastClr="000000"/>
              </a:solidFill>
              <a:latin typeface="Times New Roman" panose="02020603050405020304" pitchFamily="18" charset="0"/>
              <a:cs typeface="Times New Roman" panose="02020603050405020304" pitchFamily="18" charset="0"/>
            </a:rPr>
            <a:t>a new Public Internal Audit Strategy for t2020-2024 </a:t>
          </a:r>
          <a:r>
            <a:rPr lang="en-GB" sz="900">
              <a:solidFill>
                <a:sysClr val="windowText" lastClr="000000"/>
              </a:solidFill>
              <a:latin typeface="Times New Roman" panose="02020603050405020304" pitchFamily="18" charset="0"/>
              <a:cs typeface="Times New Roman" panose="02020603050405020304" pitchFamily="18" charset="0"/>
            </a:rPr>
            <a:t>and a new training programme which laid the foundations for increased professional capacity of public internal auditors. </a:t>
          </a:r>
        </a:p>
        <a:p>
          <a:pPr algn="just"/>
          <a:r>
            <a:rPr lang="en-GB" sz="900">
              <a:solidFill>
                <a:sysClr val="windowText" lastClr="000000"/>
              </a:solidFill>
              <a:latin typeface="Times New Roman" panose="02020603050405020304" pitchFamily="18" charset="0"/>
              <a:cs typeface="Times New Roman" panose="02020603050405020304" pitchFamily="18" charset="0"/>
            </a:rPr>
            <a:t>The strategy is already</a:t>
          </a:r>
          <a:r>
            <a:rPr lang="en-GB" sz="900" b="1">
              <a:solidFill>
                <a:sysClr val="windowText" lastClr="000000"/>
              </a:solidFill>
              <a:latin typeface="Times New Roman" panose="02020603050405020304" pitchFamily="18" charset="0"/>
              <a:cs typeface="Times New Roman" panose="02020603050405020304" pitchFamily="18" charset="0"/>
            </a:rPr>
            <a:t> under implementation and the new curriculum is now part of the training programme for public internal auditors</a:t>
          </a:r>
          <a:r>
            <a:rPr lang="en-GB" sz="900">
              <a:solidFill>
                <a:sysClr val="windowText" lastClr="000000"/>
              </a:solidFill>
              <a:latin typeface="Times New Roman" panose="02020603050405020304" pitchFamily="18" charset="0"/>
              <a:cs typeface="Times New Roman" panose="02020603050405020304" pitchFamily="18" charset="0"/>
            </a:rPr>
            <a:t>. The expected impact of the project is a stronger internal audit culture in the public administration, particularly at local level, as well as, a better public financial control framework and environment. </a:t>
          </a:r>
          <a:endParaRPr lang="en-US" sz="800" b="1">
            <a:solidFill>
              <a:sysClr val="windowText" lastClr="000000"/>
            </a:solidFill>
            <a:latin typeface="Times New Roman" panose="02020603050405020304" pitchFamily="18" charset="0"/>
            <a:cs typeface="Times New Roman" panose="02020603050405020304" pitchFamily="18" charset="0"/>
          </a:endParaRPr>
        </a:p>
      </dgm:t>
    </dgm:pt>
    <dgm:pt modelId="{A7995641-64A3-4B04-9D96-84D4E1D4D16E}" type="parTrans" cxnId="{08E4E5B9-F8DD-48AC-8128-D9BE33CFEBD2}">
      <dgm:prSet/>
      <dgm:spPr/>
      <dgm:t>
        <a:bodyPr/>
        <a:lstStyle/>
        <a:p>
          <a:endParaRPr lang="en-US"/>
        </a:p>
      </dgm:t>
    </dgm:pt>
    <dgm:pt modelId="{048CB263-5B50-45F5-A784-A79B46E9FEF3}" type="sibTrans" cxnId="{08E4E5B9-F8DD-48AC-8128-D9BE33CFEBD2}">
      <dgm:prSet/>
      <dgm:spPr/>
      <dgm:t>
        <a:bodyPr/>
        <a:lstStyle/>
        <a:p>
          <a:endParaRPr lang="en-US"/>
        </a:p>
      </dgm:t>
    </dgm:pt>
    <dgm:pt modelId="{A845003F-CD52-4919-88B7-35CA867282A7}">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Creation of objective criteria for the recruitment and promotion of judges in Cyprus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overall objective of the support measures was to (a) bring Cyprus into line with most European countries, most of which already have in place objective criteria for the recruitment and evaluation of judges, (b) enhance the independence and efficiency of judges, and (c) establish meritocracy amongst the judiciary through the development of objective criteria in the recruitment, promotion and evaluation of judges</a:t>
          </a:r>
          <a:r>
            <a:rPr lang="en-GB" sz="900">
              <a:solidFill>
                <a:sysClr val="windowText" lastClr="000000"/>
              </a:solidFill>
            </a:rPr>
            <a:t>.</a:t>
          </a:r>
        </a:p>
        <a:p>
          <a:pPr algn="just"/>
          <a:r>
            <a:rPr lang="en-GB" sz="900" b="0">
              <a:solidFill>
                <a:sysClr val="windowText" lastClr="000000"/>
              </a:solidFill>
              <a:latin typeface="Times New Roman" panose="02020603050405020304" pitchFamily="18" charset="0"/>
              <a:cs typeface="Times New Roman" panose="02020603050405020304" pitchFamily="18" charset="0"/>
            </a:rPr>
            <a:t>The main deliverable was a two-fold report to the Supreme Court of Cyprus with specific </a:t>
          </a:r>
          <a:r>
            <a:rPr lang="en-GB" sz="900" b="1">
              <a:solidFill>
                <a:sysClr val="windowText" lastClr="000000"/>
              </a:solidFill>
              <a:latin typeface="Times New Roman" panose="02020603050405020304" pitchFamily="18" charset="0"/>
              <a:cs typeface="Times New Roman" panose="02020603050405020304" pitchFamily="18" charset="0"/>
            </a:rPr>
            <a:t>recommendations on how to set objective criteria for the recruitment and the evaluation and promotion of judges </a:t>
          </a:r>
          <a:r>
            <a:rPr lang="en-GB" sz="900" b="0">
              <a:solidFill>
                <a:sysClr val="windowText" lastClr="000000"/>
              </a:solidFill>
              <a:latin typeface="Times New Roman" panose="02020603050405020304" pitchFamily="18" charset="0"/>
              <a:cs typeface="Times New Roman" panose="02020603050405020304" pitchFamily="18" charset="0"/>
            </a:rPr>
            <a:t>both based on best practices in Europe and other parts of the world.</a:t>
          </a:r>
        </a:p>
        <a:p>
          <a:pPr algn="just"/>
          <a:r>
            <a:rPr lang="en-GB" sz="900" b="0">
              <a:solidFill>
                <a:sysClr val="windowText" lastClr="000000"/>
              </a:solidFill>
              <a:latin typeface="Times New Roman" panose="02020603050405020304" pitchFamily="18" charset="0"/>
              <a:cs typeface="Times New Roman" panose="02020603050405020304" pitchFamily="18" charset="0"/>
            </a:rPr>
            <a:t>The proposed </a:t>
          </a:r>
          <a:r>
            <a:rPr lang="en-GB" sz="900" b="1">
              <a:solidFill>
                <a:sysClr val="windowText" lastClr="000000"/>
              </a:solidFill>
              <a:latin typeface="Times New Roman" panose="02020603050405020304" pitchFamily="18" charset="0"/>
              <a:cs typeface="Times New Roman" panose="02020603050405020304" pitchFamily="18" charset="0"/>
            </a:rPr>
            <a:t>procedures for the criteria for appointment and promotion of judges were adopted by the Supreme Court of Cyprus </a:t>
          </a:r>
          <a:r>
            <a:rPr lang="en-GB" sz="900" b="0">
              <a:solidFill>
                <a:sysClr val="windowText" lastClr="000000"/>
              </a:solidFill>
              <a:latin typeface="Times New Roman" panose="02020603050405020304" pitchFamily="18" charset="0"/>
              <a:cs typeface="Times New Roman" panose="02020603050405020304" pitchFamily="18" charset="0"/>
            </a:rPr>
            <a:t>and are now in place. It is expected that this will make positive impact on the quality of justice and form a basis for the establishment of meritocracy amongst judges.</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56CEE09F-DAD9-4A7A-BB75-BBCC1AF60AE1}" type="parTrans" cxnId="{7812649E-546E-41CC-A340-AB7C919F4D16}">
      <dgm:prSet/>
      <dgm:spPr/>
      <dgm:t>
        <a:bodyPr/>
        <a:lstStyle/>
        <a:p>
          <a:endParaRPr lang="en-US"/>
        </a:p>
      </dgm:t>
    </dgm:pt>
    <dgm:pt modelId="{3B4D38AD-02A4-4427-82BA-24D96AA4D6DB}" type="sibTrans" cxnId="{7812649E-546E-41CC-A340-AB7C919F4D16}">
      <dgm:prSet/>
      <dgm:spPr/>
      <dgm:t>
        <a:bodyPr/>
        <a:lstStyle/>
        <a:p>
          <a:endParaRPr lang="en-US"/>
        </a:p>
      </dgm:t>
    </dgm:pt>
    <dgm:pt modelId="{699818C4-5A04-4EA6-9FBB-A8D39B44A5F5}">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Strategic human resources management and innovation in the public sector in Ireland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project supported the delivery of the Irish civil and public service modernisation strategy, through a process of deep stakeholder engagement. For the civil service (core administration), the focus was on reviewing the current human resources management system, and preparing to move toward a more strategic HR operating model. </a:t>
          </a:r>
        </a:p>
        <a:p>
          <a:pPr algn="just"/>
          <a:r>
            <a:rPr lang="en-GB" sz="900">
              <a:solidFill>
                <a:sysClr val="windowText" lastClr="000000"/>
              </a:solidFill>
              <a:latin typeface="Times New Roman" panose="02020603050405020304" pitchFamily="18" charset="0"/>
              <a:cs typeface="Times New Roman" panose="02020603050405020304" pitchFamily="18" charset="0"/>
            </a:rPr>
            <a:t>The project engaged stakeholders from several departments (Irish ministries) to discuss and agree on ways and means of service transformation, and to address concerns and impact on roles and people. The outcomes were </a:t>
          </a:r>
          <a:r>
            <a:rPr lang="en-GB" sz="900" b="1">
              <a:solidFill>
                <a:sysClr val="windowText" lastClr="000000"/>
              </a:solidFill>
              <a:latin typeface="Times New Roman" panose="02020603050405020304" pitchFamily="18" charset="0"/>
              <a:cs typeface="Times New Roman" panose="02020603050405020304" pitchFamily="18" charset="0"/>
            </a:rPr>
            <a:t>concrete transition initiatives related to talent management and strategic HR</a:t>
          </a:r>
          <a:r>
            <a:rPr lang="en-GB" sz="900">
              <a:solidFill>
                <a:sysClr val="windowText" lastClr="000000"/>
              </a:solidFill>
              <a:latin typeface="Times New Roman" panose="02020603050405020304" pitchFamily="18" charset="0"/>
              <a:cs typeface="Times New Roman" panose="02020603050405020304" pitchFamily="18" charset="0"/>
            </a:rPr>
            <a:t> (including some centralisation of the HR function). As a next step, the Irish civil service will move toward </a:t>
          </a:r>
          <a:r>
            <a:rPr lang="en-GB" sz="900" b="1">
              <a:solidFill>
                <a:sysClr val="windowText" lastClr="000000"/>
              </a:solidFill>
              <a:latin typeface="Times New Roman" panose="02020603050405020304" pitchFamily="18" charset="0"/>
              <a:cs typeface="Times New Roman" panose="02020603050405020304" pitchFamily="18" charset="0"/>
            </a:rPr>
            <a:t>delivering the transition plan. </a:t>
          </a:r>
        </a:p>
        <a:p>
          <a:pPr algn="just"/>
          <a:r>
            <a:rPr lang="en-GB" sz="900">
              <a:solidFill>
                <a:sysClr val="windowText" lastClr="000000"/>
              </a:solidFill>
              <a:latin typeface="Times New Roman" panose="02020603050405020304" pitchFamily="18" charset="0"/>
              <a:cs typeface="Times New Roman" panose="02020603050405020304" pitchFamily="18" charset="0"/>
            </a:rPr>
            <a:t>On the public service side (including for example education and health), the focus was on how to build a stronger innovation culture. The project benchmarked the innovation maturity of several services, and prepared an </a:t>
          </a:r>
          <a:r>
            <a:rPr lang="en-GB" sz="900" b="1">
              <a:solidFill>
                <a:sysClr val="windowText" lastClr="000000"/>
              </a:solidFill>
              <a:latin typeface="Times New Roman" panose="02020603050405020304" pitchFamily="18" charset="0"/>
              <a:cs typeface="Times New Roman" panose="02020603050405020304" pitchFamily="18" charset="0"/>
            </a:rPr>
            <a:t>improvement plan with twelve recommendations</a:t>
          </a:r>
          <a:r>
            <a:rPr lang="en-GB" sz="900">
              <a:solidFill>
                <a:sysClr val="windowText" lastClr="000000"/>
              </a:solidFill>
              <a:latin typeface="Times New Roman" panose="02020603050405020304" pitchFamily="18" charset="0"/>
              <a:cs typeface="Times New Roman" panose="02020603050405020304" pitchFamily="18" charset="0"/>
            </a:rPr>
            <a:t> linked to: strategy, capabilities, leadership, network and central support, and resources. The relevant authority will now engage to </a:t>
          </a:r>
          <a:r>
            <a:rPr lang="en-GB" sz="900" b="1">
              <a:solidFill>
                <a:sysClr val="windowText" lastClr="000000"/>
              </a:solidFill>
              <a:latin typeface="Times New Roman" panose="02020603050405020304" pitchFamily="18" charset="0"/>
              <a:cs typeface="Times New Roman" panose="02020603050405020304" pitchFamily="18" charset="0"/>
            </a:rPr>
            <a:t>deliver an innovation transformation roadmap</a:t>
          </a:r>
          <a:r>
            <a:rPr lang="en-GB" sz="900">
              <a:solidFill>
                <a:sysClr val="windowText" lastClr="000000"/>
              </a:solidFill>
              <a:latin typeface="Times New Roman" panose="02020603050405020304" pitchFamily="18" charset="0"/>
              <a:cs typeface="Times New Roman" panose="02020603050405020304" pitchFamily="18" charset="0"/>
            </a:rPr>
            <a:t>, which the project had prepared.</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AA905F5-3C39-43C0-ADBD-3826AC0A1997}" type="parTrans" cxnId="{7CD05BC1-F83F-412C-BC55-3DE2C00230CE}">
      <dgm:prSet/>
      <dgm:spPr/>
      <dgm:t>
        <a:bodyPr/>
        <a:lstStyle/>
        <a:p>
          <a:endParaRPr lang="en-US"/>
        </a:p>
      </dgm:t>
    </dgm:pt>
    <dgm:pt modelId="{9D072AEE-E55B-4394-96C6-046F227E57CA}" type="sibTrans" cxnId="{7CD05BC1-F83F-412C-BC55-3DE2C00230CE}">
      <dgm:prSet/>
      <dgm:spPr/>
      <dgm:t>
        <a:bodyPr/>
        <a:lstStyle/>
        <a:p>
          <a:endParaRPr lang="en-US"/>
        </a:p>
      </dgm:t>
    </dgm:pt>
    <dgm:pt modelId="{6A91017B-01FC-49D9-9873-44B1F0381F4D}" type="pres">
      <dgm:prSet presAssocID="{D3D802EA-E4DC-481B-832B-C94F0FE5F541}" presName="linear" presStyleCnt="0">
        <dgm:presLayoutVars>
          <dgm:dir/>
          <dgm:resizeHandles val="exact"/>
        </dgm:presLayoutVars>
      </dgm:prSet>
      <dgm:spPr/>
      <dgm:t>
        <a:bodyPr/>
        <a:lstStyle/>
        <a:p>
          <a:endParaRPr lang="en-US"/>
        </a:p>
      </dgm:t>
    </dgm:pt>
    <dgm:pt modelId="{A4FE941E-F1BC-49CE-9F7A-5DD7DB33996B}" type="pres">
      <dgm:prSet presAssocID="{D1AFAC9A-99C9-45A9-A870-5C9694355A22}" presName="comp" presStyleCnt="0"/>
      <dgm:spPr/>
    </dgm:pt>
    <dgm:pt modelId="{E9174D94-5912-4A8D-ABC2-86DA0246994C}" type="pres">
      <dgm:prSet presAssocID="{D1AFAC9A-99C9-45A9-A870-5C9694355A22}" presName="box" presStyleLbl="node1" presStyleIdx="0" presStyleCnt="3"/>
      <dgm:spPr/>
      <dgm:t>
        <a:bodyPr/>
        <a:lstStyle/>
        <a:p>
          <a:endParaRPr lang="en-US"/>
        </a:p>
      </dgm:t>
    </dgm:pt>
    <dgm:pt modelId="{8859263C-DC5A-47C0-9736-94028708D689}" type="pres">
      <dgm:prSet presAssocID="{D1AFAC9A-99C9-45A9-A870-5C9694355A22}" presName="img" presStyleLbl="fgImgPlace1" presStyleIdx="0" presStyleCnt="3" custScaleX="112770" custLinFactNeighborX="-7832" custLinFactNeighborY="1120"/>
      <dgm:spPr>
        <a:blipFill>
          <a:blip xmlns:r="http://schemas.openxmlformats.org/officeDocument/2006/relationships" r:embed="rId1">
            <a:extLst>
              <a:ext uri="{28A0092B-C50C-407E-A947-70E740481C1C}">
                <a14:useLocalDpi xmlns:a14="http://schemas.microsoft.com/office/drawing/2010/main" val="0"/>
              </a:ext>
            </a:extLst>
          </a:blip>
          <a:srcRect/>
          <a:stretch>
            <a:fillRect l="-45000" r="-45000"/>
          </a:stretch>
        </a:blipFill>
      </dgm:spPr>
      <dgm:t>
        <a:bodyPr/>
        <a:lstStyle/>
        <a:p>
          <a:endParaRPr lang="en-GB"/>
        </a:p>
      </dgm:t>
    </dgm:pt>
    <dgm:pt modelId="{9DA1B2CA-1A1B-48E2-AC5C-968D567B42A4}" type="pres">
      <dgm:prSet presAssocID="{D1AFAC9A-99C9-45A9-A870-5C9694355A22}" presName="text" presStyleLbl="node1" presStyleIdx="0" presStyleCnt="3">
        <dgm:presLayoutVars>
          <dgm:bulletEnabled val="1"/>
        </dgm:presLayoutVars>
      </dgm:prSet>
      <dgm:spPr/>
      <dgm:t>
        <a:bodyPr/>
        <a:lstStyle/>
        <a:p>
          <a:endParaRPr lang="en-US"/>
        </a:p>
      </dgm:t>
    </dgm:pt>
    <dgm:pt modelId="{3C3D48D1-7A97-48CF-839C-AF763AFECC12}" type="pres">
      <dgm:prSet presAssocID="{048CB263-5B50-45F5-A784-A79B46E9FEF3}" presName="spacer" presStyleCnt="0"/>
      <dgm:spPr/>
    </dgm:pt>
    <dgm:pt modelId="{A0AA8D95-41E8-4F45-BE9A-EC28F99EB166}" type="pres">
      <dgm:prSet presAssocID="{A845003F-CD52-4919-88B7-35CA867282A7}" presName="comp" presStyleCnt="0"/>
      <dgm:spPr/>
    </dgm:pt>
    <dgm:pt modelId="{4AF059EE-D9BA-4391-972C-DFFA8500EE44}" type="pres">
      <dgm:prSet presAssocID="{A845003F-CD52-4919-88B7-35CA867282A7}" presName="box" presStyleLbl="node1" presStyleIdx="1" presStyleCnt="3"/>
      <dgm:spPr/>
      <dgm:t>
        <a:bodyPr/>
        <a:lstStyle/>
        <a:p>
          <a:endParaRPr lang="en-US"/>
        </a:p>
      </dgm:t>
    </dgm:pt>
    <dgm:pt modelId="{87A84380-8CDD-4E93-A5AA-C07765DCDBDD}" type="pres">
      <dgm:prSet presAssocID="{A845003F-CD52-4919-88B7-35CA867282A7}" presName="img" presStyleLbl="fgImgPlace1" presStyleIdx="1" presStyleCnt="3" custScaleX="111031" custLinFactNeighborX="-8702" custLinFactNeighborY="1680"/>
      <dgm:spPr>
        <a:blipFill>
          <a:blip xmlns:r="http://schemas.openxmlformats.org/officeDocument/2006/relationships" r:embed="rId2">
            <a:extLst>
              <a:ext uri="{28A0092B-C50C-407E-A947-70E740481C1C}">
                <a14:useLocalDpi xmlns:a14="http://schemas.microsoft.com/office/drawing/2010/main" val="0"/>
              </a:ext>
            </a:extLst>
          </a:blip>
          <a:srcRect/>
          <a:stretch>
            <a:fillRect l="-77000" r="-77000"/>
          </a:stretch>
        </a:blipFill>
      </dgm:spPr>
      <dgm:t>
        <a:bodyPr/>
        <a:lstStyle/>
        <a:p>
          <a:endParaRPr lang="en-GB"/>
        </a:p>
      </dgm:t>
    </dgm:pt>
    <dgm:pt modelId="{3D4C6850-17D9-40BF-91DE-11FE24F94EBB}" type="pres">
      <dgm:prSet presAssocID="{A845003F-CD52-4919-88B7-35CA867282A7}" presName="text" presStyleLbl="node1" presStyleIdx="1" presStyleCnt="3">
        <dgm:presLayoutVars>
          <dgm:bulletEnabled val="1"/>
        </dgm:presLayoutVars>
      </dgm:prSet>
      <dgm:spPr/>
      <dgm:t>
        <a:bodyPr/>
        <a:lstStyle/>
        <a:p>
          <a:endParaRPr lang="en-US"/>
        </a:p>
      </dgm:t>
    </dgm:pt>
    <dgm:pt modelId="{8180C784-30BE-4CBB-B586-B315E7CBAB4E}" type="pres">
      <dgm:prSet presAssocID="{3B4D38AD-02A4-4427-82BA-24D96AA4D6DB}" presName="spacer" presStyleCnt="0"/>
      <dgm:spPr/>
    </dgm:pt>
    <dgm:pt modelId="{E73212C8-C50A-44AC-8858-EC733E7AE9E1}" type="pres">
      <dgm:prSet presAssocID="{699818C4-5A04-4EA6-9FBB-A8D39B44A5F5}" presName="comp" presStyleCnt="0"/>
      <dgm:spPr/>
    </dgm:pt>
    <dgm:pt modelId="{0660046B-068D-4658-94DA-0BA86C1CCA65}" type="pres">
      <dgm:prSet presAssocID="{699818C4-5A04-4EA6-9FBB-A8D39B44A5F5}" presName="box" presStyleLbl="node1" presStyleIdx="2" presStyleCnt="3"/>
      <dgm:spPr/>
      <dgm:t>
        <a:bodyPr/>
        <a:lstStyle/>
        <a:p>
          <a:endParaRPr lang="en-US"/>
        </a:p>
      </dgm:t>
    </dgm:pt>
    <dgm:pt modelId="{782D63B9-C4B7-4CC1-80AD-5B97CF66ED78}" type="pres">
      <dgm:prSet presAssocID="{699818C4-5A04-4EA6-9FBB-A8D39B44A5F5}"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88000" r="-88000"/>
          </a:stretch>
        </a:blipFill>
      </dgm:spPr>
      <dgm:t>
        <a:bodyPr/>
        <a:lstStyle/>
        <a:p>
          <a:endParaRPr lang="en-GB"/>
        </a:p>
      </dgm:t>
    </dgm:pt>
    <dgm:pt modelId="{74D63CDC-2CCF-4D53-B8D6-86CA896399B4}" type="pres">
      <dgm:prSet presAssocID="{699818C4-5A04-4EA6-9FBB-A8D39B44A5F5}" presName="text" presStyleLbl="node1" presStyleIdx="2" presStyleCnt="3">
        <dgm:presLayoutVars>
          <dgm:bulletEnabled val="1"/>
        </dgm:presLayoutVars>
      </dgm:prSet>
      <dgm:spPr/>
      <dgm:t>
        <a:bodyPr/>
        <a:lstStyle/>
        <a:p>
          <a:endParaRPr lang="en-US"/>
        </a:p>
      </dgm:t>
    </dgm:pt>
  </dgm:ptLst>
  <dgm:cxnLst>
    <dgm:cxn modelId="{8650CC6E-A995-49E4-B158-8FF71C13D7A2}" type="presOf" srcId="{A845003F-CD52-4919-88B7-35CA867282A7}" destId="{4AF059EE-D9BA-4391-972C-DFFA8500EE44}" srcOrd="0" destOrd="0" presId="urn:microsoft.com/office/officeart/2005/8/layout/vList4"/>
    <dgm:cxn modelId="{7E6E177C-F22A-4033-84EC-133F0B4AC415}" type="presOf" srcId="{A845003F-CD52-4919-88B7-35CA867282A7}" destId="{3D4C6850-17D9-40BF-91DE-11FE24F94EBB}" srcOrd="1" destOrd="0" presId="urn:microsoft.com/office/officeart/2005/8/layout/vList4"/>
    <dgm:cxn modelId="{7812649E-546E-41CC-A340-AB7C919F4D16}" srcId="{D3D802EA-E4DC-481B-832B-C94F0FE5F541}" destId="{A845003F-CD52-4919-88B7-35CA867282A7}" srcOrd="1" destOrd="0" parTransId="{56CEE09F-DAD9-4A7A-BB75-BBCC1AF60AE1}" sibTransId="{3B4D38AD-02A4-4427-82BA-24D96AA4D6DB}"/>
    <dgm:cxn modelId="{BC875A00-F308-4E44-9559-A1F283CE20AD}" type="presOf" srcId="{699818C4-5A04-4EA6-9FBB-A8D39B44A5F5}" destId="{74D63CDC-2CCF-4D53-B8D6-86CA896399B4}" srcOrd="1" destOrd="0" presId="urn:microsoft.com/office/officeart/2005/8/layout/vList4"/>
    <dgm:cxn modelId="{6F01DC99-48EE-4170-B78E-E16F30413854}" type="presOf" srcId="{D1AFAC9A-99C9-45A9-A870-5C9694355A22}" destId="{9DA1B2CA-1A1B-48E2-AC5C-968D567B42A4}" srcOrd="1" destOrd="0" presId="urn:microsoft.com/office/officeart/2005/8/layout/vList4"/>
    <dgm:cxn modelId="{05D7154B-D29C-4150-B754-684B2AAB9573}" type="presOf" srcId="{D3D802EA-E4DC-481B-832B-C94F0FE5F541}" destId="{6A91017B-01FC-49D9-9873-44B1F0381F4D}" srcOrd="0" destOrd="0" presId="urn:microsoft.com/office/officeart/2005/8/layout/vList4"/>
    <dgm:cxn modelId="{7CD05BC1-F83F-412C-BC55-3DE2C00230CE}" srcId="{D3D802EA-E4DC-481B-832B-C94F0FE5F541}" destId="{699818C4-5A04-4EA6-9FBB-A8D39B44A5F5}" srcOrd="2" destOrd="0" parTransId="{2AA905F5-3C39-43C0-ADBD-3826AC0A1997}" sibTransId="{9D072AEE-E55B-4394-96C6-046F227E57CA}"/>
    <dgm:cxn modelId="{1AF03609-8E40-40EE-ADF6-C0987D91AE13}" type="presOf" srcId="{699818C4-5A04-4EA6-9FBB-A8D39B44A5F5}" destId="{0660046B-068D-4658-94DA-0BA86C1CCA65}" srcOrd="0" destOrd="0" presId="urn:microsoft.com/office/officeart/2005/8/layout/vList4"/>
    <dgm:cxn modelId="{A4293E97-461B-4702-A2D5-0376F31D735D}" type="presOf" srcId="{D1AFAC9A-99C9-45A9-A870-5C9694355A22}" destId="{E9174D94-5912-4A8D-ABC2-86DA0246994C}" srcOrd="0" destOrd="0" presId="urn:microsoft.com/office/officeart/2005/8/layout/vList4"/>
    <dgm:cxn modelId="{08E4E5B9-F8DD-48AC-8128-D9BE33CFEBD2}" srcId="{D3D802EA-E4DC-481B-832B-C94F0FE5F541}" destId="{D1AFAC9A-99C9-45A9-A870-5C9694355A22}" srcOrd="0" destOrd="0" parTransId="{A7995641-64A3-4B04-9D96-84D4E1D4D16E}" sibTransId="{048CB263-5B50-45F5-A784-A79B46E9FEF3}"/>
    <dgm:cxn modelId="{09761797-DC1D-4A3D-84D8-2E539B161221}" type="presParOf" srcId="{6A91017B-01FC-49D9-9873-44B1F0381F4D}" destId="{A4FE941E-F1BC-49CE-9F7A-5DD7DB33996B}" srcOrd="0" destOrd="0" presId="urn:microsoft.com/office/officeart/2005/8/layout/vList4"/>
    <dgm:cxn modelId="{3FD7A821-2D34-424B-9C6F-C9A5882C5CB0}" type="presParOf" srcId="{A4FE941E-F1BC-49CE-9F7A-5DD7DB33996B}" destId="{E9174D94-5912-4A8D-ABC2-86DA0246994C}" srcOrd="0" destOrd="0" presId="urn:microsoft.com/office/officeart/2005/8/layout/vList4"/>
    <dgm:cxn modelId="{3900EFC0-FFCD-494A-B00D-7A2B348CB824}" type="presParOf" srcId="{A4FE941E-F1BC-49CE-9F7A-5DD7DB33996B}" destId="{8859263C-DC5A-47C0-9736-94028708D689}" srcOrd="1" destOrd="0" presId="urn:microsoft.com/office/officeart/2005/8/layout/vList4"/>
    <dgm:cxn modelId="{D8805E5B-6988-4645-BDF0-89AA5BA1B9A2}" type="presParOf" srcId="{A4FE941E-F1BC-49CE-9F7A-5DD7DB33996B}" destId="{9DA1B2CA-1A1B-48E2-AC5C-968D567B42A4}" srcOrd="2" destOrd="0" presId="urn:microsoft.com/office/officeart/2005/8/layout/vList4"/>
    <dgm:cxn modelId="{FE629E7A-998E-4DE7-9C9D-896B717A249B}" type="presParOf" srcId="{6A91017B-01FC-49D9-9873-44B1F0381F4D}" destId="{3C3D48D1-7A97-48CF-839C-AF763AFECC12}" srcOrd="1" destOrd="0" presId="urn:microsoft.com/office/officeart/2005/8/layout/vList4"/>
    <dgm:cxn modelId="{6C46F93C-3392-4ABA-AF34-3B975EE51B93}" type="presParOf" srcId="{6A91017B-01FC-49D9-9873-44B1F0381F4D}" destId="{A0AA8D95-41E8-4F45-BE9A-EC28F99EB166}" srcOrd="2" destOrd="0" presId="urn:microsoft.com/office/officeart/2005/8/layout/vList4"/>
    <dgm:cxn modelId="{6FAB1AF8-FC70-477E-AF77-AA1200CBED83}" type="presParOf" srcId="{A0AA8D95-41E8-4F45-BE9A-EC28F99EB166}" destId="{4AF059EE-D9BA-4391-972C-DFFA8500EE44}" srcOrd="0" destOrd="0" presId="urn:microsoft.com/office/officeart/2005/8/layout/vList4"/>
    <dgm:cxn modelId="{CC6B0562-FD1B-4EEB-B589-63BAF1C3C3CF}" type="presParOf" srcId="{A0AA8D95-41E8-4F45-BE9A-EC28F99EB166}" destId="{87A84380-8CDD-4E93-A5AA-C07765DCDBDD}" srcOrd="1" destOrd="0" presId="urn:microsoft.com/office/officeart/2005/8/layout/vList4"/>
    <dgm:cxn modelId="{3E28DF77-15AF-4D70-B5EC-18F087BB52DB}" type="presParOf" srcId="{A0AA8D95-41E8-4F45-BE9A-EC28F99EB166}" destId="{3D4C6850-17D9-40BF-91DE-11FE24F94EBB}" srcOrd="2" destOrd="0" presId="urn:microsoft.com/office/officeart/2005/8/layout/vList4"/>
    <dgm:cxn modelId="{A51E2588-EBD8-4899-939B-07F3388AC8D3}" type="presParOf" srcId="{6A91017B-01FC-49D9-9873-44B1F0381F4D}" destId="{8180C784-30BE-4CBB-B586-B315E7CBAB4E}" srcOrd="3" destOrd="0" presId="urn:microsoft.com/office/officeart/2005/8/layout/vList4"/>
    <dgm:cxn modelId="{89258E13-BE3C-4059-9144-364D25A5BBD7}" type="presParOf" srcId="{6A91017B-01FC-49D9-9873-44B1F0381F4D}" destId="{E73212C8-C50A-44AC-8858-EC733E7AE9E1}" srcOrd="4" destOrd="0" presId="urn:microsoft.com/office/officeart/2005/8/layout/vList4"/>
    <dgm:cxn modelId="{766BD921-B80B-4E8F-B2F2-41C3313644C1}" type="presParOf" srcId="{E73212C8-C50A-44AC-8858-EC733E7AE9E1}" destId="{0660046B-068D-4658-94DA-0BA86C1CCA65}" srcOrd="0" destOrd="0" presId="urn:microsoft.com/office/officeart/2005/8/layout/vList4"/>
    <dgm:cxn modelId="{A35698A4-8A24-45BC-BC3A-46EE6D009F9B}" type="presParOf" srcId="{E73212C8-C50A-44AC-8858-EC733E7AE9E1}" destId="{782D63B9-C4B7-4CC1-80AD-5B97CF66ED78}" srcOrd="1" destOrd="0" presId="urn:microsoft.com/office/officeart/2005/8/layout/vList4"/>
    <dgm:cxn modelId="{E5F4FBC9-91D7-4DFA-A26B-4A0F051128E1}" type="presParOf" srcId="{E73212C8-C50A-44AC-8858-EC733E7AE9E1}" destId="{74D63CDC-2CCF-4D53-B8D6-86CA896399B4}" srcOrd="2" destOrd="0" presId="urn:microsoft.com/office/officeart/2005/8/layout/vList4"/>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3D802EA-E4DC-481B-832B-C94F0FE5F541}" type="doc">
      <dgm:prSet loTypeId="urn:microsoft.com/office/officeart/2005/8/layout/vList4" loCatId="list" qsTypeId="urn:microsoft.com/office/officeart/2005/8/quickstyle/simple1" qsCatId="simple" csTypeId="urn:microsoft.com/office/officeart/2005/8/colors/accent4_3" csCatId="accent4" phldr="1"/>
      <dgm:spPr/>
      <dgm:t>
        <a:bodyPr/>
        <a:lstStyle/>
        <a:p>
          <a:endParaRPr lang="en-US"/>
        </a:p>
      </dgm:t>
    </dgm:pt>
    <dgm:pt modelId="{D1AFAC9A-99C9-45A9-A870-5C9694355A22}">
      <dgm:prSet phldrT="[Text]" custT="1"/>
      <dgm:spPr>
        <a:solidFill>
          <a:schemeClr val="bg1">
            <a:lumMod val="85000"/>
          </a:schemeClr>
        </a:solidFill>
      </dgm:spPr>
      <dgm:t>
        <a:bodyPr/>
        <a:lstStyle/>
        <a:p>
          <a:pPr algn="l">
            <a:lnSpc>
              <a:spcPct val="90000"/>
            </a:lnSpc>
            <a:spcAft>
              <a:spcPct val="35000"/>
            </a:spcAft>
          </a:pPr>
          <a:r>
            <a:rPr lang="en-US" sz="1200" b="1">
              <a:solidFill>
                <a:sysClr val="windowText" lastClr="000000"/>
              </a:solidFill>
              <a:latin typeface="Times New Roman" panose="02020603050405020304" pitchFamily="18" charset="0"/>
              <a:cs typeface="Times New Roman" panose="02020603050405020304" pitchFamily="18" charset="0"/>
            </a:rPr>
            <a:t>Tools to assist SMEs in Bulgaria with regulatory compliance (SRSP 2017)</a:t>
          </a:r>
        </a:p>
        <a:p>
          <a:pPr algn="just">
            <a:lnSpc>
              <a:spcPct val="90000"/>
            </a:lnSpc>
            <a:spcAft>
              <a:spcPct val="35000"/>
            </a:spcAft>
          </a:pPr>
          <a:r>
            <a:rPr lang="en-US" sz="900">
              <a:solidFill>
                <a:sysClr val="windowText" lastClr="000000"/>
              </a:solidFill>
              <a:latin typeface="Times New Roman" panose="02020603050405020304" pitchFamily="18" charset="0"/>
              <a:cs typeface="Times New Roman" panose="02020603050405020304" pitchFamily="18" charset="0"/>
            </a:rPr>
            <a:t>The objective of the support measures was to support the Ministry of Economy to develop web-based, user-friendly tools for small-and-medium-sized enterprises (SMEs) and to help them to better understand and comply with the regulatory framework. </a:t>
          </a:r>
        </a:p>
        <a:p>
          <a:pPr algn="just">
            <a:lnSpc>
              <a:spcPct val="90000"/>
            </a:lnSpc>
            <a:spcAft>
              <a:spcPct val="35000"/>
            </a:spcAft>
          </a:pPr>
          <a:r>
            <a:rPr lang="en-US" sz="900">
              <a:solidFill>
                <a:sysClr val="windowText" lastClr="000000"/>
              </a:solidFill>
              <a:latin typeface="Times New Roman" panose="02020603050405020304" pitchFamily="18" charset="0"/>
              <a:cs typeface="Times New Roman" panose="02020603050405020304" pitchFamily="18" charset="0"/>
            </a:rPr>
            <a:t>The support consisted of (i) identifying the most complex and common regulations affecting businesses in their interaction with the administration (surveys, interviews and consultations); and (ii) developing simple, business-friendly web-based descriptions of the 120 most complex and common regulations. </a:t>
          </a:r>
        </a:p>
        <a:p>
          <a:pPr algn="just">
            <a:lnSpc>
              <a:spcPct val="100000"/>
            </a:lnSpc>
            <a:spcAft>
              <a:spcPts val="0"/>
            </a:spcAft>
          </a:pPr>
          <a:r>
            <a:rPr lang="en-US" sz="900">
              <a:solidFill>
                <a:sysClr val="windowText" lastClr="000000"/>
              </a:solidFill>
              <a:latin typeface="Times New Roman" panose="02020603050405020304" pitchFamily="18" charset="0"/>
              <a:cs typeface="Times New Roman" panose="02020603050405020304" pitchFamily="18" charset="0"/>
            </a:rPr>
            <a:t>The new </a:t>
          </a:r>
          <a:r>
            <a:rPr lang="en-US" sz="900" b="1">
              <a:solidFill>
                <a:sysClr val="windowText" lastClr="000000"/>
              </a:solidFill>
              <a:latin typeface="Times New Roman" panose="02020603050405020304" pitchFamily="18" charset="0"/>
              <a:cs typeface="Times New Roman" panose="02020603050405020304" pitchFamily="18" charset="0"/>
            </a:rPr>
            <a:t>tool is available on the Ministry’s website </a:t>
          </a:r>
          <a:r>
            <a:rPr lang="en-US" sz="900">
              <a:solidFill>
                <a:sysClr val="windowText" lastClr="000000"/>
              </a:solidFill>
              <a:latin typeface="Times New Roman" panose="02020603050405020304" pitchFamily="18" charset="0"/>
              <a:cs typeface="Times New Roman" panose="02020603050405020304" pitchFamily="18" charset="0"/>
            </a:rPr>
            <a:t>and </a:t>
          </a:r>
          <a:r>
            <a:rPr lang="en-US" sz="900" b="1">
              <a:solidFill>
                <a:sysClr val="windowText" lastClr="000000"/>
              </a:solidFill>
              <a:latin typeface="Times New Roman" panose="02020603050405020304" pitchFamily="18" charset="0"/>
              <a:cs typeface="Times New Roman" panose="02020603050405020304" pitchFamily="18" charset="0"/>
            </a:rPr>
            <a:t>more than 7,000 users accessed </a:t>
          </a:r>
          <a:r>
            <a:rPr lang="en-US" sz="900">
              <a:solidFill>
                <a:sysClr val="windowText" lastClr="000000"/>
              </a:solidFill>
              <a:latin typeface="Times New Roman" panose="02020603050405020304" pitchFamily="18" charset="0"/>
              <a:cs typeface="Times New Roman" panose="02020603050405020304" pitchFamily="18" charset="0"/>
            </a:rPr>
            <a:t>the simplified guidance in the first months after its publication</a:t>
          </a:r>
          <a:r>
            <a:rPr lang="en-US" sz="1200">
              <a:solidFill>
                <a:sysClr val="windowText" lastClr="000000"/>
              </a:solidFill>
              <a:latin typeface="Times New Roman" panose="02020603050405020304" pitchFamily="18" charset="0"/>
              <a:cs typeface="Times New Roman" panose="02020603050405020304" pitchFamily="18" charset="0"/>
            </a:rPr>
            <a:t>. </a:t>
          </a:r>
          <a:r>
            <a:rPr lang="en-GB" sz="900">
              <a:solidFill>
                <a:sysClr val="windowText" lastClr="000000"/>
              </a:solidFill>
              <a:latin typeface="Times New Roman" panose="02020603050405020304" pitchFamily="18" charset="0"/>
              <a:cs typeface="Times New Roman" panose="02020603050405020304" pitchFamily="18" charset="0"/>
            </a:rPr>
            <a:t> </a:t>
          </a:r>
          <a:endParaRPr lang="en-US" sz="800" b="1">
            <a:solidFill>
              <a:sysClr val="windowText" lastClr="000000"/>
            </a:solidFill>
            <a:latin typeface="Times New Roman" panose="02020603050405020304" pitchFamily="18" charset="0"/>
            <a:cs typeface="Times New Roman" panose="02020603050405020304" pitchFamily="18" charset="0"/>
          </a:endParaRPr>
        </a:p>
      </dgm:t>
    </dgm:pt>
    <dgm:pt modelId="{A7995641-64A3-4B04-9D96-84D4E1D4D16E}" type="parTrans" cxnId="{08E4E5B9-F8DD-48AC-8128-D9BE33CFEBD2}">
      <dgm:prSet/>
      <dgm:spPr/>
      <dgm:t>
        <a:bodyPr/>
        <a:lstStyle/>
        <a:p>
          <a:endParaRPr lang="en-US"/>
        </a:p>
      </dgm:t>
    </dgm:pt>
    <dgm:pt modelId="{048CB263-5B50-45F5-A784-A79B46E9FEF3}" type="sibTrans" cxnId="{08E4E5B9-F8DD-48AC-8128-D9BE33CFEBD2}">
      <dgm:prSet/>
      <dgm:spPr/>
      <dgm:t>
        <a:bodyPr/>
        <a:lstStyle/>
        <a:p>
          <a:endParaRPr lang="en-US"/>
        </a:p>
      </dgm:t>
    </dgm:pt>
    <dgm:pt modelId="{A845003F-CD52-4919-88B7-35CA867282A7}">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Improving inland navigation and traffic conditions in the Antwerp port area in Belgium (SRSP 2018)</a:t>
          </a:r>
        </a:p>
        <a:p>
          <a:pPr algn="just"/>
          <a:r>
            <a:rPr lang="en-US" sz="900">
              <a:solidFill>
                <a:sysClr val="windowText" lastClr="000000"/>
              </a:solidFill>
              <a:latin typeface="Times New Roman" panose="02020603050405020304" pitchFamily="18" charset="0"/>
              <a:cs typeface="Times New Roman" panose="02020603050405020304" pitchFamily="18" charset="0"/>
            </a:rPr>
            <a:t>The objective of the project was to support the Port of Antwerp to reduce road congestion and improve the navigation and coordination of vessels in the port area </a:t>
          </a:r>
          <a:r>
            <a:rPr lang="en-GB" sz="900">
              <a:solidFill>
                <a:sysClr val="windowText" lastClr="000000"/>
              </a:solidFill>
              <a:latin typeface="Times New Roman" panose="02020603050405020304" pitchFamily="18" charset="0"/>
              <a:cs typeface="Times New Roman" panose="02020603050405020304" pitchFamily="18" charset="0"/>
            </a:rPr>
            <a:t>by (i</a:t>
          </a:r>
          <a:r>
            <a:rPr lang="en-GB" sz="900" b="1">
              <a:solidFill>
                <a:sysClr val="windowText" lastClr="000000"/>
              </a:solidFill>
              <a:latin typeface="Times New Roman" panose="02020603050405020304" pitchFamily="18" charset="0"/>
              <a:cs typeface="Times New Roman" panose="02020603050405020304" pitchFamily="18" charset="0"/>
            </a:rPr>
            <a:t>) investigating the concept of “inland nodes”</a:t>
          </a:r>
          <a:r>
            <a:rPr lang="en-GB" sz="900">
              <a:solidFill>
                <a:sysClr val="windowText" lastClr="000000"/>
              </a:solidFill>
              <a:latin typeface="Times New Roman" panose="02020603050405020304" pitchFamily="18" charset="0"/>
              <a:cs typeface="Times New Roman" panose="02020603050405020304" pitchFamily="18" charset="0"/>
            </a:rPr>
            <a:t>, with a study on bundling volumes at consolidation points and providing regular services towards the port’s terminals; and (ii) </a:t>
          </a:r>
          <a:r>
            <a:rPr lang="en-GB" sz="900" b="1">
              <a:solidFill>
                <a:sysClr val="windowText" lastClr="000000"/>
              </a:solidFill>
              <a:latin typeface="Times New Roman" panose="02020603050405020304" pitchFamily="18" charset="0"/>
              <a:cs typeface="Times New Roman" panose="02020603050405020304" pitchFamily="18" charset="0"/>
            </a:rPr>
            <a:t>analysing four potential approaches and developing a business case for improved coordination of inland navigation</a:t>
          </a:r>
          <a:r>
            <a:rPr lang="en-GB" sz="900">
              <a:solidFill>
                <a:sysClr val="windowText" lastClr="000000"/>
              </a:solidFill>
              <a:latin typeface="Times New Roman" panose="02020603050405020304" pitchFamily="18" charset="0"/>
              <a:cs typeface="Times New Roman" panose="02020603050405020304" pitchFamily="18" charset="0"/>
            </a:rPr>
            <a:t>, together with its system requirements. The </a:t>
          </a:r>
          <a:r>
            <a:rPr lang="en-GB" sz="900" b="1">
              <a:solidFill>
                <a:sysClr val="windowText" lastClr="000000"/>
              </a:solidFill>
              <a:latin typeface="Times New Roman" panose="02020603050405020304" pitchFamily="18" charset="0"/>
              <a:cs typeface="Times New Roman" panose="02020603050405020304" pitchFamily="18" charset="0"/>
            </a:rPr>
            <a:t>Port Authority endorsed the business cases and technical solutions developed</a:t>
          </a:r>
          <a:r>
            <a:rPr lang="en-GB" sz="900">
              <a:solidFill>
                <a:sysClr val="windowText" lastClr="000000"/>
              </a:solidFill>
              <a:latin typeface="Times New Roman" panose="02020603050405020304" pitchFamily="18" charset="0"/>
              <a:cs typeface="Times New Roman" panose="02020603050405020304" pitchFamily="18" charset="0"/>
            </a:rPr>
            <a:t>.</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56CEE09F-DAD9-4A7A-BB75-BBCC1AF60AE1}" type="parTrans" cxnId="{7812649E-546E-41CC-A340-AB7C919F4D16}">
      <dgm:prSet/>
      <dgm:spPr/>
      <dgm:t>
        <a:bodyPr/>
        <a:lstStyle/>
        <a:p>
          <a:endParaRPr lang="en-US"/>
        </a:p>
      </dgm:t>
    </dgm:pt>
    <dgm:pt modelId="{3B4D38AD-02A4-4427-82BA-24D96AA4D6DB}" type="sibTrans" cxnId="{7812649E-546E-41CC-A340-AB7C919F4D16}">
      <dgm:prSet/>
      <dgm:spPr/>
      <dgm:t>
        <a:bodyPr/>
        <a:lstStyle/>
        <a:p>
          <a:endParaRPr lang="en-US"/>
        </a:p>
      </dgm:t>
    </dgm:pt>
    <dgm:pt modelId="{699818C4-5A04-4EA6-9FBB-A8D39B44A5F5}">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Water sector reform in Romania (SRSP 2017)</a:t>
          </a:r>
        </a:p>
        <a:p>
          <a:pPr algn="just"/>
          <a:r>
            <a:rPr lang="en-GB" sz="900">
              <a:solidFill>
                <a:sysClr val="windowText" lastClr="000000"/>
              </a:solidFill>
              <a:latin typeface="Times New Roman" panose="02020603050405020304" pitchFamily="18" charset="0"/>
              <a:cs typeface="Times New Roman" panose="02020603050405020304" pitchFamily="18" charset="0"/>
            </a:rPr>
            <a:t>The objective of the project was to support the development of economic and environmental regulation in the water sector in Romania by: (i) developing a comprehensive information framework for the national water regulator, which was piloted on three regional water companies and (ii) providing a series of workshops and trainings for water industry stakeholders. </a:t>
          </a:r>
        </a:p>
        <a:p>
          <a:pPr algn="just"/>
          <a:r>
            <a:rPr lang="en-GB" sz="900">
              <a:solidFill>
                <a:sysClr val="windowText" lastClr="000000"/>
              </a:solidFill>
              <a:latin typeface="Times New Roman" panose="02020603050405020304" pitchFamily="18" charset="0"/>
              <a:cs typeface="Times New Roman" panose="02020603050405020304" pitchFamily="18" charset="0"/>
            </a:rPr>
            <a:t>The project created a structure that would </a:t>
          </a:r>
          <a:r>
            <a:rPr lang="en-GB" sz="900" b="1">
              <a:solidFill>
                <a:sysClr val="windowText" lastClr="000000"/>
              </a:solidFill>
              <a:latin typeface="Times New Roman" panose="02020603050405020304" pitchFamily="18" charset="0"/>
              <a:cs typeface="Times New Roman" panose="02020603050405020304" pitchFamily="18" charset="0"/>
            </a:rPr>
            <a:t>enable roll-out of information framework to water companies across Romania </a:t>
          </a:r>
          <a:r>
            <a:rPr lang="en-GB" sz="900">
              <a:solidFill>
                <a:sysClr val="windowText" lastClr="000000"/>
              </a:solidFill>
              <a:latin typeface="Times New Roman" panose="02020603050405020304" pitchFamily="18" charset="0"/>
              <a:cs typeface="Times New Roman" panose="02020603050405020304" pitchFamily="18" charset="0"/>
            </a:rPr>
            <a:t>and incentivise improvements to their operational performance.</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AA905F5-3C39-43C0-ADBD-3826AC0A1997}" type="parTrans" cxnId="{7CD05BC1-F83F-412C-BC55-3DE2C00230CE}">
      <dgm:prSet/>
      <dgm:spPr/>
      <dgm:t>
        <a:bodyPr/>
        <a:lstStyle/>
        <a:p>
          <a:endParaRPr lang="en-US"/>
        </a:p>
      </dgm:t>
    </dgm:pt>
    <dgm:pt modelId="{9D072AEE-E55B-4394-96C6-046F227E57CA}" type="sibTrans" cxnId="{7CD05BC1-F83F-412C-BC55-3DE2C00230CE}">
      <dgm:prSet/>
      <dgm:spPr/>
      <dgm:t>
        <a:bodyPr/>
        <a:lstStyle/>
        <a:p>
          <a:endParaRPr lang="en-US"/>
        </a:p>
      </dgm:t>
    </dgm:pt>
    <dgm:pt modelId="{B695D7D2-D3C7-4233-919F-29290ABD053F}">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Education reform in Croatia (SRSP 2017)</a:t>
          </a:r>
        </a:p>
        <a:p>
          <a:pPr algn="just"/>
          <a:r>
            <a:rPr lang="en-GB" sz="900">
              <a:solidFill>
                <a:sysClr val="windowText" lastClr="000000"/>
              </a:solidFill>
              <a:latin typeface="Times New Roman" panose="02020603050405020304" pitchFamily="18" charset="0"/>
              <a:cs typeface="Times New Roman" panose="02020603050405020304" pitchFamily="18" charset="0"/>
            </a:rPr>
            <a:t>The SRSP provided support</a:t>
          </a:r>
          <a:r>
            <a:rPr lang="en-GB" sz="900" b="1">
              <a:solidFill>
                <a:sysClr val="windowText" lastClr="000000"/>
              </a:solidFill>
              <a:latin typeface="Times New Roman" panose="02020603050405020304" pitchFamily="18" charset="0"/>
              <a:cs typeface="Times New Roman" panose="02020603050405020304" pitchFamily="18" charset="0"/>
            </a:rPr>
            <a:t> </a:t>
          </a:r>
          <a:r>
            <a:rPr lang="en-GB" sz="900">
              <a:solidFill>
                <a:sysClr val="windowText" lastClr="000000"/>
              </a:solidFill>
              <a:latin typeface="Times New Roman" panose="02020603050405020304" pitchFamily="18" charset="0"/>
              <a:cs typeface="Times New Roman" panose="02020603050405020304" pitchFamily="18" charset="0"/>
            </a:rPr>
            <a:t>to the Croatian authorities to implement the changes introduced by the new curriculum that encompasses all levels of education, namely </a:t>
          </a:r>
          <a:r>
            <a:rPr lang="en-GB" sz="900" b="1">
              <a:solidFill>
                <a:sysClr val="windowText" lastClr="000000"/>
              </a:solidFill>
              <a:latin typeface="Times New Roman" panose="02020603050405020304" pitchFamily="18" charset="0"/>
              <a:cs typeface="Times New Roman" panose="02020603050405020304" pitchFamily="18" charset="0"/>
            </a:rPr>
            <a:t>teaching of new skills and competences, introduction of learning outcomes and use of formative assessment</a:t>
          </a:r>
          <a:r>
            <a:rPr lang="en-GB" sz="900">
              <a:solidFill>
                <a:sysClr val="windowText" lastClr="000000"/>
              </a:solidFill>
              <a:latin typeface="Times New Roman" panose="02020603050405020304" pitchFamily="18" charset="0"/>
              <a:cs typeface="Times New Roman" panose="02020603050405020304" pitchFamily="18" charset="0"/>
            </a:rPr>
            <a:t>. As a result, the national authorities are equipped with (i) a </a:t>
          </a:r>
          <a:r>
            <a:rPr lang="en-GB" sz="900" b="1">
              <a:solidFill>
                <a:sysClr val="windowText" lastClr="000000"/>
              </a:solidFill>
              <a:latin typeface="Times New Roman" panose="02020603050405020304" pitchFamily="18" charset="0"/>
              <a:cs typeface="Times New Roman" panose="02020603050405020304" pitchFamily="18" charset="0"/>
            </a:rPr>
            <a:t>set of more than 100 mentors </a:t>
          </a:r>
          <a:r>
            <a:rPr lang="en-GB" sz="900">
              <a:solidFill>
                <a:sysClr val="windowText" lastClr="000000"/>
              </a:solidFill>
              <a:latin typeface="Times New Roman" panose="02020603050405020304" pitchFamily="18" charset="0"/>
              <a:cs typeface="Times New Roman" panose="02020603050405020304" pitchFamily="18" charset="0"/>
            </a:rPr>
            <a:t>duly trained in the new competences to train teachers, (ii) a </a:t>
          </a:r>
          <a:r>
            <a:rPr lang="en-GB" sz="900" b="1">
              <a:solidFill>
                <a:sysClr val="windowText" lastClr="000000"/>
              </a:solidFill>
              <a:latin typeface="Times New Roman" panose="02020603050405020304" pitchFamily="18" charset="0"/>
              <a:cs typeface="Times New Roman" panose="02020603050405020304" pitchFamily="18" charset="0"/>
            </a:rPr>
            <a:t>rich set of audiovisual material uploaded on their e-platform to support teachers in schools,</a:t>
          </a:r>
          <a:r>
            <a:rPr lang="en-GB" sz="900">
              <a:solidFill>
                <a:sysClr val="windowText" lastClr="000000"/>
              </a:solidFill>
              <a:latin typeface="Times New Roman" panose="02020603050405020304" pitchFamily="18" charset="0"/>
              <a:cs typeface="Times New Roman" panose="02020603050405020304" pitchFamily="18" charset="0"/>
            </a:rPr>
            <a:t> and (iii) </a:t>
          </a:r>
          <a:r>
            <a:rPr lang="en-GB" sz="900" b="1">
              <a:solidFill>
                <a:sysClr val="windowText" lastClr="000000"/>
              </a:solidFill>
              <a:latin typeface="Times New Roman" panose="02020603050405020304" pitchFamily="18" charset="0"/>
              <a:cs typeface="Times New Roman" panose="02020603050405020304" pitchFamily="18" charset="0"/>
            </a:rPr>
            <a:t>a group of school leaders trained to train other leaders in becoming vectors of change</a:t>
          </a:r>
          <a:r>
            <a:rPr lang="en-GB" sz="1000">
              <a:solidFill>
                <a:sysClr val="windowText" lastClr="000000"/>
              </a:solidFill>
              <a:latin typeface="Times New Roman" panose="02020603050405020304" pitchFamily="18" charset="0"/>
              <a:cs typeface="Times New Roman" panose="02020603050405020304" pitchFamily="18" charset="0"/>
            </a:rPr>
            <a:t>. </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2E5380D1-B959-4C93-8AD3-2B348E533C04}" type="parTrans" cxnId="{B06B2A6C-D834-4CDF-935C-B8CB79FFF27D}">
      <dgm:prSet/>
      <dgm:spPr/>
      <dgm:t>
        <a:bodyPr/>
        <a:lstStyle/>
        <a:p>
          <a:endParaRPr lang="en-US"/>
        </a:p>
      </dgm:t>
    </dgm:pt>
    <dgm:pt modelId="{5FED4338-B5C5-4330-8CA9-87CFA47D725D}" type="sibTrans" cxnId="{B06B2A6C-D834-4CDF-935C-B8CB79FFF27D}">
      <dgm:prSet/>
      <dgm:spPr/>
      <dgm:t>
        <a:bodyPr/>
        <a:lstStyle/>
        <a:p>
          <a:endParaRPr lang="en-US"/>
        </a:p>
      </dgm:t>
    </dgm:pt>
    <dgm:pt modelId="{6A91017B-01FC-49D9-9873-44B1F0381F4D}" type="pres">
      <dgm:prSet presAssocID="{D3D802EA-E4DC-481B-832B-C94F0FE5F541}" presName="linear" presStyleCnt="0">
        <dgm:presLayoutVars>
          <dgm:dir/>
          <dgm:resizeHandles val="exact"/>
        </dgm:presLayoutVars>
      </dgm:prSet>
      <dgm:spPr/>
      <dgm:t>
        <a:bodyPr/>
        <a:lstStyle/>
        <a:p>
          <a:endParaRPr lang="en-US"/>
        </a:p>
      </dgm:t>
    </dgm:pt>
    <dgm:pt modelId="{A4FE941E-F1BC-49CE-9F7A-5DD7DB33996B}" type="pres">
      <dgm:prSet presAssocID="{D1AFAC9A-99C9-45A9-A870-5C9694355A22}" presName="comp" presStyleCnt="0"/>
      <dgm:spPr/>
    </dgm:pt>
    <dgm:pt modelId="{E9174D94-5912-4A8D-ABC2-86DA0246994C}" type="pres">
      <dgm:prSet presAssocID="{D1AFAC9A-99C9-45A9-A870-5C9694355A22}" presName="box" presStyleLbl="node1" presStyleIdx="0" presStyleCnt="4" custScaleY="47357"/>
      <dgm:spPr/>
      <dgm:t>
        <a:bodyPr/>
        <a:lstStyle/>
        <a:p>
          <a:endParaRPr lang="en-US"/>
        </a:p>
      </dgm:t>
    </dgm:pt>
    <dgm:pt modelId="{8859263C-DC5A-47C0-9736-94028708D689}" type="pres">
      <dgm:prSet presAssocID="{D1AFAC9A-99C9-45A9-A870-5C9694355A22}" presName="img" presStyleLbl="fgImgPlace1" presStyleIdx="0" presStyleCnt="4" custScaleX="112770" custScaleY="54549" custLinFactNeighborX="-13253" custLinFactNeighborY="-716"/>
      <dgm:spPr>
        <a:blipFill>
          <a:blip xmlns:r="http://schemas.openxmlformats.org/officeDocument/2006/relationships" r:embed="rId1">
            <a:extLst>
              <a:ext uri="{28A0092B-C50C-407E-A947-70E740481C1C}">
                <a14:useLocalDpi xmlns:a14="http://schemas.microsoft.com/office/drawing/2010/main" val="0"/>
              </a:ext>
            </a:extLst>
          </a:blip>
          <a:srcRect/>
          <a:stretch>
            <a:fillRect l="-72000" r="-72000"/>
          </a:stretch>
        </a:blipFill>
      </dgm:spPr>
      <dgm:t>
        <a:bodyPr/>
        <a:lstStyle/>
        <a:p>
          <a:endParaRPr lang="en-GB"/>
        </a:p>
      </dgm:t>
    </dgm:pt>
    <dgm:pt modelId="{9DA1B2CA-1A1B-48E2-AC5C-968D567B42A4}" type="pres">
      <dgm:prSet presAssocID="{D1AFAC9A-99C9-45A9-A870-5C9694355A22}" presName="text" presStyleLbl="node1" presStyleIdx="0" presStyleCnt="4">
        <dgm:presLayoutVars>
          <dgm:bulletEnabled val="1"/>
        </dgm:presLayoutVars>
      </dgm:prSet>
      <dgm:spPr/>
      <dgm:t>
        <a:bodyPr/>
        <a:lstStyle/>
        <a:p>
          <a:endParaRPr lang="en-US"/>
        </a:p>
      </dgm:t>
    </dgm:pt>
    <dgm:pt modelId="{3C3D48D1-7A97-48CF-839C-AF763AFECC12}" type="pres">
      <dgm:prSet presAssocID="{048CB263-5B50-45F5-A784-A79B46E9FEF3}" presName="spacer" presStyleCnt="0"/>
      <dgm:spPr/>
    </dgm:pt>
    <dgm:pt modelId="{A0AA8D95-41E8-4F45-BE9A-EC28F99EB166}" type="pres">
      <dgm:prSet presAssocID="{A845003F-CD52-4919-88B7-35CA867282A7}" presName="comp" presStyleCnt="0"/>
      <dgm:spPr/>
    </dgm:pt>
    <dgm:pt modelId="{4AF059EE-D9BA-4391-972C-DFFA8500EE44}" type="pres">
      <dgm:prSet presAssocID="{A845003F-CD52-4919-88B7-35CA867282A7}" presName="box" presStyleLbl="node1" presStyleIdx="1" presStyleCnt="4" custScaleY="46225" custLinFactNeighborY="-8059"/>
      <dgm:spPr/>
      <dgm:t>
        <a:bodyPr/>
        <a:lstStyle/>
        <a:p>
          <a:endParaRPr lang="en-US"/>
        </a:p>
      </dgm:t>
    </dgm:pt>
    <dgm:pt modelId="{87A84380-8CDD-4E93-A5AA-C07765DCDBDD}" type="pres">
      <dgm:prSet presAssocID="{A845003F-CD52-4919-88B7-35CA867282A7}" presName="img" presStyleLbl="fgImgPlace1" presStyleIdx="1" presStyleCnt="4" custScaleX="111031" custScaleY="47503" custLinFactNeighborX="-17375" custLinFactNeighborY="-10646"/>
      <dgm:spPr>
        <a:blipFill>
          <a:blip xmlns:r="http://schemas.openxmlformats.org/officeDocument/2006/relationships" r:embed="rId2">
            <a:extLst>
              <a:ext uri="{28A0092B-C50C-407E-A947-70E740481C1C}">
                <a14:useLocalDpi xmlns:a14="http://schemas.microsoft.com/office/drawing/2010/main" val="0"/>
              </a:ext>
            </a:extLst>
          </a:blip>
          <a:srcRect/>
          <a:stretch>
            <a:fillRect l="-88000" r="-88000"/>
          </a:stretch>
        </a:blipFill>
      </dgm:spPr>
      <dgm:t>
        <a:bodyPr/>
        <a:lstStyle/>
        <a:p>
          <a:endParaRPr lang="en-GB"/>
        </a:p>
      </dgm:t>
    </dgm:pt>
    <dgm:pt modelId="{3D4C6850-17D9-40BF-91DE-11FE24F94EBB}" type="pres">
      <dgm:prSet presAssocID="{A845003F-CD52-4919-88B7-35CA867282A7}" presName="text" presStyleLbl="node1" presStyleIdx="1" presStyleCnt="4">
        <dgm:presLayoutVars>
          <dgm:bulletEnabled val="1"/>
        </dgm:presLayoutVars>
      </dgm:prSet>
      <dgm:spPr/>
      <dgm:t>
        <a:bodyPr/>
        <a:lstStyle/>
        <a:p>
          <a:endParaRPr lang="en-US"/>
        </a:p>
      </dgm:t>
    </dgm:pt>
    <dgm:pt modelId="{8180C784-30BE-4CBB-B586-B315E7CBAB4E}" type="pres">
      <dgm:prSet presAssocID="{3B4D38AD-02A4-4427-82BA-24D96AA4D6DB}" presName="spacer" presStyleCnt="0"/>
      <dgm:spPr/>
    </dgm:pt>
    <dgm:pt modelId="{E73212C8-C50A-44AC-8858-EC733E7AE9E1}" type="pres">
      <dgm:prSet presAssocID="{699818C4-5A04-4EA6-9FBB-A8D39B44A5F5}" presName="comp" presStyleCnt="0"/>
      <dgm:spPr/>
    </dgm:pt>
    <dgm:pt modelId="{0660046B-068D-4658-94DA-0BA86C1CCA65}" type="pres">
      <dgm:prSet presAssocID="{699818C4-5A04-4EA6-9FBB-A8D39B44A5F5}" presName="box" presStyleLbl="node1" presStyleIdx="2" presStyleCnt="4" custScaleY="41065" custLinFactNeighborY="-15826"/>
      <dgm:spPr/>
      <dgm:t>
        <a:bodyPr/>
        <a:lstStyle/>
        <a:p>
          <a:endParaRPr lang="en-US"/>
        </a:p>
      </dgm:t>
    </dgm:pt>
    <dgm:pt modelId="{782D63B9-C4B7-4CC1-80AD-5B97CF66ED78}" type="pres">
      <dgm:prSet presAssocID="{699818C4-5A04-4EA6-9FBB-A8D39B44A5F5}" presName="img" presStyleLbl="fgImgPlace1" presStyleIdx="2" presStyleCnt="4" custScaleX="111336" custScaleY="42830" custLinFactNeighborX="-13010" custLinFactNeighborY="-19724"/>
      <dgm:spPr>
        <a:blipFill rotWithShape="1">
          <a:blip xmlns:r="http://schemas.openxmlformats.org/officeDocument/2006/relationships" r:embed="rId3"/>
          <a:stretch>
            <a:fillRect/>
          </a:stretch>
        </a:blipFill>
      </dgm:spPr>
      <dgm:t>
        <a:bodyPr/>
        <a:lstStyle/>
        <a:p>
          <a:endParaRPr lang="en-GB"/>
        </a:p>
      </dgm:t>
    </dgm:pt>
    <dgm:pt modelId="{74D63CDC-2CCF-4D53-B8D6-86CA896399B4}" type="pres">
      <dgm:prSet presAssocID="{699818C4-5A04-4EA6-9FBB-A8D39B44A5F5}" presName="text" presStyleLbl="node1" presStyleIdx="2" presStyleCnt="4">
        <dgm:presLayoutVars>
          <dgm:bulletEnabled val="1"/>
        </dgm:presLayoutVars>
      </dgm:prSet>
      <dgm:spPr/>
      <dgm:t>
        <a:bodyPr/>
        <a:lstStyle/>
        <a:p>
          <a:endParaRPr lang="en-US"/>
        </a:p>
      </dgm:t>
    </dgm:pt>
    <dgm:pt modelId="{15385C2A-30F7-4C67-A385-C2B290ECF1FC}" type="pres">
      <dgm:prSet presAssocID="{9D072AEE-E55B-4394-96C6-046F227E57CA}" presName="spacer" presStyleCnt="0"/>
      <dgm:spPr/>
    </dgm:pt>
    <dgm:pt modelId="{FC3A1EA6-88F1-44AE-B32D-2718A1929896}" type="pres">
      <dgm:prSet presAssocID="{B695D7D2-D3C7-4233-919F-29290ABD053F}" presName="comp" presStyleCnt="0"/>
      <dgm:spPr/>
    </dgm:pt>
    <dgm:pt modelId="{DF12F56B-EC89-4E24-B03F-11F60AB81CFD}" type="pres">
      <dgm:prSet presAssocID="{B695D7D2-D3C7-4233-919F-29290ABD053F}" presName="box" presStyleLbl="node1" presStyleIdx="3" presStyleCnt="4" custScaleY="45056" custLinFactNeighborY="-21023"/>
      <dgm:spPr/>
      <dgm:t>
        <a:bodyPr/>
        <a:lstStyle/>
        <a:p>
          <a:endParaRPr lang="en-US"/>
        </a:p>
      </dgm:t>
    </dgm:pt>
    <dgm:pt modelId="{BB2EA343-40A7-4FA3-A238-C55427091E94}" type="pres">
      <dgm:prSet presAssocID="{B695D7D2-D3C7-4233-919F-29290ABD053F}" presName="img" presStyleLbl="fgImgPlace1" presStyleIdx="3" presStyleCnt="4" custScaleX="111336" custScaleY="42830" custLinFactNeighborX="-13010" custLinFactNeighborY="-25827"/>
      <dgm:spPr>
        <a:blipFill rotWithShape="1">
          <a:blip xmlns:r="http://schemas.openxmlformats.org/officeDocument/2006/relationships" r:embed="rId4"/>
          <a:stretch>
            <a:fillRect/>
          </a:stretch>
        </a:blipFill>
      </dgm:spPr>
      <dgm:t>
        <a:bodyPr/>
        <a:lstStyle/>
        <a:p>
          <a:endParaRPr lang="en-US"/>
        </a:p>
      </dgm:t>
    </dgm:pt>
    <dgm:pt modelId="{7B9A61A0-31CD-426E-8B8D-A8A189C357CC}" type="pres">
      <dgm:prSet presAssocID="{B695D7D2-D3C7-4233-919F-29290ABD053F}" presName="text" presStyleLbl="node1" presStyleIdx="3" presStyleCnt="4">
        <dgm:presLayoutVars>
          <dgm:bulletEnabled val="1"/>
        </dgm:presLayoutVars>
      </dgm:prSet>
      <dgm:spPr/>
      <dgm:t>
        <a:bodyPr/>
        <a:lstStyle/>
        <a:p>
          <a:endParaRPr lang="en-US"/>
        </a:p>
      </dgm:t>
    </dgm:pt>
  </dgm:ptLst>
  <dgm:cxnLst>
    <dgm:cxn modelId="{61C11C3E-E498-4C1A-BD93-CD0A089772EA}" type="presOf" srcId="{D1AFAC9A-99C9-45A9-A870-5C9694355A22}" destId="{9DA1B2CA-1A1B-48E2-AC5C-968D567B42A4}" srcOrd="1" destOrd="0" presId="urn:microsoft.com/office/officeart/2005/8/layout/vList4"/>
    <dgm:cxn modelId="{DB9AE130-09A4-4170-829E-D768725659A7}" type="presOf" srcId="{A845003F-CD52-4919-88B7-35CA867282A7}" destId="{4AF059EE-D9BA-4391-972C-DFFA8500EE44}" srcOrd="0" destOrd="0" presId="urn:microsoft.com/office/officeart/2005/8/layout/vList4"/>
    <dgm:cxn modelId="{2D894760-9090-4FD5-9CCB-E8BC55CAC801}" type="presOf" srcId="{D1AFAC9A-99C9-45A9-A870-5C9694355A22}" destId="{E9174D94-5912-4A8D-ABC2-86DA0246994C}" srcOrd="0" destOrd="0" presId="urn:microsoft.com/office/officeart/2005/8/layout/vList4"/>
    <dgm:cxn modelId="{7FB04CB2-FA32-4BF1-A09C-A797FAED40F2}" type="presOf" srcId="{A845003F-CD52-4919-88B7-35CA867282A7}" destId="{3D4C6850-17D9-40BF-91DE-11FE24F94EBB}" srcOrd="1" destOrd="0" presId="urn:microsoft.com/office/officeart/2005/8/layout/vList4"/>
    <dgm:cxn modelId="{7812649E-546E-41CC-A340-AB7C919F4D16}" srcId="{D3D802EA-E4DC-481B-832B-C94F0FE5F541}" destId="{A845003F-CD52-4919-88B7-35CA867282A7}" srcOrd="1" destOrd="0" parTransId="{56CEE09F-DAD9-4A7A-BB75-BBCC1AF60AE1}" sibTransId="{3B4D38AD-02A4-4427-82BA-24D96AA4D6DB}"/>
    <dgm:cxn modelId="{08E4E5B9-F8DD-48AC-8128-D9BE33CFEBD2}" srcId="{D3D802EA-E4DC-481B-832B-C94F0FE5F541}" destId="{D1AFAC9A-99C9-45A9-A870-5C9694355A22}" srcOrd="0" destOrd="0" parTransId="{A7995641-64A3-4B04-9D96-84D4E1D4D16E}" sibTransId="{048CB263-5B50-45F5-A784-A79B46E9FEF3}"/>
    <dgm:cxn modelId="{A687E38C-69FE-4BD6-A03D-B55D95E7753A}" type="presOf" srcId="{B695D7D2-D3C7-4233-919F-29290ABD053F}" destId="{DF12F56B-EC89-4E24-B03F-11F60AB81CFD}" srcOrd="0" destOrd="0" presId="urn:microsoft.com/office/officeart/2005/8/layout/vList4"/>
    <dgm:cxn modelId="{23CB9BE2-112B-40F4-BD6D-8FDFC359EB6D}" type="presOf" srcId="{699818C4-5A04-4EA6-9FBB-A8D39B44A5F5}" destId="{74D63CDC-2CCF-4D53-B8D6-86CA896399B4}" srcOrd="1" destOrd="0" presId="urn:microsoft.com/office/officeart/2005/8/layout/vList4"/>
    <dgm:cxn modelId="{7CD05BC1-F83F-412C-BC55-3DE2C00230CE}" srcId="{D3D802EA-E4DC-481B-832B-C94F0FE5F541}" destId="{699818C4-5A04-4EA6-9FBB-A8D39B44A5F5}" srcOrd="2" destOrd="0" parTransId="{2AA905F5-3C39-43C0-ADBD-3826AC0A1997}" sibTransId="{9D072AEE-E55B-4394-96C6-046F227E57CA}"/>
    <dgm:cxn modelId="{6EEAF9A5-DF4B-43C8-8209-6CD2ED7299AE}" type="presOf" srcId="{B695D7D2-D3C7-4233-919F-29290ABD053F}" destId="{7B9A61A0-31CD-426E-8B8D-A8A189C357CC}" srcOrd="1" destOrd="0" presId="urn:microsoft.com/office/officeart/2005/8/layout/vList4"/>
    <dgm:cxn modelId="{37BF4D46-0B3D-4894-A4B0-61FB0362196F}" type="presOf" srcId="{699818C4-5A04-4EA6-9FBB-A8D39B44A5F5}" destId="{0660046B-068D-4658-94DA-0BA86C1CCA65}" srcOrd="0" destOrd="0" presId="urn:microsoft.com/office/officeart/2005/8/layout/vList4"/>
    <dgm:cxn modelId="{10A1DA50-9F4B-4B60-95E0-D49791A53AC4}" type="presOf" srcId="{D3D802EA-E4DC-481B-832B-C94F0FE5F541}" destId="{6A91017B-01FC-49D9-9873-44B1F0381F4D}" srcOrd="0" destOrd="0" presId="urn:microsoft.com/office/officeart/2005/8/layout/vList4"/>
    <dgm:cxn modelId="{B06B2A6C-D834-4CDF-935C-B8CB79FFF27D}" srcId="{D3D802EA-E4DC-481B-832B-C94F0FE5F541}" destId="{B695D7D2-D3C7-4233-919F-29290ABD053F}" srcOrd="3" destOrd="0" parTransId="{2E5380D1-B959-4C93-8AD3-2B348E533C04}" sibTransId="{5FED4338-B5C5-4330-8CA9-87CFA47D725D}"/>
    <dgm:cxn modelId="{39669D6D-5DE2-4758-B683-90BC167B78E8}" type="presParOf" srcId="{6A91017B-01FC-49D9-9873-44B1F0381F4D}" destId="{A4FE941E-F1BC-49CE-9F7A-5DD7DB33996B}" srcOrd="0" destOrd="0" presId="urn:microsoft.com/office/officeart/2005/8/layout/vList4"/>
    <dgm:cxn modelId="{1B7E714C-501E-407B-AC40-062C62A14BBC}" type="presParOf" srcId="{A4FE941E-F1BC-49CE-9F7A-5DD7DB33996B}" destId="{E9174D94-5912-4A8D-ABC2-86DA0246994C}" srcOrd="0" destOrd="0" presId="urn:microsoft.com/office/officeart/2005/8/layout/vList4"/>
    <dgm:cxn modelId="{19880C68-B689-48B0-9ADC-0C62CDDB3437}" type="presParOf" srcId="{A4FE941E-F1BC-49CE-9F7A-5DD7DB33996B}" destId="{8859263C-DC5A-47C0-9736-94028708D689}" srcOrd="1" destOrd="0" presId="urn:microsoft.com/office/officeart/2005/8/layout/vList4"/>
    <dgm:cxn modelId="{E9B66EB4-EBD1-4C21-ADB3-7CD30E8A4785}" type="presParOf" srcId="{A4FE941E-F1BC-49CE-9F7A-5DD7DB33996B}" destId="{9DA1B2CA-1A1B-48E2-AC5C-968D567B42A4}" srcOrd="2" destOrd="0" presId="urn:microsoft.com/office/officeart/2005/8/layout/vList4"/>
    <dgm:cxn modelId="{122F53CA-DADE-41DC-884F-3DABC20DDBA4}" type="presParOf" srcId="{6A91017B-01FC-49D9-9873-44B1F0381F4D}" destId="{3C3D48D1-7A97-48CF-839C-AF763AFECC12}" srcOrd="1" destOrd="0" presId="urn:microsoft.com/office/officeart/2005/8/layout/vList4"/>
    <dgm:cxn modelId="{D402C836-B705-4AD7-820D-88C449D9DB90}" type="presParOf" srcId="{6A91017B-01FC-49D9-9873-44B1F0381F4D}" destId="{A0AA8D95-41E8-4F45-BE9A-EC28F99EB166}" srcOrd="2" destOrd="0" presId="urn:microsoft.com/office/officeart/2005/8/layout/vList4"/>
    <dgm:cxn modelId="{5CCB8B3E-C3B9-4201-86FB-F447BBD71DF1}" type="presParOf" srcId="{A0AA8D95-41E8-4F45-BE9A-EC28F99EB166}" destId="{4AF059EE-D9BA-4391-972C-DFFA8500EE44}" srcOrd="0" destOrd="0" presId="urn:microsoft.com/office/officeart/2005/8/layout/vList4"/>
    <dgm:cxn modelId="{FD60D17D-E03C-4439-A4CB-85BB7371BC1C}" type="presParOf" srcId="{A0AA8D95-41E8-4F45-BE9A-EC28F99EB166}" destId="{87A84380-8CDD-4E93-A5AA-C07765DCDBDD}" srcOrd="1" destOrd="0" presId="urn:microsoft.com/office/officeart/2005/8/layout/vList4"/>
    <dgm:cxn modelId="{1BA768C2-C97F-4F34-8218-BC50E94CFFF2}" type="presParOf" srcId="{A0AA8D95-41E8-4F45-BE9A-EC28F99EB166}" destId="{3D4C6850-17D9-40BF-91DE-11FE24F94EBB}" srcOrd="2" destOrd="0" presId="urn:microsoft.com/office/officeart/2005/8/layout/vList4"/>
    <dgm:cxn modelId="{1E6098E6-E7B0-42EC-B95C-E6DA17C05192}" type="presParOf" srcId="{6A91017B-01FC-49D9-9873-44B1F0381F4D}" destId="{8180C784-30BE-4CBB-B586-B315E7CBAB4E}" srcOrd="3" destOrd="0" presId="urn:microsoft.com/office/officeart/2005/8/layout/vList4"/>
    <dgm:cxn modelId="{B1AB43EC-801F-47CB-A7D1-F005306A7E1E}" type="presParOf" srcId="{6A91017B-01FC-49D9-9873-44B1F0381F4D}" destId="{E73212C8-C50A-44AC-8858-EC733E7AE9E1}" srcOrd="4" destOrd="0" presId="urn:microsoft.com/office/officeart/2005/8/layout/vList4"/>
    <dgm:cxn modelId="{558AF862-D9BB-4026-AA7D-157CAA43C32B}" type="presParOf" srcId="{E73212C8-C50A-44AC-8858-EC733E7AE9E1}" destId="{0660046B-068D-4658-94DA-0BA86C1CCA65}" srcOrd="0" destOrd="0" presId="urn:microsoft.com/office/officeart/2005/8/layout/vList4"/>
    <dgm:cxn modelId="{C4ACA072-A9BA-4577-80D9-ED1E77288D9B}" type="presParOf" srcId="{E73212C8-C50A-44AC-8858-EC733E7AE9E1}" destId="{782D63B9-C4B7-4CC1-80AD-5B97CF66ED78}" srcOrd="1" destOrd="0" presId="urn:microsoft.com/office/officeart/2005/8/layout/vList4"/>
    <dgm:cxn modelId="{960ED9F1-1BEF-4818-8590-EF218906BE06}" type="presParOf" srcId="{E73212C8-C50A-44AC-8858-EC733E7AE9E1}" destId="{74D63CDC-2CCF-4D53-B8D6-86CA896399B4}" srcOrd="2" destOrd="0" presId="urn:microsoft.com/office/officeart/2005/8/layout/vList4"/>
    <dgm:cxn modelId="{7B4FD65C-909A-4CCF-808C-98930B401588}" type="presParOf" srcId="{6A91017B-01FC-49D9-9873-44B1F0381F4D}" destId="{15385C2A-30F7-4C67-A385-C2B290ECF1FC}" srcOrd="5" destOrd="0" presId="urn:microsoft.com/office/officeart/2005/8/layout/vList4"/>
    <dgm:cxn modelId="{25FF2330-6582-42BA-8F8E-6472C7038BD7}" type="presParOf" srcId="{6A91017B-01FC-49D9-9873-44B1F0381F4D}" destId="{FC3A1EA6-88F1-44AE-B32D-2718A1929896}" srcOrd="6" destOrd="0" presId="urn:microsoft.com/office/officeart/2005/8/layout/vList4"/>
    <dgm:cxn modelId="{3DDA32BA-CEB4-42E5-88B0-FF54765E9A26}" type="presParOf" srcId="{FC3A1EA6-88F1-44AE-B32D-2718A1929896}" destId="{DF12F56B-EC89-4E24-B03F-11F60AB81CFD}" srcOrd="0" destOrd="0" presId="urn:microsoft.com/office/officeart/2005/8/layout/vList4"/>
    <dgm:cxn modelId="{40CD935A-4F9A-4B19-BEA8-A22B522C2BB0}" type="presParOf" srcId="{FC3A1EA6-88F1-44AE-B32D-2718A1929896}" destId="{BB2EA343-40A7-4FA3-A238-C55427091E94}" srcOrd="1" destOrd="0" presId="urn:microsoft.com/office/officeart/2005/8/layout/vList4"/>
    <dgm:cxn modelId="{993CF7BD-C78A-4020-B11C-11F9A52E2C38}" type="presParOf" srcId="{FC3A1EA6-88F1-44AE-B32D-2718A1929896}" destId="{7B9A61A0-31CD-426E-8B8D-A8A189C357CC}" srcOrd="2" destOrd="0" presId="urn:microsoft.com/office/officeart/2005/8/layout/vList4"/>
  </dgm:cxnLst>
  <dgm:bg>
    <a:noFill/>
  </dgm:bg>
  <dgm:whole/>
  <dgm:extLst>
    <a:ext uri="http://schemas.microsoft.com/office/drawing/2008/diagram">
      <dsp:dataModelExt xmlns:dsp="http://schemas.microsoft.com/office/drawing/2008/diagram"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D802EA-E4DC-481B-832B-C94F0FE5F541}" type="doc">
      <dgm:prSet loTypeId="urn:microsoft.com/office/officeart/2005/8/layout/vList4" loCatId="list" qsTypeId="urn:microsoft.com/office/officeart/2005/8/quickstyle/simple1" qsCatId="simple" csTypeId="urn:microsoft.com/office/officeart/2005/8/colors/accent4_3" csCatId="accent4" phldr="1"/>
      <dgm:spPr/>
      <dgm:t>
        <a:bodyPr/>
        <a:lstStyle/>
        <a:p>
          <a:endParaRPr lang="en-US"/>
        </a:p>
      </dgm:t>
    </dgm:pt>
    <dgm:pt modelId="{D1AFAC9A-99C9-45A9-A870-5C9694355A22}">
      <dgm:prSet phldrT="[Text]" custT="1"/>
      <dgm:spPr>
        <a:solidFill>
          <a:schemeClr val="bg1">
            <a:lumMod val="85000"/>
          </a:schemeClr>
        </a:solidFill>
      </dgm:spPr>
      <dgm:t>
        <a:bodyPr/>
        <a:lstStyle/>
        <a:p>
          <a:pPr algn="l">
            <a:lnSpc>
              <a:spcPct val="90000"/>
            </a:lnSpc>
            <a:spcAft>
              <a:spcPct val="35000"/>
            </a:spcAft>
          </a:pPr>
          <a:r>
            <a:rPr lang="en-US" sz="1200" b="1">
              <a:solidFill>
                <a:sysClr val="windowText" lastClr="000000"/>
              </a:solidFill>
              <a:latin typeface="Times New Roman" panose="02020603050405020304" pitchFamily="18" charset="0"/>
              <a:cs typeface="Times New Roman" panose="02020603050405020304" pitchFamily="18" charset="0"/>
            </a:rPr>
            <a:t>Health system reform in Slovenia (SRSP 2017)</a:t>
          </a:r>
        </a:p>
        <a:p>
          <a:pPr algn="just">
            <a:lnSpc>
              <a:spcPct val="90000"/>
            </a:lnSpc>
            <a:spcAft>
              <a:spcPct val="35000"/>
            </a:spcAft>
          </a:pPr>
          <a:r>
            <a:rPr lang="en-GB" sz="900">
              <a:solidFill>
                <a:sysClr val="windowText" lastClr="000000"/>
              </a:solidFill>
              <a:latin typeface="Times New Roman" panose="02020603050405020304" pitchFamily="18" charset="0"/>
              <a:cs typeface="Times New Roman" panose="02020603050405020304" pitchFamily="18" charset="0"/>
            </a:rPr>
            <a:t>The SRSP has been supporting </a:t>
          </a:r>
          <a:r>
            <a:rPr lang="en-US" sz="900">
              <a:solidFill>
                <a:sysClr val="windowText" lastClr="000000"/>
              </a:solidFill>
              <a:latin typeface="Times New Roman" panose="02020603050405020304" pitchFamily="18" charset="0"/>
              <a:cs typeface="Times New Roman" panose="02020603050405020304" pitchFamily="18" charset="0"/>
            </a:rPr>
            <a:t>Slovenia in four strategic reform areas, namely (i) governance of the health care system; (ii) long-term care; (iii) quality of care and patient safety; and (iv) financing of hospital services. </a:t>
          </a:r>
        </a:p>
        <a:p>
          <a:pPr algn="just">
            <a:lnSpc>
              <a:spcPct val="90000"/>
            </a:lnSpc>
            <a:spcAft>
              <a:spcPct val="35000"/>
            </a:spcAft>
          </a:pPr>
          <a:r>
            <a:rPr lang="en-US" sz="900">
              <a:solidFill>
                <a:sysClr val="windowText" lastClr="000000"/>
              </a:solidFill>
              <a:latin typeface="Times New Roman" panose="02020603050405020304" pitchFamily="18" charset="0"/>
              <a:cs typeface="Times New Roman" panose="02020603050405020304" pitchFamily="18" charset="0"/>
            </a:rPr>
            <a:t>The collaboration between Slovenia and the Commission on key reform areas </a:t>
          </a:r>
          <a:r>
            <a:rPr lang="en-US" sz="900" b="1">
              <a:solidFill>
                <a:sysClr val="windowText" lastClr="000000"/>
              </a:solidFill>
              <a:latin typeface="Times New Roman" panose="02020603050405020304" pitchFamily="18" charset="0"/>
              <a:cs typeface="Times New Roman" panose="02020603050405020304" pitchFamily="18" charset="0"/>
            </a:rPr>
            <a:t>facilitated the preparation and adoption of laws and regulations and the deployment of tools to contribute to the quality, accessibility and long-term fiscal sustainability of the health and long-term care systems </a:t>
          </a:r>
          <a:r>
            <a:rPr lang="en-US" sz="900">
              <a:solidFill>
                <a:sysClr val="windowText" lastClr="000000"/>
              </a:solidFill>
              <a:latin typeface="Times New Roman" panose="02020603050405020304" pitchFamily="18" charset="0"/>
              <a:cs typeface="Times New Roman" panose="02020603050405020304" pitchFamily="18" charset="0"/>
            </a:rPr>
            <a:t>in Slovenia. </a:t>
          </a:r>
        </a:p>
        <a:p>
          <a:pPr algn="just">
            <a:lnSpc>
              <a:spcPct val="90000"/>
            </a:lnSpc>
            <a:spcAft>
              <a:spcPct val="35000"/>
            </a:spcAft>
          </a:pPr>
          <a:r>
            <a:rPr lang="en-US" sz="900">
              <a:solidFill>
                <a:sysClr val="windowText" lastClr="000000"/>
              </a:solidFill>
              <a:latin typeface="Times New Roman" panose="02020603050405020304" pitchFamily="18" charset="0"/>
              <a:cs typeface="Times New Roman" panose="02020603050405020304" pitchFamily="18" charset="0"/>
            </a:rPr>
            <a:t>The support measures helped the authorities to (i) </a:t>
          </a:r>
          <a:r>
            <a:rPr lang="en-US" sz="900" b="1">
              <a:solidFill>
                <a:sysClr val="windowText" lastClr="000000"/>
              </a:solidFill>
              <a:latin typeface="Times New Roman" panose="02020603050405020304" pitchFamily="18" charset="0"/>
              <a:cs typeface="Times New Roman" panose="02020603050405020304" pitchFamily="18" charset="0"/>
            </a:rPr>
            <a:t>establish a comprehensive set of tools and mechanisms </a:t>
          </a:r>
          <a:r>
            <a:rPr lang="en-US" sz="900">
              <a:solidFill>
                <a:sysClr val="windowText" lastClr="000000"/>
              </a:solidFill>
              <a:latin typeface="Times New Roman" panose="02020603050405020304" pitchFamily="18" charset="0"/>
              <a:cs typeface="Times New Roman" panose="02020603050405020304" pitchFamily="18" charset="0"/>
            </a:rPr>
            <a:t>to improve the governance of the health system (i.e. a health system performance assessment and a health workforce planning), (ii) </a:t>
          </a:r>
          <a:r>
            <a:rPr lang="en-US" sz="900" b="1">
              <a:solidFill>
                <a:sysClr val="windowText" lastClr="000000"/>
              </a:solidFill>
              <a:latin typeface="Times New Roman" panose="02020603050405020304" pitchFamily="18" charset="0"/>
              <a:cs typeface="Times New Roman" panose="02020603050405020304" pitchFamily="18" charset="0"/>
            </a:rPr>
            <a:t>strengthen the implementation of a pilot in long-term care schemes </a:t>
          </a:r>
          <a:r>
            <a:rPr lang="en-US" sz="900">
              <a:solidFill>
                <a:sysClr val="windowText" lastClr="000000"/>
              </a:solidFill>
              <a:latin typeface="Times New Roman" panose="02020603050405020304" pitchFamily="18" charset="0"/>
              <a:cs typeface="Times New Roman" panose="02020603050405020304" pitchFamily="18" charset="0"/>
            </a:rPr>
            <a:t>that will facilitate the rollout of the system at national level, (iii) </a:t>
          </a:r>
          <a:r>
            <a:rPr lang="en-US" sz="900" b="1">
              <a:solidFill>
                <a:sysClr val="windowText" lastClr="000000"/>
              </a:solidFill>
              <a:latin typeface="Times New Roman" panose="02020603050405020304" pitchFamily="18" charset="0"/>
              <a:cs typeface="Times New Roman" panose="02020603050405020304" pitchFamily="18" charset="0"/>
            </a:rPr>
            <a:t>establish a national patient safety system and enhance the quality of care,</a:t>
          </a:r>
          <a:r>
            <a:rPr lang="en-US" sz="900">
              <a:solidFill>
                <a:sysClr val="windowText" lastClr="000000"/>
              </a:solidFill>
              <a:latin typeface="Times New Roman" panose="02020603050405020304" pitchFamily="18" charset="0"/>
              <a:cs typeface="Times New Roman" panose="02020603050405020304" pitchFamily="18" charset="0"/>
            </a:rPr>
            <a:t> and (iv) </a:t>
          </a:r>
          <a:r>
            <a:rPr lang="en-US" sz="900" b="1">
              <a:solidFill>
                <a:sysClr val="windowText" lastClr="000000"/>
              </a:solidFill>
              <a:latin typeface="Times New Roman" panose="02020603050405020304" pitchFamily="18" charset="0"/>
              <a:cs typeface="Times New Roman" panose="02020603050405020304" pitchFamily="18" charset="0"/>
            </a:rPr>
            <a:t>modernise the hospital financing system</a:t>
          </a:r>
          <a:r>
            <a:rPr lang="en-US" sz="900">
              <a:solidFill>
                <a:sysClr val="windowText" lastClr="000000"/>
              </a:solidFill>
              <a:latin typeface="Times New Roman" panose="02020603050405020304" pitchFamily="18" charset="0"/>
              <a:cs typeface="Times New Roman" panose="02020603050405020304" pitchFamily="18" charset="0"/>
            </a:rPr>
            <a:t>. These reforms are key to ensuring adequate healthcare and long-term care are provided to the population.</a:t>
          </a:r>
          <a:endParaRPr lang="en-US" sz="900" b="1">
            <a:solidFill>
              <a:sysClr val="windowText" lastClr="000000"/>
            </a:solidFill>
            <a:latin typeface="Times New Roman" panose="02020603050405020304" pitchFamily="18" charset="0"/>
            <a:cs typeface="Times New Roman" panose="02020603050405020304" pitchFamily="18" charset="0"/>
          </a:endParaRPr>
        </a:p>
      </dgm:t>
    </dgm:pt>
    <dgm:pt modelId="{A7995641-64A3-4B04-9D96-84D4E1D4D16E}" type="parTrans" cxnId="{08E4E5B9-F8DD-48AC-8128-D9BE33CFEBD2}">
      <dgm:prSet/>
      <dgm:spPr/>
      <dgm:t>
        <a:bodyPr/>
        <a:lstStyle/>
        <a:p>
          <a:endParaRPr lang="en-US"/>
        </a:p>
      </dgm:t>
    </dgm:pt>
    <dgm:pt modelId="{048CB263-5B50-45F5-A784-A79B46E9FEF3}" type="sibTrans" cxnId="{08E4E5B9-F8DD-48AC-8128-D9BE33CFEBD2}">
      <dgm:prSet/>
      <dgm:spPr/>
      <dgm:t>
        <a:bodyPr/>
        <a:lstStyle/>
        <a:p>
          <a:endParaRPr lang="en-US"/>
        </a:p>
      </dgm:t>
    </dgm:pt>
    <dgm:pt modelId="{A845003F-CD52-4919-88B7-35CA867282A7}">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Welfare (social benefits) reform in Croatia (SRSP 2017)</a:t>
          </a:r>
        </a:p>
        <a:p>
          <a:pPr algn="l"/>
          <a:r>
            <a:rPr lang="en-GB" sz="900">
              <a:solidFill>
                <a:sysClr val="windowText" lastClr="000000"/>
              </a:solidFill>
              <a:latin typeface="Times New Roman" panose="02020603050405020304" pitchFamily="18" charset="0"/>
              <a:cs typeface="Times New Roman" panose="02020603050405020304" pitchFamily="18" charset="0"/>
            </a:rPr>
            <a:t>The SRSP has been supporting Croatia with the consolidation of social benefits. The SRSS, working with the national authorities, collected, classified, and analysed local social benefits using the standardised European System of Integrated Social Protection Statistics (ESSPROS) methodology, which now allows the national authorities to effectively monitor the type of benefits provided by local authorities. As a result, the national authorities can for the first time (i) </a:t>
          </a:r>
          <a:r>
            <a:rPr lang="en-GB" sz="900" b="1">
              <a:solidFill>
                <a:sysClr val="windowText" lastClr="000000"/>
              </a:solidFill>
              <a:latin typeface="Times New Roman" panose="02020603050405020304" pitchFamily="18" charset="0"/>
              <a:cs typeface="Times New Roman" panose="02020603050405020304" pitchFamily="18" charset="0"/>
            </a:rPr>
            <a:t>analyse the effects of local benefits for poverty reduction,</a:t>
          </a:r>
          <a:r>
            <a:rPr lang="en-GB" sz="900">
              <a:solidFill>
                <a:sysClr val="windowText" lastClr="000000"/>
              </a:solidFill>
              <a:latin typeface="Times New Roman" panose="02020603050405020304" pitchFamily="18" charset="0"/>
              <a:cs typeface="Times New Roman" panose="02020603050405020304" pitchFamily="18" charset="0"/>
            </a:rPr>
            <a:t> (ii) </a:t>
          </a:r>
          <a:r>
            <a:rPr lang="en-GB" sz="900" b="1">
              <a:solidFill>
                <a:sysClr val="windowText" lastClr="000000"/>
              </a:solidFill>
              <a:latin typeface="Times New Roman" panose="02020603050405020304" pitchFamily="18" charset="0"/>
              <a:cs typeface="Times New Roman" panose="02020603050405020304" pitchFamily="18" charset="0"/>
            </a:rPr>
            <a:t>monitor the results of local public spending on social benefits</a:t>
          </a:r>
          <a:r>
            <a:rPr lang="en-GB" sz="900">
              <a:solidFill>
                <a:sysClr val="windowText" lastClr="000000"/>
              </a:solidFill>
              <a:latin typeface="Times New Roman" panose="02020603050405020304" pitchFamily="18" charset="0"/>
              <a:cs typeface="Times New Roman" panose="02020603050405020304" pitchFamily="18" charset="0"/>
            </a:rPr>
            <a:t>, and (iii) </a:t>
          </a:r>
          <a:r>
            <a:rPr lang="en-GB" sz="900" b="1">
              <a:solidFill>
                <a:sysClr val="windowText" lastClr="000000"/>
              </a:solidFill>
              <a:latin typeface="Times New Roman" panose="02020603050405020304" pitchFamily="18" charset="0"/>
              <a:cs typeface="Times New Roman" panose="02020603050405020304" pitchFamily="18" charset="0"/>
            </a:rPr>
            <a:t>support local authorities in strengthening the design of social programmes</a:t>
          </a:r>
          <a:r>
            <a:rPr lang="en-GB" sz="900">
              <a:solidFill>
                <a:sysClr val="windowText" lastClr="000000"/>
              </a:solidFill>
              <a:latin typeface="Times New Roman" panose="02020603050405020304" pitchFamily="18" charset="0"/>
              <a:cs typeface="Times New Roman" panose="02020603050405020304" pitchFamily="18" charset="0"/>
            </a:rPr>
            <a:t>. Ultimately, the consolidation of social benefits according to the ESSPROS methodology will </a:t>
          </a:r>
          <a:r>
            <a:rPr lang="en-GB" sz="900" b="1">
              <a:solidFill>
                <a:sysClr val="windowText" lastClr="000000"/>
              </a:solidFill>
              <a:latin typeface="Times New Roman" panose="02020603050405020304" pitchFamily="18" charset="0"/>
              <a:cs typeface="Times New Roman" panose="02020603050405020304" pitchFamily="18" charset="0"/>
            </a:rPr>
            <a:t>increase the quality of services provided to citizens as well as improve the targeting of social programmes to those most in need. </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56CEE09F-DAD9-4A7A-BB75-BBCC1AF60AE1}" type="parTrans" cxnId="{7812649E-546E-41CC-A340-AB7C919F4D16}">
      <dgm:prSet/>
      <dgm:spPr/>
      <dgm:t>
        <a:bodyPr/>
        <a:lstStyle/>
        <a:p>
          <a:endParaRPr lang="en-US"/>
        </a:p>
      </dgm:t>
    </dgm:pt>
    <dgm:pt modelId="{3B4D38AD-02A4-4427-82BA-24D96AA4D6DB}" type="sibTrans" cxnId="{7812649E-546E-41CC-A340-AB7C919F4D16}">
      <dgm:prSet/>
      <dgm:spPr/>
      <dgm:t>
        <a:bodyPr/>
        <a:lstStyle/>
        <a:p>
          <a:endParaRPr lang="en-US"/>
        </a:p>
      </dgm:t>
    </dgm:pt>
    <dgm:pt modelId="{699818C4-5A04-4EA6-9FBB-A8D39B44A5F5}">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Spending review in Spain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objective of the project was to</a:t>
          </a:r>
          <a:r>
            <a:rPr lang="en-GB" sz="900" b="1">
              <a:solidFill>
                <a:sysClr val="windowText" lastClr="000000"/>
              </a:solidFill>
              <a:latin typeface="Times New Roman" panose="02020603050405020304" pitchFamily="18" charset="0"/>
              <a:cs typeface="Times New Roman" panose="02020603050405020304" pitchFamily="18" charset="0"/>
            </a:rPr>
            <a:t> </a:t>
          </a:r>
          <a:r>
            <a:rPr lang="en-GB" sz="900">
              <a:solidFill>
                <a:sysClr val="windowText" lastClr="000000"/>
              </a:solidFill>
              <a:latin typeface="Times New Roman" panose="02020603050405020304" pitchFamily="18" charset="0"/>
              <a:cs typeface="Times New Roman" panose="02020603050405020304" pitchFamily="18" charset="0"/>
            </a:rPr>
            <a:t>help implement a review of outpatient pharmaceutical public spending by carrying out nine technical reports to be used by the Spanish Independent Fiscal Institution (AIReF) to prepare its final spending review report. </a:t>
          </a:r>
        </a:p>
        <a:p>
          <a:pPr algn="just"/>
          <a:r>
            <a:rPr lang="en-GB" sz="900">
              <a:solidFill>
                <a:sysClr val="windowText" lastClr="000000"/>
              </a:solidFill>
              <a:latin typeface="Times New Roman" panose="02020603050405020304" pitchFamily="18" charset="0"/>
              <a:cs typeface="Times New Roman" panose="02020603050405020304" pitchFamily="18" charset="0"/>
            </a:rPr>
            <a:t>The final report was published in June 2019.  Before that, some of the </a:t>
          </a:r>
          <a:r>
            <a:rPr lang="en-GB" sz="900" b="1">
              <a:solidFill>
                <a:sysClr val="windowText" lastClr="000000"/>
              </a:solidFill>
              <a:latin typeface="Times New Roman" panose="02020603050405020304" pitchFamily="18" charset="0"/>
              <a:cs typeface="Times New Roman" panose="02020603050405020304" pitchFamily="18" charset="0"/>
            </a:rPr>
            <a:t>recommendations made in the technical reports had already been endorsed by the Spanish government in its 2019 stability programme</a:t>
          </a:r>
          <a:r>
            <a:rPr lang="en-GB" sz="900">
              <a:solidFill>
                <a:sysClr val="windowText" lastClr="000000"/>
              </a:solidFill>
              <a:latin typeface="Times New Roman" panose="02020603050405020304" pitchFamily="18" charset="0"/>
              <a:cs typeface="Times New Roman" panose="02020603050405020304" pitchFamily="18" charset="0"/>
            </a:rPr>
            <a:t>. </a:t>
          </a:r>
        </a:p>
        <a:p>
          <a:pPr algn="just"/>
          <a:r>
            <a:rPr lang="en-GB" sz="900">
              <a:solidFill>
                <a:sysClr val="windowText" lastClr="000000"/>
              </a:solidFill>
              <a:latin typeface="Times New Roman" panose="02020603050405020304" pitchFamily="18" charset="0"/>
              <a:cs typeface="Times New Roman" panose="02020603050405020304" pitchFamily="18" charset="0"/>
            </a:rPr>
            <a:t>The objective is to </a:t>
          </a:r>
          <a:r>
            <a:rPr lang="en-GB" sz="900" b="1">
              <a:solidFill>
                <a:sysClr val="windowText" lastClr="000000"/>
              </a:solidFill>
              <a:latin typeface="Times New Roman" panose="02020603050405020304" pitchFamily="18" charset="0"/>
              <a:cs typeface="Times New Roman" panose="02020603050405020304" pitchFamily="18" charset="0"/>
            </a:rPr>
            <a:t>improve the efficiency and effectiveness of public spending in Spain</a:t>
          </a:r>
          <a:r>
            <a:rPr lang="en-GB" sz="900">
              <a:solidFill>
                <a:sysClr val="windowText" lastClr="000000"/>
              </a:solidFill>
              <a:latin typeface="Times New Roman" panose="02020603050405020304" pitchFamily="18" charset="0"/>
              <a:cs typeface="Times New Roman" panose="02020603050405020304" pitchFamily="18" charset="0"/>
            </a:rPr>
            <a:t>.</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AA905F5-3C39-43C0-ADBD-3826AC0A1997}" type="parTrans" cxnId="{7CD05BC1-F83F-412C-BC55-3DE2C00230CE}">
      <dgm:prSet/>
      <dgm:spPr/>
      <dgm:t>
        <a:bodyPr/>
        <a:lstStyle/>
        <a:p>
          <a:endParaRPr lang="en-US"/>
        </a:p>
      </dgm:t>
    </dgm:pt>
    <dgm:pt modelId="{9D072AEE-E55B-4394-96C6-046F227E57CA}" type="sibTrans" cxnId="{7CD05BC1-F83F-412C-BC55-3DE2C00230CE}">
      <dgm:prSet/>
      <dgm:spPr/>
      <dgm:t>
        <a:bodyPr/>
        <a:lstStyle/>
        <a:p>
          <a:endParaRPr lang="en-US"/>
        </a:p>
      </dgm:t>
    </dgm:pt>
    <dgm:pt modelId="{B695D7D2-D3C7-4233-919F-29290ABD053F}">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Revenue administration reform in Latvia (SRSP 2017,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SRSP provided support to the State Revenue Service to implement the mid-term tax strategy by carrying out (i) </a:t>
          </a:r>
          <a:r>
            <a:rPr lang="en-GB" sz="900" b="1">
              <a:solidFill>
                <a:sysClr val="windowText" lastClr="000000"/>
              </a:solidFill>
              <a:latin typeface="Times New Roman" panose="02020603050405020304" pitchFamily="18" charset="0"/>
              <a:cs typeface="Times New Roman" panose="02020603050405020304" pitchFamily="18" charset="0"/>
            </a:rPr>
            <a:t>a measurement of the VAT gap by industry sector and business segment and</a:t>
          </a:r>
          <a:r>
            <a:rPr lang="en-GB" sz="900">
              <a:solidFill>
                <a:sysClr val="windowText" lastClr="000000"/>
              </a:solidFill>
              <a:latin typeface="Times New Roman" panose="02020603050405020304" pitchFamily="18" charset="0"/>
              <a:cs typeface="Times New Roman" panose="02020603050405020304" pitchFamily="18" charset="0"/>
            </a:rPr>
            <a:t>, (ii) an </a:t>
          </a:r>
          <a:r>
            <a:rPr lang="en-GB" sz="900" b="1">
              <a:solidFill>
                <a:sysClr val="windowText" lastClr="000000"/>
              </a:solidFill>
              <a:latin typeface="Times New Roman" panose="02020603050405020304" pitchFamily="18" charset="0"/>
              <a:cs typeface="Times New Roman" panose="02020603050405020304" pitchFamily="18" charset="0"/>
            </a:rPr>
            <a:t>analysis of the different types of tax fraud being perpetrated in Latvia</a:t>
          </a:r>
          <a:r>
            <a:rPr lang="en-GB" sz="900">
              <a:solidFill>
                <a:sysClr val="windowText" lastClr="000000"/>
              </a:solidFill>
              <a:latin typeface="Times New Roman" panose="02020603050405020304" pitchFamily="18" charset="0"/>
              <a:cs typeface="Times New Roman" panose="02020603050405020304" pitchFamily="18" charset="0"/>
            </a:rPr>
            <a:t>, including </a:t>
          </a:r>
          <a:r>
            <a:rPr lang="en-GB" sz="900" b="1">
              <a:solidFill>
                <a:sysClr val="windowText" lastClr="000000"/>
              </a:solidFill>
              <a:latin typeface="Times New Roman" panose="02020603050405020304" pitchFamily="18" charset="0"/>
              <a:cs typeface="Times New Roman" panose="02020603050405020304" pitchFamily="18" charset="0"/>
            </a:rPr>
            <a:t>recommendations and training on tackling them</a:t>
          </a:r>
          <a:r>
            <a:rPr lang="en-GB" sz="900">
              <a:solidFill>
                <a:sysClr val="windowText" lastClr="000000"/>
              </a:solidFill>
              <a:latin typeface="Times New Roman" panose="02020603050405020304" pitchFamily="18" charset="0"/>
              <a:cs typeface="Times New Roman" panose="02020603050405020304" pitchFamily="18" charset="0"/>
            </a:rPr>
            <a:t>. The programme continues to support the State Revenue Service in 2018 and 2019 to implement the mid-term tax strategy. The objective is to </a:t>
          </a:r>
          <a:r>
            <a:rPr lang="en-GB" sz="900" b="1">
              <a:solidFill>
                <a:sysClr val="windowText" lastClr="000000"/>
              </a:solidFill>
              <a:latin typeface="Times New Roman" panose="02020603050405020304" pitchFamily="18" charset="0"/>
              <a:cs typeface="Times New Roman" panose="02020603050405020304" pitchFamily="18" charset="0"/>
            </a:rPr>
            <a:t>improve the detection and deterrence of non-compliance and fraud </a:t>
          </a:r>
          <a:r>
            <a:rPr lang="en-GB" sz="900">
              <a:solidFill>
                <a:sysClr val="windowText" lastClr="000000"/>
              </a:solidFill>
              <a:latin typeface="Times New Roman" panose="02020603050405020304" pitchFamily="18" charset="0"/>
              <a:cs typeface="Times New Roman" panose="02020603050405020304" pitchFamily="18" charset="0"/>
            </a:rPr>
            <a:t>in key tax areas and to increase state revenues.</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E5380D1-B959-4C93-8AD3-2B348E533C04}" type="parTrans" cxnId="{B06B2A6C-D834-4CDF-935C-B8CB79FFF27D}">
      <dgm:prSet/>
      <dgm:spPr/>
      <dgm:t>
        <a:bodyPr/>
        <a:lstStyle/>
        <a:p>
          <a:endParaRPr lang="en-US"/>
        </a:p>
      </dgm:t>
    </dgm:pt>
    <dgm:pt modelId="{5FED4338-B5C5-4330-8CA9-87CFA47D725D}" type="sibTrans" cxnId="{B06B2A6C-D834-4CDF-935C-B8CB79FFF27D}">
      <dgm:prSet/>
      <dgm:spPr/>
      <dgm:t>
        <a:bodyPr/>
        <a:lstStyle/>
        <a:p>
          <a:endParaRPr lang="en-US"/>
        </a:p>
      </dgm:t>
    </dgm:pt>
    <dgm:pt modelId="{6A91017B-01FC-49D9-9873-44B1F0381F4D}" type="pres">
      <dgm:prSet presAssocID="{D3D802EA-E4DC-481B-832B-C94F0FE5F541}" presName="linear" presStyleCnt="0">
        <dgm:presLayoutVars>
          <dgm:dir/>
          <dgm:resizeHandles val="exact"/>
        </dgm:presLayoutVars>
      </dgm:prSet>
      <dgm:spPr/>
      <dgm:t>
        <a:bodyPr/>
        <a:lstStyle/>
        <a:p>
          <a:endParaRPr lang="en-US"/>
        </a:p>
      </dgm:t>
    </dgm:pt>
    <dgm:pt modelId="{A4FE941E-F1BC-49CE-9F7A-5DD7DB33996B}" type="pres">
      <dgm:prSet presAssocID="{D1AFAC9A-99C9-45A9-A870-5C9694355A22}" presName="comp" presStyleCnt="0"/>
      <dgm:spPr/>
    </dgm:pt>
    <dgm:pt modelId="{E9174D94-5912-4A8D-ABC2-86DA0246994C}" type="pres">
      <dgm:prSet presAssocID="{D1AFAC9A-99C9-45A9-A870-5C9694355A22}" presName="box" presStyleLbl="node1" presStyleIdx="0" presStyleCnt="4" custScaleY="66353"/>
      <dgm:spPr/>
      <dgm:t>
        <a:bodyPr/>
        <a:lstStyle/>
        <a:p>
          <a:endParaRPr lang="en-US"/>
        </a:p>
      </dgm:t>
    </dgm:pt>
    <dgm:pt modelId="{8859263C-DC5A-47C0-9736-94028708D689}" type="pres">
      <dgm:prSet presAssocID="{D1AFAC9A-99C9-45A9-A870-5C9694355A22}" presName="img" presStyleLbl="fgImgPlace1" presStyleIdx="0" presStyleCnt="4" custScaleX="112770" custScaleY="54549" custLinFactNeighborX="-13253" custLinFactNeighborY="-716"/>
      <dgm:spPr>
        <a:blipFill rotWithShape="1">
          <a:blip xmlns:r="http://schemas.openxmlformats.org/officeDocument/2006/relationships" r:embed="rId1"/>
          <a:stretch>
            <a:fillRect/>
          </a:stretch>
        </a:blipFill>
      </dgm:spPr>
      <dgm:t>
        <a:bodyPr/>
        <a:lstStyle/>
        <a:p>
          <a:endParaRPr lang="en-GB"/>
        </a:p>
      </dgm:t>
    </dgm:pt>
    <dgm:pt modelId="{9DA1B2CA-1A1B-48E2-AC5C-968D567B42A4}" type="pres">
      <dgm:prSet presAssocID="{D1AFAC9A-99C9-45A9-A870-5C9694355A22}" presName="text" presStyleLbl="node1" presStyleIdx="0" presStyleCnt="4">
        <dgm:presLayoutVars>
          <dgm:bulletEnabled val="1"/>
        </dgm:presLayoutVars>
      </dgm:prSet>
      <dgm:spPr/>
      <dgm:t>
        <a:bodyPr/>
        <a:lstStyle/>
        <a:p>
          <a:endParaRPr lang="en-US"/>
        </a:p>
      </dgm:t>
    </dgm:pt>
    <dgm:pt modelId="{3C3D48D1-7A97-48CF-839C-AF763AFECC12}" type="pres">
      <dgm:prSet presAssocID="{048CB263-5B50-45F5-A784-A79B46E9FEF3}" presName="spacer" presStyleCnt="0"/>
      <dgm:spPr/>
    </dgm:pt>
    <dgm:pt modelId="{A0AA8D95-41E8-4F45-BE9A-EC28F99EB166}" type="pres">
      <dgm:prSet presAssocID="{A845003F-CD52-4919-88B7-35CA867282A7}" presName="comp" presStyleCnt="0"/>
      <dgm:spPr/>
    </dgm:pt>
    <dgm:pt modelId="{4AF059EE-D9BA-4391-972C-DFFA8500EE44}" type="pres">
      <dgm:prSet presAssocID="{A845003F-CD52-4919-88B7-35CA867282A7}" presName="box" presStyleLbl="node1" presStyleIdx="1" presStyleCnt="4" custScaleY="49688" custLinFactNeighborY="-8059"/>
      <dgm:spPr/>
      <dgm:t>
        <a:bodyPr/>
        <a:lstStyle/>
        <a:p>
          <a:endParaRPr lang="en-US"/>
        </a:p>
      </dgm:t>
    </dgm:pt>
    <dgm:pt modelId="{87A84380-8CDD-4E93-A5AA-C07765DCDBDD}" type="pres">
      <dgm:prSet presAssocID="{A845003F-CD52-4919-88B7-35CA867282A7}" presName="img" presStyleLbl="fgImgPlace1" presStyleIdx="1" presStyleCnt="4" custScaleX="111031" custScaleY="39962" custLinFactNeighborX="-17375" custLinFactNeighborY="-10646"/>
      <dgm:spPr>
        <a:blipFill rotWithShape="1">
          <a:blip xmlns:r="http://schemas.openxmlformats.org/officeDocument/2006/relationships" r:embed="rId2"/>
          <a:stretch>
            <a:fillRect/>
          </a:stretch>
        </a:blipFill>
      </dgm:spPr>
      <dgm:t>
        <a:bodyPr/>
        <a:lstStyle/>
        <a:p>
          <a:endParaRPr lang="en-GB"/>
        </a:p>
      </dgm:t>
    </dgm:pt>
    <dgm:pt modelId="{3D4C6850-17D9-40BF-91DE-11FE24F94EBB}" type="pres">
      <dgm:prSet presAssocID="{A845003F-CD52-4919-88B7-35CA867282A7}" presName="text" presStyleLbl="node1" presStyleIdx="1" presStyleCnt="4">
        <dgm:presLayoutVars>
          <dgm:bulletEnabled val="1"/>
        </dgm:presLayoutVars>
      </dgm:prSet>
      <dgm:spPr/>
      <dgm:t>
        <a:bodyPr/>
        <a:lstStyle/>
        <a:p>
          <a:endParaRPr lang="en-US"/>
        </a:p>
      </dgm:t>
    </dgm:pt>
    <dgm:pt modelId="{8180C784-30BE-4CBB-B586-B315E7CBAB4E}" type="pres">
      <dgm:prSet presAssocID="{3B4D38AD-02A4-4427-82BA-24D96AA4D6DB}" presName="spacer" presStyleCnt="0"/>
      <dgm:spPr/>
    </dgm:pt>
    <dgm:pt modelId="{E73212C8-C50A-44AC-8858-EC733E7AE9E1}" type="pres">
      <dgm:prSet presAssocID="{699818C4-5A04-4EA6-9FBB-A8D39B44A5F5}" presName="comp" presStyleCnt="0"/>
      <dgm:spPr/>
    </dgm:pt>
    <dgm:pt modelId="{0660046B-068D-4658-94DA-0BA86C1CCA65}" type="pres">
      <dgm:prSet presAssocID="{699818C4-5A04-4EA6-9FBB-A8D39B44A5F5}" presName="box" presStyleLbl="node1" presStyleIdx="2" presStyleCnt="4" custScaleY="45787" custLinFactNeighborY="-15826"/>
      <dgm:spPr/>
      <dgm:t>
        <a:bodyPr/>
        <a:lstStyle/>
        <a:p>
          <a:endParaRPr lang="en-US"/>
        </a:p>
      </dgm:t>
    </dgm:pt>
    <dgm:pt modelId="{782D63B9-C4B7-4CC1-80AD-5B97CF66ED78}" type="pres">
      <dgm:prSet presAssocID="{699818C4-5A04-4EA6-9FBB-A8D39B44A5F5}" presName="img" presStyleLbl="fgImgPlace1" presStyleIdx="2" presStyleCnt="4" custScaleX="111336" custScaleY="42830" custLinFactNeighborX="-13010" custLinFactNeighborY="-19724"/>
      <dgm:spPr>
        <a:blipFill rotWithShape="1">
          <a:blip xmlns:r="http://schemas.openxmlformats.org/officeDocument/2006/relationships" r:embed="rId3"/>
          <a:stretch>
            <a:fillRect/>
          </a:stretch>
        </a:blipFill>
      </dgm:spPr>
      <dgm:t>
        <a:bodyPr/>
        <a:lstStyle/>
        <a:p>
          <a:endParaRPr lang="en-GB"/>
        </a:p>
      </dgm:t>
    </dgm:pt>
    <dgm:pt modelId="{74D63CDC-2CCF-4D53-B8D6-86CA896399B4}" type="pres">
      <dgm:prSet presAssocID="{699818C4-5A04-4EA6-9FBB-A8D39B44A5F5}" presName="text" presStyleLbl="node1" presStyleIdx="2" presStyleCnt="4">
        <dgm:presLayoutVars>
          <dgm:bulletEnabled val="1"/>
        </dgm:presLayoutVars>
      </dgm:prSet>
      <dgm:spPr/>
      <dgm:t>
        <a:bodyPr/>
        <a:lstStyle/>
        <a:p>
          <a:endParaRPr lang="en-US"/>
        </a:p>
      </dgm:t>
    </dgm:pt>
    <dgm:pt modelId="{15385C2A-30F7-4C67-A385-C2B290ECF1FC}" type="pres">
      <dgm:prSet presAssocID="{9D072AEE-E55B-4394-96C6-046F227E57CA}" presName="spacer" presStyleCnt="0"/>
      <dgm:spPr/>
    </dgm:pt>
    <dgm:pt modelId="{FC3A1EA6-88F1-44AE-B32D-2718A1929896}" type="pres">
      <dgm:prSet presAssocID="{B695D7D2-D3C7-4233-919F-29290ABD053F}" presName="comp" presStyleCnt="0"/>
      <dgm:spPr/>
    </dgm:pt>
    <dgm:pt modelId="{DF12F56B-EC89-4E24-B03F-11F60AB81CFD}" type="pres">
      <dgm:prSet presAssocID="{B695D7D2-D3C7-4233-919F-29290ABD053F}" presName="box" presStyleLbl="node1" presStyleIdx="3" presStyleCnt="4" custScaleY="45056" custLinFactNeighborY="-21023"/>
      <dgm:spPr/>
      <dgm:t>
        <a:bodyPr/>
        <a:lstStyle/>
        <a:p>
          <a:endParaRPr lang="en-US"/>
        </a:p>
      </dgm:t>
    </dgm:pt>
    <dgm:pt modelId="{BB2EA343-40A7-4FA3-A238-C55427091E94}" type="pres">
      <dgm:prSet presAssocID="{B695D7D2-D3C7-4233-919F-29290ABD053F}" presName="img" presStyleLbl="fgImgPlace1" presStyleIdx="3" presStyleCnt="4" custScaleX="117958" custScaleY="42830" custLinFactNeighborX="-13010" custLinFactNeighborY="-25827"/>
      <dgm:spPr>
        <a:blipFill rotWithShape="1">
          <a:blip xmlns:r="http://schemas.openxmlformats.org/officeDocument/2006/relationships" r:embed="rId4"/>
          <a:stretch>
            <a:fillRect/>
          </a:stretch>
        </a:blipFill>
      </dgm:spPr>
      <dgm:t>
        <a:bodyPr/>
        <a:lstStyle/>
        <a:p>
          <a:endParaRPr lang="en-US"/>
        </a:p>
      </dgm:t>
    </dgm:pt>
    <dgm:pt modelId="{7B9A61A0-31CD-426E-8B8D-A8A189C357CC}" type="pres">
      <dgm:prSet presAssocID="{B695D7D2-D3C7-4233-919F-29290ABD053F}" presName="text" presStyleLbl="node1" presStyleIdx="3" presStyleCnt="4">
        <dgm:presLayoutVars>
          <dgm:bulletEnabled val="1"/>
        </dgm:presLayoutVars>
      </dgm:prSet>
      <dgm:spPr/>
      <dgm:t>
        <a:bodyPr/>
        <a:lstStyle/>
        <a:p>
          <a:endParaRPr lang="en-US"/>
        </a:p>
      </dgm:t>
    </dgm:pt>
  </dgm:ptLst>
  <dgm:cxnLst>
    <dgm:cxn modelId="{61C11C3E-E498-4C1A-BD93-CD0A089772EA}" type="presOf" srcId="{D1AFAC9A-99C9-45A9-A870-5C9694355A22}" destId="{9DA1B2CA-1A1B-48E2-AC5C-968D567B42A4}" srcOrd="1" destOrd="0" presId="urn:microsoft.com/office/officeart/2005/8/layout/vList4"/>
    <dgm:cxn modelId="{DB9AE130-09A4-4170-829E-D768725659A7}" type="presOf" srcId="{A845003F-CD52-4919-88B7-35CA867282A7}" destId="{4AF059EE-D9BA-4391-972C-DFFA8500EE44}" srcOrd="0" destOrd="0" presId="urn:microsoft.com/office/officeart/2005/8/layout/vList4"/>
    <dgm:cxn modelId="{2D894760-9090-4FD5-9CCB-E8BC55CAC801}" type="presOf" srcId="{D1AFAC9A-99C9-45A9-A870-5C9694355A22}" destId="{E9174D94-5912-4A8D-ABC2-86DA0246994C}" srcOrd="0" destOrd="0" presId="urn:microsoft.com/office/officeart/2005/8/layout/vList4"/>
    <dgm:cxn modelId="{7FB04CB2-FA32-4BF1-A09C-A797FAED40F2}" type="presOf" srcId="{A845003F-CD52-4919-88B7-35CA867282A7}" destId="{3D4C6850-17D9-40BF-91DE-11FE24F94EBB}" srcOrd="1" destOrd="0" presId="urn:microsoft.com/office/officeart/2005/8/layout/vList4"/>
    <dgm:cxn modelId="{7812649E-546E-41CC-A340-AB7C919F4D16}" srcId="{D3D802EA-E4DC-481B-832B-C94F0FE5F541}" destId="{A845003F-CD52-4919-88B7-35CA867282A7}" srcOrd="1" destOrd="0" parTransId="{56CEE09F-DAD9-4A7A-BB75-BBCC1AF60AE1}" sibTransId="{3B4D38AD-02A4-4427-82BA-24D96AA4D6DB}"/>
    <dgm:cxn modelId="{08E4E5B9-F8DD-48AC-8128-D9BE33CFEBD2}" srcId="{D3D802EA-E4DC-481B-832B-C94F0FE5F541}" destId="{D1AFAC9A-99C9-45A9-A870-5C9694355A22}" srcOrd="0" destOrd="0" parTransId="{A7995641-64A3-4B04-9D96-84D4E1D4D16E}" sibTransId="{048CB263-5B50-45F5-A784-A79B46E9FEF3}"/>
    <dgm:cxn modelId="{A687E38C-69FE-4BD6-A03D-B55D95E7753A}" type="presOf" srcId="{B695D7D2-D3C7-4233-919F-29290ABD053F}" destId="{DF12F56B-EC89-4E24-B03F-11F60AB81CFD}" srcOrd="0" destOrd="0" presId="urn:microsoft.com/office/officeart/2005/8/layout/vList4"/>
    <dgm:cxn modelId="{23CB9BE2-112B-40F4-BD6D-8FDFC359EB6D}" type="presOf" srcId="{699818C4-5A04-4EA6-9FBB-A8D39B44A5F5}" destId="{74D63CDC-2CCF-4D53-B8D6-86CA896399B4}" srcOrd="1" destOrd="0" presId="urn:microsoft.com/office/officeart/2005/8/layout/vList4"/>
    <dgm:cxn modelId="{7CD05BC1-F83F-412C-BC55-3DE2C00230CE}" srcId="{D3D802EA-E4DC-481B-832B-C94F0FE5F541}" destId="{699818C4-5A04-4EA6-9FBB-A8D39B44A5F5}" srcOrd="2" destOrd="0" parTransId="{2AA905F5-3C39-43C0-ADBD-3826AC0A1997}" sibTransId="{9D072AEE-E55B-4394-96C6-046F227E57CA}"/>
    <dgm:cxn modelId="{6EEAF9A5-DF4B-43C8-8209-6CD2ED7299AE}" type="presOf" srcId="{B695D7D2-D3C7-4233-919F-29290ABD053F}" destId="{7B9A61A0-31CD-426E-8B8D-A8A189C357CC}" srcOrd="1" destOrd="0" presId="urn:microsoft.com/office/officeart/2005/8/layout/vList4"/>
    <dgm:cxn modelId="{37BF4D46-0B3D-4894-A4B0-61FB0362196F}" type="presOf" srcId="{699818C4-5A04-4EA6-9FBB-A8D39B44A5F5}" destId="{0660046B-068D-4658-94DA-0BA86C1CCA65}" srcOrd="0" destOrd="0" presId="urn:microsoft.com/office/officeart/2005/8/layout/vList4"/>
    <dgm:cxn modelId="{10A1DA50-9F4B-4B60-95E0-D49791A53AC4}" type="presOf" srcId="{D3D802EA-E4DC-481B-832B-C94F0FE5F541}" destId="{6A91017B-01FC-49D9-9873-44B1F0381F4D}" srcOrd="0" destOrd="0" presId="urn:microsoft.com/office/officeart/2005/8/layout/vList4"/>
    <dgm:cxn modelId="{B06B2A6C-D834-4CDF-935C-B8CB79FFF27D}" srcId="{D3D802EA-E4DC-481B-832B-C94F0FE5F541}" destId="{B695D7D2-D3C7-4233-919F-29290ABD053F}" srcOrd="3" destOrd="0" parTransId="{2E5380D1-B959-4C93-8AD3-2B348E533C04}" sibTransId="{5FED4338-B5C5-4330-8CA9-87CFA47D725D}"/>
    <dgm:cxn modelId="{39669D6D-5DE2-4758-B683-90BC167B78E8}" type="presParOf" srcId="{6A91017B-01FC-49D9-9873-44B1F0381F4D}" destId="{A4FE941E-F1BC-49CE-9F7A-5DD7DB33996B}" srcOrd="0" destOrd="0" presId="urn:microsoft.com/office/officeart/2005/8/layout/vList4"/>
    <dgm:cxn modelId="{1B7E714C-501E-407B-AC40-062C62A14BBC}" type="presParOf" srcId="{A4FE941E-F1BC-49CE-9F7A-5DD7DB33996B}" destId="{E9174D94-5912-4A8D-ABC2-86DA0246994C}" srcOrd="0" destOrd="0" presId="urn:microsoft.com/office/officeart/2005/8/layout/vList4"/>
    <dgm:cxn modelId="{19880C68-B689-48B0-9ADC-0C62CDDB3437}" type="presParOf" srcId="{A4FE941E-F1BC-49CE-9F7A-5DD7DB33996B}" destId="{8859263C-DC5A-47C0-9736-94028708D689}" srcOrd="1" destOrd="0" presId="urn:microsoft.com/office/officeart/2005/8/layout/vList4"/>
    <dgm:cxn modelId="{E9B66EB4-EBD1-4C21-ADB3-7CD30E8A4785}" type="presParOf" srcId="{A4FE941E-F1BC-49CE-9F7A-5DD7DB33996B}" destId="{9DA1B2CA-1A1B-48E2-AC5C-968D567B42A4}" srcOrd="2" destOrd="0" presId="urn:microsoft.com/office/officeart/2005/8/layout/vList4"/>
    <dgm:cxn modelId="{122F53CA-DADE-41DC-884F-3DABC20DDBA4}" type="presParOf" srcId="{6A91017B-01FC-49D9-9873-44B1F0381F4D}" destId="{3C3D48D1-7A97-48CF-839C-AF763AFECC12}" srcOrd="1" destOrd="0" presId="urn:microsoft.com/office/officeart/2005/8/layout/vList4"/>
    <dgm:cxn modelId="{D402C836-B705-4AD7-820D-88C449D9DB90}" type="presParOf" srcId="{6A91017B-01FC-49D9-9873-44B1F0381F4D}" destId="{A0AA8D95-41E8-4F45-BE9A-EC28F99EB166}" srcOrd="2" destOrd="0" presId="urn:microsoft.com/office/officeart/2005/8/layout/vList4"/>
    <dgm:cxn modelId="{5CCB8B3E-C3B9-4201-86FB-F447BBD71DF1}" type="presParOf" srcId="{A0AA8D95-41E8-4F45-BE9A-EC28F99EB166}" destId="{4AF059EE-D9BA-4391-972C-DFFA8500EE44}" srcOrd="0" destOrd="0" presId="urn:microsoft.com/office/officeart/2005/8/layout/vList4"/>
    <dgm:cxn modelId="{FD60D17D-E03C-4439-A4CB-85BB7371BC1C}" type="presParOf" srcId="{A0AA8D95-41E8-4F45-BE9A-EC28F99EB166}" destId="{87A84380-8CDD-4E93-A5AA-C07765DCDBDD}" srcOrd="1" destOrd="0" presId="urn:microsoft.com/office/officeart/2005/8/layout/vList4"/>
    <dgm:cxn modelId="{1BA768C2-C97F-4F34-8218-BC50E94CFFF2}" type="presParOf" srcId="{A0AA8D95-41E8-4F45-BE9A-EC28F99EB166}" destId="{3D4C6850-17D9-40BF-91DE-11FE24F94EBB}" srcOrd="2" destOrd="0" presId="urn:microsoft.com/office/officeart/2005/8/layout/vList4"/>
    <dgm:cxn modelId="{1E6098E6-E7B0-42EC-B95C-E6DA17C05192}" type="presParOf" srcId="{6A91017B-01FC-49D9-9873-44B1F0381F4D}" destId="{8180C784-30BE-4CBB-B586-B315E7CBAB4E}" srcOrd="3" destOrd="0" presId="urn:microsoft.com/office/officeart/2005/8/layout/vList4"/>
    <dgm:cxn modelId="{B1AB43EC-801F-47CB-A7D1-F005306A7E1E}" type="presParOf" srcId="{6A91017B-01FC-49D9-9873-44B1F0381F4D}" destId="{E73212C8-C50A-44AC-8858-EC733E7AE9E1}" srcOrd="4" destOrd="0" presId="urn:microsoft.com/office/officeart/2005/8/layout/vList4"/>
    <dgm:cxn modelId="{558AF862-D9BB-4026-AA7D-157CAA43C32B}" type="presParOf" srcId="{E73212C8-C50A-44AC-8858-EC733E7AE9E1}" destId="{0660046B-068D-4658-94DA-0BA86C1CCA65}" srcOrd="0" destOrd="0" presId="urn:microsoft.com/office/officeart/2005/8/layout/vList4"/>
    <dgm:cxn modelId="{C4ACA072-A9BA-4577-80D9-ED1E77288D9B}" type="presParOf" srcId="{E73212C8-C50A-44AC-8858-EC733E7AE9E1}" destId="{782D63B9-C4B7-4CC1-80AD-5B97CF66ED78}" srcOrd="1" destOrd="0" presId="urn:microsoft.com/office/officeart/2005/8/layout/vList4"/>
    <dgm:cxn modelId="{960ED9F1-1BEF-4818-8590-EF218906BE06}" type="presParOf" srcId="{E73212C8-C50A-44AC-8858-EC733E7AE9E1}" destId="{74D63CDC-2CCF-4D53-B8D6-86CA896399B4}" srcOrd="2" destOrd="0" presId="urn:microsoft.com/office/officeart/2005/8/layout/vList4"/>
    <dgm:cxn modelId="{7B4FD65C-909A-4CCF-808C-98930B401588}" type="presParOf" srcId="{6A91017B-01FC-49D9-9873-44B1F0381F4D}" destId="{15385C2A-30F7-4C67-A385-C2B290ECF1FC}" srcOrd="5" destOrd="0" presId="urn:microsoft.com/office/officeart/2005/8/layout/vList4"/>
    <dgm:cxn modelId="{25FF2330-6582-42BA-8F8E-6472C7038BD7}" type="presParOf" srcId="{6A91017B-01FC-49D9-9873-44B1F0381F4D}" destId="{FC3A1EA6-88F1-44AE-B32D-2718A1929896}" srcOrd="6" destOrd="0" presId="urn:microsoft.com/office/officeart/2005/8/layout/vList4"/>
    <dgm:cxn modelId="{3DDA32BA-CEB4-42E5-88B0-FF54765E9A26}" type="presParOf" srcId="{FC3A1EA6-88F1-44AE-B32D-2718A1929896}" destId="{DF12F56B-EC89-4E24-B03F-11F60AB81CFD}" srcOrd="0" destOrd="0" presId="urn:microsoft.com/office/officeart/2005/8/layout/vList4"/>
    <dgm:cxn modelId="{40CD935A-4F9A-4B19-BEA8-A22B522C2BB0}" type="presParOf" srcId="{FC3A1EA6-88F1-44AE-B32D-2718A1929896}" destId="{BB2EA343-40A7-4FA3-A238-C55427091E94}" srcOrd="1" destOrd="0" presId="urn:microsoft.com/office/officeart/2005/8/layout/vList4"/>
    <dgm:cxn modelId="{993CF7BD-C78A-4020-B11C-11F9A52E2C38}" type="presParOf" srcId="{FC3A1EA6-88F1-44AE-B32D-2718A1929896}" destId="{7B9A61A0-31CD-426E-8B8D-A8A189C357CC}" srcOrd="2" destOrd="0" presId="urn:microsoft.com/office/officeart/2005/8/layout/vList4"/>
  </dgm:cxnLst>
  <dgm:bg>
    <a:noFill/>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D802EA-E4DC-481B-832B-C94F0FE5F541}" type="doc">
      <dgm:prSet loTypeId="urn:microsoft.com/office/officeart/2005/8/layout/vList4" loCatId="list" qsTypeId="urn:microsoft.com/office/officeart/2005/8/quickstyle/simple1" qsCatId="simple" csTypeId="urn:microsoft.com/office/officeart/2005/8/colors/accent4_3" csCatId="accent4" phldr="1"/>
      <dgm:spPr/>
      <dgm:t>
        <a:bodyPr/>
        <a:lstStyle/>
        <a:p>
          <a:endParaRPr lang="en-US"/>
        </a:p>
      </dgm:t>
    </dgm:pt>
    <dgm:pt modelId="{D1AFAC9A-99C9-45A9-A870-5C9694355A22}">
      <dgm:prSet phldrT="[Text]" custT="1"/>
      <dgm:spPr>
        <a:solidFill>
          <a:schemeClr val="bg1">
            <a:lumMod val="85000"/>
          </a:schemeClr>
        </a:solidFill>
      </dgm:spPr>
      <dgm:t>
        <a:bodyPr/>
        <a:lstStyle/>
        <a:p>
          <a:pPr algn="l">
            <a:lnSpc>
              <a:spcPct val="90000"/>
            </a:lnSpc>
            <a:spcAft>
              <a:spcPct val="35000"/>
            </a:spcAft>
          </a:pPr>
          <a:r>
            <a:rPr lang="en-US" sz="1200" b="1">
              <a:solidFill>
                <a:sysClr val="windowText" lastClr="000000"/>
              </a:solidFill>
              <a:latin typeface="Times New Roman" panose="02020603050405020304" pitchFamily="18" charset="0"/>
              <a:cs typeface="Times New Roman" panose="02020603050405020304" pitchFamily="18" charset="0"/>
            </a:rPr>
            <a:t>Public financial management reform in Portugal (SRSP 2017)</a:t>
          </a:r>
        </a:p>
        <a:p>
          <a:pPr algn="l">
            <a:lnSpc>
              <a:spcPct val="90000"/>
            </a:lnSpc>
            <a:spcAft>
              <a:spcPct val="35000"/>
            </a:spcAft>
          </a:pPr>
          <a:r>
            <a:rPr lang="en-US" sz="900">
              <a:solidFill>
                <a:sysClr val="windowText" lastClr="000000"/>
              </a:solidFill>
              <a:latin typeface="Times New Roman" panose="02020603050405020304" pitchFamily="18" charset="0"/>
              <a:cs typeface="Times New Roman" panose="02020603050405020304" pitchFamily="18" charset="0"/>
            </a:rPr>
            <a:t>The </a:t>
          </a:r>
          <a:r>
            <a:rPr lang="en-GB" sz="900">
              <a:solidFill>
                <a:sysClr val="windowText" lastClr="000000"/>
              </a:solidFill>
              <a:latin typeface="Times New Roman" panose="02020603050405020304" pitchFamily="18" charset="0"/>
              <a:cs typeface="Times New Roman" panose="02020603050405020304" pitchFamily="18" charset="0"/>
            </a:rPr>
            <a:t>SRSS provides support for implementation of the 2015 Budget Framework Law in the areas of cash forecasting, commitments controls and non-tax revenue collection. Following the advice provided, the Portuguese National Republican guard (GNR) will </a:t>
          </a:r>
          <a:r>
            <a:rPr lang="en-GB" sz="900" b="1">
              <a:solidFill>
                <a:sysClr val="windowText" lastClr="000000"/>
              </a:solidFill>
              <a:latin typeface="Times New Roman" panose="02020603050405020304" pitchFamily="18" charset="0"/>
              <a:cs typeface="Times New Roman" panose="02020603050405020304" pitchFamily="18" charset="0"/>
            </a:rPr>
            <a:t>test a new accounting and collection process for non-tax revenue as from January 2020</a:t>
          </a:r>
          <a:r>
            <a:rPr lang="en-GB" sz="900">
              <a:solidFill>
                <a:sysClr val="windowText" lastClr="000000"/>
              </a:solidFill>
              <a:latin typeface="Times New Roman" panose="02020603050405020304" pitchFamily="18" charset="0"/>
              <a:cs typeface="Times New Roman" panose="02020603050405020304" pitchFamily="18" charset="0"/>
            </a:rPr>
            <a:t>. The objective is to </a:t>
          </a:r>
          <a:r>
            <a:rPr lang="en-GB" sz="900" b="1">
              <a:solidFill>
                <a:sysClr val="windowText" lastClr="000000"/>
              </a:solidFill>
              <a:latin typeface="Times New Roman" panose="02020603050405020304" pitchFamily="18" charset="0"/>
              <a:cs typeface="Times New Roman" panose="02020603050405020304" pitchFamily="18" charset="0"/>
            </a:rPr>
            <a:t>strengthen expenditure control and adequate budgeting in Portugal</a:t>
          </a:r>
          <a:r>
            <a:rPr lang="en-GB" sz="900">
              <a:solidFill>
                <a:sysClr val="windowText" lastClr="000000"/>
              </a:solidFill>
              <a:latin typeface="Times New Roman" panose="02020603050405020304" pitchFamily="18" charset="0"/>
              <a:cs typeface="Times New Roman" panose="02020603050405020304" pitchFamily="18" charset="0"/>
            </a:rPr>
            <a:t>.</a:t>
          </a:r>
          <a:r>
            <a:rPr lang="en-GB" sz="900" b="1">
              <a:solidFill>
                <a:sysClr val="windowText" lastClr="000000"/>
              </a:solidFill>
              <a:latin typeface="Times New Roman" panose="02020603050405020304" pitchFamily="18" charset="0"/>
              <a:cs typeface="Times New Roman" panose="02020603050405020304" pitchFamily="18" charset="0"/>
            </a:rPr>
            <a:t> </a:t>
          </a:r>
          <a:endParaRPr lang="en-US" sz="900" b="1">
            <a:solidFill>
              <a:sysClr val="windowText" lastClr="000000"/>
            </a:solidFill>
            <a:latin typeface="Times New Roman" panose="02020603050405020304" pitchFamily="18" charset="0"/>
            <a:cs typeface="Times New Roman" panose="02020603050405020304" pitchFamily="18" charset="0"/>
          </a:endParaRPr>
        </a:p>
      </dgm:t>
    </dgm:pt>
    <dgm:pt modelId="{A7995641-64A3-4B04-9D96-84D4E1D4D16E}" type="parTrans" cxnId="{08E4E5B9-F8DD-48AC-8128-D9BE33CFEBD2}">
      <dgm:prSet/>
      <dgm:spPr/>
      <dgm:t>
        <a:bodyPr/>
        <a:lstStyle/>
        <a:p>
          <a:endParaRPr lang="en-US"/>
        </a:p>
      </dgm:t>
    </dgm:pt>
    <dgm:pt modelId="{048CB263-5B50-45F5-A784-A79B46E9FEF3}" type="sibTrans" cxnId="{08E4E5B9-F8DD-48AC-8128-D9BE33CFEBD2}">
      <dgm:prSet/>
      <dgm:spPr/>
      <dgm:t>
        <a:bodyPr/>
        <a:lstStyle/>
        <a:p>
          <a:endParaRPr lang="en-US"/>
        </a:p>
      </dgm:t>
    </dgm:pt>
    <dgm:pt modelId="{A845003F-CD52-4919-88B7-35CA867282A7}">
      <dgm:prSet phldrT="[Text]" custT="1"/>
      <dgm:spPr>
        <a:solidFill>
          <a:schemeClr val="bg1">
            <a:lumMod val="85000"/>
          </a:schemeClr>
        </a:solidFill>
      </dgm:spPr>
      <dgm:t>
        <a:bodyPr/>
        <a:lstStyle/>
        <a:p>
          <a:pPr algn="l"/>
          <a:r>
            <a:rPr lang="en-GB" sz="1200" b="1">
              <a:solidFill>
                <a:sysClr val="windowText" lastClr="000000"/>
              </a:solidFill>
              <a:latin typeface="Times New Roman" panose="02020603050405020304" pitchFamily="18" charset="0"/>
              <a:cs typeface="Times New Roman" panose="02020603050405020304" pitchFamily="18" charset="0"/>
            </a:rPr>
            <a:t>Strengthen the resolution capacity of the Romanian authorities</a:t>
          </a:r>
          <a:r>
            <a:rPr lang="en-US" sz="1200" b="1">
              <a:solidFill>
                <a:sysClr val="windowText" lastClr="000000"/>
              </a:solidFill>
              <a:latin typeface="Times New Roman" panose="02020603050405020304" pitchFamily="18" charset="0"/>
              <a:cs typeface="Times New Roman" panose="02020603050405020304" pitchFamily="18" charset="0"/>
            </a:rPr>
            <a:t>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SRSP helped to conduct a crisis resolution exercise with the National Bank of Romania, the Bank Deposit Guarantee Fund and the Ministry of Public Finance. The exercise </a:t>
          </a:r>
          <a:r>
            <a:rPr lang="en-GB" sz="900" b="1">
              <a:solidFill>
                <a:sysClr val="windowText" lastClr="000000"/>
              </a:solidFill>
              <a:latin typeface="Times New Roman" panose="02020603050405020304" pitchFamily="18" charset="0"/>
              <a:cs typeface="Times New Roman" panose="02020603050405020304" pitchFamily="18" charset="0"/>
            </a:rPr>
            <a:t>tested the procedures that Romania has in place to handle a collapsing bank. </a:t>
          </a:r>
          <a:r>
            <a:rPr lang="en-GB" sz="900">
              <a:solidFill>
                <a:sysClr val="windowText" lastClr="000000"/>
              </a:solidFill>
              <a:latin typeface="Times New Roman" panose="02020603050405020304" pitchFamily="18" charset="0"/>
              <a:cs typeface="Times New Roman" panose="02020603050405020304" pitchFamily="18" charset="0"/>
            </a:rPr>
            <a:t>The exercise </a:t>
          </a:r>
          <a:r>
            <a:rPr lang="en-GB" sz="900" b="1">
              <a:solidFill>
                <a:sysClr val="windowText" lastClr="000000"/>
              </a:solidFill>
              <a:latin typeface="Times New Roman" panose="02020603050405020304" pitchFamily="18" charset="0"/>
              <a:cs typeface="Times New Roman" panose="02020603050405020304" pitchFamily="18" charset="0"/>
            </a:rPr>
            <a:t>increased the capacity of the authorities to handle such situations and additionally identified a number of options for efficiency gains, which the Romanian authorities have implemented</a:t>
          </a:r>
          <a:r>
            <a:rPr lang="en-GB" sz="900">
              <a:solidFill>
                <a:sysClr val="windowText" lastClr="000000"/>
              </a:solidFill>
              <a:latin typeface="Times New Roman" panose="02020603050405020304" pitchFamily="18" charset="0"/>
              <a:cs typeface="Times New Roman" panose="02020603050405020304" pitchFamily="18" charset="0"/>
            </a:rPr>
            <a:t>. </a:t>
          </a:r>
          <a:endParaRPr lang="en-US" sz="900" b="1">
            <a:solidFill>
              <a:sysClr val="windowText" lastClr="000000"/>
            </a:solidFill>
            <a:latin typeface="Times New Roman" panose="02020603050405020304" pitchFamily="18" charset="0"/>
            <a:cs typeface="Times New Roman" panose="02020603050405020304" pitchFamily="18" charset="0"/>
          </a:endParaRPr>
        </a:p>
      </dgm:t>
    </dgm:pt>
    <dgm:pt modelId="{56CEE09F-DAD9-4A7A-BB75-BBCC1AF60AE1}" type="parTrans" cxnId="{7812649E-546E-41CC-A340-AB7C919F4D16}">
      <dgm:prSet/>
      <dgm:spPr/>
      <dgm:t>
        <a:bodyPr/>
        <a:lstStyle/>
        <a:p>
          <a:endParaRPr lang="en-US"/>
        </a:p>
      </dgm:t>
    </dgm:pt>
    <dgm:pt modelId="{3B4D38AD-02A4-4427-82BA-24D96AA4D6DB}" type="sibTrans" cxnId="{7812649E-546E-41CC-A340-AB7C919F4D16}">
      <dgm:prSet/>
      <dgm:spPr/>
      <dgm:t>
        <a:bodyPr/>
        <a:lstStyle/>
        <a:p>
          <a:endParaRPr lang="en-US"/>
        </a:p>
      </dgm:t>
    </dgm:pt>
    <dgm:pt modelId="{699818C4-5A04-4EA6-9FBB-A8D39B44A5F5}">
      <dgm:prSet phldrT="[Text]" custT="1"/>
      <dgm:spPr>
        <a:solidFill>
          <a:schemeClr val="bg1">
            <a:lumMod val="85000"/>
          </a:schemeClr>
        </a:solidFill>
      </dgm:spPr>
      <dgm:t>
        <a:bodyPr/>
        <a:lstStyle/>
        <a:p>
          <a:pPr algn="l"/>
          <a:r>
            <a:rPr lang="en-GB" sz="1200" b="1">
              <a:solidFill>
                <a:sysClr val="windowText" lastClr="000000"/>
              </a:solidFill>
              <a:latin typeface="Times New Roman" panose="02020603050405020304" pitchFamily="18" charset="0"/>
              <a:cs typeface="Times New Roman" panose="02020603050405020304" pitchFamily="18" charset="0"/>
            </a:rPr>
            <a:t>Improving the efficiency and effectiveness of the Insolvency Service of Cyprus</a:t>
          </a:r>
          <a:r>
            <a:rPr lang="en-US" sz="1200" b="1">
              <a:solidFill>
                <a:sysClr val="windowText" lastClr="000000"/>
              </a:solidFill>
              <a:latin typeface="Times New Roman" panose="02020603050405020304" pitchFamily="18" charset="0"/>
              <a:cs typeface="Times New Roman" panose="02020603050405020304" pitchFamily="18" charset="0"/>
            </a:rPr>
            <a:t>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objective of the project was to</a:t>
          </a:r>
          <a:r>
            <a:rPr lang="en-GB" sz="900" b="1">
              <a:solidFill>
                <a:sysClr val="windowText" lastClr="000000"/>
              </a:solidFill>
              <a:latin typeface="Times New Roman" panose="02020603050405020304" pitchFamily="18" charset="0"/>
              <a:cs typeface="Times New Roman" panose="02020603050405020304" pitchFamily="18" charset="0"/>
            </a:rPr>
            <a:t> </a:t>
          </a:r>
          <a:r>
            <a:rPr lang="en-GB" sz="900">
              <a:solidFill>
                <a:sysClr val="windowText" lastClr="000000"/>
              </a:solidFill>
              <a:latin typeface="Times New Roman" panose="02020603050405020304" pitchFamily="18" charset="0"/>
              <a:cs typeface="Times New Roman" panose="02020603050405020304" pitchFamily="18" charset="0"/>
            </a:rPr>
            <a:t>support the Cypriot authorities in the reorganisation of the Insolvency Service. The support included working with the authorities to develop a </a:t>
          </a:r>
          <a:r>
            <a:rPr lang="en-GB" sz="900" b="1">
              <a:solidFill>
                <a:sysClr val="windowText" lastClr="000000"/>
              </a:solidFill>
              <a:latin typeface="Times New Roman" panose="02020603050405020304" pitchFamily="18" charset="0"/>
              <a:cs typeface="Times New Roman" panose="02020603050405020304" pitchFamily="18" charset="0"/>
            </a:rPr>
            <a:t>new organisational structure for the Service</a:t>
          </a:r>
          <a:r>
            <a:rPr lang="en-GB" sz="900">
              <a:solidFill>
                <a:sysClr val="windowText" lastClr="000000"/>
              </a:solidFill>
              <a:latin typeface="Times New Roman" panose="02020603050405020304" pitchFamily="18" charset="0"/>
              <a:cs typeface="Times New Roman" panose="02020603050405020304" pitchFamily="18" charset="0"/>
            </a:rPr>
            <a:t>, while putting in place a replacement and succession plan and establishing manuals and guides for staff on all core and sub-procedures in the insolvency framework. The authorities are moving forward with </a:t>
          </a:r>
          <a:r>
            <a:rPr lang="en-GB" sz="900" b="1">
              <a:solidFill>
                <a:sysClr val="windowText" lastClr="000000"/>
              </a:solidFill>
              <a:latin typeface="Times New Roman" panose="02020603050405020304" pitchFamily="18" charset="0"/>
              <a:cs typeface="Times New Roman" panose="02020603050405020304" pitchFamily="18" charset="0"/>
            </a:rPr>
            <a:t>implementation by creating an organisationally independent Insolvency Service with the new structure responsible for the implementation</a:t>
          </a:r>
          <a:r>
            <a:rPr lang="en-GB" sz="900">
              <a:solidFill>
                <a:sysClr val="windowText" lastClr="000000"/>
              </a:solidFill>
              <a:latin typeface="Times New Roman" panose="02020603050405020304" pitchFamily="18" charset="0"/>
              <a:cs typeface="Times New Roman" panose="02020603050405020304" pitchFamily="18" charset="0"/>
            </a:rPr>
            <a:t>.</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AA905F5-3C39-43C0-ADBD-3826AC0A1997}" type="parTrans" cxnId="{7CD05BC1-F83F-412C-BC55-3DE2C00230CE}">
      <dgm:prSet/>
      <dgm:spPr/>
      <dgm:t>
        <a:bodyPr/>
        <a:lstStyle/>
        <a:p>
          <a:endParaRPr lang="en-US"/>
        </a:p>
      </dgm:t>
    </dgm:pt>
    <dgm:pt modelId="{9D072AEE-E55B-4394-96C6-046F227E57CA}" type="sibTrans" cxnId="{7CD05BC1-F83F-412C-BC55-3DE2C00230CE}">
      <dgm:prSet/>
      <dgm:spPr/>
      <dgm:t>
        <a:bodyPr/>
        <a:lstStyle/>
        <a:p>
          <a:endParaRPr lang="en-US"/>
        </a:p>
      </dgm:t>
    </dgm:pt>
    <dgm:pt modelId="{B695D7D2-D3C7-4233-919F-29290ABD053F}">
      <dgm:prSet phldrT="[Text]" custT="1"/>
      <dgm:spPr>
        <a:solidFill>
          <a:schemeClr val="bg1">
            <a:lumMod val="85000"/>
          </a:schemeClr>
        </a:solidFill>
      </dgm:spPr>
      <dgm:t>
        <a:bodyPr/>
        <a:lstStyle/>
        <a:p>
          <a:pPr algn="l"/>
          <a:r>
            <a:rPr lang="en-US" sz="1200" b="1">
              <a:solidFill>
                <a:sysClr val="windowText" lastClr="000000"/>
              </a:solidFill>
              <a:latin typeface="Times New Roman" panose="02020603050405020304" pitchFamily="18" charset="0"/>
              <a:cs typeface="Times New Roman" panose="02020603050405020304" pitchFamily="18" charset="0"/>
            </a:rPr>
            <a:t>Supporting the Croatian development bank (SRSP 2018)</a:t>
          </a:r>
        </a:p>
        <a:p>
          <a:pPr algn="just"/>
          <a:r>
            <a:rPr lang="en-GB" sz="900">
              <a:solidFill>
                <a:sysClr val="windowText" lastClr="000000"/>
              </a:solidFill>
              <a:latin typeface="Times New Roman" panose="02020603050405020304" pitchFamily="18" charset="0"/>
              <a:cs typeface="Times New Roman" panose="02020603050405020304" pitchFamily="18" charset="0"/>
            </a:rPr>
            <a:t>The SRSP provided support to the Croatian development bank (HBOR) to </a:t>
          </a:r>
          <a:r>
            <a:rPr lang="en-GB" sz="900" b="1">
              <a:solidFill>
                <a:sysClr val="windowText" lastClr="000000"/>
              </a:solidFill>
              <a:latin typeface="Times New Roman" panose="02020603050405020304" pitchFamily="18" charset="0"/>
              <a:cs typeface="Times New Roman" panose="02020603050405020304" pitchFamily="18" charset="0"/>
            </a:rPr>
            <a:t>introduce a medium-term strategy</a:t>
          </a:r>
          <a:r>
            <a:rPr lang="en-GB" sz="900">
              <a:solidFill>
                <a:sysClr val="windowText" lastClr="000000"/>
              </a:solidFill>
              <a:latin typeface="Times New Roman" panose="02020603050405020304" pitchFamily="18" charset="0"/>
              <a:cs typeface="Times New Roman" panose="02020603050405020304" pitchFamily="18" charset="0"/>
            </a:rPr>
            <a:t>. The work involved (i) an internal and external analysis of HBOR’s environment, including an ex-ante market analysis, (ii) the development of a strategic plan, together with a methodology for monitoring and implementation, and (iii) proposals for organisational changes. HBOR is now </a:t>
          </a:r>
          <a:r>
            <a:rPr lang="en-GB" sz="900" b="1">
              <a:solidFill>
                <a:sysClr val="windowText" lastClr="000000"/>
              </a:solidFill>
              <a:latin typeface="Times New Roman" panose="02020603050405020304" pitchFamily="18" charset="0"/>
              <a:cs typeface="Times New Roman" panose="02020603050405020304" pitchFamily="18" charset="0"/>
            </a:rPr>
            <a:t>planning to take the strategic plan forward and move towards implementation</a:t>
          </a:r>
          <a:r>
            <a:rPr lang="en-GB" sz="900">
              <a:solidFill>
                <a:sysClr val="windowText" lastClr="000000"/>
              </a:solidFill>
              <a:latin typeface="Times New Roman" panose="02020603050405020304" pitchFamily="18" charset="0"/>
              <a:cs typeface="Times New Roman" panose="02020603050405020304" pitchFamily="18" charset="0"/>
            </a:rPr>
            <a:t>.</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E5380D1-B959-4C93-8AD3-2B348E533C04}" type="parTrans" cxnId="{B06B2A6C-D834-4CDF-935C-B8CB79FFF27D}">
      <dgm:prSet/>
      <dgm:spPr/>
      <dgm:t>
        <a:bodyPr/>
        <a:lstStyle/>
        <a:p>
          <a:endParaRPr lang="en-US"/>
        </a:p>
      </dgm:t>
    </dgm:pt>
    <dgm:pt modelId="{5FED4338-B5C5-4330-8CA9-87CFA47D725D}" type="sibTrans" cxnId="{B06B2A6C-D834-4CDF-935C-B8CB79FFF27D}">
      <dgm:prSet/>
      <dgm:spPr/>
      <dgm:t>
        <a:bodyPr/>
        <a:lstStyle/>
        <a:p>
          <a:endParaRPr lang="en-US"/>
        </a:p>
      </dgm:t>
    </dgm:pt>
    <dgm:pt modelId="{6A91017B-01FC-49D9-9873-44B1F0381F4D}" type="pres">
      <dgm:prSet presAssocID="{D3D802EA-E4DC-481B-832B-C94F0FE5F541}" presName="linear" presStyleCnt="0">
        <dgm:presLayoutVars>
          <dgm:dir/>
          <dgm:resizeHandles val="exact"/>
        </dgm:presLayoutVars>
      </dgm:prSet>
      <dgm:spPr/>
      <dgm:t>
        <a:bodyPr/>
        <a:lstStyle/>
        <a:p>
          <a:endParaRPr lang="en-US"/>
        </a:p>
      </dgm:t>
    </dgm:pt>
    <dgm:pt modelId="{A4FE941E-F1BC-49CE-9F7A-5DD7DB33996B}" type="pres">
      <dgm:prSet presAssocID="{D1AFAC9A-99C9-45A9-A870-5C9694355A22}" presName="comp" presStyleCnt="0"/>
      <dgm:spPr/>
    </dgm:pt>
    <dgm:pt modelId="{E9174D94-5912-4A8D-ABC2-86DA0246994C}" type="pres">
      <dgm:prSet presAssocID="{D1AFAC9A-99C9-45A9-A870-5C9694355A22}" presName="box" presStyleLbl="node1" presStyleIdx="0" presStyleCnt="4" custScaleY="28360"/>
      <dgm:spPr/>
      <dgm:t>
        <a:bodyPr/>
        <a:lstStyle/>
        <a:p>
          <a:endParaRPr lang="en-US"/>
        </a:p>
      </dgm:t>
    </dgm:pt>
    <dgm:pt modelId="{8859263C-DC5A-47C0-9736-94028708D689}" type="pres">
      <dgm:prSet presAssocID="{D1AFAC9A-99C9-45A9-A870-5C9694355A22}" presName="img" presStyleLbl="fgImgPlace1" presStyleIdx="0" presStyleCnt="4" custScaleX="112770" custScaleY="29401" custLinFactNeighborX="-13253" custLinFactNeighborY="-716"/>
      <dgm:spPr>
        <a:blipFill rotWithShape="1">
          <a:blip xmlns:r="http://schemas.openxmlformats.org/officeDocument/2006/relationships" r:embed="rId1"/>
          <a:stretch>
            <a:fillRect/>
          </a:stretch>
        </a:blipFill>
      </dgm:spPr>
      <dgm:t>
        <a:bodyPr/>
        <a:lstStyle/>
        <a:p>
          <a:endParaRPr lang="en-GB"/>
        </a:p>
      </dgm:t>
    </dgm:pt>
    <dgm:pt modelId="{9DA1B2CA-1A1B-48E2-AC5C-968D567B42A4}" type="pres">
      <dgm:prSet presAssocID="{D1AFAC9A-99C9-45A9-A870-5C9694355A22}" presName="text" presStyleLbl="node1" presStyleIdx="0" presStyleCnt="4">
        <dgm:presLayoutVars>
          <dgm:bulletEnabled val="1"/>
        </dgm:presLayoutVars>
      </dgm:prSet>
      <dgm:spPr/>
      <dgm:t>
        <a:bodyPr/>
        <a:lstStyle/>
        <a:p>
          <a:endParaRPr lang="en-US"/>
        </a:p>
      </dgm:t>
    </dgm:pt>
    <dgm:pt modelId="{3C3D48D1-7A97-48CF-839C-AF763AFECC12}" type="pres">
      <dgm:prSet presAssocID="{048CB263-5B50-45F5-A784-A79B46E9FEF3}" presName="spacer" presStyleCnt="0"/>
      <dgm:spPr/>
    </dgm:pt>
    <dgm:pt modelId="{A0AA8D95-41E8-4F45-BE9A-EC28F99EB166}" type="pres">
      <dgm:prSet presAssocID="{A845003F-CD52-4919-88B7-35CA867282A7}" presName="comp" presStyleCnt="0"/>
      <dgm:spPr/>
    </dgm:pt>
    <dgm:pt modelId="{4AF059EE-D9BA-4391-972C-DFFA8500EE44}" type="pres">
      <dgm:prSet presAssocID="{A845003F-CD52-4919-88B7-35CA867282A7}" presName="box" presStyleLbl="node1" presStyleIdx="1" presStyleCnt="4" custScaleY="30756" custLinFactNeighborY="-8059"/>
      <dgm:spPr/>
      <dgm:t>
        <a:bodyPr/>
        <a:lstStyle/>
        <a:p>
          <a:endParaRPr lang="en-US"/>
        </a:p>
      </dgm:t>
    </dgm:pt>
    <dgm:pt modelId="{87A84380-8CDD-4E93-A5AA-C07765DCDBDD}" type="pres">
      <dgm:prSet presAssocID="{A845003F-CD52-4919-88B7-35CA867282A7}" presName="img" presStyleLbl="fgImgPlace1" presStyleIdx="1" presStyleCnt="4" custScaleX="111031" custScaleY="30454" custLinFactNeighborX="-17375" custLinFactNeighborY="-10646"/>
      <dgm:spPr>
        <a:blipFill rotWithShape="1">
          <a:blip xmlns:r="http://schemas.openxmlformats.org/officeDocument/2006/relationships" r:embed="rId2"/>
          <a:stretch>
            <a:fillRect/>
          </a:stretch>
        </a:blipFill>
      </dgm:spPr>
      <dgm:t>
        <a:bodyPr/>
        <a:lstStyle/>
        <a:p>
          <a:endParaRPr lang="en-GB"/>
        </a:p>
      </dgm:t>
    </dgm:pt>
    <dgm:pt modelId="{3D4C6850-17D9-40BF-91DE-11FE24F94EBB}" type="pres">
      <dgm:prSet presAssocID="{A845003F-CD52-4919-88B7-35CA867282A7}" presName="text" presStyleLbl="node1" presStyleIdx="1" presStyleCnt="4">
        <dgm:presLayoutVars>
          <dgm:bulletEnabled val="1"/>
        </dgm:presLayoutVars>
      </dgm:prSet>
      <dgm:spPr/>
      <dgm:t>
        <a:bodyPr/>
        <a:lstStyle/>
        <a:p>
          <a:endParaRPr lang="en-US"/>
        </a:p>
      </dgm:t>
    </dgm:pt>
    <dgm:pt modelId="{8180C784-30BE-4CBB-B586-B315E7CBAB4E}" type="pres">
      <dgm:prSet presAssocID="{3B4D38AD-02A4-4427-82BA-24D96AA4D6DB}" presName="spacer" presStyleCnt="0"/>
      <dgm:spPr/>
    </dgm:pt>
    <dgm:pt modelId="{E73212C8-C50A-44AC-8858-EC733E7AE9E1}" type="pres">
      <dgm:prSet presAssocID="{699818C4-5A04-4EA6-9FBB-A8D39B44A5F5}" presName="comp" presStyleCnt="0"/>
      <dgm:spPr/>
    </dgm:pt>
    <dgm:pt modelId="{0660046B-068D-4658-94DA-0BA86C1CCA65}" type="pres">
      <dgm:prSet presAssocID="{699818C4-5A04-4EA6-9FBB-A8D39B44A5F5}" presName="box" presStyleLbl="node1" presStyleIdx="2" presStyleCnt="4" custScaleY="28100" custLinFactNeighborY="-15826"/>
      <dgm:spPr/>
      <dgm:t>
        <a:bodyPr/>
        <a:lstStyle/>
        <a:p>
          <a:endParaRPr lang="en-US"/>
        </a:p>
      </dgm:t>
    </dgm:pt>
    <dgm:pt modelId="{782D63B9-C4B7-4CC1-80AD-5B97CF66ED78}" type="pres">
      <dgm:prSet presAssocID="{699818C4-5A04-4EA6-9FBB-A8D39B44A5F5}" presName="img" presStyleLbl="fgImgPlace1" presStyleIdx="2" presStyleCnt="4" custScaleX="111336" custScaleY="34107" custLinFactNeighborX="-13010" custLinFactNeighborY="-19724"/>
      <dgm:spPr>
        <a:blipFill rotWithShape="1">
          <a:blip xmlns:r="http://schemas.openxmlformats.org/officeDocument/2006/relationships" r:embed="rId3"/>
          <a:stretch>
            <a:fillRect/>
          </a:stretch>
        </a:blipFill>
      </dgm:spPr>
      <dgm:t>
        <a:bodyPr/>
        <a:lstStyle/>
        <a:p>
          <a:endParaRPr lang="en-GB"/>
        </a:p>
      </dgm:t>
    </dgm:pt>
    <dgm:pt modelId="{74D63CDC-2CCF-4D53-B8D6-86CA896399B4}" type="pres">
      <dgm:prSet presAssocID="{699818C4-5A04-4EA6-9FBB-A8D39B44A5F5}" presName="text" presStyleLbl="node1" presStyleIdx="2" presStyleCnt="4">
        <dgm:presLayoutVars>
          <dgm:bulletEnabled val="1"/>
        </dgm:presLayoutVars>
      </dgm:prSet>
      <dgm:spPr/>
      <dgm:t>
        <a:bodyPr/>
        <a:lstStyle/>
        <a:p>
          <a:endParaRPr lang="en-US"/>
        </a:p>
      </dgm:t>
    </dgm:pt>
    <dgm:pt modelId="{15385C2A-30F7-4C67-A385-C2B290ECF1FC}" type="pres">
      <dgm:prSet presAssocID="{9D072AEE-E55B-4394-96C6-046F227E57CA}" presName="spacer" presStyleCnt="0"/>
      <dgm:spPr/>
    </dgm:pt>
    <dgm:pt modelId="{FC3A1EA6-88F1-44AE-B32D-2718A1929896}" type="pres">
      <dgm:prSet presAssocID="{B695D7D2-D3C7-4233-919F-29290ABD053F}" presName="comp" presStyleCnt="0"/>
      <dgm:spPr/>
    </dgm:pt>
    <dgm:pt modelId="{DF12F56B-EC89-4E24-B03F-11F60AB81CFD}" type="pres">
      <dgm:prSet presAssocID="{B695D7D2-D3C7-4233-919F-29290ABD053F}" presName="box" presStyleLbl="node1" presStyleIdx="3" presStyleCnt="4" custScaleY="27618" custLinFactNeighborY="-23365"/>
      <dgm:spPr/>
      <dgm:t>
        <a:bodyPr/>
        <a:lstStyle/>
        <a:p>
          <a:endParaRPr lang="en-US"/>
        </a:p>
      </dgm:t>
    </dgm:pt>
    <dgm:pt modelId="{BB2EA343-40A7-4FA3-A238-C55427091E94}" type="pres">
      <dgm:prSet presAssocID="{B695D7D2-D3C7-4233-919F-29290ABD053F}" presName="img" presStyleLbl="fgImgPlace1" presStyleIdx="3" presStyleCnt="4" custScaleX="117958" custScaleY="29503" custLinFactNeighborX="-13010" custLinFactNeighborY="-28753"/>
      <dgm:spPr>
        <a:blipFill rotWithShape="1">
          <a:blip xmlns:r="http://schemas.openxmlformats.org/officeDocument/2006/relationships" r:embed="rId4"/>
          <a:stretch>
            <a:fillRect/>
          </a:stretch>
        </a:blipFill>
      </dgm:spPr>
      <dgm:t>
        <a:bodyPr/>
        <a:lstStyle/>
        <a:p>
          <a:endParaRPr lang="en-US"/>
        </a:p>
      </dgm:t>
    </dgm:pt>
    <dgm:pt modelId="{7B9A61A0-31CD-426E-8B8D-A8A189C357CC}" type="pres">
      <dgm:prSet presAssocID="{B695D7D2-D3C7-4233-919F-29290ABD053F}" presName="text" presStyleLbl="node1" presStyleIdx="3" presStyleCnt="4">
        <dgm:presLayoutVars>
          <dgm:bulletEnabled val="1"/>
        </dgm:presLayoutVars>
      </dgm:prSet>
      <dgm:spPr/>
      <dgm:t>
        <a:bodyPr/>
        <a:lstStyle/>
        <a:p>
          <a:endParaRPr lang="en-US"/>
        </a:p>
      </dgm:t>
    </dgm:pt>
  </dgm:ptLst>
  <dgm:cxnLst>
    <dgm:cxn modelId="{61C11C3E-E498-4C1A-BD93-CD0A089772EA}" type="presOf" srcId="{D1AFAC9A-99C9-45A9-A870-5C9694355A22}" destId="{9DA1B2CA-1A1B-48E2-AC5C-968D567B42A4}" srcOrd="1" destOrd="0" presId="urn:microsoft.com/office/officeart/2005/8/layout/vList4"/>
    <dgm:cxn modelId="{DB9AE130-09A4-4170-829E-D768725659A7}" type="presOf" srcId="{A845003F-CD52-4919-88B7-35CA867282A7}" destId="{4AF059EE-D9BA-4391-972C-DFFA8500EE44}" srcOrd="0" destOrd="0" presId="urn:microsoft.com/office/officeart/2005/8/layout/vList4"/>
    <dgm:cxn modelId="{2D894760-9090-4FD5-9CCB-E8BC55CAC801}" type="presOf" srcId="{D1AFAC9A-99C9-45A9-A870-5C9694355A22}" destId="{E9174D94-5912-4A8D-ABC2-86DA0246994C}" srcOrd="0" destOrd="0" presId="urn:microsoft.com/office/officeart/2005/8/layout/vList4"/>
    <dgm:cxn modelId="{7FB04CB2-FA32-4BF1-A09C-A797FAED40F2}" type="presOf" srcId="{A845003F-CD52-4919-88B7-35CA867282A7}" destId="{3D4C6850-17D9-40BF-91DE-11FE24F94EBB}" srcOrd="1" destOrd="0" presId="urn:microsoft.com/office/officeart/2005/8/layout/vList4"/>
    <dgm:cxn modelId="{7812649E-546E-41CC-A340-AB7C919F4D16}" srcId="{D3D802EA-E4DC-481B-832B-C94F0FE5F541}" destId="{A845003F-CD52-4919-88B7-35CA867282A7}" srcOrd="1" destOrd="0" parTransId="{56CEE09F-DAD9-4A7A-BB75-BBCC1AF60AE1}" sibTransId="{3B4D38AD-02A4-4427-82BA-24D96AA4D6DB}"/>
    <dgm:cxn modelId="{08E4E5B9-F8DD-48AC-8128-D9BE33CFEBD2}" srcId="{D3D802EA-E4DC-481B-832B-C94F0FE5F541}" destId="{D1AFAC9A-99C9-45A9-A870-5C9694355A22}" srcOrd="0" destOrd="0" parTransId="{A7995641-64A3-4B04-9D96-84D4E1D4D16E}" sibTransId="{048CB263-5B50-45F5-A784-A79B46E9FEF3}"/>
    <dgm:cxn modelId="{A687E38C-69FE-4BD6-A03D-B55D95E7753A}" type="presOf" srcId="{B695D7D2-D3C7-4233-919F-29290ABD053F}" destId="{DF12F56B-EC89-4E24-B03F-11F60AB81CFD}" srcOrd="0" destOrd="0" presId="urn:microsoft.com/office/officeart/2005/8/layout/vList4"/>
    <dgm:cxn modelId="{23CB9BE2-112B-40F4-BD6D-8FDFC359EB6D}" type="presOf" srcId="{699818C4-5A04-4EA6-9FBB-A8D39B44A5F5}" destId="{74D63CDC-2CCF-4D53-B8D6-86CA896399B4}" srcOrd="1" destOrd="0" presId="urn:microsoft.com/office/officeart/2005/8/layout/vList4"/>
    <dgm:cxn modelId="{7CD05BC1-F83F-412C-BC55-3DE2C00230CE}" srcId="{D3D802EA-E4DC-481B-832B-C94F0FE5F541}" destId="{699818C4-5A04-4EA6-9FBB-A8D39B44A5F5}" srcOrd="2" destOrd="0" parTransId="{2AA905F5-3C39-43C0-ADBD-3826AC0A1997}" sibTransId="{9D072AEE-E55B-4394-96C6-046F227E57CA}"/>
    <dgm:cxn modelId="{6EEAF9A5-DF4B-43C8-8209-6CD2ED7299AE}" type="presOf" srcId="{B695D7D2-D3C7-4233-919F-29290ABD053F}" destId="{7B9A61A0-31CD-426E-8B8D-A8A189C357CC}" srcOrd="1" destOrd="0" presId="urn:microsoft.com/office/officeart/2005/8/layout/vList4"/>
    <dgm:cxn modelId="{37BF4D46-0B3D-4894-A4B0-61FB0362196F}" type="presOf" srcId="{699818C4-5A04-4EA6-9FBB-A8D39B44A5F5}" destId="{0660046B-068D-4658-94DA-0BA86C1CCA65}" srcOrd="0" destOrd="0" presId="urn:microsoft.com/office/officeart/2005/8/layout/vList4"/>
    <dgm:cxn modelId="{10A1DA50-9F4B-4B60-95E0-D49791A53AC4}" type="presOf" srcId="{D3D802EA-E4DC-481B-832B-C94F0FE5F541}" destId="{6A91017B-01FC-49D9-9873-44B1F0381F4D}" srcOrd="0" destOrd="0" presId="urn:microsoft.com/office/officeart/2005/8/layout/vList4"/>
    <dgm:cxn modelId="{B06B2A6C-D834-4CDF-935C-B8CB79FFF27D}" srcId="{D3D802EA-E4DC-481B-832B-C94F0FE5F541}" destId="{B695D7D2-D3C7-4233-919F-29290ABD053F}" srcOrd="3" destOrd="0" parTransId="{2E5380D1-B959-4C93-8AD3-2B348E533C04}" sibTransId="{5FED4338-B5C5-4330-8CA9-87CFA47D725D}"/>
    <dgm:cxn modelId="{39669D6D-5DE2-4758-B683-90BC167B78E8}" type="presParOf" srcId="{6A91017B-01FC-49D9-9873-44B1F0381F4D}" destId="{A4FE941E-F1BC-49CE-9F7A-5DD7DB33996B}" srcOrd="0" destOrd="0" presId="urn:microsoft.com/office/officeart/2005/8/layout/vList4"/>
    <dgm:cxn modelId="{1B7E714C-501E-407B-AC40-062C62A14BBC}" type="presParOf" srcId="{A4FE941E-F1BC-49CE-9F7A-5DD7DB33996B}" destId="{E9174D94-5912-4A8D-ABC2-86DA0246994C}" srcOrd="0" destOrd="0" presId="urn:microsoft.com/office/officeart/2005/8/layout/vList4"/>
    <dgm:cxn modelId="{19880C68-B689-48B0-9ADC-0C62CDDB3437}" type="presParOf" srcId="{A4FE941E-F1BC-49CE-9F7A-5DD7DB33996B}" destId="{8859263C-DC5A-47C0-9736-94028708D689}" srcOrd="1" destOrd="0" presId="urn:microsoft.com/office/officeart/2005/8/layout/vList4"/>
    <dgm:cxn modelId="{E9B66EB4-EBD1-4C21-ADB3-7CD30E8A4785}" type="presParOf" srcId="{A4FE941E-F1BC-49CE-9F7A-5DD7DB33996B}" destId="{9DA1B2CA-1A1B-48E2-AC5C-968D567B42A4}" srcOrd="2" destOrd="0" presId="urn:microsoft.com/office/officeart/2005/8/layout/vList4"/>
    <dgm:cxn modelId="{122F53CA-DADE-41DC-884F-3DABC20DDBA4}" type="presParOf" srcId="{6A91017B-01FC-49D9-9873-44B1F0381F4D}" destId="{3C3D48D1-7A97-48CF-839C-AF763AFECC12}" srcOrd="1" destOrd="0" presId="urn:microsoft.com/office/officeart/2005/8/layout/vList4"/>
    <dgm:cxn modelId="{D402C836-B705-4AD7-820D-88C449D9DB90}" type="presParOf" srcId="{6A91017B-01FC-49D9-9873-44B1F0381F4D}" destId="{A0AA8D95-41E8-4F45-BE9A-EC28F99EB166}" srcOrd="2" destOrd="0" presId="urn:microsoft.com/office/officeart/2005/8/layout/vList4"/>
    <dgm:cxn modelId="{5CCB8B3E-C3B9-4201-86FB-F447BBD71DF1}" type="presParOf" srcId="{A0AA8D95-41E8-4F45-BE9A-EC28F99EB166}" destId="{4AF059EE-D9BA-4391-972C-DFFA8500EE44}" srcOrd="0" destOrd="0" presId="urn:microsoft.com/office/officeart/2005/8/layout/vList4"/>
    <dgm:cxn modelId="{FD60D17D-E03C-4439-A4CB-85BB7371BC1C}" type="presParOf" srcId="{A0AA8D95-41E8-4F45-BE9A-EC28F99EB166}" destId="{87A84380-8CDD-4E93-A5AA-C07765DCDBDD}" srcOrd="1" destOrd="0" presId="urn:microsoft.com/office/officeart/2005/8/layout/vList4"/>
    <dgm:cxn modelId="{1BA768C2-C97F-4F34-8218-BC50E94CFFF2}" type="presParOf" srcId="{A0AA8D95-41E8-4F45-BE9A-EC28F99EB166}" destId="{3D4C6850-17D9-40BF-91DE-11FE24F94EBB}" srcOrd="2" destOrd="0" presId="urn:microsoft.com/office/officeart/2005/8/layout/vList4"/>
    <dgm:cxn modelId="{1E6098E6-E7B0-42EC-B95C-E6DA17C05192}" type="presParOf" srcId="{6A91017B-01FC-49D9-9873-44B1F0381F4D}" destId="{8180C784-30BE-4CBB-B586-B315E7CBAB4E}" srcOrd="3" destOrd="0" presId="urn:microsoft.com/office/officeart/2005/8/layout/vList4"/>
    <dgm:cxn modelId="{B1AB43EC-801F-47CB-A7D1-F005306A7E1E}" type="presParOf" srcId="{6A91017B-01FC-49D9-9873-44B1F0381F4D}" destId="{E73212C8-C50A-44AC-8858-EC733E7AE9E1}" srcOrd="4" destOrd="0" presId="urn:microsoft.com/office/officeart/2005/8/layout/vList4"/>
    <dgm:cxn modelId="{558AF862-D9BB-4026-AA7D-157CAA43C32B}" type="presParOf" srcId="{E73212C8-C50A-44AC-8858-EC733E7AE9E1}" destId="{0660046B-068D-4658-94DA-0BA86C1CCA65}" srcOrd="0" destOrd="0" presId="urn:microsoft.com/office/officeart/2005/8/layout/vList4"/>
    <dgm:cxn modelId="{C4ACA072-A9BA-4577-80D9-ED1E77288D9B}" type="presParOf" srcId="{E73212C8-C50A-44AC-8858-EC733E7AE9E1}" destId="{782D63B9-C4B7-4CC1-80AD-5B97CF66ED78}" srcOrd="1" destOrd="0" presId="urn:microsoft.com/office/officeart/2005/8/layout/vList4"/>
    <dgm:cxn modelId="{960ED9F1-1BEF-4818-8590-EF218906BE06}" type="presParOf" srcId="{E73212C8-C50A-44AC-8858-EC733E7AE9E1}" destId="{74D63CDC-2CCF-4D53-B8D6-86CA896399B4}" srcOrd="2" destOrd="0" presId="urn:microsoft.com/office/officeart/2005/8/layout/vList4"/>
    <dgm:cxn modelId="{7B4FD65C-909A-4CCF-808C-98930B401588}" type="presParOf" srcId="{6A91017B-01FC-49D9-9873-44B1F0381F4D}" destId="{15385C2A-30F7-4C67-A385-C2B290ECF1FC}" srcOrd="5" destOrd="0" presId="urn:microsoft.com/office/officeart/2005/8/layout/vList4"/>
    <dgm:cxn modelId="{25FF2330-6582-42BA-8F8E-6472C7038BD7}" type="presParOf" srcId="{6A91017B-01FC-49D9-9873-44B1F0381F4D}" destId="{FC3A1EA6-88F1-44AE-B32D-2718A1929896}" srcOrd="6" destOrd="0" presId="urn:microsoft.com/office/officeart/2005/8/layout/vList4"/>
    <dgm:cxn modelId="{3DDA32BA-CEB4-42E5-88B0-FF54765E9A26}" type="presParOf" srcId="{FC3A1EA6-88F1-44AE-B32D-2718A1929896}" destId="{DF12F56B-EC89-4E24-B03F-11F60AB81CFD}" srcOrd="0" destOrd="0" presId="urn:microsoft.com/office/officeart/2005/8/layout/vList4"/>
    <dgm:cxn modelId="{40CD935A-4F9A-4B19-BEA8-A22B522C2BB0}" type="presParOf" srcId="{FC3A1EA6-88F1-44AE-B32D-2718A1929896}" destId="{BB2EA343-40A7-4FA3-A238-C55427091E94}" srcOrd="1" destOrd="0" presId="urn:microsoft.com/office/officeart/2005/8/layout/vList4"/>
    <dgm:cxn modelId="{993CF7BD-C78A-4020-B11C-11F9A52E2C38}" type="presParOf" srcId="{FC3A1EA6-88F1-44AE-B32D-2718A1929896}" destId="{7B9A61A0-31CD-426E-8B8D-A8A189C357CC}" srcOrd="2" destOrd="0" presId="urn:microsoft.com/office/officeart/2005/8/layout/vList4"/>
  </dgm:cxnLst>
  <dgm:bg>
    <a:noFill/>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391163-5540-4DD7-B3D7-AA3423FA73E6}">
      <dsp:nvSpPr>
        <dsp:cNvPr id="0" name=""/>
        <dsp:cNvSpPr/>
      </dsp:nvSpPr>
      <dsp:spPr>
        <a:xfrm>
          <a:off x="0" y="398692"/>
          <a:ext cx="5231958" cy="936000"/>
        </a:xfrm>
        <a:prstGeom prst="rightArrow">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EF8E6D-6100-4E25-A4E7-0CA7D896EE04}">
      <dsp:nvSpPr>
        <dsp:cNvPr id="0" name=""/>
        <dsp:cNvSpPr/>
      </dsp:nvSpPr>
      <dsp:spPr>
        <a:xfrm>
          <a:off x="3846998" y="632692"/>
          <a:ext cx="951613" cy="46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ctr" defTabSz="577850">
            <a:lnSpc>
              <a:spcPct val="90000"/>
            </a:lnSpc>
            <a:spcBef>
              <a:spcPct val="0"/>
            </a:spcBef>
            <a:spcAft>
              <a:spcPct val="35000"/>
            </a:spcAft>
          </a:pPr>
          <a:r>
            <a:rPr lang="en-GB" sz="1300" b="1" kern="1200">
              <a:latin typeface="Times New Roman" panose="02020603050405020304" pitchFamily="18" charset="0"/>
              <a:cs typeface="Times New Roman" panose="02020603050405020304" pitchFamily="18" charset="0"/>
            </a:rPr>
            <a:t>Selection</a:t>
          </a:r>
        </a:p>
      </dsp:txBody>
      <dsp:txXfrm>
        <a:off x="3846998" y="632692"/>
        <a:ext cx="951613" cy="468000"/>
      </dsp:txXfrm>
    </dsp:sp>
    <dsp:sp modelId="{A7A9CAF5-8543-49FD-B309-7D367A65C4DD}">
      <dsp:nvSpPr>
        <dsp:cNvPr id="0" name=""/>
        <dsp:cNvSpPr/>
      </dsp:nvSpPr>
      <dsp:spPr>
        <a:xfrm>
          <a:off x="2705062" y="632692"/>
          <a:ext cx="951613" cy="46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ctr" defTabSz="577850">
            <a:lnSpc>
              <a:spcPct val="90000"/>
            </a:lnSpc>
            <a:spcBef>
              <a:spcPct val="0"/>
            </a:spcBef>
            <a:spcAft>
              <a:spcPct val="35000"/>
            </a:spcAft>
          </a:pPr>
          <a:r>
            <a:rPr lang="en-GB" sz="1300" b="1" kern="1200">
              <a:latin typeface="Times New Roman" panose="02020603050405020304" pitchFamily="18" charset="0"/>
              <a:cs typeface="Times New Roman" panose="02020603050405020304" pitchFamily="18" charset="0"/>
            </a:rPr>
            <a:t>Prioritisation</a:t>
          </a:r>
        </a:p>
      </dsp:txBody>
      <dsp:txXfrm>
        <a:off x="2705062" y="632692"/>
        <a:ext cx="951613" cy="468000"/>
      </dsp:txXfrm>
    </dsp:sp>
    <dsp:sp modelId="{B48B2016-C896-4126-AB2B-8C07D54B219B}">
      <dsp:nvSpPr>
        <dsp:cNvPr id="0" name=""/>
        <dsp:cNvSpPr/>
      </dsp:nvSpPr>
      <dsp:spPr>
        <a:xfrm>
          <a:off x="1563126" y="632692"/>
          <a:ext cx="951613" cy="46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ctr" defTabSz="577850">
            <a:lnSpc>
              <a:spcPct val="90000"/>
            </a:lnSpc>
            <a:spcBef>
              <a:spcPct val="0"/>
            </a:spcBef>
            <a:spcAft>
              <a:spcPct val="35000"/>
            </a:spcAft>
          </a:pPr>
          <a:r>
            <a:rPr lang="en-GB" sz="1300" b="1" kern="1200">
              <a:latin typeface="Times New Roman" panose="02020603050405020304" pitchFamily="18" charset="0"/>
              <a:cs typeface="Times New Roman" panose="02020603050405020304" pitchFamily="18" charset="0"/>
            </a:rPr>
            <a:t>Analysis</a:t>
          </a:r>
        </a:p>
      </dsp:txBody>
      <dsp:txXfrm>
        <a:off x="1563126" y="632692"/>
        <a:ext cx="951613" cy="468000"/>
      </dsp:txXfrm>
    </dsp:sp>
    <dsp:sp modelId="{F3A37581-DC7F-42F3-BDB9-DD93CA711F09}">
      <dsp:nvSpPr>
        <dsp:cNvPr id="0" name=""/>
        <dsp:cNvSpPr/>
      </dsp:nvSpPr>
      <dsp:spPr>
        <a:xfrm>
          <a:off x="421190" y="632692"/>
          <a:ext cx="951613" cy="46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2080" rIns="0" bIns="132080" numCol="1" spcCol="1270" anchor="ctr" anchorCtr="0">
          <a:noAutofit/>
        </a:bodyPr>
        <a:lstStyle/>
        <a:p>
          <a:pPr lvl="0" algn="ctr" defTabSz="577850">
            <a:lnSpc>
              <a:spcPct val="90000"/>
            </a:lnSpc>
            <a:spcBef>
              <a:spcPct val="0"/>
            </a:spcBef>
            <a:spcAft>
              <a:spcPct val="35000"/>
            </a:spcAft>
          </a:pPr>
          <a:r>
            <a:rPr lang="en-GB" sz="1300" b="1" kern="1200">
              <a:latin typeface="Times New Roman" panose="02020603050405020304" pitchFamily="18" charset="0"/>
              <a:cs typeface="Times New Roman" panose="02020603050405020304" pitchFamily="18" charset="0"/>
            </a:rPr>
            <a:t>Screening</a:t>
          </a:r>
        </a:p>
      </dsp:txBody>
      <dsp:txXfrm>
        <a:off x="421190" y="632692"/>
        <a:ext cx="951613" cy="468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6553C-DB06-4C4D-8868-E5759B94EE3D}">
      <dsp:nvSpPr>
        <dsp:cNvPr id="0" name=""/>
        <dsp:cNvSpPr/>
      </dsp:nvSpPr>
      <dsp:spPr>
        <a:xfrm rot="5400000">
          <a:off x="3211783" y="-1324505"/>
          <a:ext cx="705526" cy="3354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Times New Roman" panose="02020603050405020304" pitchFamily="18" charset="0"/>
              <a:cs typeface="Times New Roman" panose="02020603050405020304" pitchFamily="18" charset="0"/>
            </a:rPr>
            <a:t>Contributing t</a:t>
          </a:r>
          <a:r>
            <a:rPr lang="en-GB" sz="900" b="0" kern="1200">
              <a:latin typeface="Times New Roman" panose="02020603050405020304" pitchFamily="18" charset="0"/>
              <a:cs typeface="Times New Roman" panose="02020603050405020304" pitchFamily="18" charset="0"/>
            </a:rPr>
            <a:t>o</a:t>
          </a:r>
          <a:r>
            <a:rPr lang="en-GB" sz="900" kern="1200">
              <a:latin typeface="Times New Roman" panose="02020603050405020304" pitchFamily="18" charset="0"/>
              <a:cs typeface="Times New Roman" panose="02020603050405020304" pitchFamily="18" charset="0"/>
            </a:rPr>
            <a:t> institutional, administrative and growth-sustaining structural reforms in the Member States by p</a:t>
          </a:r>
          <a:r>
            <a:rPr lang="en-US" sz="900" kern="1200">
              <a:latin typeface="Times New Roman" panose="02020603050405020304" pitchFamily="18" charset="0"/>
              <a:cs typeface="Times New Roman" panose="02020603050405020304" pitchFamily="18" charset="0"/>
            </a:rPr>
            <a:t>roviding s</a:t>
          </a:r>
          <a:r>
            <a:rPr lang="en-GB" sz="900" kern="1200">
              <a:latin typeface="Times New Roman" panose="02020603050405020304" pitchFamily="18" charset="0"/>
              <a:cs typeface="Times New Roman" panose="02020603050405020304" pitchFamily="18" charset="0"/>
            </a:rPr>
            <a:t>upport to national authorities for measures related to institutional frameworks, governance, administration and socio-economic sectors</a:t>
          </a:r>
          <a:endParaRPr lang="en-US" sz="900" kern="1200">
            <a:latin typeface="Times New Roman" panose="02020603050405020304" pitchFamily="18" charset="0"/>
            <a:cs typeface="Times New Roman" panose="02020603050405020304" pitchFamily="18" charset="0"/>
          </a:endParaRPr>
        </a:p>
      </dsp:txBody>
      <dsp:txXfrm rot="-5400000">
        <a:off x="1887113" y="34606"/>
        <a:ext cx="3320426" cy="636644"/>
      </dsp:txXfrm>
    </dsp:sp>
    <dsp:sp modelId="{19F179A1-D09D-4543-82B8-940EF410CE04}">
      <dsp:nvSpPr>
        <dsp:cNvPr id="0" name=""/>
        <dsp:cNvSpPr/>
      </dsp:nvSpPr>
      <dsp:spPr>
        <a:xfrm>
          <a:off x="0" y="65322"/>
          <a:ext cx="1887113" cy="575212"/>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General Objective of the Programme</a:t>
          </a:r>
        </a:p>
      </dsp:txBody>
      <dsp:txXfrm>
        <a:off x="28080" y="93402"/>
        <a:ext cx="1830953" cy="519052"/>
      </dsp:txXfrm>
    </dsp:sp>
    <dsp:sp modelId="{0ADD8DB6-1C61-4A46-94D8-358747BF4A5A}">
      <dsp:nvSpPr>
        <dsp:cNvPr id="0" name=""/>
        <dsp:cNvSpPr/>
      </dsp:nvSpPr>
      <dsp:spPr>
        <a:xfrm rot="5400000">
          <a:off x="3048071" y="-261587"/>
          <a:ext cx="1032951" cy="3354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Support in designing reforms</a:t>
          </a: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Support for the development and implementation of reform policies</a:t>
          </a: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Support for the definition and implementation of processes and methodologies</a:t>
          </a: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Support for more efficient and effective human resource management </a:t>
          </a:r>
        </a:p>
      </dsp:txBody>
      <dsp:txXfrm rot="-5400000">
        <a:off x="1887114" y="949795"/>
        <a:ext cx="3304442" cy="932101"/>
      </dsp:txXfrm>
    </dsp:sp>
    <dsp:sp modelId="{D41C4BD3-27E1-452B-9DE5-6E42D9161DEF}">
      <dsp:nvSpPr>
        <dsp:cNvPr id="0" name=""/>
        <dsp:cNvSpPr/>
      </dsp:nvSpPr>
      <dsp:spPr>
        <a:xfrm>
          <a:off x="0" y="770251"/>
          <a:ext cx="1887113" cy="1291189"/>
        </a:xfrm>
        <a:prstGeom prst="roundRect">
          <a:avLst/>
        </a:prstGeom>
        <a:solidFill>
          <a:schemeClr val="accent1">
            <a:shade val="80000"/>
            <a:hueOff val="76561"/>
            <a:satOff val="-1098"/>
            <a:lumOff val="64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Specific objectives of the programme/projects</a:t>
          </a:r>
        </a:p>
      </dsp:txBody>
      <dsp:txXfrm>
        <a:off x="63031" y="833282"/>
        <a:ext cx="1761051" cy="1165127"/>
      </dsp:txXfrm>
    </dsp:sp>
    <dsp:sp modelId="{65558D56-31DF-4072-B3D5-9F74C14B0F67}">
      <dsp:nvSpPr>
        <dsp:cNvPr id="0" name=""/>
        <dsp:cNvSpPr/>
      </dsp:nvSpPr>
      <dsp:spPr>
        <a:xfrm rot="5400000">
          <a:off x="2925015" y="1088098"/>
          <a:ext cx="1279062" cy="3354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Adoption of a strategy</a:t>
          </a: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A</a:t>
          </a:r>
          <a:r>
            <a:rPr lang="en-GB" sz="900" kern="1200">
              <a:latin typeface="Times New Roman" panose="02020603050405020304" pitchFamily="18" charset="0"/>
              <a:cs typeface="Times New Roman" panose="02020603050405020304" pitchFamily="18" charset="0"/>
            </a:rPr>
            <a:t>doption of a draft of a new law, act or modification of an existing one</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Adoption </a:t>
          </a:r>
          <a:r>
            <a:rPr lang="en-GB" sz="900" kern="1200">
              <a:latin typeface="Times New Roman" panose="02020603050405020304" pitchFamily="18" charset="0"/>
              <a:cs typeface="Times New Roman" panose="02020603050405020304" pitchFamily="18" charset="0"/>
            </a:rPr>
            <a:t>of (new) procedures and actions to enhance the implementation of reforms</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Improved </a:t>
          </a:r>
          <a:r>
            <a:rPr lang="en-GB" sz="900" kern="1200">
              <a:latin typeface="Times New Roman" panose="02020603050405020304" pitchFamily="18" charset="0"/>
              <a:cs typeface="Times New Roman" panose="02020603050405020304" pitchFamily="18" charset="0"/>
            </a:rPr>
            <a:t>internal working procedures, methodologies and processes/organisation</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Organisational change, change management, improved human resource management </a:t>
          </a:r>
        </a:p>
      </dsp:txBody>
      <dsp:txXfrm rot="-5400000">
        <a:off x="1887113" y="2188440"/>
        <a:ext cx="3292428" cy="1154184"/>
      </dsp:txXfrm>
    </dsp:sp>
    <dsp:sp modelId="{55DAFD17-FBC2-4E5B-B3CE-BC1C6F53D568}">
      <dsp:nvSpPr>
        <dsp:cNvPr id="0" name=""/>
        <dsp:cNvSpPr/>
      </dsp:nvSpPr>
      <dsp:spPr>
        <a:xfrm>
          <a:off x="0" y="2364662"/>
          <a:ext cx="1887113" cy="801738"/>
        </a:xfrm>
        <a:prstGeom prst="round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fr-BE" sz="1500" kern="1200">
              <a:solidFill>
                <a:schemeClr val="bg1"/>
              </a:solidFill>
              <a:latin typeface="Times New Roman" panose="02020603050405020304" pitchFamily="18" charset="0"/>
              <a:cs typeface="Times New Roman" panose="02020603050405020304" pitchFamily="18" charset="0"/>
            </a:rPr>
            <a:t>Expected outcomes</a:t>
          </a:r>
          <a:endParaRPr lang="en-US" sz="1500" kern="1200">
            <a:solidFill>
              <a:schemeClr val="bg1"/>
            </a:solidFill>
            <a:latin typeface="Times New Roman" panose="02020603050405020304" pitchFamily="18" charset="0"/>
            <a:cs typeface="Times New Roman" panose="02020603050405020304" pitchFamily="18" charset="0"/>
          </a:endParaRPr>
        </a:p>
      </dsp:txBody>
      <dsp:txXfrm>
        <a:off x="39138" y="2403800"/>
        <a:ext cx="1808837" cy="723462"/>
      </dsp:txXfrm>
    </dsp:sp>
    <dsp:sp modelId="{FAC588D7-E7CE-4F2E-8F83-991AF0917FCC}">
      <dsp:nvSpPr>
        <dsp:cNvPr id="0" name=""/>
        <dsp:cNvSpPr/>
      </dsp:nvSpPr>
      <dsp:spPr>
        <a:xfrm rot="5400000">
          <a:off x="2808190" y="2482201"/>
          <a:ext cx="1446132" cy="342097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Action plan, roadmap </a:t>
          </a: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Guidelines, handbook </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Recommendation </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Terms of reference </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Legislative proposal </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Analysis, report </a:t>
          </a:r>
        </a:p>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Workshops (including material), training, training material</a:t>
          </a:r>
          <a:endParaRPr lang="fr-BE"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Study visit reports </a:t>
          </a:r>
        </a:p>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Communication (including material) and other events </a:t>
          </a:r>
          <a:endParaRPr lang="fr-BE" sz="800" kern="1200">
            <a:latin typeface="Times New Roman" panose="02020603050405020304" pitchFamily="18" charset="0"/>
            <a:cs typeface="Times New Roman" panose="02020603050405020304" pitchFamily="18" charset="0"/>
          </a:endParaRPr>
        </a:p>
      </dsp:txBody>
      <dsp:txXfrm rot="-5400000">
        <a:off x="1820769" y="3540216"/>
        <a:ext cx="3350380" cy="1304944"/>
      </dsp:txXfrm>
    </dsp:sp>
    <dsp:sp modelId="{A2148F1C-A042-44E6-9CFD-2BB3CA00BDA4}">
      <dsp:nvSpPr>
        <dsp:cNvPr id="0" name=""/>
        <dsp:cNvSpPr/>
      </dsp:nvSpPr>
      <dsp:spPr>
        <a:xfrm>
          <a:off x="0" y="3547094"/>
          <a:ext cx="1820769" cy="1291189"/>
        </a:xfrm>
        <a:prstGeom prst="roundRect">
          <a:avLst/>
        </a:prstGeom>
        <a:solidFill>
          <a:schemeClr val="accent1">
            <a:shade val="80000"/>
            <a:hueOff val="229684"/>
            <a:satOff val="-3294"/>
            <a:lumOff val="192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fr-BE" sz="1500" kern="1200">
              <a:latin typeface="Times New Roman" panose="02020603050405020304" pitchFamily="18" charset="0"/>
              <a:cs typeface="Times New Roman" panose="02020603050405020304" pitchFamily="18" charset="0"/>
            </a:rPr>
            <a:t>Outputs</a:t>
          </a:r>
          <a:endParaRPr lang="en-US" sz="1500" kern="1200">
            <a:latin typeface="Times New Roman" panose="02020603050405020304" pitchFamily="18" charset="0"/>
            <a:cs typeface="Times New Roman" panose="02020603050405020304" pitchFamily="18" charset="0"/>
          </a:endParaRPr>
        </a:p>
      </dsp:txBody>
      <dsp:txXfrm>
        <a:off x="63031" y="3610125"/>
        <a:ext cx="1694707" cy="1165127"/>
      </dsp:txXfrm>
    </dsp:sp>
    <dsp:sp modelId="{2B368783-C8E0-4C2B-8405-4EF4EAF77E57}">
      <dsp:nvSpPr>
        <dsp:cNvPr id="0" name=""/>
        <dsp:cNvSpPr/>
      </dsp:nvSpPr>
      <dsp:spPr>
        <a:xfrm rot="5400000">
          <a:off x="2741723" y="4124026"/>
          <a:ext cx="1638684" cy="33515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355600">
            <a:lnSpc>
              <a:spcPct val="90000"/>
            </a:lnSpc>
            <a:spcBef>
              <a:spcPct val="0"/>
            </a:spcBef>
            <a:spcAft>
              <a:spcPct val="15000"/>
            </a:spcAft>
            <a:buChar char="••"/>
          </a:pPr>
          <a:endParaRPr lang="en-U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Short term expert mission(s);</a:t>
          </a:r>
          <a:endParaRPr lang="fr-BE"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Long term expert (resident expert and similar);</a:t>
          </a:r>
          <a:endParaRPr lang="fr-BE"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Study visit (of officials of the beneficiary MS);</a:t>
          </a:r>
          <a:endParaRPr lang="fr-BE"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Workshop/conference/seminar;</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Training activity;</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IT expertise/advice;</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Collection of statistics;</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Study, research, evaluation;</a:t>
          </a:r>
        </a:p>
        <a:p>
          <a:pPr marL="57150" lvl="1" indent="-57150" algn="l" defTabSz="355600">
            <a:lnSpc>
              <a:spcPct val="90000"/>
            </a:lnSpc>
            <a:spcBef>
              <a:spcPct val="0"/>
            </a:spcBef>
            <a:spcAft>
              <a:spcPct val="15000"/>
            </a:spcAft>
            <a:buChar char="••"/>
          </a:pPr>
          <a:r>
            <a:rPr lang="fr-BE" sz="800" kern="1200">
              <a:latin typeface="Times New Roman" panose="02020603050405020304" pitchFamily="18" charset="0"/>
              <a:cs typeface="Times New Roman" panose="02020603050405020304" pitchFamily="18" charset="0"/>
            </a:rPr>
            <a:t>Communication activities</a:t>
          </a:r>
        </a:p>
        <a:p>
          <a:pPr marL="57150" lvl="1" indent="-57150" algn="l" defTabSz="355600">
            <a:lnSpc>
              <a:spcPct val="90000"/>
            </a:lnSpc>
            <a:spcBef>
              <a:spcPct val="0"/>
            </a:spcBef>
            <a:spcAft>
              <a:spcPct val="15000"/>
            </a:spcAft>
            <a:buChar char="••"/>
          </a:pPr>
          <a:r>
            <a:rPr lang="en-GB" sz="800" kern="1200">
              <a:latin typeface="Times New Roman" panose="02020603050405020304" pitchFamily="18" charset="0"/>
              <a:cs typeface="Times New Roman" panose="02020603050405020304" pitchFamily="18" charset="0"/>
            </a:rPr>
            <a:t>Compilation/dissemination of material (including through information technology systems)</a:t>
          </a:r>
          <a:endParaRPr lang="fr-BE"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n-GB" sz="800" kern="1200">
              <a:latin typeface="Times New Roman" panose="02020603050405020304" pitchFamily="18" charset="0"/>
              <a:cs typeface="Times New Roman" panose="02020603050405020304" pitchFamily="18" charset="0"/>
            </a:rPr>
            <a:t>Organisation of local operations</a:t>
          </a:r>
          <a:endParaRPr lang="fr-BE" sz="800" kern="1200">
            <a:latin typeface="Times New Roman" panose="02020603050405020304" pitchFamily="18" charset="0"/>
            <a:cs typeface="Times New Roman" panose="02020603050405020304" pitchFamily="18" charset="0"/>
          </a:endParaRPr>
        </a:p>
      </dsp:txBody>
      <dsp:txXfrm rot="-5400000">
        <a:off x="1885270" y="5060473"/>
        <a:ext cx="3271597" cy="1478696"/>
      </dsp:txXfrm>
    </dsp:sp>
    <dsp:sp modelId="{9F55D967-F2DC-4317-95EB-3CFCC4F3902D}">
      <dsp:nvSpPr>
        <dsp:cNvPr id="0" name=""/>
        <dsp:cNvSpPr/>
      </dsp:nvSpPr>
      <dsp:spPr>
        <a:xfrm>
          <a:off x="0" y="5154062"/>
          <a:ext cx="1885270" cy="1291189"/>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Activities</a:t>
          </a:r>
        </a:p>
      </dsp:txBody>
      <dsp:txXfrm>
        <a:off x="63031" y="5217093"/>
        <a:ext cx="1759208" cy="11651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74D94-5912-4A8D-ABC2-86DA0246994C}">
      <dsp:nvSpPr>
        <dsp:cNvPr id="0" name=""/>
        <dsp:cNvSpPr/>
      </dsp:nvSpPr>
      <dsp:spPr>
        <a:xfrm>
          <a:off x="0" y="0"/>
          <a:ext cx="5476875" cy="2387203"/>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Strategy for internal audit and training of internal auditors in local government in Romania (SRSP 2017)</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overall objective of the support measures was to strengthen the operation of the public internal audit system in Romania, by providing support to the Central Harmonisation Unit for Public Internal Audit (CHUPIA).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project delivered </a:t>
          </a:r>
          <a:r>
            <a:rPr lang="en-GB" sz="900" b="1" kern="1200">
              <a:solidFill>
                <a:sysClr val="windowText" lastClr="000000"/>
              </a:solidFill>
              <a:latin typeface="Times New Roman" panose="02020603050405020304" pitchFamily="18" charset="0"/>
              <a:cs typeface="Times New Roman" panose="02020603050405020304" pitchFamily="18" charset="0"/>
            </a:rPr>
            <a:t>a new Public Internal Audit Strategy for t2020-2024 </a:t>
          </a:r>
          <a:r>
            <a:rPr lang="en-GB" sz="900" kern="1200">
              <a:solidFill>
                <a:sysClr val="windowText" lastClr="000000"/>
              </a:solidFill>
              <a:latin typeface="Times New Roman" panose="02020603050405020304" pitchFamily="18" charset="0"/>
              <a:cs typeface="Times New Roman" panose="02020603050405020304" pitchFamily="18" charset="0"/>
            </a:rPr>
            <a:t>and a new training programme which laid the foundations for increased professional capacity of public internal auditors.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strategy is already</a:t>
          </a:r>
          <a:r>
            <a:rPr lang="en-GB" sz="900" b="1" kern="1200">
              <a:solidFill>
                <a:sysClr val="windowText" lastClr="000000"/>
              </a:solidFill>
              <a:latin typeface="Times New Roman" panose="02020603050405020304" pitchFamily="18" charset="0"/>
              <a:cs typeface="Times New Roman" panose="02020603050405020304" pitchFamily="18" charset="0"/>
            </a:rPr>
            <a:t> under implementation and the new curriculum is now part of the training programme for public internal auditors</a:t>
          </a:r>
          <a:r>
            <a:rPr lang="en-GB" sz="900" kern="1200">
              <a:solidFill>
                <a:sysClr val="windowText" lastClr="000000"/>
              </a:solidFill>
              <a:latin typeface="Times New Roman" panose="02020603050405020304" pitchFamily="18" charset="0"/>
              <a:cs typeface="Times New Roman" panose="02020603050405020304" pitchFamily="18" charset="0"/>
            </a:rPr>
            <a:t>. The expected impact of the project is a stronger internal audit culture in the public administration, particularly at local level, as well as, a better public financial control framework and environment. </a:t>
          </a:r>
          <a:endParaRPr lang="en-US" sz="800" b="1" kern="1200">
            <a:solidFill>
              <a:sysClr val="windowText" lastClr="000000"/>
            </a:solidFill>
            <a:latin typeface="Times New Roman" panose="02020603050405020304" pitchFamily="18" charset="0"/>
            <a:cs typeface="Times New Roman" panose="02020603050405020304" pitchFamily="18" charset="0"/>
          </a:endParaRPr>
        </a:p>
      </dsp:txBody>
      <dsp:txXfrm>
        <a:off x="1334095" y="0"/>
        <a:ext cx="4142779" cy="2387203"/>
      </dsp:txXfrm>
    </dsp:sp>
    <dsp:sp modelId="{8859263C-DC5A-47C0-9736-94028708D689}">
      <dsp:nvSpPr>
        <dsp:cNvPr id="0" name=""/>
        <dsp:cNvSpPr/>
      </dsp:nvSpPr>
      <dsp:spPr>
        <a:xfrm>
          <a:off x="82990" y="260109"/>
          <a:ext cx="1235254" cy="190976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5000" r="-4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F059EE-D9BA-4391-972C-DFFA8500EE44}">
      <dsp:nvSpPr>
        <dsp:cNvPr id="0" name=""/>
        <dsp:cNvSpPr/>
      </dsp:nvSpPr>
      <dsp:spPr>
        <a:xfrm>
          <a:off x="0" y="2625923"/>
          <a:ext cx="5476875" cy="2387203"/>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Creation of objective criteria for the recruitment and promotion of judges in Cyprus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overall objective of the support measures was to (a) bring Cyprus into line with most European countries, most of which already have in place objective criteria for the recruitment and evaluation of judges, (b) enhance the independence and efficiency of judges, and (c) establish meritocracy amongst the judiciary through the development of objective criteria in the recruitment, promotion and evaluation of judges</a:t>
          </a:r>
          <a:r>
            <a:rPr lang="en-GB" sz="900" kern="1200">
              <a:solidFill>
                <a:sysClr val="windowText" lastClr="000000"/>
              </a:solidFill>
            </a:rPr>
            <a:t>.</a:t>
          </a:r>
        </a:p>
        <a:p>
          <a:pPr lvl="0" algn="just" defTabSz="533400">
            <a:lnSpc>
              <a:spcPct val="90000"/>
            </a:lnSpc>
            <a:spcBef>
              <a:spcPct val="0"/>
            </a:spcBef>
            <a:spcAft>
              <a:spcPct val="35000"/>
            </a:spcAft>
          </a:pPr>
          <a:r>
            <a:rPr lang="en-GB" sz="900" b="0" kern="1200">
              <a:solidFill>
                <a:sysClr val="windowText" lastClr="000000"/>
              </a:solidFill>
              <a:latin typeface="Times New Roman" panose="02020603050405020304" pitchFamily="18" charset="0"/>
              <a:cs typeface="Times New Roman" panose="02020603050405020304" pitchFamily="18" charset="0"/>
            </a:rPr>
            <a:t>The main deliverable was a two-fold report to the Supreme Court of Cyprus with specific </a:t>
          </a:r>
          <a:r>
            <a:rPr lang="en-GB" sz="900" b="1" kern="1200">
              <a:solidFill>
                <a:sysClr val="windowText" lastClr="000000"/>
              </a:solidFill>
              <a:latin typeface="Times New Roman" panose="02020603050405020304" pitchFamily="18" charset="0"/>
              <a:cs typeface="Times New Roman" panose="02020603050405020304" pitchFamily="18" charset="0"/>
            </a:rPr>
            <a:t>recommendations on how to set objective criteria for the recruitment and the evaluation and promotion of judges </a:t>
          </a:r>
          <a:r>
            <a:rPr lang="en-GB" sz="900" b="0" kern="1200">
              <a:solidFill>
                <a:sysClr val="windowText" lastClr="000000"/>
              </a:solidFill>
              <a:latin typeface="Times New Roman" panose="02020603050405020304" pitchFamily="18" charset="0"/>
              <a:cs typeface="Times New Roman" panose="02020603050405020304" pitchFamily="18" charset="0"/>
            </a:rPr>
            <a:t>both based on best practices in Europe and other parts of the world.</a:t>
          </a:r>
        </a:p>
        <a:p>
          <a:pPr lvl="0" algn="just" defTabSz="533400">
            <a:lnSpc>
              <a:spcPct val="90000"/>
            </a:lnSpc>
            <a:spcBef>
              <a:spcPct val="0"/>
            </a:spcBef>
            <a:spcAft>
              <a:spcPct val="35000"/>
            </a:spcAft>
          </a:pPr>
          <a:r>
            <a:rPr lang="en-GB" sz="900" b="0" kern="1200">
              <a:solidFill>
                <a:sysClr val="windowText" lastClr="000000"/>
              </a:solidFill>
              <a:latin typeface="Times New Roman" panose="02020603050405020304" pitchFamily="18" charset="0"/>
              <a:cs typeface="Times New Roman" panose="02020603050405020304" pitchFamily="18" charset="0"/>
            </a:rPr>
            <a:t>The proposed </a:t>
          </a:r>
          <a:r>
            <a:rPr lang="en-GB" sz="900" b="1" kern="1200">
              <a:solidFill>
                <a:sysClr val="windowText" lastClr="000000"/>
              </a:solidFill>
              <a:latin typeface="Times New Roman" panose="02020603050405020304" pitchFamily="18" charset="0"/>
              <a:cs typeface="Times New Roman" panose="02020603050405020304" pitchFamily="18" charset="0"/>
            </a:rPr>
            <a:t>procedures for the criteria for appointment and promotion of judges were adopted by the Supreme Court of Cyprus </a:t>
          </a:r>
          <a:r>
            <a:rPr lang="en-GB" sz="900" b="0" kern="1200">
              <a:solidFill>
                <a:sysClr val="windowText" lastClr="000000"/>
              </a:solidFill>
              <a:latin typeface="Times New Roman" panose="02020603050405020304" pitchFamily="18" charset="0"/>
              <a:cs typeface="Times New Roman" panose="02020603050405020304" pitchFamily="18" charset="0"/>
            </a:rPr>
            <a:t>and are now in place. It is expected that this will make positive impact on the quality of justice and form a basis for the establishment of meritocracy amongst judges.</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1334095" y="2625923"/>
        <a:ext cx="4142779" cy="2387203"/>
      </dsp:txXfrm>
    </dsp:sp>
    <dsp:sp modelId="{87A84380-8CDD-4E93-A5AA-C07765DCDBDD}">
      <dsp:nvSpPr>
        <dsp:cNvPr id="0" name=""/>
        <dsp:cNvSpPr/>
      </dsp:nvSpPr>
      <dsp:spPr>
        <a:xfrm>
          <a:off x="82985" y="2896727"/>
          <a:ext cx="1216205" cy="190976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7000" r="-7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60046B-068D-4658-94DA-0BA86C1CCA65}">
      <dsp:nvSpPr>
        <dsp:cNvPr id="0" name=""/>
        <dsp:cNvSpPr/>
      </dsp:nvSpPr>
      <dsp:spPr>
        <a:xfrm>
          <a:off x="0" y="5251846"/>
          <a:ext cx="5476875" cy="2387203"/>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Strategic human resources management and innovation in the public sector in Ireland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project supported the delivery of the Irish civil and public service modernisation strategy, through a process of deep stakeholder engagement. For the civil service (core administration), the focus was on reviewing the current human resources management system, and preparing to move toward a more strategic HR operating model.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project engaged stakeholders from several departments (Irish ministries) to discuss and agree on ways and means of service transformation, and to address concerns and impact on roles and people. The outcomes were </a:t>
          </a:r>
          <a:r>
            <a:rPr lang="en-GB" sz="900" b="1" kern="1200">
              <a:solidFill>
                <a:sysClr val="windowText" lastClr="000000"/>
              </a:solidFill>
              <a:latin typeface="Times New Roman" panose="02020603050405020304" pitchFamily="18" charset="0"/>
              <a:cs typeface="Times New Roman" panose="02020603050405020304" pitchFamily="18" charset="0"/>
            </a:rPr>
            <a:t>concrete transition initiatives related to talent management and strategic HR</a:t>
          </a:r>
          <a:r>
            <a:rPr lang="en-GB" sz="900" kern="1200">
              <a:solidFill>
                <a:sysClr val="windowText" lastClr="000000"/>
              </a:solidFill>
              <a:latin typeface="Times New Roman" panose="02020603050405020304" pitchFamily="18" charset="0"/>
              <a:cs typeface="Times New Roman" panose="02020603050405020304" pitchFamily="18" charset="0"/>
            </a:rPr>
            <a:t> (including some centralisation of the HR function). As a next step, the Irish civil service will move toward </a:t>
          </a:r>
          <a:r>
            <a:rPr lang="en-GB" sz="900" b="1" kern="1200">
              <a:solidFill>
                <a:sysClr val="windowText" lastClr="000000"/>
              </a:solidFill>
              <a:latin typeface="Times New Roman" panose="02020603050405020304" pitchFamily="18" charset="0"/>
              <a:cs typeface="Times New Roman" panose="02020603050405020304" pitchFamily="18" charset="0"/>
            </a:rPr>
            <a:t>delivering the transition plan.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On the public service side (including for example education and health), the focus was on how to build a stronger innovation culture. The project benchmarked the innovation maturity of several services, and prepared an </a:t>
          </a:r>
          <a:r>
            <a:rPr lang="en-GB" sz="900" b="1" kern="1200">
              <a:solidFill>
                <a:sysClr val="windowText" lastClr="000000"/>
              </a:solidFill>
              <a:latin typeface="Times New Roman" panose="02020603050405020304" pitchFamily="18" charset="0"/>
              <a:cs typeface="Times New Roman" panose="02020603050405020304" pitchFamily="18" charset="0"/>
            </a:rPr>
            <a:t>improvement plan with twelve recommendations</a:t>
          </a:r>
          <a:r>
            <a:rPr lang="en-GB" sz="900" kern="1200">
              <a:solidFill>
                <a:sysClr val="windowText" lastClr="000000"/>
              </a:solidFill>
              <a:latin typeface="Times New Roman" panose="02020603050405020304" pitchFamily="18" charset="0"/>
              <a:cs typeface="Times New Roman" panose="02020603050405020304" pitchFamily="18" charset="0"/>
            </a:rPr>
            <a:t> linked to: strategy, capabilities, leadership, network and central support, and resources. The relevant authority will now engage to </a:t>
          </a:r>
          <a:r>
            <a:rPr lang="en-GB" sz="900" b="1" kern="1200">
              <a:solidFill>
                <a:sysClr val="windowText" lastClr="000000"/>
              </a:solidFill>
              <a:latin typeface="Times New Roman" panose="02020603050405020304" pitchFamily="18" charset="0"/>
              <a:cs typeface="Times New Roman" panose="02020603050405020304" pitchFamily="18" charset="0"/>
            </a:rPr>
            <a:t>deliver an innovation transformation roadmap</a:t>
          </a:r>
          <a:r>
            <a:rPr lang="en-GB" sz="900" kern="1200">
              <a:solidFill>
                <a:sysClr val="windowText" lastClr="000000"/>
              </a:solidFill>
              <a:latin typeface="Times New Roman" panose="02020603050405020304" pitchFamily="18" charset="0"/>
              <a:cs typeface="Times New Roman" panose="02020603050405020304" pitchFamily="18" charset="0"/>
            </a:rPr>
            <a:t>, which the project had prepared.</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334095" y="5251846"/>
        <a:ext cx="4142779" cy="2387203"/>
      </dsp:txXfrm>
    </dsp:sp>
    <dsp:sp modelId="{782D63B9-C4B7-4CC1-80AD-5B97CF66ED78}">
      <dsp:nvSpPr>
        <dsp:cNvPr id="0" name=""/>
        <dsp:cNvSpPr/>
      </dsp:nvSpPr>
      <dsp:spPr>
        <a:xfrm>
          <a:off x="238720" y="5490567"/>
          <a:ext cx="1095375" cy="190976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88000" r="-8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74D94-5912-4A8D-ABC2-86DA0246994C}">
      <dsp:nvSpPr>
        <dsp:cNvPr id="0" name=""/>
        <dsp:cNvSpPr/>
      </dsp:nvSpPr>
      <dsp:spPr>
        <a:xfrm>
          <a:off x="0" y="0"/>
          <a:ext cx="5476875" cy="1742059"/>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Tools to assist SMEs in Bulgaria with regulatory compliance (SRSP 2017)</a:t>
          </a:r>
        </a:p>
        <a:p>
          <a:pPr lvl="0" algn="just"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objective of the support measures was to support the Ministry of Economy to develop web-based, user-friendly tools for small-and-medium-sized enterprises (SMEs) and to help them to better understand and comply with the regulatory framework. </a:t>
          </a:r>
        </a:p>
        <a:p>
          <a:pPr lvl="0" algn="just"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support consisted of (i) identifying the most complex and common regulations affecting businesses in their interaction with the administration (surveys, interviews and consultations); and (ii) developing simple, business-friendly web-based descriptions of the 120 most complex and common regulations. </a:t>
          </a:r>
        </a:p>
        <a:p>
          <a:pPr lvl="0" algn="just" defTabSz="533400">
            <a:lnSpc>
              <a:spcPct val="100000"/>
            </a:lnSpc>
            <a:spcBef>
              <a:spcPct val="0"/>
            </a:spcBef>
            <a:spcAft>
              <a:spcPts val="0"/>
            </a:spcAft>
          </a:pPr>
          <a:r>
            <a:rPr lang="en-US" sz="900" kern="1200">
              <a:solidFill>
                <a:sysClr val="windowText" lastClr="000000"/>
              </a:solidFill>
              <a:latin typeface="Times New Roman" panose="02020603050405020304" pitchFamily="18" charset="0"/>
              <a:cs typeface="Times New Roman" panose="02020603050405020304" pitchFamily="18" charset="0"/>
            </a:rPr>
            <a:t>The new </a:t>
          </a:r>
          <a:r>
            <a:rPr lang="en-US" sz="900" b="1" kern="1200">
              <a:solidFill>
                <a:sysClr val="windowText" lastClr="000000"/>
              </a:solidFill>
              <a:latin typeface="Times New Roman" panose="02020603050405020304" pitchFamily="18" charset="0"/>
              <a:cs typeface="Times New Roman" panose="02020603050405020304" pitchFamily="18" charset="0"/>
            </a:rPr>
            <a:t>tool is available on the Ministry’s website </a:t>
          </a:r>
          <a:r>
            <a:rPr lang="en-US" sz="900" kern="1200">
              <a:solidFill>
                <a:sysClr val="windowText" lastClr="000000"/>
              </a:solidFill>
              <a:latin typeface="Times New Roman" panose="02020603050405020304" pitchFamily="18" charset="0"/>
              <a:cs typeface="Times New Roman" panose="02020603050405020304" pitchFamily="18" charset="0"/>
            </a:rPr>
            <a:t>and </a:t>
          </a:r>
          <a:r>
            <a:rPr lang="en-US" sz="900" b="1" kern="1200">
              <a:solidFill>
                <a:sysClr val="windowText" lastClr="000000"/>
              </a:solidFill>
              <a:latin typeface="Times New Roman" panose="02020603050405020304" pitchFamily="18" charset="0"/>
              <a:cs typeface="Times New Roman" panose="02020603050405020304" pitchFamily="18" charset="0"/>
            </a:rPr>
            <a:t>more than 7,000 users accessed </a:t>
          </a:r>
          <a:r>
            <a:rPr lang="en-US" sz="900" kern="1200">
              <a:solidFill>
                <a:sysClr val="windowText" lastClr="000000"/>
              </a:solidFill>
              <a:latin typeface="Times New Roman" panose="02020603050405020304" pitchFamily="18" charset="0"/>
              <a:cs typeface="Times New Roman" panose="02020603050405020304" pitchFamily="18" charset="0"/>
            </a:rPr>
            <a:t>the simplified guidance in the first months after its publication</a:t>
          </a:r>
          <a:r>
            <a:rPr lang="en-US" sz="1200" kern="1200">
              <a:solidFill>
                <a:sysClr val="windowText" lastClr="000000"/>
              </a:solidFill>
              <a:latin typeface="Times New Roman" panose="02020603050405020304" pitchFamily="18" charset="0"/>
              <a:cs typeface="Times New Roman" panose="02020603050405020304" pitchFamily="18" charset="0"/>
            </a:rPr>
            <a:t>. </a:t>
          </a:r>
          <a:r>
            <a:rPr lang="en-GB" sz="900" kern="1200">
              <a:solidFill>
                <a:sysClr val="windowText" lastClr="000000"/>
              </a:solidFill>
              <a:latin typeface="Times New Roman" panose="02020603050405020304" pitchFamily="18" charset="0"/>
              <a:cs typeface="Times New Roman" panose="02020603050405020304" pitchFamily="18" charset="0"/>
            </a:rPr>
            <a:t> </a:t>
          </a:r>
          <a:endParaRPr lang="en-US" sz="800" b="1" kern="1200">
            <a:solidFill>
              <a:sysClr val="windowText" lastClr="000000"/>
            </a:solidFill>
            <a:latin typeface="Times New Roman" panose="02020603050405020304" pitchFamily="18" charset="0"/>
            <a:cs typeface="Times New Roman" panose="02020603050405020304" pitchFamily="18" charset="0"/>
          </a:endParaRPr>
        </a:p>
      </dsp:txBody>
      <dsp:txXfrm>
        <a:off x="1463231" y="0"/>
        <a:ext cx="4013643" cy="1742059"/>
      </dsp:txXfrm>
    </dsp:sp>
    <dsp:sp modelId="{8859263C-DC5A-47C0-9736-94028708D689}">
      <dsp:nvSpPr>
        <dsp:cNvPr id="0" name=""/>
        <dsp:cNvSpPr/>
      </dsp:nvSpPr>
      <dsp:spPr>
        <a:xfrm>
          <a:off x="152746" y="47310"/>
          <a:ext cx="1235254" cy="1605297"/>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2000" r="-7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F059EE-D9BA-4391-972C-DFFA8500EE44}">
      <dsp:nvSpPr>
        <dsp:cNvPr id="0" name=""/>
        <dsp:cNvSpPr/>
      </dsp:nvSpPr>
      <dsp:spPr>
        <a:xfrm>
          <a:off x="0" y="1813460"/>
          <a:ext cx="5476875" cy="1700417"/>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Improving inland navigation and traffic conditions in the Antwerp port area in Belgium (SRSP 2018)</a:t>
          </a:r>
        </a:p>
        <a:p>
          <a:pPr lvl="0" algn="just"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objective of the project was to support the Port of Antwerp to reduce road congestion and improve the navigation and coordination of vessels in the port area </a:t>
          </a:r>
          <a:r>
            <a:rPr lang="en-GB" sz="900" kern="1200">
              <a:solidFill>
                <a:sysClr val="windowText" lastClr="000000"/>
              </a:solidFill>
              <a:latin typeface="Times New Roman" panose="02020603050405020304" pitchFamily="18" charset="0"/>
              <a:cs typeface="Times New Roman" panose="02020603050405020304" pitchFamily="18" charset="0"/>
            </a:rPr>
            <a:t>by (i</a:t>
          </a:r>
          <a:r>
            <a:rPr lang="en-GB" sz="900" b="1" kern="1200">
              <a:solidFill>
                <a:sysClr val="windowText" lastClr="000000"/>
              </a:solidFill>
              <a:latin typeface="Times New Roman" panose="02020603050405020304" pitchFamily="18" charset="0"/>
              <a:cs typeface="Times New Roman" panose="02020603050405020304" pitchFamily="18" charset="0"/>
            </a:rPr>
            <a:t>) investigating the concept of “inland nodes”</a:t>
          </a:r>
          <a:r>
            <a:rPr lang="en-GB" sz="900" kern="1200">
              <a:solidFill>
                <a:sysClr val="windowText" lastClr="000000"/>
              </a:solidFill>
              <a:latin typeface="Times New Roman" panose="02020603050405020304" pitchFamily="18" charset="0"/>
              <a:cs typeface="Times New Roman" panose="02020603050405020304" pitchFamily="18" charset="0"/>
            </a:rPr>
            <a:t>, with a study on bundling volumes at consolidation points and providing regular services towards the port’s terminals; and (ii) </a:t>
          </a:r>
          <a:r>
            <a:rPr lang="en-GB" sz="900" b="1" kern="1200">
              <a:solidFill>
                <a:sysClr val="windowText" lastClr="000000"/>
              </a:solidFill>
              <a:latin typeface="Times New Roman" panose="02020603050405020304" pitchFamily="18" charset="0"/>
              <a:cs typeface="Times New Roman" panose="02020603050405020304" pitchFamily="18" charset="0"/>
            </a:rPr>
            <a:t>analysing four potential approaches and developing a business case for improved coordination of inland navigation</a:t>
          </a:r>
          <a:r>
            <a:rPr lang="en-GB" sz="900" kern="1200">
              <a:solidFill>
                <a:sysClr val="windowText" lastClr="000000"/>
              </a:solidFill>
              <a:latin typeface="Times New Roman" panose="02020603050405020304" pitchFamily="18" charset="0"/>
              <a:cs typeface="Times New Roman" panose="02020603050405020304" pitchFamily="18" charset="0"/>
            </a:rPr>
            <a:t>, together with its system requirements. The </a:t>
          </a:r>
          <a:r>
            <a:rPr lang="en-GB" sz="900" b="1" kern="1200">
              <a:solidFill>
                <a:sysClr val="windowText" lastClr="000000"/>
              </a:solidFill>
              <a:latin typeface="Times New Roman" panose="02020603050405020304" pitchFamily="18" charset="0"/>
              <a:cs typeface="Times New Roman" panose="02020603050405020304" pitchFamily="18" charset="0"/>
            </a:rPr>
            <a:t>Port Authority endorsed the business cases and technical solutions developed</a:t>
          </a:r>
          <a:r>
            <a:rPr lang="en-GB" sz="900" kern="1200">
              <a:solidFill>
                <a:sysClr val="windowText" lastClr="000000"/>
              </a:solidFill>
              <a:latin typeface="Times New Roman" panose="02020603050405020304" pitchFamily="18" charset="0"/>
              <a:cs typeface="Times New Roman" panose="02020603050405020304" pitchFamily="18" charset="0"/>
            </a:rPr>
            <a:t>.</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1463231" y="1813460"/>
        <a:ext cx="4013643" cy="1700417"/>
      </dsp:txXfrm>
    </dsp:sp>
    <dsp:sp modelId="{87A84380-8CDD-4E93-A5AA-C07765DCDBDD}">
      <dsp:nvSpPr>
        <dsp:cNvPr id="0" name=""/>
        <dsp:cNvSpPr/>
      </dsp:nvSpPr>
      <dsp:spPr>
        <a:xfrm>
          <a:off x="117119" y="1947856"/>
          <a:ext cx="1216205" cy="139794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88000" r="-8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60046B-068D-4658-94DA-0BA86C1CCA65}">
      <dsp:nvSpPr>
        <dsp:cNvPr id="0" name=""/>
        <dsp:cNvSpPr/>
      </dsp:nvSpPr>
      <dsp:spPr>
        <a:xfrm>
          <a:off x="0" y="3596020"/>
          <a:ext cx="5476875" cy="1510603"/>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Water sector reform in Romania (SRSP 2017)</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objective of the project was to support the development of economic and environmental regulation in the water sector in Romania by: (i) developing a comprehensive information framework for the national water regulator, which was piloted on three regional water companies and (ii) providing a series of workshops and trainings for water industry stakeholders.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project created a structure that would </a:t>
          </a:r>
          <a:r>
            <a:rPr lang="en-GB" sz="900" b="1" kern="1200">
              <a:solidFill>
                <a:sysClr val="windowText" lastClr="000000"/>
              </a:solidFill>
              <a:latin typeface="Times New Roman" panose="02020603050405020304" pitchFamily="18" charset="0"/>
              <a:cs typeface="Times New Roman" panose="02020603050405020304" pitchFamily="18" charset="0"/>
            </a:rPr>
            <a:t>enable roll-out of information framework to water companies across Romania </a:t>
          </a:r>
          <a:r>
            <a:rPr lang="en-GB" sz="900" kern="1200">
              <a:solidFill>
                <a:sysClr val="windowText" lastClr="000000"/>
              </a:solidFill>
              <a:latin typeface="Times New Roman" panose="02020603050405020304" pitchFamily="18" charset="0"/>
              <a:cs typeface="Times New Roman" panose="02020603050405020304" pitchFamily="18" charset="0"/>
            </a:rPr>
            <a:t>and incentivise improvements to their operational performance.</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463231" y="3596020"/>
        <a:ext cx="4013643" cy="1510603"/>
      </dsp:txXfrm>
    </dsp:sp>
    <dsp:sp modelId="{782D63B9-C4B7-4CC1-80AD-5B97CF66ED78}">
      <dsp:nvSpPr>
        <dsp:cNvPr id="0" name=""/>
        <dsp:cNvSpPr/>
      </dsp:nvSpPr>
      <dsp:spPr>
        <a:xfrm>
          <a:off x="163262" y="3722831"/>
          <a:ext cx="1219546" cy="1260424"/>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12F56B-EC89-4E24-B03F-11F60AB81CFD}">
      <dsp:nvSpPr>
        <dsp:cNvPr id="0" name=""/>
        <dsp:cNvSpPr/>
      </dsp:nvSpPr>
      <dsp:spPr>
        <a:xfrm>
          <a:off x="0" y="5283305"/>
          <a:ext cx="5476875" cy="1657415"/>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Education reform in Croatia (SRSP 2017)</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provided support</a:t>
          </a:r>
          <a:r>
            <a:rPr lang="en-GB" sz="900" b="1" kern="1200">
              <a:solidFill>
                <a:sysClr val="windowText" lastClr="000000"/>
              </a:solidFill>
              <a:latin typeface="Times New Roman" panose="02020603050405020304" pitchFamily="18" charset="0"/>
              <a:cs typeface="Times New Roman" panose="02020603050405020304" pitchFamily="18" charset="0"/>
            </a:rPr>
            <a:t> </a:t>
          </a:r>
          <a:r>
            <a:rPr lang="en-GB" sz="900" kern="1200">
              <a:solidFill>
                <a:sysClr val="windowText" lastClr="000000"/>
              </a:solidFill>
              <a:latin typeface="Times New Roman" panose="02020603050405020304" pitchFamily="18" charset="0"/>
              <a:cs typeface="Times New Roman" panose="02020603050405020304" pitchFamily="18" charset="0"/>
            </a:rPr>
            <a:t>to the Croatian authorities to implement the changes introduced by the new curriculum that encompasses all levels of education, namely </a:t>
          </a:r>
          <a:r>
            <a:rPr lang="en-GB" sz="900" b="1" kern="1200">
              <a:solidFill>
                <a:sysClr val="windowText" lastClr="000000"/>
              </a:solidFill>
              <a:latin typeface="Times New Roman" panose="02020603050405020304" pitchFamily="18" charset="0"/>
              <a:cs typeface="Times New Roman" panose="02020603050405020304" pitchFamily="18" charset="0"/>
            </a:rPr>
            <a:t>teaching of new skills and competences, introduction of learning outcomes and use of formative assessment</a:t>
          </a:r>
          <a:r>
            <a:rPr lang="en-GB" sz="900" kern="1200">
              <a:solidFill>
                <a:sysClr val="windowText" lastClr="000000"/>
              </a:solidFill>
              <a:latin typeface="Times New Roman" panose="02020603050405020304" pitchFamily="18" charset="0"/>
              <a:cs typeface="Times New Roman" panose="02020603050405020304" pitchFamily="18" charset="0"/>
            </a:rPr>
            <a:t>. As a result, the national authorities are equipped with (i) a </a:t>
          </a:r>
          <a:r>
            <a:rPr lang="en-GB" sz="900" b="1" kern="1200">
              <a:solidFill>
                <a:sysClr val="windowText" lastClr="000000"/>
              </a:solidFill>
              <a:latin typeface="Times New Roman" panose="02020603050405020304" pitchFamily="18" charset="0"/>
              <a:cs typeface="Times New Roman" panose="02020603050405020304" pitchFamily="18" charset="0"/>
            </a:rPr>
            <a:t>set of more than 100 mentors </a:t>
          </a:r>
          <a:r>
            <a:rPr lang="en-GB" sz="900" kern="1200">
              <a:solidFill>
                <a:sysClr val="windowText" lastClr="000000"/>
              </a:solidFill>
              <a:latin typeface="Times New Roman" panose="02020603050405020304" pitchFamily="18" charset="0"/>
              <a:cs typeface="Times New Roman" panose="02020603050405020304" pitchFamily="18" charset="0"/>
            </a:rPr>
            <a:t>duly trained in the new competences to train teachers, (ii) a </a:t>
          </a:r>
          <a:r>
            <a:rPr lang="en-GB" sz="900" b="1" kern="1200">
              <a:solidFill>
                <a:sysClr val="windowText" lastClr="000000"/>
              </a:solidFill>
              <a:latin typeface="Times New Roman" panose="02020603050405020304" pitchFamily="18" charset="0"/>
              <a:cs typeface="Times New Roman" panose="02020603050405020304" pitchFamily="18" charset="0"/>
            </a:rPr>
            <a:t>rich set of audiovisual material uploaded on their e-platform to support teachers in schools,</a:t>
          </a:r>
          <a:r>
            <a:rPr lang="en-GB" sz="900" kern="1200">
              <a:solidFill>
                <a:sysClr val="windowText" lastClr="000000"/>
              </a:solidFill>
              <a:latin typeface="Times New Roman" panose="02020603050405020304" pitchFamily="18" charset="0"/>
              <a:cs typeface="Times New Roman" panose="02020603050405020304" pitchFamily="18" charset="0"/>
            </a:rPr>
            <a:t> and (iii) </a:t>
          </a:r>
          <a:r>
            <a:rPr lang="en-GB" sz="900" b="1" kern="1200">
              <a:solidFill>
                <a:sysClr val="windowText" lastClr="000000"/>
              </a:solidFill>
              <a:latin typeface="Times New Roman" panose="02020603050405020304" pitchFamily="18" charset="0"/>
              <a:cs typeface="Times New Roman" panose="02020603050405020304" pitchFamily="18" charset="0"/>
            </a:rPr>
            <a:t>a group of school leaders trained to train other leaders in becoming vectors of change</a:t>
          </a:r>
          <a:r>
            <a:rPr lang="en-GB" sz="1000" kern="1200">
              <a:solidFill>
                <a:sysClr val="windowText" lastClr="000000"/>
              </a:solidFill>
              <a:latin typeface="Times New Roman" panose="02020603050405020304" pitchFamily="18" charset="0"/>
              <a:cs typeface="Times New Roman" panose="02020603050405020304" pitchFamily="18" charset="0"/>
            </a:rPr>
            <a:t>. </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463231" y="5283305"/>
        <a:ext cx="4013643" cy="1657415"/>
      </dsp:txXfrm>
    </dsp:sp>
    <dsp:sp modelId="{BB2EA343-40A7-4FA3-A238-C55427091E94}">
      <dsp:nvSpPr>
        <dsp:cNvPr id="0" name=""/>
        <dsp:cNvSpPr/>
      </dsp:nvSpPr>
      <dsp:spPr>
        <a:xfrm>
          <a:off x="163262" y="5495095"/>
          <a:ext cx="1219546" cy="1260424"/>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74D94-5912-4A8D-ABC2-86DA0246994C}">
      <dsp:nvSpPr>
        <dsp:cNvPr id="0" name=""/>
        <dsp:cNvSpPr/>
      </dsp:nvSpPr>
      <dsp:spPr>
        <a:xfrm>
          <a:off x="0" y="0"/>
          <a:ext cx="5472430" cy="2172112"/>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Health system reform in Slovenia (SRSP 2017)</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has been supporting </a:t>
          </a:r>
          <a:r>
            <a:rPr lang="en-US" sz="900" kern="1200">
              <a:solidFill>
                <a:sysClr val="windowText" lastClr="000000"/>
              </a:solidFill>
              <a:latin typeface="Times New Roman" panose="02020603050405020304" pitchFamily="18" charset="0"/>
              <a:cs typeface="Times New Roman" panose="02020603050405020304" pitchFamily="18" charset="0"/>
            </a:rPr>
            <a:t>Slovenia in four strategic reform areas, namely (i) governance of the health care system; (ii) long-term care; (iii) quality of care and patient safety; and (iv) financing of hospital services. </a:t>
          </a:r>
        </a:p>
        <a:p>
          <a:pPr lvl="0" algn="just"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collaboration between Slovenia and the Commission on key reform areas </a:t>
          </a:r>
          <a:r>
            <a:rPr lang="en-US" sz="900" b="1" kern="1200">
              <a:solidFill>
                <a:sysClr val="windowText" lastClr="000000"/>
              </a:solidFill>
              <a:latin typeface="Times New Roman" panose="02020603050405020304" pitchFamily="18" charset="0"/>
              <a:cs typeface="Times New Roman" panose="02020603050405020304" pitchFamily="18" charset="0"/>
            </a:rPr>
            <a:t>facilitated the preparation and adoption of laws and regulations and the deployment of tools to contribute to the quality, accessibility and long-term fiscal sustainability of the health and long-term care systems </a:t>
          </a:r>
          <a:r>
            <a:rPr lang="en-US" sz="900" kern="1200">
              <a:solidFill>
                <a:sysClr val="windowText" lastClr="000000"/>
              </a:solidFill>
              <a:latin typeface="Times New Roman" panose="02020603050405020304" pitchFamily="18" charset="0"/>
              <a:cs typeface="Times New Roman" panose="02020603050405020304" pitchFamily="18" charset="0"/>
            </a:rPr>
            <a:t>in Slovenia. </a:t>
          </a:r>
        </a:p>
        <a:p>
          <a:pPr lvl="0" algn="just"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support measures helped the authorities to (i) </a:t>
          </a:r>
          <a:r>
            <a:rPr lang="en-US" sz="900" b="1" kern="1200">
              <a:solidFill>
                <a:sysClr val="windowText" lastClr="000000"/>
              </a:solidFill>
              <a:latin typeface="Times New Roman" panose="02020603050405020304" pitchFamily="18" charset="0"/>
              <a:cs typeface="Times New Roman" panose="02020603050405020304" pitchFamily="18" charset="0"/>
            </a:rPr>
            <a:t>establish a comprehensive set of tools and mechanisms </a:t>
          </a:r>
          <a:r>
            <a:rPr lang="en-US" sz="900" kern="1200">
              <a:solidFill>
                <a:sysClr val="windowText" lastClr="000000"/>
              </a:solidFill>
              <a:latin typeface="Times New Roman" panose="02020603050405020304" pitchFamily="18" charset="0"/>
              <a:cs typeface="Times New Roman" panose="02020603050405020304" pitchFamily="18" charset="0"/>
            </a:rPr>
            <a:t>to improve the governance of the health system (i.e. a health system performance assessment and a health workforce planning), (ii) </a:t>
          </a:r>
          <a:r>
            <a:rPr lang="en-US" sz="900" b="1" kern="1200">
              <a:solidFill>
                <a:sysClr val="windowText" lastClr="000000"/>
              </a:solidFill>
              <a:latin typeface="Times New Roman" panose="02020603050405020304" pitchFamily="18" charset="0"/>
              <a:cs typeface="Times New Roman" panose="02020603050405020304" pitchFamily="18" charset="0"/>
            </a:rPr>
            <a:t>strengthen the implementation of a pilot in long-term care schemes </a:t>
          </a:r>
          <a:r>
            <a:rPr lang="en-US" sz="900" kern="1200">
              <a:solidFill>
                <a:sysClr val="windowText" lastClr="000000"/>
              </a:solidFill>
              <a:latin typeface="Times New Roman" panose="02020603050405020304" pitchFamily="18" charset="0"/>
              <a:cs typeface="Times New Roman" panose="02020603050405020304" pitchFamily="18" charset="0"/>
            </a:rPr>
            <a:t>that will facilitate the rollout of the system at national level, (iii) </a:t>
          </a:r>
          <a:r>
            <a:rPr lang="en-US" sz="900" b="1" kern="1200">
              <a:solidFill>
                <a:sysClr val="windowText" lastClr="000000"/>
              </a:solidFill>
              <a:latin typeface="Times New Roman" panose="02020603050405020304" pitchFamily="18" charset="0"/>
              <a:cs typeface="Times New Roman" panose="02020603050405020304" pitchFamily="18" charset="0"/>
            </a:rPr>
            <a:t>establish a national patient safety system and enhance the quality of care,</a:t>
          </a:r>
          <a:r>
            <a:rPr lang="en-US" sz="900" kern="1200">
              <a:solidFill>
                <a:sysClr val="windowText" lastClr="000000"/>
              </a:solidFill>
              <a:latin typeface="Times New Roman" panose="02020603050405020304" pitchFamily="18" charset="0"/>
              <a:cs typeface="Times New Roman" panose="02020603050405020304" pitchFamily="18" charset="0"/>
            </a:rPr>
            <a:t> and (iv) </a:t>
          </a:r>
          <a:r>
            <a:rPr lang="en-US" sz="900" b="1" kern="1200">
              <a:solidFill>
                <a:sysClr val="windowText" lastClr="000000"/>
              </a:solidFill>
              <a:latin typeface="Times New Roman" panose="02020603050405020304" pitchFamily="18" charset="0"/>
              <a:cs typeface="Times New Roman" panose="02020603050405020304" pitchFamily="18" charset="0"/>
            </a:rPr>
            <a:t>modernise the hospital financing system</a:t>
          </a:r>
          <a:r>
            <a:rPr lang="en-US" sz="900" kern="1200">
              <a:solidFill>
                <a:sysClr val="windowText" lastClr="000000"/>
              </a:solidFill>
              <a:latin typeface="Times New Roman" panose="02020603050405020304" pitchFamily="18" charset="0"/>
              <a:cs typeface="Times New Roman" panose="02020603050405020304" pitchFamily="18" charset="0"/>
            </a:rPr>
            <a:t>. These reforms are key to ensuring adequate healthcare and long-term care are provided to the population.</a:t>
          </a:r>
          <a:endParaRPr lang="en-US" sz="900" b="1" kern="1200">
            <a:solidFill>
              <a:sysClr val="windowText" lastClr="000000"/>
            </a:solidFill>
            <a:latin typeface="Times New Roman" panose="02020603050405020304" pitchFamily="18" charset="0"/>
            <a:cs typeface="Times New Roman" panose="02020603050405020304" pitchFamily="18" charset="0"/>
          </a:endParaRPr>
        </a:p>
      </dsp:txBody>
      <dsp:txXfrm>
        <a:off x="1421843" y="0"/>
        <a:ext cx="4050586" cy="2172112"/>
      </dsp:txXfrm>
    </dsp:sp>
    <dsp:sp modelId="{8859263C-DC5A-47C0-9736-94028708D689}">
      <dsp:nvSpPr>
        <dsp:cNvPr id="0" name=""/>
        <dsp:cNvSpPr/>
      </dsp:nvSpPr>
      <dsp:spPr>
        <a:xfrm>
          <a:off x="112421" y="353025"/>
          <a:ext cx="1234251" cy="142856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F059EE-D9BA-4391-972C-DFFA8500EE44}">
      <dsp:nvSpPr>
        <dsp:cNvPr id="0" name=""/>
        <dsp:cNvSpPr/>
      </dsp:nvSpPr>
      <dsp:spPr>
        <a:xfrm>
          <a:off x="0" y="2235652"/>
          <a:ext cx="5472430" cy="1626572"/>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Welfare (social benefits) reform in Croatia (SRSP 2017)</a:t>
          </a:r>
        </a:p>
        <a:p>
          <a:pPr lvl="0" algn="l"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has been supporting Croatia with the consolidation of social benefits. The SRSS, working with the national authorities, collected, classified, and analysed local social benefits using the standardised European System of Integrated Social Protection Statistics (ESSPROS) methodology, which now allows the national authorities to effectively monitor the type of benefits provided by local authorities. As a result, the national authorities can for the first time (i) </a:t>
          </a:r>
          <a:r>
            <a:rPr lang="en-GB" sz="900" b="1" kern="1200">
              <a:solidFill>
                <a:sysClr val="windowText" lastClr="000000"/>
              </a:solidFill>
              <a:latin typeface="Times New Roman" panose="02020603050405020304" pitchFamily="18" charset="0"/>
              <a:cs typeface="Times New Roman" panose="02020603050405020304" pitchFamily="18" charset="0"/>
            </a:rPr>
            <a:t>analyse the effects of local benefits for poverty reduction,</a:t>
          </a:r>
          <a:r>
            <a:rPr lang="en-GB" sz="900" kern="1200">
              <a:solidFill>
                <a:sysClr val="windowText" lastClr="000000"/>
              </a:solidFill>
              <a:latin typeface="Times New Roman" panose="02020603050405020304" pitchFamily="18" charset="0"/>
              <a:cs typeface="Times New Roman" panose="02020603050405020304" pitchFamily="18" charset="0"/>
            </a:rPr>
            <a:t> (ii) </a:t>
          </a:r>
          <a:r>
            <a:rPr lang="en-GB" sz="900" b="1" kern="1200">
              <a:solidFill>
                <a:sysClr val="windowText" lastClr="000000"/>
              </a:solidFill>
              <a:latin typeface="Times New Roman" panose="02020603050405020304" pitchFamily="18" charset="0"/>
              <a:cs typeface="Times New Roman" panose="02020603050405020304" pitchFamily="18" charset="0"/>
            </a:rPr>
            <a:t>monitor the results of local public spending on social benefits</a:t>
          </a:r>
          <a:r>
            <a:rPr lang="en-GB" sz="900" kern="1200">
              <a:solidFill>
                <a:sysClr val="windowText" lastClr="000000"/>
              </a:solidFill>
              <a:latin typeface="Times New Roman" panose="02020603050405020304" pitchFamily="18" charset="0"/>
              <a:cs typeface="Times New Roman" panose="02020603050405020304" pitchFamily="18" charset="0"/>
            </a:rPr>
            <a:t>, and (iii) </a:t>
          </a:r>
          <a:r>
            <a:rPr lang="en-GB" sz="900" b="1" kern="1200">
              <a:solidFill>
                <a:sysClr val="windowText" lastClr="000000"/>
              </a:solidFill>
              <a:latin typeface="Times New Roman" panose="02020603050405020304" pitchFamily="18" charset="0"/>
              <a:cs typeface="Times New Roman" panose="02020603050405020304" pitchFamily="18" charset="0"/>
            </a:rPr>
            <a:t>support local authorities in strengthening the design of social programmes</a:t>
          </a:r>
          <a:r>
            <a:rPr lang="en-GB" sz="900" kern="1200">
              <a:solidFill>
                <a:sysClr val="windowText" lastClr="000000"/>
              </a:solidFill>
              <a:latin typeface="Times New Roman" panose="02020603050405020304" pitchFamily="18" charset="0"/>
              <a:cs typeface="Times New Roman" panose="02020603050405020304" pitchFamily="18" charset="0"/>
            </a:rPr>
            <a:t>. Ultimately, the consolidation of social benefits according to the ESSPROS methodology will </a:t>
          </a:r>
          <a:r>
            <a:rPr lang="en-GB" sz="900" b="1" kern="1200">
              <a:solidFill>
                <a:sysClr val="windowText" lastClr="000000"/>
              </a:solidFill>
              <a:latin typeface="Times New Roman" panose="02020603050405020304" pitchFamily="18" charset="0"/>
              <a:cs typeface="Times New Roman" panose="02020603050405020304" pitchFamily="18" charset="0"/>
            </a:rPr>
            <a:t>increase the quality of services provided to citizens as well as improve the targeting of social programmes to those most in need. </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1421843" y="2235652"/>
        <a:ext cx="4050586" cy="1626572"/>
      </dsp:txXfrm>
    </dsp:sp>
    <dsp:sp modelId="{87A84380-8CDD-4E93-A5AA-C07765DCDBDD}">
      <dsp:nvSpPr>
        <dsp:cNvPr id="0" name=""/>
        <dsp:cNvSpPr/>
      </dsp:nvSpPr>
      <dsp:spPr>
        <a:xfrm>
          <a:off x="76823" y="2510678"/>
          <a:ext cx="1215218" cy="1046547"/>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60046B-068D-4658-94DA-0BA86C1CCA65}">
      <dsp:nvSpPr>
        <dsp:cNvPr id="0" name=""/>
        <dsp:cNvSpPr/>
      </dsp:nvSpPr>
      <dsp:spPr>
        <a:xfrm>
          <a:off x="0" y="3935323"/>
          <a:ext cx="5472430" cy="1498870"/>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Spending review in Spain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objective of the project was to</a:t>
          </a:r>
          <a:r>
            <a:rPr lang="en-GB" sz="900" b="1" kern="1200">
              <a:solidFill>
                <a:sysClr val="windowText" lastClr="000000"/>
              </a:solidFill>
              <a:latin typeface="Times New Roman" panose="02020603050405020304" pitchFamily="18" charset="0"/>
              <a:cs typeface="Times New Roman" panose="02020603050405020304" pitchFamily="18" charset="0"/>
            </a:rPr>
            <a:t> </a:t>
          </a:r>
          <a:r>
            <a:rPr lang="en-GB" sz="900" kern="1200">
              <a:solidFill>
                <a:sysClr val="windowText" lastClr="000000"/>
              </a:solidFill>
              <a:latin typeface="Times New Roman" panose="02020603050405020304" pitchFamily="18" charset="0"/>
              <a:cs typeface="Times New Roman" panose="02020603050405020304" pitchFamily="18" charset="0"/>
            </a:rPr>
            <a:t>help implement a review of outpatient pharmaceutical public spending by carrying out nine technical reports to be used by the Spanish Independent Fiscal Institution (AIReF) to prepare its final spending review report.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final report was published in June 2019.  Before that, some of the </a:t>
          </a:r>
          <a:r>
            <a:rPr lang="en-GB" sz="900" b="1" kern="1200">
              <a:solidFill>
                <a:sysClr val="windowText" lastClr="000000"/>
              </a:solidFill>
              <a:latin typeface="Times New Roman" panose="02020603050405020304" pitchFamily="18" charset="0"/>
              <a:cs typeface="Times New Roman" panose="02020603050405020304" pitchFamily="18" charset="0"/>
            </a:rPr>
            <a:t>recommendations made in the technical reports had already been endorsed by the Spanish government in its 2019 stability programme</a:t>
          </a:r>
          <a:r>
            <a:rPr lang="en-GB" sz="900" kern="1200">
              <a:solidFill>
                <a:sysClr val="windowText" lastClr="000000"/>
              </a:solidFill>
              <a:latin typeface="Times New Roman" panose="02020603050405020304" pitchFamily="18" charset="0"/>
              <a:cs typeface="Times New Roman" panose="02020603050405020304" pitchFamily="18" charset="0"/>
            </a:rPr>
            <a:t>. </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objective is to </a:t>
          </a:r>
          <a:r>
            <a:rPr lang="en-GB" sz="900" b="1" kern="1200">
              <a:solidFill>
                <a:sysClr val="windowText" lastClr="000000"/>
              </a:solidFill>
              <a:latin typeface="Times New Roman" panose="02020603050405020304" pitchFamily="18" charset="0"/>
              <a:cs typeface="Times New Roman" panose="02020603050405020304" pitchFamily="18" charset="0"/>
            </a:rPr>
            <a:t>improve the efficiency and effectiveness of public spending in Spain</a:t>
          </a:r>
          <a:r>
            <a:rPr lang="en-GB" sz="900" kern="1200">
              <a:solidFill>
                <a:sysClr val="windowText" lastClr="000000"/>
              </a:solidFill>
              <a:latin typeface="Times New Roman" panose="02020603050405020304" pitchFamily="18" charset="0"/>
              <a:cs typeface="Times New Roman" panose="02020603050405020304" pitchFamily="18" charset="0"/>
            </a:rPr>
            <a:t>.</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421843" y="3935323"/>
        <a:ext cx="4050586" cy="1498870"/>
      </dsp:txXfrm>
    </dsp:sp>
    <dsp:sp modelId="{782D63B9-C4B7-4CC1-80AD-5B97CF66ED78}">
      <dsp:nvSpPr>
        <dsp:cNvPr id="0" name=""/>
        <dsp:cNvSpPr/>
      </dsp:nvSpPr>
      <dsp:spPr>
        <a:xfrm>
          <a:off x="122929" y="4125462"/>
          <a:ext cx="1218556" cy="112165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12F56B-EC89-4E24-B03F-11F60AB81CFD}">
      <dsp:nvSpPr>
        <dsp:cNvPr id="0" name=""/>
        <dsp:cNvSpPr/>
      </dsp:nvSpPr>
      <dsp:spPr>
        <a:xfrm>
          <a:off x="0" y="5591423"/>
          <a:ext cx="5472430" cy="1474940"/>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Revenue administration reform in Latvia (SRSP 2017,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provided support to the State Revenue Service to implement the mid-term tax strategy by carrying out (i) </a:t>
          </a:r>
          <a:r>
            <a:rPr lang="en-GB" sz="900" b="1" kern="1200">
              <a:solidFill>
                <a:sysClr val="windowText" lastClr="000000"/>
              </a:solidFill>
              <a:latin typeface="Times New Roman" panose="02020603050405020304" pitchFamily="18" charset="0"/>
              <a:cs typeface="Times New Roman" panose="02020603050405020304" pitchFamily="18" charset="0"/>
            </a:rPr>
            <a:t>a measurement of the VAT gap by industry sector and business segment and</a:t>
          </a:r>
          <a:r>
            <a:rPr lang="en-GB" sz="900" kern="1200">
              <a:solidFill>
                <a:sysClr val="windowText" lastClr="000000"/>
              </a:solidFill>
              <a:latin typeface="Times New Roman" panose="02020603050405020304" pitchFamily="18" charset="0"/>
              <a:cs typeface="Times New Roman" panose="02020603050405020304" pitchFamily="18" charset="0"/>
            </a:rPr>
            <a:t>, (ii) an </a:t>
          </a:r>
          <a:r>
            <a:rPr lang="en-GB" sz="900" b="1" kern="1200">
              <a:solidFill>
                <a:sysClr val="windowText" lastClr="000000"/>
              </a:solidFill>
              <a:latin typeface="Times New Roman" panose="02020603050405020304" pitchFamily="18" charset="0"/>
              <a:cs typeface="Times New Roman" panose="02020603050405020304" pitchFamily="18" charset="0"/>
            </a:rPr>
            <a:t>analysis of the different types of tax fraud being perpetrated in Latvia</a:t>
          </a:r>
          <a:r>
            <a:rPr lang="en-GB" sz="900" kern="1200">
              <a:solidFill>
                <a:sysClr val="windowText" lastClr="000000"/>
              </a:solidFill>
              <a:latin typeface="Times New Roman" panose="02020603050405020304" pitchFamily="18" charset="0"/>
              <a:cs typeface="Times New Roman" panose="02020603050405020304" pitchFamily="18" charset="0"/>
            </a:rPr>
            <a:t>, including </a:t>
          </a:r>
          <a:r>
            <a:rPr lang="en-GB" sz="900" b="1" kern="1200">
              <a:solidFill>
                <a:sysClr val="windowText" lastClr="000000"/>
              </a:solidFill>
              <a:latin typeface="Times New Roman" panose="02020603050405020304" pitchFamily="18" charset="0"/>
              <a:cs typeface="Times New Roman" panose="02020603050405020304" pitchFamily="18" charset="0"/>
            </a:rPr>
            <a:t>recommendations and training on tackling them</a:t>
          </a:r>
          <a:r>
            <a:rPr lang="en-GB" sz="900" kern="1200">
              <a:solidFill>
                <a:sysClr val="windowText" lastClr="000000"/>
              </a:solidFill>
              <a:latin typeface="Times New Roman" panose="02020603050405020304" pitchFamily="18" charset="0"/>
              <a:cs typeface="Times New Roman" panose="02020603050405020304" pitchFamily="18" charset="0"/>
            </a:rPr>
            <a:t>. The programme continues to support the State Revenue Service in 2018 and 2019 to implement the mid-term tax strategy. The objective is to </a:t>
          </a:r>
          <a:r>
            <a:rPr lang="en-GB" sz="900" b="1" kern="1200">
              <a:solidFill>
                <a:sysClr val="windowText" lastClr="000000"/>
              </a:solidFill>
              <a:latin typeface="Times New Roman" panose="02020603050405020304" pitchFamily="18" charset="0"/>
              <a:cs typeface="Times New Roman" panose="02020603050405020304" pitchFamily="18" charset="0"/>
            </a:rPr>
            <a:t>improve the detection and deterrence of non-compliance and fraud </a:t>
          </a:r>
          <a:r>
            <a:rPr lang="en-GB" sz="900" kern="1200">
              <a:solidFill>
                <a:sysClr val="windowText" lastClr="000000"/>
              </a:solidFill>
              <a:latin typeface="Times New Roman" panose="02020603050405020304" pitchFamily="18" charset="0"/>
              <a:cs typeface="Times New Roman" panose="02020603050405020304" pitchFamily="18" charset="0"/>
            </a:rPr>
            <a:t>in key tax areas and to increase state revenues.</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421843" y="5591423"/>
        <a:ext cx="4050586" cy="1474940"/>
      </dsp:txXfrm>
    </dsp:sp>
    <dsp:sp modelId="{BB2EA343-40A7-4FA3-A238-C55427091E94}">
      <dsp:nvSpPr>
        <dsp:cNvPr id="0" name=""/>
        <dsp:cNvSpPr/>
      </dsp:nvSpPr>
      <dsp:spPr>
        <a:xfrm>
          <a:off x="86690" y="5779895"/>
          <a:ext cx="1291033" cy="1121656"/>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74D94-5912-4A8D-ABC2-86DA0246994C}">
      <dsp:nvSpPr>
        <dsp:cNvPr id="0" name=""/>
        <dsp:cNvSpPr/>
      </dsp:nvSpPr>
      <dsp:spPr>
        <a:xfrm>
          <a:off x="0" y="0"/>
          <a:ext cx="5472430" cy="153584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Public financial management reform in Portugal (SRSP 2017)</a:t>
          </a:r>
        </a:p>
        <a:p>
          <a:pPr lvl="0" algn="l" defTabSz="533400">
            <a:lnSpc>
              <a:spcPct val="90000"/>
            </a:lnSpc>
            <a:spcBef>
              <a:spcPct val="0"/>
            </a:spcBef>
            <a:spcAft>
              <a:spcPct val="35000"/>
            </a:spcAft>
          </a:pPr>
          <a:r>
            <a:rPr lang="en-US" sz="900" kern="1200">
              <a:solidFill>
                <a:sysClr val="windowText" lastClr="000000"/>
              </a:solidFill>
              <a:latin typeface="Times New Roman" panose="02020603050405020304" pitchFamily="18" charset="0"/>
              <a:cs typeface="Times New Roman" panose="02020603050405020304" pitchFamily="18" charset="0"/>
            </a:rPr>
            <a:t>The </a:t>
          </a:r>
          <a:r>
            <a:rPr lang="en-GB" sz="900" kern="1200">
              <a:solidFill>
                <a:sysClr val="windowText" lastClr="000000"/>
              </a:solidFill>
              <a:latin typeface="Times New Roman" panose="02020603050405020304" pitchFamily="18" charset="0"/>
              <a:cs typeface="Times New Roman" panose="02020603050405020304" pitchFamily="18" charset="0"/>
            </a:rPr>
            <a:t>SRSS provides support for implementation of the 2015 Budget Framework Law in the areas of cash forecasting, commitments controls and non-tax revenue collection. Following the advice provided, the Portuguese National Republican guard (GNR) will </a:t>
          </a:r>
          <a:r>
            <a:rPr lang="en-GB" sz="900" b="1" kern="1200">
              <a:solidFill>
                <a:sysClr val="windowText" lastClr="000000"/>
              </a:solidFill>
              <a:latin typeface="Times New Roman" panose="02020603050405020304" pitchFamily="18" charset="0"/>
              <a:cs typeface="Times New Roman" panose="02020603050405020304" pitchFamily="18" charset="0"/>
            </a:rPr>
            <a:t>test a new accounting and collection process for non-tax revenue as from January 2020</a:t>
          </a:r>
          <a:r>
            <a:rPr lang="en-GB" sz="900" kern="1200">
              <a:solidFill>
                <a:sysClr val="windowText" lastClr="000000"/>
              </a:solidFill>
              <a:latin typeface="Times New Roman" panose="02020603050405020304" pitchFamily="18" charset="0"/>
              <a:cs typeface="Times New Roman" panose="02020603050405020304" pitchFamily="18" charset="0"/>
            </a:rPr>
            <a:t>. The objective is to </a:t>
          </a:r>
          <a:r>
            <a:rPr lang="en-GB" sz="900" b="1" kern="1200">
              <a:solidFill>
                <a:sysClr val="windowText" lastClr="000000"/>
              </a:solidFill>
              <a:latin typeface="Times New Roman" panose="02020603050405020304" pitchFamily="18" charset="0"/>
              <a:cs typeface="Times New Roman" panose="02020603050405020304" pitchFamily="18" charset="0"/>
            </a:rPr>
            <a:t>strengthen expenditure control and adequate budgeting in Portugal</a:t>
          </a:r>
          <a:r>
            <a:rPr lang="en-GB" sz="900" kern="1200">
              <a:solidFill>
                <a:sysClr val="windowText" lastClr="000000"/>
              </a:solidFill>
              <a:latin typeface="Times New Roman" panose="02020603050405020304" pitchFamily="18" charset="0"/>
              <a:cs typeface="Times New Roman" panose="02020603050405020304" pitchFamily="18" charset="0"/>
            </a:rPr>
            <a:t>.</a:t>
          </a:r>
          <a:r>
            <a:rPr lang="en-GB" sz="900" b="1" kern="1200">
              <a:solidFill>
                <a:sysClr val="windowText" lastClr="000000"/>
              </a:solidFill>
              <a:latin typeface="Times New Roman" panose="02020603050405020304" pitchFamily="18" charset="0"/>
              <a:cs typeface="Times New Roman" panose="02020603050405020304" pitchFamily="18" charset="0"/>
            </a:rPr>
            <a:t> </a:t>
          </a:r>
          <a:endParaRPr lang="en-US" sz="900" b="1" kern="1200">
            <a:solidFill>
              <a:sysClr val="windowText" lastClr="000000"/>
            </a:solidFill>
            <a:latin typeface="Times New Roman" panose="02020603050405020304" pitchFamily="18" charset="0"/>
            <a:cs typeface="Times New Roman" panose="02020603050405020304" pitchFamily="18" charset="0"/>
          </a:endParaRPr>
        </a:p>
      </dsp:txBody>
      <dsp:txXfrm>
        <a:off x="1636040" y="0"/>
        <a:ext cx="3836389" cy="1535848"/>
      </dsp:txXfrm>
    </dsp:sp>
    <dsp:sp modelId="{8859263C-DC5A-47C0-9736-94028708D689}">
      <dsp:nvSpPr>
        <dsp:cNvPr id="0" name=""/>
        <dsp:cNvSpPr/>
      </dsp:nvSpPr>
      <dsp:spPr>
        <a:xfrm>
          <a:off x="326619" y="100014"/>
          <a:ext cx="1234251" cy="127377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F059EE-D9BA-4391-972C-DFFA8500EE44}">
      <dsp:nvSpPr>
        <dsp:cNvPr id="0" name=""/>
        <dsp:cNvSpPr/>
      </dsp:nvSpPr>
      <dsp:spPr>
        <a:xfrm>
          <a:off x="0" y="1640964"/>
          <a:ext cx="5472430" cy="1665605"/>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solidFill>
                <a:sysClr val="windowText" lastClr="000000"/>
              </a:solidFill>
              <a:latin typeface="Times New Roman" panose="02020603050405020304" pitchFamily="18" charset="0"/>
              <a:cs typeface="Times New Roman" panose="02020603050405020304" pitchFamily="18" charset="0"/>
            </a:rPr>
            <a:t>Strengthen the resolution capacity of the Romanian authorities</a:t>
          </a:r>
          <a:r>
            <a:rPr lang="en-US" sz="1200" b="1" kern="1200">
              <a:solidFill>
                <a:sysClr val="windowText" lastClr="000000"/>
              </a:solidFill>
              <a:latin typeface="Times New Roman" panose="02020603050405020304" pitchFamily="18" charset="0"/>
              <a:cs typeface="Times New Roman" panose="02020603050405020304" pitchFamily="18" charset="0"/>
            </a:rPr>
            <a:t>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helped to conduct a crisis resolution exercise with the National Bank of Romania, the Bank Deposit Guarantee Fund and the Ministry of Public Finance. The exercise </a:t>
          </a:r>
          <a:r>
            <a:rPr lang="en-GB" sz="900" b="1" kern="1200">
              <a:solidFill>
                <a:sysClr val="windowText" lastClr="000000"/>
              </a:solidFill>
              <a:latin typeface="Times New Roman" panose="02020603050405020304" pitchFamily="18" charset="0"/>
              <a:cs typeface="Times New Roman" panose="02020603050405020304" pitchFamily="18" charset="0"/>
            </a:rPr>
            <a:t>tested the procedures that Romania has in place to handle a collapsing bank. </a:t>
          </a:r>
          <a:r>
            <a:rPr lang="en-GB" sz="900" kern="1200">
              <a:solidFill>
                <a:sysClr val="windowText" lastClr="000000"/>
              </a:solidFill>
              <a:latin typeface="Times New Roman" panose="02020603050405020304" pitchFamily="18" charset="0"/>
              <a:cs typeface="Times New Roman" panose="02020603050405020304" pitchFamily="18" charset="0"/>
            </a:rPr>
            <a:t>The exercise </a:t>
          </a:r>
          <a:r>
            <a:rPr lang="en-GB" sz="900" b="1" kern="1200">
              <a:solidFill>
                <a:sysClr val="windowText" lastClr="000000"/>
              </a:solidFill>
              <a:latin typeface="Times New Roman" panose="02020603050405020304" pitchFamily="18" charset="0"/>
              <a:cs typeface="Times New Roman" panose="02020603050405020304" pitchFamily="18" charset="0"/>
            </a:rPr>
            <a:t>increased the capacity of the authorities to handle such situations and additionally identified a number of options for efficiency gains, which the Romanian authorities have implemented</a:t>
          </a:r>
          <a:r>
            <a:rPr lang="en-GB" sz="900" kern="1200">
              <a:solidFill>
                <a:sysClr val="windowText" lastClr="000000"/>
              </a:solidFill>
              <a:latin typeface="Times New Roman" panose="02020603050405020304" pitchFamily="18" charset="0"/>
              <a:cs typeface="Times New Roman" panose="02020603050405020304" pitchFamily="18" charset="0"/>
            </a:rPr>
            <a:t>. </a:t>
          </a:r>
          <a:endParaRPr lang="en-US" sz="900" b="1" kern="1200">
            <a:solidFill>
              <a:sysClr val="windowText" lastClr="000000"/>
            </a:solidFill>
            <a:latin typeface="Times New Roman" panose="02020603050405020304" pitchFamily="18" charset="0"/>
            <a:cs typeface="Times New Roman" panose="02020603050405020304" pitchFamily="18" charset="0"/>
          </a:endParaRPr>
        </a:p>
      </dsp:txBody>
      <dsp:txXfrm>
        <a:off x="1636040" y="1640964"/>
        <a:ext cx="3836389" cy="1665605"/>
      </dsp:txXfrm>
    </dsp:sp>
    <dsp:sp modelId="{87A84380-8CDD-4E93-A5AA-C07765DCDBDD}">
      <dsp:nvSpPr>
        <dsp:cNvPr id="0" name=""/>
        <dsp:cNvSpPr/>
      </dsp:nvSpPr>
      <dsp:spPr>
        <a:xfrm>
          <a:off x="291021" y="1789274"/>
          <a:ext cx="1215218" cy="1319400"/>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60046B-068D-4658-94DA-0BA86C1CCA65}">
      <dsp:nvSpPr>
        <dsp:cNvPr id="0" name=""/>
        <dsp:cNvSpPr/>
      </dsp:nvSpPr>
      <dsp:spPr>
        <a:xfrm>
          <a:off x="0" y="3427498"/>
          <a:ext cx="5472430" cy="152176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solidFill>
                <a:sysClr val="windowText" lastClr="000000"/>
              </a:solidFill>
              <a:latin typeface="Times New Roman" panose="02020603050405020304" pitchFamily="18" charset="0"/>
              <a:cs typeface="Times New Roman" panose="02020603050405020304" pitchFamily="18" charset="0"/>
            </a:rPr>
            <a:t>Improving the efficiency and effectiveness of the Insolvency Service of Cyprus</a:t>
          </a:r>
          <a:r>
            <a:rPr lang="en-US" sz="1200" b="1" kern="1200">
              <a:solidFill>
                <a:sysClr val="windowText" lastClr="000000"/>
              </a:solidFill>
              <a:latin typeface="Times New Roman" panose="02020603050405020304" pitchFamily="18" charset="0"/>
              <a:cs typeface="Times New Roman" panose="02020603050405020304" pitchFamily="18" charset="0"/>
            </a:rPr>
            <a:t>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objective of the project was to</a:t>
          </a:r>
          <a:r>
            <a:rPr lang="en-GB" sz="900" b="1" kern="1200">
              <a:solidFill>
                <a:sysClr val="windowText" lastClr="000000"/>
              </a:solidFill>
              <a:latin typeface="Times New Roman" panose="02020603050405020304" pitchFamily="18" charset="0"/>
              <a:cs typeface="Times New Roman" panose="02020603050405020304" pitchFamily="18" charset="0"/>
            </a:rPr>
            <a:t> </a:t>
          </a:r>
          <a:r>
            <a:rPr lang="en-GB" sz="900" kern="1200">
              <a:solidFill>
                <a:sysClr val="windowText" lastClr="000000"/>
              </a:solidFill>
              <a:latin typeface="Times New Roman" panose="02020603050405020304" pitchFamily="18" charset="0"/>
              <a:cs typeface="Times New Roman" panose="02020603050405020304" pitchFamily="18" charset="0"/>
            </a:rPr>
            <a:t>support the Cypriot authorities in the reorganisation of the Insolvency Service. The support included working with the authorities to develop a </a:t>
          </a:r>
          <a:r>
            <a:rPr lang="en-GB" sz="900" b="1" kern="1200">
              <a:solidFill>
                <a:sysClr val="windowText" lastClr="000000"/>
              </a:solidFill>
              <a:latin typeface="Times New Roman" panose="02020603050405020304" pitchFamily="18" charset="0"/>
              <a:cs typeface="Times New Roman" panose="02020603050405020304" pitchFamily="18" charset="0"/>
            </a:rPr>
            <a:t>new organisational structure for the Service</a:t>
          </a:r>
          <a:r>
            <a:rPr lang="en-GB" sz="900" kern="1200">
              <a:solidFill>
                <a:sysClr val="windowText" lastClr="000000"/>
              </a:solidFill>
              <a:latin typeface="Times New Roman" panose="02020603050405020304" pitchFamily="18" charset="0"/>
              <a:cs typeface="Times New Roman" panose="02020603050405020304" pitchFamily="18" charset="0"/>
            </a:rPr>
            <a:t>, while putting in place a replacement and succession plan and establishing manuals and guides for staff on all core and sub-procedures in the insolvency framework. The authorities are moving forward with </a:t>
          </a:r>
          <a:r>
            <a:rPr lang="en-GB" sz="900" b="1" kern="1200">
              <a:solidFill>
                <a:sysClr val="windowText" lastClr="000000"/>
              </a:solidFill>
              <a:latin typeface="Times New Roman" panose="02020603050405020304" pitchFamily="18" charset="0"/>
              <a:cs typeface="Times New Roman" panose="02020603050405020304" pitchFamily="18" charset="0"/>
            </a:rPr>
            <a:t>implementation by creating an organisationally independent Insolvency Service with the new structure responsible for the implementation</a:t>
          </a:r>
          <a:r>
            <a:rPr lang="en-GB" sz="900" kern="1200">
              <a:solidFill>
                <a:sysClr val="windowText" lastClr="000000"/>
              </a:solidFill>
              <a:latin typeface="Times New Roman" panose="02020603050405020304" pitchFamily="18" charset="0"/>
              <a:cs typeface="Times New Roman" panose="02020603050405020304" pitchFamily="18" charset="0"/>
            </a:rPr>
            <a:t>.</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636040" y="3427498"/>
        <a:ext cx="3836389" cy="1521768"/>
      </dsp:txXfrm>
    </dsp:sp>
    <dsp:sp modelId="{782D63B9-C4B7-4CC1-80AD-5B97CF66ED78}">
      <dsp:nvSpPr>
        <dsp:cNvPr id="0" name=""/>
        <dsp:cNvSpPr/>
      </dsp:nvSpPr>
      <dsp:spPr>
        <a:xfrm>
          <a:off x="337126" y="3452085"/>
          <a:ext cx="1218556" cy="1477664"/>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12F56B-EC89-4E24-B03F-11F60AB81CFD}">
      <dsp:nvSpPr>
        <dsp:cNvPr id="0" name=""/>
        <dsp:cNvSpPr/>
      </dsp:nvSpPr>
      <dsp:spPr>
        <a:xfrm>
          <a:off x="0" y="5082543"/>
          <a:ext cx="5472430" cy="1495665"/>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Supporting the Croatian development bank (SRSP 2018)</a:t>
          </a:r>
        </a:p>
        <a:p>
          <a:pPr lvl="0" algn="just" defTabSz="53340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The SRSP provided support to the Croatian development bank (HBOR) to </a:t>
          </a:r>
          <a:r>
            <a:rPr lang="en-GB" sz="900" b="1" kern="1200">
              <a:solidFill>
                <a:sysClr val="windowText" lastClr="000000"/>
              </a:solidFill>
              <a:latin typeface="Times New Roman" panose="02020603050405020304" pitchFamily="18" charset="0"/>
              <a:cs typeface="Times New Roman" panose="02020603050405020304" pitchFamily="18" charset="0"/>
            </a:rPr>
            <a:t>introduce a medium-term strategy</a:t>
          </a:r>
          <a:r>
            <a:rPr lang="en-GB" sz="900" kern="1200">
              <a:solidFill>
                <a:sysClr val="windowText" lastClr="000000"/>
              </a:solidFill>
              <a:latin typeface="Times New Roman" panose="02020603050405020304" pitchFamily="18" charset="0"/>
              <a:cs typeface="Times New Roman" panose="02020603050405020304" pitchFamily="18" charset="0"/>
            </a:rPr>
            <a:t>. The work involved (i) an internal and external analysis of HBOR’s environment, including an ex-ante market analysis, (ii) the development of a strategic plan, together with a methodology for monitoring and implementation, and (iii) proposals for organisational changes. HBOR is now </a:t>
          </a:r>
          <a:r>
            <a:rPr lang="en-GB" sz="900" b="1" kern="1200">
              <a:solidFill>
                <a:sysClr val="windowText" lastClr="000000"/>
              </a:solidFill>
              <a:latin typeface="Times New Roman" panose="02020603050405020304" pitchFamily="18" charset="0"/>
              <a:cs typeface="Times New Roman" panose="02020603050405020304" pitchFamily="18" charset="0"/>
            </a:rPr>
            <a:t>planning to take the strategic plan forward and move towards implementation</a:t>
          </a:r>
          <a:r>
            <a:rPr lang="en-GB" sz="900" kern="1200">
              <a:solidFill>
                <a:sysClr val="windowText" lastClr="000000"/>
              </a:solidFill>
              <a:latin typeface="Times New Roman" panose="02020603050405020304" pitchFamily="18" charset="0"/>
              <a:cs typeface="Times New Roman" panose="02020603050405020304" pitchFamily="18" charset="0"/>
            </a:rPr>
            <a:t>.</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636040" y="5082543"/>
        <a:ext cx="3836389" cy="1495665"/>
      </dsp:txXfrm>
    </dsp:sp>
    <dsp:sp modelId="{BB2EA343-40A7-4FA3-A238-C55427091E94}">
      <dsp:nvSpPr>
        <dsp:cNvPr id="0" name=""/>
        <dsp:cNvSpPr/>
      </dsp:nvSpPr>
      <dsp:spPr>
        <a:xfrm>
          <a:off x="300888" y="5210913"/>
          <a:ext cx="1291033" cy="1278198"/>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49</Pages>
  <Words>10095</Words>
  <Characters>58047</Characters>
  <Application>Microsoft Office Word</Application>
  <DocSecurity>0</DocSecurity>
  <Lines>1527</Lines>
  <Paragraphs>933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LAGES CARVALHO Patrick (SG)</cp:lastModifiedBy>
  <cp:revision>16</cp:revision>
  <dcterms:created xsi:type="dcterms:W3CDTF">2019-12-06T15:16:00Z</dcterms:created>
  <dcterms:modified xsi:type="dcterms:W3CDTF">2019-12-12T08:23:00Z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