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1D" w:rsidRDefault="00E72A7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42CD04-9BB0-425F-9FE1-2DDCFC7483EE" style="width:450.25pt;height:348.2pt">
            <v:imagedata r:id="rId8" o:title=""/>
          </v:shape>
        </w:pict>
      </w:r>
    </w:p>
    <w:bookmarkEnd w:id="0"/>
    <w:p w:rsidR="00F60A1D" w:rsidRDefault="00F60A1D">
      <w:pPr>
        <w:pStyle w:val="Pagedecouverture"/>
        <w:rPr>
          <w:noProof/>
        </w:rPr>
        <w:sectPr w:rsidR="00F60A1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600" w:charSpace="36864"/>
        </w:sectPr>
      </w:pPr>
    </w:p>
    <w:p w:rsidR="00F60A1D" w:rsidRDefault="00E72A7F">
      <w:pPr>
        <w:spacing w:after="0" w:line="100" w:lineRule="atLeast"/>
        <w:jc w:val="right"/>
        <w:rPr>
          <w:rFonts w:ascii="Times New Roman" w:hAnsi="Times New Roman" w:cs="Times New Roman"/>
          <w:noProof/>
          <w:sz w:val="24"/>
        </w:rPr>
      </w:pPr>
      <w:r>
        <w:rPr>
          <w:rFonts w:ascii="Times New Roman" w:hAnsi="Times New Roman" w:cs="Times New Roman"/>
          <w:bCs/>
          <w:i/>
          <w:noProof/>
          <w:sz w:val="24"/>
          <w:szCs w:val="24"/>
        </w:rPr>
        <w:lastRenderedPageBreak/>
        <w:t>‘</w:t>
      </w:r>
      <w:r>
        <w:rPr>
          <w:rFonts w:ascii="Times New Roman" w:hAnsi="Times New Roman" w:cs="Times New Roman"/>
          <w:noProof/>
          <w:sz w:val="24"/>
        </w:rPr>
        <w:t>I want Europe to strive for more when it comes to social fairness</w:t>
      </w:r>
    </w:p>
    <w:p w:rsidR="00F60A1D" w:rsidRDefault="00E72A7F">
      <w:pPr>
        <w:spacing w:after="0" w:line="100" w:lineRule="atLeast"/>
        <w:jc w:val="right"/>
        <w:rPr>
          <w:rFonts w:ascii="Times New Roman" w:hAnsi="Times New Roman" w:cs="Times New Roman"/>
          <w:bCs/>
          <w:noProof/>
          <w:sz w:val="24"/>
          <w:szCs w:val="24"/>
        </w:rPr>
      </w:pPr>
      <w:r>
        <w:rPr>
          <w:rFonts w:ascii="Times New Roman" w:hAnsi="Times New Roman" w:cs="Times New Roman"/>
          <w:noProof/>
          <w:sz w:val="24"/>
        </w:rPr>
        <w:t xml:space="preserve"> and prosperity. This is the Union’s founding promise.</w:t>
      </w:r>
      <w:r>
        <w:rPr>
          <w:rFonts w:ascii="Times New Roman" w:hAnsi="Times New Roman" w:cs="Times New Roman"/>
          <w:bCs/>
          <w:i/>
          <w:noProof/>
          <w:sz w:val="24"/>
          <w:szCs w:val="24"/>
        </w:rPr>
        <w:t>’</w:t>
      </w:r>
    </w:p>
    <w:p w:rsidR="00F60A1D" w:rsidRDefault="00E72A7F">
      <w:pPr>
        <w:spacing w:after="0" w:line="100" w:lineRule="atLeast"/>
        <w:jc w:val="right"/>
        <w:rPr>
          <w:rFonts w:ascii="Times New Roman" w:hAnsi="Times New Roman" w:cs="Times New Roman"/>
          <w:b/>
          <w:bCs/>
          <w:smallCaps/>
          <w:noProof/>
          <w:sz w:val="24"/>
          <w:szCs w:val="24"/>
          <w:lang w:val="de-DE"/>
        </w:rPr>
      </w:pPr>
      <w:r>
        <w:rPr>
          <w:rFonts w:ascii="Times New Roman" w:hAnsi="Times New Roman" w:cs="Times New Roman"/>
          <w:bCs/>
          <w:noProof/>
          <w:sz w:val="24"/>
          <w:szCs w:val="24"/>
          <w:lang w:val="de-DE"/>
        </w:rPr>
        <w:t xml:space="preserve">Ursula von der Leyen, </w:t>
      </w:r>
      <w:r>
        <w:rPr>
          <w:rFonts w:ascii="Times New Roman" w:hAnsi="Times New Roman" w:cs="Times New Roman"/>
          <w:bCs/>
          <w:noProof/>
          <w:sz w:val="24"/>
          <w:szCs w:val="24"/>
          <w:lang w:val="de-DE"/>
        </w:rPr>
        <w:t>16 July 2019</w:t>
      </w:r>
    </w:p>
    <w:p w:rsidR="00F60A1D" w:rsidRDefault="00F60A1D">
      <w:pPr>
        <w:jc w:val="both"/>
        <w:rPr>
          <w:rFonts w:ascii="Times New Roman" w:hAnsi="Times New Roman" w:cs="Times New Roman"/>
          <w:b/>
          <w:bCs/>
          <w:smallCaps/>
          <w:noProof/>
          <w:sz w:val="24"/>
          <w:szCs w:val="24"/>
          <w:lang w:val="de-DE"/>
        </w:rPr>
      </w:pPr>
    </w:p>
    <w:p w:rsidR="00F60A1D" w:rsidRDefault="00E72A7F">
      <w:pPr>
        <w:jc w:val="both"/>
        <w:rPr>
          <w:rFonts w:ascii="Times New Roman" w:hAnsi="Times New Roman"/>
          <w:b/>
          <w:bCs/>
          <w:noProof/>
          <w:sz w:val="24"/>
          <w:szCs w:val="24"/>
        </w:rPr>
      </w:pPr>
      <w:r>
        <w:rPr>
          <w:rFonts w:ascii="Times New Roman" w:hAnsi="Times New Roman" w:cs="Times New Roman"/>
          <w:b/>
          <w:bCs/>
          <w:smallCaps/>
          <w:noProof/>
          <w:sz w:val="24"/>
          <w:szCs w:val="24"/>
        </w:rPr>
        <w:t>Introduction</w:t>
      </w:r>
    </w:p>
    <w:p w:rsidR="00F60A1D" w:rsidRDefault="00E72A7F">
      <w:pPr>
        <w:jc w:val="both"/>
        <w:rPr>
          <w:rFonts w:ascii="Times New Roman" w:hAnsi="Times New Roman" w:cs="Times New Roman"/>
          <w:b/>
          <w:noProof/>
          <w:color w:val="000000"/>
          <w:sz w:val="24"/>
          <w:szCs w:val="24"/>
        </w:rPr>
      </w:pPr>
      <w:r>
        <w:rPr>
          <w:rFonts w:ascii="Times New Roman" w:hAnsi="Times New Roman"/>
          <w:b/>
          <w:bCs/>
          <w:noProof/>
          <w:sz w:val="24"/>
          <w:szCs w:val="24"/>
        </w:rPr>
        <w:t>Economic growth is not an end in itself. An economy must work for the people and the planet.</w:t>
      </w:r>
      <w:r>
        <w:rPr>
          <w:rFonts w:ascii="Times New Roman" w:hAnsi="Times New Roman"/>
          <w:noProof/>
          <w:sz w:val="24"/>
          <w:szCs w:val="24"/>
        </w:rPr>
        <w:t xml:space="preserve"> C</w:t>
      </w:r>
      <w:r>
        <w:rPr>
          <w:rFonts w:ascii="Times New Roman" w:hAnsi="Times New Roman" w:cs="Times New Roman"/>
          <w:noProof/>
          <w:color w:val="000000"/>
          <w:sz w:val="24"/>
          <w:szCs w:val="24"/>
        </w:rPr>
        <w:t>limate and environmental concerns, technological progress and demographic change are set to transform our societies profoundly. The European Union and its Member States must now respond to these structural shifts with a new growth model that will respect t</w:t>
      </w:r>
      <w:r>
        <w:rPr>
          <w:rFonts w:ascii="Times New Roman" w:hAnsi="Times New Roman" w:cs="Times New Roman"/>
          <w:noProof/>
          <w:color w:val="000000"/>
          <w:sz w:val="24"/>
          <w:szCs w:val="24"/>
        </w:rPr>
        <w:t xml:space="preserve">he limitations on our natural resources and ensure job creation and lasting prosperity for the future. </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 xml:space="preserve">The European economy has successfully left the years of financial crisis management behind. </w:t>
      </w:r>
      <w:r>
        <w:rPr>
          <w:rFonts w:ascii="Times New Roman" w:hAnsi="Times New Roman" w:cs="Times New Roman"/>
          <w:noProof/>
          <w:color w:val="000000"/>
          <w:sz w:val="24"/>
          <w:szCs w:val="24"/>
        </w:rPr>
        <w:t>While it is now in its seventh year of consecutive growth, e</w:t>
      </w:r>
      <w:r>
        <w:rPr>
          <w:rFonts w:ascii="Times New Roman" w:hAnsi="Times New Roman" w:cs="Times New Roman"/>
          <w:noProof/>
          <w:color w:val="000000"/>
          <w:sz w:val="24"/>
          <w:szCs w:val="24"/>
        </w:rPr>
        <w:t xml:space="preserve">xternal and geopolitical prospects are dimming, uncertainty is running high and Europe looks to be heading towards a period of subdued growth and low inflation. </w:t>
      </w:r>
    </w:p>
    <w:p w:rsidR="00F60A1D" w:rsidRDefault="00E72A7F">
      <w:pPr>
        <w:jc w:val="both"/>
        <w:rPr>
          <w:rFonts w:ascii="Times New Roman" w:hAnsi="Times New Roman" w:cs="Times New Roman"/>
          <w:bCs/>
          <w:noProof/>
          <w:color w:val="000000"/>
          <w:sz w:val="24"/>
          <w:szCs w:val="24"/>
        </w:rPr>
      </w:pPr>
      <w:r>
        <w:rPr>
          <w:rFonts w:ascii="Times New Roman" w:hAnsi="Times New Roman" w:cs="Times New Roman"/>
          <w:b/>
          <w:noProof/>
          <w:color w:val="000000"/>
          <w:sz w:val="24"/>
          <w:szCs w:val="24"/>
        </w:rPr>
        <w:t>To stay competitive in tomorrow’s world and to achieve Europe’s goal of climate neutrality, we</w:t>
      </w:r>
      <w:r>
        <w:rPr>
          <w:rFonts w:ascii="Times New Roman" w:hAnsi="Times New Roman" w:cs="Times New Roman"/>
          <w:b/>
          <w:noProof/>
          <w:color w:val="000000"/>
          <w:sz w:val="24"/>
          <w:szCs w:val="24"/>
        </w:rPr>
        <w:t xml:space="preserve"> must now turn to addressing the economy’s longer-term challenges. </w:t>
      </w:r>
      <w:r>
        <w:rPr>
          <w:rFonts w:ascii="Times New Roman" w:hAnsi="Times New Roman" w:cs="Times New Roman"/>
          <w:bCs/>
          <w:noProof/>
          <w:color w:val="000000"/>
          <w:sz w:val="24"/>
          <w:szCs w:val="24"/>
        </w:rPr>
        <w:t>The coming into office of a new Commission with an ambitious European Green Deal, with priorities on a Europe that works for the people and a Europe fit for the digital age is a good moment</w:t>
      </w:r>
      <w:r>
        <w:rPr>
          <w:rFonts w:ascii="Times New Roman" w:hAnsi="Times New Roman" w:cs="Times New Roman"/>
          <w:bCs/>
          <w:noProof/>
          <w:color w:val="000000"/>
          <w:sz w:val="24"/>
          <w:szCs w:val="24"/>
        </w:rPr>
        <w:t xml:space="preserve"> for a new start towards this sustainable, new growth model. </w:t>
      </w:r>
    </w:p>
    <w:p w:rsidR="00F60A1D" w:rsidRDefault="00E72A7F">
      <w:pPr>
        <w:jc w:val="both"/>
        <w:rPr>
          <w:rFonts w:ascii="Times New Roman" w:hAnsi="Times New Roman" w:cs="Times New Roman"/>
          <w:noProof/>
          <w:color w:val="000000"/>
          <w:sz w:val="24"/>
          <w:szCs w:val="24"/>
        </w:rPr>
      </w:pPr>
      <w:r>
        <w:rPr>
          <w:rFonts w:ascii="Times New Roman" w:hAnsi="Times New Roman"/>
          <w:b/>
          <w:noProof/>
          <w:color w:val="000000"/>
          <w:sz w:val="24"/>
        </w:rPr>
        <w:t>This economic agenda must transform the Union into a sustainable economy, helping the EU and its Member States to achieve the United Nations Sustainable Development Goals</w:t>
      </w:r>
      <w:r>
        <w:rPr>
          <w:rFonts w:ascii="Times New Roman" w:hAnsi="Times New Roman" w:cs="Times New Roman"/>
          <w:b/>
          <w:noProof/>
          <w:color w:val="000000"/>
          <w:sz w:val="24"/>
          <w:szCs w:val="24"/>
        </w:rPr>
        <w:t>, which they committed t</w:t>
      </w:r>
      <w:r>
        <w:rPr>
          <w:rFonts w:ascii="Times New Roman" w:hAnsi="Times New Roman" w:cs="Times New Roman"/>
          <w:b/>
          <w:noProof/>
          <w:color w:val="000000"/>
          <w:sz w:val="24"/>
          <w:szCs w:val="24"/>
        </w:rPr>
        <w:t>o</w:t>
      </w:r>
      <w:r>
        <w:rPr>
          <w:rFonts w:ascii="Times New Roman" w:hAnsi="Times New Roman" w:cs="Times New Roman"/>
          <w:noProof/>
          <w:color w:val="000000"/>
          <w:sz w:val="24"/>
          <w:szCs w:val="24"/>
        </w:rPr>
        <w:t>.</w:t>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It must drive and accompany the twin digital and climate transition, transforming our Social Market Economy to ensure that Europe remains the home of the world’s most advanced welfare systems and is a vibrant hub of innovation and competitive entreprene</w:t>
      </w:r>
      <w:r>
        <w:rPr>
          <w:rFonts w:ascii="Times New Roman" w:hAnsi="Times New Roman" w:cs="Times New Roman"/>
          <w:noProof/>
          <w:color w:val="000000"/>
          <w:sz w:val="24"/>
          <w:szCs w:val="24"/>
        </w:rPr>
        <w:t xml:space="preserve">urship. </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 xml:space="preserve">The European Green Deal is our new growth strategy. It puts sustainability – in all of its senses – and the well-being of citizens at the centre of our action. This requires bringing together four dimensions: environment, productivity, stability </w:t>
      </w:r>
      <w:r>
        <w:rPr>
          <w:rFonts w:ascii="Times New Roman" w:hAnsi="Times New Roman" w:cs="Times New Roman"/>
          <w:b/>
          <w:noProof/>
          <w:color w:val="000000"/>
          <w:sz w:val="24"/>
          <w:szCs w:val="24"/>
        </w:rPr>
        <w:t>and fairness.</w:t>
      </w:r>
      <w:r>
        <w:rPr>
          <w:rFonts w:ascii="Times New Roman" w:hAnsi="Times New Roman" w:cs="Times New Roman"/>
          <w:noProof/>
          <w:color w:val="000000"/>
          <w:sz w:val="24"/>
          <w:szCs w:val="24"/>
        </w:rPr>
        <w:t xml:space="preserve"> </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At the heart of our growth strategy are four complementary dimensions.</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First, our efforts should focus on leading the transition to a nature-friendly and climate neutral continent by 2050, while ensuring that everyone can take advantage of t</w:t>
      </w:r>
      <w:r>
        <w:rPr>
          <w:rFonts w:ascii="Times New Roman" w:hAnsi="Times New Roman" w:cs="Times New Roman"/>
          <w:noProof/>
          <w:color w:val="000000"/>
          <w:sz w:val="24"/>
          <w:szCs w:val="24"/>
        </w:rPr>
        <w:t>he opportunities that this will bring along</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Second, by developing new technologies and sustainable solutions, Europe can be at the forefront of future economic growth and become a global leader in an increasingly digitalised world, including in k</w:t>
      </w:r>
      <w:r>
        <w:rPr>
          <w:rFonts w:ascii="Times New Roman" w:hAnsi="Times New Roman" w:cs="Times New Roman"/>
          <w:noProof/>
          <w:sz w:val="24"/>
          <w:szCs w:val="24"/>
        </w:rPr>
        <w:t>ey areas f</w:t>
      </w:r>
      <w:r>
        <w:rPr>
          <w:rFonts w:ascii="Times New Roman" w:hAnsi="Times New Roman" w:cs="Times New Roman"/>
          <w:noProof/>
          <w:sz w:val="24"/>
          <w:szCs w:val="24"/>
        </w:rPr>
        <w:t>or its technological sovereignty such as cybersecurity, artificial intelligence and 5G</w:t>
      </w:r>
      <w:r>
        <w:rPr>
          <w:rFonts w:ascii="Times New Roman" w:hAnsi="Times New Roman" w:cs="Times New Roman"/>
          <w:noProof/>
          <w:color w:val="000000"/>
          <w:sz w:val="24"/>
          <w:szCs w:val="24"/>
        </w:rPr>
        <w:t>. Digital technologies are a key enabler of the European Green Deal.</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Third, the Union needs to complete its Economic and Monetary Union to ensure that all economic tools </w:t>
      </w:r>
      <w:r>
        <w:rPr>
          <w:rFonts w:ascii="Times New Roman" w:hAnsi="Times New Roman" w:cs="Times New Roman"/>
          <w:noProof/>
          <w:color w:val="000000"/>
          <w:sz w:val="24"/>
          <w:szCs w:val="24"/>
        </w:rPr>
        <w:t xml:space="preserve">are ready and available should there be a significant adverse economic shock. The international role of the euro must be strengthened to enhance Europe’s clout in the world </w:t>
      </w:r>
      <w:r>
        <w:rPr>
          <w:rFonts w:ascii="Times New Roman" w:hAnsi="Times New Roman" w:cs="Times New Roman"/>
          <w:noProof/>
          <w:color w:val="000000"/>
          <w:sz w:val="24"/>
          <w:szCs w:val="24"/>
        </w:rPr>
        <w:lastRenderedPageBreak/>
        <w:t>and on global markets and to help protect European firms, consumers and governments</w:t>
      </w:r>
      <w:r>
        <w:rPr>
          <w:rFonts w:ascii="Times New Roman" w:hAnsi="Times New Roman" w:cs="Times New Roman"/>
          <w:noProof/>
          <w:color w:val="000000"/>
          <w:sz w:val="24"/>
          <w:szCs w:val="24"/>
        </w:rPr>
        <w:t xml:space="preserve"> from unfavourable external developments. A vibrant and resilient Economic and Monetary Union, resting on the solid foundations provided by the Banking Union and the Capital Markets Union, is the best means to increase financial stability in Europe and the</w:t>
      </w:r>
      <w:r>
        <w:rPr>
          <w:rFonts w:ascii="Times New Roman" w:hAnsi="Times New Roman" w:cs="Times New Roman"/>
          <w:noProof/>
          <w:color w:val="000000"/>
          <w:sz w:val="24"/>
          <w:szCs w:val="24"/>
        </w:rPr>
        <w:t>reby, the international role of the euro.</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Fourth, the new economic agenda must ensure that the transition is fair and inclusive and puts people first. It must pay particular attention to the regions, industries and workers who will have to make the largest</w:t>
      </w:r>
      <w:r>
        <w:rPr>
          <w:rFonts w:ascii="Times New Roman" w:hAnsi="Times New Roman" w:cs="Times New Roman"/>
          <w:noProof/>
          <w:color w:val="000000"/>
          <w:sz w:val="24"/>
          <w:szCs w:val="24"/>
        </w:rPr>
        <w:t xml:space="preserve"> transitions.  </w:t>
      </w:r>
    </w:p>
    <w:p w:rsidR="00F60A1D" w:rsidRDefault="00E72A7F">
      <w:pPr>
        <w:jc w:val="both"/>
        <w:rPr>
          <w:rFonts w:ascii="Times New Roman" w:hAnsi="Times New Roman" w:cs="Times New Roman"/>
          <w:noProof/>
          <w:color w:val="000000"/>
          <w:sz w:val="24"/>
          <w:szCs w:val="24"/>
        </w:rPr>
      </w:pPr>
      <w:r>
        <w:rPr>
          <w:rFonts w:ascii="Times New Roman" w:hAnsi="Times New Roman" w:cs="Times New Roman"/>
          <w:b/>
          <w:noProof/>
          <w:color w:val="000000" w:themeColor="text1"/>
          <w:sz w:val="24"/>
          <w:szCs w:val="24"/>
        </w:rPr>
        <w:t>At the core of this will be an industrial strategy with strong foundations in the Single Market that enables our businesses to innovate and to develop new technologies while boosting circularity and creating new markets</w:t>
      </w:r>
      <w:r>
        <w:rPr>
          <w:rFonts w:ascii="Times New Roman" w:hAnsi="Times New Roman" w:cs="Times New Roman"/>
          <w:b/>
          <w:bCs/>
          <w:noProof/>
          <w:color w:val="000000" w:themeColor="text1"/>
          <w:sz w:val="24"/>
          <w:szCs w:val="24"/>
        </w:rPr>
        <w:t>. That means refocusi</w:t>
      </w:r>
      <w:r>
        <w:rPr>
          <w:rFonts w:ascii="Times New Roman" w:hAnsi="Times New Roman" w:cs="Times New Roman"/>
          <w:b/>
          <w:bCs/>
          <w:noProof/>
          <w:color w:val="000000" w:themeColor="text1"/>
          <w:sz w:val="24"/>
          <w:szCs w:val="24"/>
        </w:rPr>
        <w:t>ng Europe’s economic policy towards the long term, with the objective of offering younger generations in all parts of Europe a sustainable and prosperous future.</w:t>
      </w:r>
      <w:r>
        <w:rPr>
          <w:rFonts w:ascii="Times New Roman" w:hAnsi="Times New Roman" w:cs="Times New Roman"/>
          <w:noProof/>
          <w:color w:val="000000" w:themeColor="text1"/>
          <w:sz w:val="24"/>
          <w:szCs w:val="24"/>
        </w:rPr>
        <w:t xml:space="preserve"> We need to move from an incremental to a systemic approach across all policies, taking a “whol</w:t>
      </w:r>
      <w:r>
        <w:rPr>
          <w:rFonts w:ascii="Times New Roman" w:hAnsi="Times New Roman" w:cs="Times New Roman"/>
          <w:noProof/>
          <w:color w:val="000000" w:themeColor="text1"/>
          <w:sz w:val="24"/>
          <w:szCs w:val="24"/>
        </w:rPr>
        <w:t>e-of-government’ approach. It will need to be an inclusive process, developed with the European Parliament, the Member States, social partners and the stakeholders.</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The Sustainable Development Goals will be at the heart of EU’s policymaking and action.</w:t>
      </w:r>
      <w:r>
        <w:rPr>
          <w:rFonts w:ascii="Times New Roman" w:hAnsi="Times New Roman" w:cs="Times New Roman"/>
          <w:noProof/>
          <w:color w:val="000000"/>
          <w:sz w:val="24"/>
          <w:szCs w:val="24"/>
        </w:rPr>
        <w:t xml:space="preserve"> To </w:t>
      </w:r>
      <w:r>
        <w:rPr>
          <w:rFonts w:ascii="Times New Roman" w:hAnsi="Times New Roman" w:cs="Times New Roman"/>
          <w:noProof/>
          <w:color w:val="000000"/>
          <w:sz w:val="24"/>
          <w:szCs w:val="24"/>
        </w:rPr>
        <w:t>this end, the European Semester provides a well-established framework for the coordination of economic and employment policies needed to guide the Union and its Member States through these transformations, which have economy-wide implications. In this Annu</w:t>
      </w:r>
      <w:r>
        <w:rPr>
          <w:rFonts w:ascii="Times New Roman" w:hAnsi="Times New Roman" w:cs="Times New Roman"/>
          <w:noProof/>
          <w:color w:val="000000"/>
          <w:sz w:val="24"/>
          <w:szCs w:val="24"/>
        </w:rPr>
        <w:t>al Sustainable Growth Strategy, the Commission outlines the economic and employment policy priorities for the EU. Within this approach, synergies can be created, trade-offs between the four dimensions of the growth agenda can be addressed and solutions pre</w:t>
      </w:r>
      <w:r>
        <w:rPr>
          <w:rFonts w:ascii="Times New Roman" w:hAnsi="Times New Roman" w:cs="Times New Roman"/>
          <w:noProof/>
          <w:color w:val="000000"/>
          <w:sz w:val="24"/>
          <w:szCs w:val="24"/>
        </w:rPr>
        <w:t xml:space="preserve">sented. </w:t>
      </w:r>
    </w:p>
    <w:p w:rsidR="00F60A1D" w:rsidRDefault="00F60A1D">
      <w:pPr>
        <w:jc w:val="both"/>
        <w:rPr>
          <w:rFonts w:ascii="Times New Roman" w:hAnsi="Times New Roman" w:cs="Times New Roman"/>
          <w:noProof/>
          <w:color w:val="000000"/>
          <w:sz w:val="24"/>
          <w:szCs w:val="24"/>
        </w:rPr>
      </w:pPr>
    </w:p>
    <w:p w:rsidR="00F60A1D" w:rsidRDefault="00E72A7F">
      <w:pPr>
        <w:pStyle w:val="ListParagraph"/>
        <w:keepNext/>
        <w:numPr>
          <w:ilvl w:val="1"/>
          <w:numId w:val="2"/>
        </w:numPr>
        <w:spacing w:line="257" w:lineRule="auto"/>
        <w:ind w:left="1066" w:hanging="357"/>
        <w:jc w:val="both"/>
        <w:rPr>
          <w:rFonts w:ascii="Times New Roman" w:hAnsi="Times New Roman" w:cs="Times New Roman"/>
          <w:b/>
          <w:noProof/>
          <w:color w:val="000000"/>
          <w:sz w:val="24"/>
          <w:lang w:val="en-GB"/>
        </w:rPr>
      </w:pPr>
      <w:r>
        <w:rPr>
          <w:rFonts w:ascii="Times New Roman" w:hAnsi="Times New Roman" w:cs="Times New Roman"/>
          <w:b/>
          <w:noProof/>
          <w:sz w:val="24"/>
          <w:szCs w:val="24"/>
          <w:lang w:val="en-GB"/>
        </w:rPr>
        <w:t>Europe’s economic outlook</w:t>
      </w:r>
    </w:p>
    <w:p w:rsidR="00F60A1D" w:rsidRDefault="00E72A7F">
      <w:pPr>
        <w:jc w:val="both"/>
        <w:rPr>
          <w:rStyle w:val="CommentReference1"/>
          <w:rFonts w:ascii="Times New Roman" w:hAnsi="Times New Roman" w:cs="Times New Roman"/>
          <w:b/>
          <w:noProof/>
          <w:color w:val="000000"/>
          <w:sz w:val="24"/>
          <w:szCs w:val="22"/>
        </w:rPr>
      </w:pPr>
      <w:r>
        <w:rPr>
          <w:rFonts w:ascii="Times New Roman" w:hAnsi="Times New Roman" w:cs="Times New Roman"/>
          <w:b/>
          <w:noProof/>
          <w:color w:val="000000"/>
          <w:sz w:val="24"/>
        </w:rPr>
        <w:t>The European economy is now in its seventh consecutive year of growth</w:t>
      </w:r>
      <w:r>
        <w:rPr>
          <w:rFonts w:ascii="Times New Roman" w:hAnsi="Times New Roman" w:cs="Times New Roman"/>
          <w:noProof/>
          <w:color w:val="000000"/>
          <w:sz w:val="24"/>
        </w:rPr>
        <w:t>. The economy is expected to continue expanding in 2020 and 2021, even though growth prospects have weakened.</w:t>
      </w:r>
      <w:r>
        <w:rPr>
          <w:rFonts w:ascii="Times New Roman" w:hAnsi="Times New Roman" w:cs="Times New Roman"/>
          <w:noProof/>
          <w:color w:val="000000"/>
          <w:sz w:val="24"/>
          <w:szCs w:val="24"/>
        </w:rPr>
        <w:t xml:space="preserve"> Labour markets remain strong and unemployment continues to fall, though at a slower pace</w:t>
      </w:r>
      <w:r>
        <w:rPr>
          <w:noProof/>
        </w:rPr>
        <w:t xml:space="preserve"> </w:t>
      </w:r>
      <w:r>
        <w:rPr>
          <w:rStyle w:val="CommentReference1"/>
          <w:rFonts w:ascii="Times New Roman" w:hAnsi="Times New Roman" w:cs="Times New Roman"/>
          <w:noProof/>
          <w:color w:val="000000"/>
          <w:sz w:val="24"/>
          <w:szCs w:val="22"/>
        </w:rPr>
        <w:t>(</w:t>
      </w:r>
      <w:r>
        <w:rPr>
          <w:rStyle w:val="FootnoteReference"/>
          <w:rFonts w:ascii="Times New Roman" w:hAnsi="Times New Roman" w:cs="Times New Roman"/>
          <w:noProof/>
          <w:color w:val="000000"/>
          <w:sz w:val="24"/>
        </w:rPr>
        <w:footnoteReference w:id="2"/>
      </w:r>
      <w:r>
        <w:rPr>
          <w:rStyle w:val="CommentReference1"/>
          <w:rFonts w:ascii="Times New Roman" w:hAnsi="Times New Roman" w:cs="Times New Roman"/>
          <w:noProof/>
          <w:color w:val="000000"/>
          <w:sz w:val="24"/>
          <w:szCs w:val="22"/>
        </w:rPr>
        <w:t xml:space="preserve">). </w:t>
      </w:r>
      <w:r>
        <w:rPr>
          <w:rFonts w:ascii="Times New Roman" w:hAnsi="Times New Roman" w:cs="Times New Roman"/>
          <w:noProof/>
          <w:color w:val="000000"/>
          <w:sz w:val="24"/>
          <w:szCs w:val="24"/>
        </w:rPr>
        <w:t>Public finances continue to improve, our banking system is more robust and the foundations of our Economic and Monetary Union are stronger. Investment and potent</w:t>
      </w:r>
      <w:r>
        <w:rPr>
          <w:rFonts w:ascii="Times New Roman" w:hAnsi="Times New Roman" w:cs="Times New Roman"/>
          <w:noProof/>
          <w:color w:val="000000"/>
          <w:sz w:val="24"/>
          <w:szCs w:val="24"/>
        </w:rPr>
        <w:t>ial growth, however, still remain below pre-crisis levels.</w:t>
      </w:r>
      <w:r>
        <w:rPr>
          <w:rStyle w:val="CommentReference1"/>
          <w:rFonts w:ascii="Times New Roman" w:hAnsi="Times New Roman" w:cs="Times New Roman"/>
          <w:noProof/>
          <w:color w:val="000000"/>
          <w:sz w:val="24"/>
          <w:szCs w:val="22"/>
        </w:rPr>
        <w:t xml:space="preserve"> Government budgetary balances are expected to deteriorate slightly between 2019 and 2021, due to the impact of lower growth and somewhat looser discretionary fiscal policies in some Member States, </w:t>
      </w:r>
      <w:r>
        <w:rPr>
          <w:rStyle w:val="CommentReference1"/>
          <w:rFonts w:ascii="Times New Roman" w:hAnsi="Times New Roman" w:cs="Times New Roman"/>
          <w:noProof/>
          <w:color w:val="000000"/>
          <w:sz w:val="24"/>
          <w:szCs w:val="22"/>
        </w:rPr>
        <w:t>including expansionary fiscal policies in some.</w:t>
      </w:r>
    </w:p>
    <w:p w:rsidR="00F60A1D" w:rsidRDefault="00E72A7F">
      <w:pPr>
        <w:jc w:val="both"/>
        <w:rPr>
          <w:rStyle w:val="CommentReference1"/>
          <w:rFonts w:ascii="Times New Roman" w:hAnsi="Times New Roman" w:cs="Times New Roman"/>
          <w:noProof/>
          <w:color w:val="000000"/>
          <w:sz w:val="24"/>
          <w:szCs w:val="22"/>
        </w:rPr>
      </w:pPr>
      <w:r>
        <w:rPr>
          <w:rFonts w:ascii="Times New Roman" w:hAnsi="Times New Roman" w:cs="Times New Roman"/>
          <w:b/>
          <w:bCs/>
          <w:noProof/>
          <w:color w:val="000000"/>
          <w:sz w:val="24"/>
        </w:rPr>
        <w:t xml:space="preserve">The near-term economic outlook is overshadowed by a much less supportive </w:t>
      </w:r>
      <w:r>
        <w:rPr>
          <w:rFonts w:ascii="Times New Roman" w:hAnsi="Times New Roman" w:cs="Times New Roman"/>
          <w:b/>
          <w:noProof/>
          <w:color w:val="000000"/>
          <w:sz w:val="24"/>
        </w:rPr>
        <w:t xml:space="preserve">economic and geopolitical </w:t>
      </w:r>
      <w:r>
        <w:rPr>
          <w:rFonts w:ascii="Times New Roman" w:hAnsi="Times New Roman" w:cs="Times New Roman"/>
          <w:b/>
          <w:bCs/>
          <w:noProof/>
          <w:color w:val="000000"/>
          <w:sz w:val="24"/>
        </w:rPr>
        <w:t>environment and high uncertainty.</w:t>
      </w:r>
      <w:r>
        <w:rPr>
          <w:rFonts w:ascii="Times New Roman" w:hAnsi="Times New Roman" w:cs="Times New Roman"/>
          <w:b/>
          <w:noProof/>
          <w:color w:val="000000"/>
          <w:sz w:val="24"/>
        </w:rPr>
        <w:t xml:space="preserve"> </w:t>
      </w:r>
      <w:r>
        <w:rPr>
          <w:rFonts w:ascii="Times New Roman" w:hAnsi="Times New Roman" w:cs="Times New Roman"/>
          <w:noProof/>
          <w:color w:val="000000"/>
          <w:sz w:val="24"/>
        </w:rPr>
        <w:t>G</w:t>
      </w:r>
      <w:r>
        <w:rPr>
          <w:rFonts w:ascii="Times New Roman" w:hAnsi="Times New Roman" w:cs="Times New Roman"/>
          <w:noProof/>
          <w:color w:val="000000"/>
          <w:sz w:val="24"/>
          <w:szCs w:val="24"/>
        </w:rPr>
        <w:t>lobal growth prospects are fragile. Trade tensions in the manufacturing se</w:t>
      </w:r>
      <w:r>
        <w:rPr>
          <w:rFonts w:ascii="Times New Roman" w:hAnsi="Times New Roman" w:cs="Times New Roman"/>
          <w:noProof/>
          <w:color w:val="000000"/>
          <w:sz w:val="24"/>
          <w:szCs w:val="24"/>
        </w:rPr>
        <w:t>ctor and geopolitical uncertainty are having a negative impact on investment decisions. A decrease in trade intensity, coupled with low productivity growth could have a long-lasting impact on Europe’s position in a world that is increasingly defined by the</w:t>
      </w:r>
      <w:r>
        <w:rPr>
          <w:rFonts w:ascii="Times New Roman" w:hAnsi="Times New Roman" w:cs="Times New Roman"/>
          <w:noProof/>
          <w:color w:val="000000"/>
          <w:sz w:val="24"/>
          <w:szCs w:val="24"/>
        </w:rPr>
        <w:t xml:space="preserve"> rivalries between the United States and China. </w:t>
      </w:r>
      <w:r>
        <w:rPr>
          <w:rFonts w:ascii="Times New Roman" w:hAnsi="Times New Roman" w:cs="Times New Roman"/>
          <w:noProof/>
          <w:color w:val="000000"/>
          <w:sz w:val="24"/>
        </w:rPr>
        <w:t>This in particular affects the manufacturing sector, which is also experiencing structural shifts. As a result, the European economy looks to be heading towards a period of more subdued growth and low inflati</w:t>
      </w:r>
      <w:r>
        <w:rPr>
          <w:rFonts w:ascii="Times New Roman" w:hAnsi="Times New Roman" w:cs="Times New Roman"/>
          <w:noProof/>
          <w:color w:val="000000"/>
          <w:sz w:val="24"/>
        </w:rPr>
        <w:t>on. Euro area gross domestic product (GDP) is now forecast to expand by 1.1% in 2019 and by 1.2% in 2020 and 2021. For the EU as a whole, GDP is expected to rise by 1.4% per annum between 2019 and 2021.</w:t>
      </w:r>
      <w:r>
        <w:rPr>
          <w:rStyle w:val="CommentReference1"/>
          <w:rFonts w:ascii="Times New Roman" w:hAnsi="Times New Roman" w:cs="Times New Roman"/>
          <w:noProof/>
          <w:color w:val="000000"/>
          <w:sz w:val="24"/>
          <w:szCs w:val="22"/>
        </w:rPr>
        <w:t xml:space="preserve"> </w:t>
      </w:r>
    </w:p>
    <w:p w:rsidR="00F60A1D" w:rsidRDefault="00E72A7F">
      <w:pPr>
        <w:jc w:val="both"/>
        <w:rPr>
          <w:rStyle w:val="CommentReference1"/>
          <w:rFonts w:ascii="Times New Roman" w:hAnsi="Times New Roman" w:cs="Times New Roman"/>
          <w:noProof/>
          <w:sz w:val="24"/>
          <w:szCs w:val="24"/>
        </w:rPr>
      </w:pPr>
      <w:r>
        <w:rPr>
          <w:rFonts w:ascii="Times New Roman" w:hAnsi="Times New Roman" w:cs="Times New Roman"/>
          <w:b/>
          <w:noProof/>
          <w:color w:val="000000"/>
          <w:sz w:val="24"/>
          <w:szCs w:val="24"/>
        </w:rPr>
        <w:t>The medium-term economic prospects are hampered by a</w:t>
      </w:r>
      <w:r>
        <w:rPr>
          <w:rFonts w:ascii="Times New Roman" w:hAnsi="Times New Roman" w:cs="Times New Roman"/>
          <w:b/>
          <w:noProof/>
          <w:color w:val="000000"/>
          <w:sz w:val="24"/>
          <w:szCs w:val="24"/>
        </w:rPr>
        <w:t xml:space="preserve">n ageing population, sluggish productivity growth and the rising impact of environmental degradation. </w:t>
      </w:r>
      <w:r>
        <w:rPr>
          <w:rFonts w:ascii="Times New Roman" w:hAnsi="Times New Roman" w:cs="Times New Roman"/>
          <w:noProof/>
          <w:sz w:val="24"/>
          <w:szCs w:val="24"/>
        </w:rPr>
        <w:t>By 2024, an ageing populations means the work force in 11 Member States is estimated to fall by more than 3% compared to today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By 2060, the EU’s workfor</w:t>
      </w:r>
      <w:r>
        <w:rPr>
          <w:rFonts w:ascii="Times New Roman" w:hAnsi="Times New Roman" w:cs="Times New Roman"/>
          <w:noProof/>
          <w:sz w:val="24"/>
          <w:szCs w:val="24"/>
        </w:rPr>
        <w:t>ce will decline by 12%.  This, combined with a decades-long trend of declining</w:t>
      </w:r>
      <w:r>
        <w:rPr>
          <w:rFonts w:ascii="Times New Roman" w:hAnsi="Times New Roman" w:cs="Times New Roman"/>
          <w:noProof/>
          <w:color w:val="000000"/>
          <w:sz w:val="24"/>
          <w:szCs w:val="24"/>
        </w:rPr>
        <w:t xml:space="preserve"> productivity growth puts a strain on the growth potential of the economy and put on public finances in the future. In addition, the impact of environmental degradation is expect</w:t>
      </w:r>
      <w:r>
        <w:rPr>
          <w:rFonts w:ascii="Times New Roman" w:hAnsi="Times New Roman" w:cs="Times New Roman"/>
          <w:noProof/>
          <w:color w:val="000000"/>
          <w:sz w:val="24"/>
          <w:szCs w:val="24"/>
        </w:rPr>
        <w:t xml:space="preserve">ed to increasingly affect economic activity, through more frequent extreme weather conditions, influences on human health and less reliable access to material resources and ecosystem services. </w:t>
      </w:r>
    </w:p>
    <w:p w:rsidR="00F60A1D" w:rsidRDefault="00E72A7F">
      <w:pPr>
        <w:jc w:val="both"/>
        <w:rPr>
          <w:rStyle w:val="CommentReference1"/>
          <w:rFonts w:ascii="Times New Roman" w:hAnsi="Times New Roman" w:cs="Times New Roman"/>
          <w:noProof/>
          <w:color w:val="000000"/>
          <w:sz w:val="24"/>
          <w:szCs w:val="22"/>
        </w:rPr>
      </w:pPr>
      <w:r>
        <w:rPr>
          <w:rStyle w:val="CommentReference1"/>
          <w:rFonts w:ascii="Times New Roman" w:hAnsi="Times New Roman" w:cs="Times New Roman"/>
          <w:b/>
          <w:noProof/>
          <w:color w:val="000000"/>
          <w:sz w:val="24"/>
          <w:szCs w:val="22"/>
        </w:rPr>
        <w:t xml:space="preserve">With clouds forming on the horizon, Europe must develop a new growth paradigm that effectively addresses the long-term challenges transforming its society. </w:t>
      </w:r>
      <w:r>
        <w:rPr>
          <w:rStyle w:val="CommentReference1"/>
          <w:rFonts w:ascii="Times New Roman" w:hAnsi="Times New Roman" w:cs="Times New Roman"/>
          <w:noProof/>
          <w:color w:val="000000"/>
          <w:sz w:val="24"/>
          <w:szCs w:val="22"/>
        </w:rPr>
        <w:t>This new paradigm will also be key in establishing Europe’s political and economic leadership at glo</w:t>
      </w:r>
      <w:r>
        <w:rPr>
          <w:rStyle w:val="CommentReference1"/>
          <w:rFonts w:ascii="Times New Roman" w:hAnsi="Times New Roman" w:cs="Times New Roman"/>
          <w:noProof/>
          <w:color w:val="000000"/>
          <w:sz w:val="24"/>
          <w:szCs w:val="22"/>
        </w:rPr>
        <w:t>bal level. It will also boost potential growth, helping Europe to remain strong in the face of rising uncertainty in the short-term.</w:t>
      </w:r>
    </w:p>
    <w:p w:rsidR="00F60A1D" w:rsidRDefault="00F60A1D">
      <w:pPr>
        <w:jc w:val="both"/>
        <w:rPr>
          <w:rStyle w:val="CommentReference1"/>
          <w:rFonts w:ascii="Times New Roman" w:hAnsi="Times New Roman" w:cs="Times New Roman"/>
          <w:noProof/>
          <w:color w:val="000000"/>
          <w:sz w:val="24"/>
          <w:szCs w:val="22"/>
        </w:rPr>
      </w:pPr>
    </w:p>
    <w:p w:rsidR="00F60A1D" w:rsidRDefault="00E72A7F">
      <w:pPr>
        <w:pStyle w:val="ListParagraph"/>
        <w:keepNext/>
        <w:numPr>
          <w:ilvl w:val="1"/>
          <w:numId w:val="2"/>
        </w:numPr>
        <w:spacing w:line="257" w:lineRule="auto"/>
        <w:ind w:left="1066" w:hanging="357"/>
        <w:jc w:val="both"/>
        <w:rPr>
          <w:rFonts w:ascii="Times New Roman" w:hAnsi="Times New Roman" w:cs="Times New Roman"/>
          <w:b/>
          <w:bCs/>
          <w:noProof/>
          <w:color w:val="000000"/>
          <w:sz w:val="24"/>
          <w:szCs w:val="24"/>
          <w:lang w:val="en-GB"/>
        </w:rPr>
      </w:pPr>
      <w:r>
        <w:rPr>
          <w:rFonts w:ascii="Times New Roman" w:hAnsi="Times New Roman" w:cs="Times New Roman"/>
          <w:b/>
          <w:noProof/>
          <w:sz w:val="24"/>
          <w:szCs w:val="24"/>
          <w:lang w:val="en-GB"/>
        </w:rPr>
        <w:t xml:space="preserve">A new paradigm to address interrelated key challenges </w:t>
      </w:r>
    </w:p>
    <w:p w:rsidR="00F60A1D" w:rsidRDefault="00E72A7F">
      <w:pPr>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Competitive sustainability has always been at the heart of Europe’s</w:t>
      </w:r>
      <w:r>
        <w:rPr>
          <w:rFonts w:ascii="Times New Roman" w:hAnsi="Times New Roman" w:cs="Times New Roman"/>
          <w:b/>
          <w:bCs/>
          <w:noProof/>
          <w:color w:val="000000"/>
          <w:sz w:val="24"/>
          <w:szCs w:val="24"/>
        </w:rPr>
        <w:t xml:space="preserve"> social market economy and should remain its guiding principle for the future</w:t>
      </w:r>
      <w:r>
        <w:rPr>
          <w:rFonts w:ascii="Times New Roman" w:hAnsi="Times New Roman" w:cs="Times New Roman"/>
          <w:bCs/>
          <w:noProof/>
          <w:color w:val="000000"/>
          <w:sz w:val="24"/>
          <w:szCs w:val="24"/>
        </w:rPr>
        <w:t>.</w:t>
      </w:r>
      <w:r>
        <w:rPr>
          <w:rFonts w:ascii="Times New Roman" w:hAnsi="Times New Roman" w:cs="Times New Roman"/>
          <w:noProof/>
          <w:color w:val="000000"/>
          <w:sz w:val="24"/>
          <w:szCs w:val="24"/>
        </w:rPr>
        <w:t xml:space="preserve"> Moving towards a sustainable economic model, enabled by digital and clean technologies, can make Europe a transformational frontrunner. Leadership on environmental protection an</w:t>
      </w:r>
      <w:r>
        <w:rPr>
          <w:rFonts w:ascii="Times New Roman" w:hAnsi="Times New Roman" w:cs="Times New Roman"/>
          <w:noProof/>
          <w:color w:val="000000"/>
          <w:sz w:val="24"/>
          <w:szCs w:val="24"/>
        </w:rPr>
        <w:t>d a strong, innovative industrial base must be seen as two sides of the same coin, giving the EU a competitive first-mover advantage. A stable economy, allowing for policies focused towards the long-term, and a just transition for those most affected by th</w:t>
      </w:r>
      <w:r>
        <w:rPr>
          <w:rFonts w:ascii="Times New Roman" w:hAnsi="Times New Roman" w:cs="Times New Roman"/>
          <w:noProof/>
          <w:color w:val="000000"/>
          <w:sz w:val="24"/>
          <w:szCs w:val="24"/>
        </w:rPr>
        <w:t>e transformations are prerequisite for success and should complete our framework.</w:t>
      </w:r>
    </w:p>
    <w:p w:rsidR="00F60A1D" w:rsidRDefault="00E72A7F">
      <w:pPr>
        <w:spacing w:after="120"/>
        <w:jc w:val="both"/>
        <w:rPr>
          <w:noProof/>
        </w:rPr>
      </w:pPr>
      <w:r>
        <w:rPr>
          <w:rFonts w:ascii="Times New Roman" w:hAnsi="Times New Roman" w:cs="Times New Roman"/>
          <w:b/>
          <w:bCs/>
          <w:noProof/>
          <w:color w:val="000000"/>
          <w:sz w:val="24"/>
          <w:szCs w:val="24"/>
        </w:rPr>
        <w:t xml:space="preserve">Environmental sustainability, productivity gains, fairness and macro-economic stability will be the four dimensions of our economic policy in the years to come. </w:t>
      </w:r>
      <w:r>
        <w:rPr>
          <w:rFonts w:ascii="Times New Roman" w:hAnsi="Times New Roman" w:cs="Times New Roman"/>
          <w:bCs/>
          <w:noProof/>
          <w:color w:val="000000"/>
          <w:sz w:val="24"/>
          <w:szCs w:val="24"/>
        </w:rPr>
        <w:t>These dimensi</w:t>
      </w:r>
      <w:r>
        <w:rPr>
          <w:rFonts w:ascii="Times New Roman" w:hAnsi="Times New Roman" w:cs="Times New Roman"/>
          <w:bCs/>
          <w:noProof/>
          <w:color w:val="000000"/>
          <w:sz w:val="24"/>
          <w:szCs w:val="24"/>
        </w:rPr>
        <w:t>ons, which are closely interrelated and mutually reinforcing, should guide structural reforms, investments and responsible fiscal policies across all Member States.</w:t>
      </w:r>
      <w:r>
        <w:rPr>
          <w:rFonts w:ascii="Times New Roman" w:hAnsi="Times New Roman" w:cs="Times New Roman"/>
          <w:b/>
          <w:noProof/>
          <w:color w:val="000000"/>
          <w:sz w:val="24"/>
        </w:rPr>
        <w:t xml:space="preserve"> </w:t>
      </w:r>
    </w:p>
    <w:p w:rsidR="00F60A1D" w:rsidRDefault="00E72A7F">
      <w:pPr>
        <w:spacing w:after="120"/>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 xml:space="preserve">These four key dimensions will be crucial in implementing the Sustainable Development </w:t>
      </w:r>
      <w:r>
        <w:rPr>
          <w:rFonts w:ascii="Times New Roman" w:hAnsi="Times New Roman" w:cs="Times New Roman"/>
          <w:b/>
          <w:noProof/>
          <w:color w:val="000000"/>
          <w:sz w:val="24"/>
          <w:szCs w:val="24"/>
        </w:rPr>
        <w:t>Goals (SDGs).</w:t>
      </w:r>
      <w:r>
        <w:rPr>
          <w:rFonts w:ascii="Times New Roman" w:hAnsi="Times New Roman" w:cs="Times New Roman"/>
          <w:noProof/>
          <w:color w:val="000000"/>
          <w:sz w:val="24"/>
          <w:szCs w:val="24"/>
        </w:rPr>
        <w:t xml:space="preserve"> Integrating the objectives of the SDGs in the European Semester, with a specific focus on the economic and employment aspects, provides a unique opportunity to put people, their health and the planet at the centre stage of economic policy. In</w:t>
      </w:r>
      <w:r>
        <w:rPr>
          <w:rFonts w:ascii="Times New Roman" w:hAnsi="Times New Roman" w:cs="Times New Roman"/>
          <w:noProof/>
          <w:color w:val="000000"/>
          <w:sz w:val="24"/>
          <w:szCs w:val="24"/>
        </w:rPr>
        <w:t xml:space="preserve"> today’s geopolitical context, putting the SDGs at the centre of the Union’s policymaking and action also sends a strong message about Europe’s commitment towards sustainability.</w:t>
      </w:r>
    </w:p>
    <w:p w:rsidR="00F60A1D" w:rsidRDefault="00F60A1D">
      <w:pPr>
        <w:pStyle w:val="ListParagraph"/>
        <w:ind w:left="0"/>
        <w:rPr>
          <w:noProof/>
          <w:lang w:val="en-GB" w:eastAsia="en-GB"/>
        </w:rPr>
      </w:pPr>
    </w:p>
    <w:p w:rsidR="00F60A1D" w:rsidRDefault="00E72A7F">
      <w:pPr>
        <w:pStyle w:val="ListParagraph"/>
        <w:ind w:left="0"/>
        <w:rPr>
          <w:rFonts w:ascii="Times New Roman" w:hAnsi="Times New Roman" w:cs="Times New Roman"/>
          <w:noProof/>
          <w:sz w:val="24"/>
          <w:szCs w:val="24"/>
          <w:lang w:val="en-GB"/>
        </w:rPr>
      </w:pPr>
      <w:r>
        <w:rPr>
          <w:noProof/>
          <w:lang w:val="fr-BE" w:eastAsia="fr-BE"/>
        </w:rPr>
        <w:drawing>
          <wp:inline distT="0" distB="0" distL="0" distR="0">
            <wp:extent cx="5943600" cy="4303687"/>
            <wp:effectExtent l="0" t="0" r="0" b="0"/>
            <wp:docPr id="3" name="Picture 3" descr="C:\Users\breiann\AppData\Local\Microsoft\Windows\INetCache\Content.Word\ags_economic_narativ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reiann\AppData\Local\Microsoft\Windows\INetCache\Content.Word\ags_economic_narative_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303687"/>
                    </a:xfrm>
                    <a:prstGeom prst="rect">
                      <a:avLst/>
                    </a:prstGeom>
                    <a:noFill/>
                    <a:ln>
                      <a:noFill/>
                    </a:ln>
                  </pic:spPr>
                </pic:pic>
              </a:graphicData>
            </a:graphic>
          </wp:inline>
        </w:drawing>
      </w:r>
    </w:p>
    <w:p w:rsidR="00F60A1D" w:rsidRDefault="00F60A1D">
      <w:pPr>
        <w:pStyle w:val="ListParagraph"/>
        <w:ind w:left="0"/>
        <w:rPr>
          <w:rFonts w:ascii="Times New Roman" w:hAnsi="Times New Roman" w:cs="Times New Roman"/>
          <w:noProof/>
          <w:sz w:val="24"/>
          <w:szCs w:val="24"/>
          <w:lang w:val="en-GB"/>
        </w:rPr>
      </w:pPr>
    </w:p>
    <w:p w:rsidR="00F60A1D" w:rsidRDefault="00E72A7F">
      <w:pPr>
        <w:jc w:val="both"/>
        <w:rPr>
          <w:rFonts w:ascii="Times New Roman" w:hAnsi="Times New Roman" w:cs="Times New Roman"/>
          <w:noProof/>
          <w:sz w:val="24"/>
          <w:szCs w:val="24"/>
        </w:rPr>
      </w:pPr>
      <w:r>
        <w:rPr>
          <w:rFonts w:ascii="Times New Roman" w:hAnsi="Times New Roman" w:cs="Times New Roman"/>
          <w:b/>
          <w:noProof/>
          <w:sz w:val="24"/>
          <w:szCs w:val="24"/>
        </w:rPr>
        <w:t xml:space="preserve">To succeed, costs and benefits need to be balanced in the short and long </w:t>
      </w:r>
      <w:r>
        <w:rPr>
          <w:rFonts w:ascii="Times New Roman" w:hAnsi="Times New Roman" w:cs="Times New Roman"/>
          <w:b/>
          <w:noProof/>
          <w:sz w:val="24"/>
          <w:szCs w:val="24"/>
        </w:rPr>
        <w:t>term.</w:t>
      </w:r>
      <w:r>
        <w:rPr>
          <w:rFonts w:ascii="Times New Roman" w:hAnsi="Times New Roman" w:cs="Times New Roman"/>
          <w:noProof/>
          <w:sz w:val="24"/>
          <w:szCs w:val="24"/>
        </w:rPr>
        <w:t xml:space="preserve"> Benefits should be shared and costs must not be borne by the most vulnerable. Both climate change itself and the flanking policies required to overcome the challenges it creates have significant distributional consequences, especially in the short te</w:t>
      </w:r>
      <w:r>
        <w:rPr>
          <w:rFonts w:ascii="Times New Roman" w:hAnsi="Times New Roman" w:cs="Times New Roman"/>
          <w:noProof/>
          <w:sz w:val="24"/>
          <w:szCs w:val="24"/>
        </w:rPr>
        <w:t>rm. When designing policies and formulating recommendations for structural reforms, we need to ensure that support for the people most affected by these societal changes is put in place. On the other hand, the green transition will also create new jobs and</w:t>
      </w:r>
      <w:r>
        <w:rPr>
          <w:rFonts w:ascii="Times New Roman" w:hAnsi="Times New Roman" w:cs="Times New Roman"/>
          <w:noProof/>
          <w:sz w:val="24"/>
          <w:szCs w:val="24"/>
        </w:rPr>
        <w:t xml:space="preserve"> greater well-being, for example in the form of healthier working and living environments.</w:t>
      </w:r>
      <w:r>
        <w:rPr>
          <w:noProof/>
        </w:rPr>
        <w:t xml:space="preserve"> </w:t>
      </w:r>
      <w:r>
        <w:rPr>
          <w:rFonts w:ascii="Times New Roman" w:hAnsi="Times New Roman" w:cs="Times New Roman"/>
          <w:noProof/>
          <w:sz w:val="24"/>
          <w:szCs w:val="24"/>
        </w:rPr>
        <w:t>Also in other policy areas, short term trade-offs exist. For example, when it comes to seeking a more inclusive growth, the labour market integration of more lower-s</w:t>
      </w:r>
      <w:r>
        <w:rPr>
          <w:rFonts w:ascii="Times New Roman" w:hAnsi="Times New Roman" w:cs="Times New Roman"/>
          <w:noProof/>
          <w:sz w:val="24"/>
          <w:szCs w:val="24"/>
        </w:rPr>
        <w:t>killed workers may reduce average productivity in the short-term. This, however, does not change the long-term advantage of labour market integration contributing to a more balanced and prosperous society over time. To maximise synergies between the variou</w:t>
      </w:r>
      <w:r>
        <w:rPr>
          <w:rFonts w:ascii="Times New Roman" w:hAnsi="Times New Roman" w:cs="Times New Roman"/>
          <w:noProof/>
          <w:sz w:val="24"/>
          <w:szCs w:val="24"/>
        </w:rPr>
        <w:t xml:space="preserve">s policy goals outlined, significant public and private investments will be needed, for example in education, retraining and innovation. </w:t>
      </w:r>
    </w:p>
    <w:p w:rsidR="00F60A1D" w:rsidRDefault="00F60A1D">
      <w:pPr>
        <w:jc w:val="both"/>
        <w:rPr>
          <w:rFonts w:ascii="Times New Roman" w:hAnsi="Times New Roman" w:cs="Times New Roman"/>
          <w:noProof/>
          <w:sz w:val="24"/>
          <w:szCs w:val="24"/>
        </w:rPr>
      </w:pPr>
    </w:p>
    <w:p w:rsidR="00F60A1D" w:rsidRDefault="00E72A7F">
      <w:pPr>
        <w:pStyle w:val="ListParagraph"/>
        <w:keepNext/>
        <w:numPr>
          <w:ilvl w:val="1"/>
          <w:numId w:val="2"/>
        </w:numPr>
        <w:spacing w:line="257" w:lineRule="auto"/>
        <w:ind w:left="1066"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Environmental sustainability</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Tackling climate and environmental challenges is this generation’s defining task. </w:t>
      </w:r>
      <w:r>
        <w:rPr>
          <w:rFonts w:ascii="Times New Roman" w:hAnsi="Times New Roman" w:cs="Times New Roman"/>
          <w:noProof/>
          <w:sz w:val="24"/>
          <w:szCs w:val="24"/>
        </w:rPr>
        <w:t xml:space="preserve">It </w:t>
      </w:r>
      <w:r>
        <w:rPr>
          <w:rFonts w:ascii="Times New Roman" w:hAnsi="Times New Roman" w:cs="Times New Roman"/>
          <w:noProof/>
          <w:sz w:val="24"/>
          <w:szCs w:val="24"/>
        </w:rPr>
        <w:t>will remain so for the years to come.</w:t>
      </w:r>
      <w:r>
        <w:rPr>
          <w:rFonts w:ascii="Times New Roman" w:hAnsi="Times New Roman" w:cs="Times New Roman"/>
          <w:b/>
          <w:noProof/>
          <w:sz w:val="24"/>
          <w:szCs w:val="24"/>
        </w:rPr>
        <w:t xml:space="preserve"> </w:t>
      </w:r>
      <w:r>
        <w:rPr>
          <w:rFonts w:ascii="Times New Roman" w:hAnsi="Times New Roman" w:cs="Times New Roman"/>
          <w:noProof/>
          <w:sz w:val="24"/>
          <w:szCs w:val="24"/>
        </w:rPr>
        <w:t>The transition to climate neutrality requires a profound transformation of the economy within one generation. These changes do not only concern the energy, building and transport sectors, but also industry, agriculture</w:t>
      </w:r>
      <w:r>
        <w:rPr>
          <w:rFonts w:ascii="Times New Roman" w:hAnsi="Times New Roman" w:cs="Times New Roman"/>
          <w:noProof/>
          <w:sz w:val="24"/>
          <w:szCs w:val="24"/>
        </w:rPr>
        <w:t xml:space="preserve"> and services sectors. At the same time, these changes offer a unique opportunity to modernise the ageing capital stock of the EU economy and to relaunch competitiveness in a sustainable way with people at the centre of the transition</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With a stronger focus on climate and environmental policies, the European Semester is reinforced as an encompassing tool for economic and employment policy. </w:t>
      </w:r>
      <w:r>
        <w:rPr>
          <w:rFonts w:ascii="Times New Roman" w:hAnsi="Times New Roman" w:cs="Times New Roman"/>
          <w:noProof/>
          <w:sz w:val="24"/>
          <w:szCs w:val="24"/>
        </w:rPr>
        <w:t xml:space="preserve">The growth opportunities arising from a stronger focus on environmental sustainability are central </w:t>
      </w:r>
      <w:r>
        <w:rPr>
          <w:rFonts w:ascii="Times New Roman" w:hAnsi="Times New Roman" w:cs="Times New Roman"/>
          <w:noProof/>
          <w:sz w:val="24"/>
          <w:szCs w:val="24"/>
        </w:rPr>
        <w:t>to Europe’s economic agenda. The Semester can provide specific guidance to Member States on where structural reforms and investment towards a more sustainable and competitive economic model are most needed. It can also help Member States to identify and ad</w:t>
      </w:r>
      <w:r>
        <w:rPr>
          <w:rFonts w:ascii="Times New Roman" w:hAnsi="Times New Roman" w:cs="Times New Roman"/>
          <w:noProof/>
          <w:sz w:val="24"/>
          <w:szCs w:val="24"/>
        </w:rPr>
        <w:t>dress key trade-offs, for instance by tackling the social impacts of rising energy prices through adequate social and fiscal policies. Europe needs to act decisively in areas like the circular economy, renewable energy, energy-efficient buildings and low-e</w:t>
      </w:r>
      <w:r>
        <w:rPr>
          <w:rFonts w:ascii="Times New Roman" w:hAnsi="Times New Roman" w:cs="Times New Roman"/>
          <w:noProof/>
          <w:sz w:val="24"/>
          <w:szCs w:val="24"/>
        </w:rPr>
        <w:t>mission transport. The EU’s industry is already one of the most energy-efficient in the world. Europe needs to capitalise on this and provide additional incentives for businesses and investors to enable Member States attain ambitious climate objectives. Su</w:t>
      </w:r>
      <w:r>
        <w:rPr>
          <w:rFonts w:ascii="Times New Roman" w:hAnsi="Times New Roman" w:cs="Times New Roman"/>
          <w:noProof/>
          <w:sz w:val="24"/>
          <w:szCs w:val="24"/>
        </w:rPr>
        <w:t>pport for the people, sectors and regions, which are most affected by the transformation, needs to be factored into the reforms. Further deepening cohesion policy’s emphasis on green and digital investment will contribute to the strategy</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Europe needs to in</w:t>
      </w:r>
      <w:r>
        <w:rPr>
          <w:rFonts w:ascii="Times New Roman" w:hAnsi="Times New Roman" w:cs="Times New Roman"/>
          <w:noProof/>
          <w:sz w:val="24"/>
          <w:szCs w:val="24"/>
        </w:rPr>
        <w:t xml:space="preserve">vest record amounts in cutting-edge research and innovation, using the full flexibility of the next EU budget to focus on the areas with the greatest potential. Investments should be directed towards clean assets that are the most productive in mitigating </w:t>
      </w:r>
      <w:r>
        <w:rPr>
          <w:rFonts w:ascii="Times New Roman" w:hAnsi="Times New Roman" w:cs="Times New Roman"/>
          <w:noProof/>
          <w:sz w:val="24"/>
          <w:szCs w:val="24"/>
        </w:rPr>
        <w:t>climate change and to disruptive innovation efforts both at EU and national level. Achieving the existing 2030 climate and energy targets will require EUR 260 billion of additional investment in the energy system annually in 2021-2030. The biggest investme</w:t>
      </w:r>
      <w:r>
        <w:rPr>
          <w:rFonts w:ascii="Times New Roman" w:hAnsi="Times New Roman" w:cs="Times New Roman"/>
          <w:noProof/>
          <w:sz w:val="24"/>
          <w:szCs w:val="24"/>
        </w:rPr>
        <w:t>nt push will be required to improve energy efficiency in the residential and tertiary sectors. In addition, significant investments are needed in power generation and grid infrastructure. The swift roll out of alternative fuels infrastructure within the ne</w:t>
      </w:r>
      <w:r>
        <w:rPr>
          <w:rFonts w:ascii="Times New Roman" w:hAnsi="Times New Roman" w:cs="Times New Roman"/>
          <w:noProof/>
          <w:sz w:val="24"/>
          <w:szCs w:val="24"/>
        </w:rPr>
        <w:t xml:space="preserve">xt two years will be critical for the automotive industry to achieve the emissions targets for new cars. </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noProof/>
          <w:sz w:val="24"/>
          <w:szCs w:val="24"/>
        </w:rPr>
        <w:t>In this context, changes to tax/subsidy systems are needed, to ensure the incentives are climate and environmentally-friendly, and to raise the necess</w:t>
      </w:r>
      <w:r>
        <w:rPr>
          <w:rFonts w:ascii="Times New Roman" w:hAnsi="Times New Roman" w:cs="Times New Roman"/>
          <w:noProof/>
          <w:sz w:val="24"/>
          <w:szCs w:val="24"/>
        </w:rPr>
        <w:t xml:space="preserve">ary funding to invest. Yet, public funding alone will not be enough. We need to tap into private investment by putting green and sustainable financing at the heart of Europe’s investment chain and financial system. </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Through the Sustainable Europe Investmen</w:t>
      </w:r>
      <w:r>
        <w:rPr>
          <w:rFonts w:ascii="Times New Roman" w:hAnsi="Times New Roman" w:cs="Times New Roman"/>
          <w:b/>
          <w:noProof/>
          <w:sz w:val="24"/>
          <w:szCs w:val="24"/>
        </w:rPr>
        <w:t xml:space="preserve">t Plan, the European Union can play a catalysing role for private and public green investments. </w:t>
      </w:r>
      <w:r>
        <w:rPr>
          <w:rFonts w:ascii="Times New Roman" w:hAnsi="Times New Roman" w:cs="Times New Roman"/>
          <w:noProof/>
          <w:sz w:val="24"/>
          <w:szCs w:val="24"/>
        </w:rPr>
        <w:t>This plan will combine dedicated financing to support sustainable investments with proposals for an improved regulatory framework, mobilising sustainable invest</w:t>
      </w:r>
      <w:r>
        <w:rPr>
          <w:rFonts w:ascii="Times New Roman" w:hAnsi="Times New Roman" w:cs="Times New Roman"/>
          <w:noProof/>
          <w:sz w:val="24"/>
          <w:szCs w:val="24"/>
        </w:rPr>
        <w:t>ment in every corner of the EU. This will be achieved by devoting a greater share of EU expenses to climate than ever before, by crowding in private funding through guarantees, by creating an enabling framework, and by helping project promoters structure b</w:t>
      </w:r>
      <w:r>
        <w:rPr>
          <w:rFonts w:ascii="Times New Roman" w:hAnsi="Times New Roman" w:cs="Times New Roman"/>
          <w:noProof/>
          <w:sz w:val="24"/>
          <w:szCs w:val="24"/>
        </w:rPr>
        <w:t xml:space="preserve">ankable green projects. The InvestEU Programme will contribute significantly here. In addition, the European Investment Bank (EIB) Group will become Europe’s climate bank by doubling its climate target to 50%. Under the upcoming Just Transition Mechanism, </w:t>
      </w:r>
      <w:r>
        <w:rPr>
          <w:rFonts w:ascii="Times New Roman" w:hAnsi="Times New Roman" w:cs="Times New Roman"/>
          <w:noProof/>
          <w:sz w:val="24"/>
          <w:szCs w:val="24"/>
        </w:rPr>
        <w:t xml:space="preserve">the Commission is also working with the EIB Group towards mobilising significant investments for regions that will need to be particularly assisted in the environmental and climate transition during the period of the next MFF. </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Increasing revenues from the</w:t>
      </w:r>
      <w:r>
        <w:rPr>
          <w:rFonts w:ascii="Times New Roman" w:hAnsi="Times New Roman" w:cs="Times New Roman"/>
          <w:b/>
          <w:noProof/>
          <w:sz w:val="24"/>
          <w:szCs w:val="24"/>
        </w:rPr>
        <w:t xml:space="preserve"> EU emissions trading system (ETS) provides an additional source for financing climate action and the modernisation of the economy.</w:t>
      </w:r>
      <w:r>
        <w:rPr>
          <w:rFonts w:ascii="Times New Roman" w:hAnsi="Times New Roman" w:cs="Times New Roman"/>
          <w:noProof/>
          <w:sz w:val="24"/>
          <w:szCs w:val="24"/>
        </w:rPr>
        <w:t xml:space="preserve"> In 2018, revenues from ETS auctions amounted to some EUR 14 billion. In 2019, the revenues from EU ETS auctions are expected</w:t>
      </w:r>
      <w:r>
        <w:rPr>
          <w:rFonts w:ascii="Times New Roman" w:hAnsi="Times New Roman" w:cs="Times New Roman"/>
          <w:noProof/>
          <w:sz w:val="24"/>
          <w:szCs w:val="24"/>
        </w:rPr>
        <w:t xml:space="preserve"> to be even higher and over the coming years, annual revenues will remain considerable. This money should be used to support the achievement of 2030 climate and energy targets and invest in the transition to climate-neutrality.</w:t>
      </w:r>
    </w:p>
    <w:p w:rsidR="00F60A1D" w:rsidRDefault="00F60A1D">
      <w:pPr>
        <w:spacing w:after="120"/>
        <w:jc w:val="both"/>
        <w:rPr>
          <w:rFonts w:ascii="Times New Roman" w:hAnsi="Times New Roman" w:cs="Times New Roman"/>
          <w:noProof/>
          <w:sz w:val="24"/>
          <w:szCs w:val="24"/>
        </w:rPr>
      </w:pPr>
    </w:p>
    <w:p w:rsidR="00F60A1D" w:rsidRDefault="00E72A7F">
      <w:pPr>
        <w:pStyle w:val="ListParagraph"/>
        <w:keepNext/>
        <w:numPr>
          <w:ilvl w:val="1"/>
          <w:numId w:val="2"/>
        </w:numPr>
        <w:spacing w:line="257" w:lineRule="auto"/>
        <w:ind w:left="1066" w:hanging="35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Productivity growth </w:t>
      </w:r>
    </w:p>
    <w:p w:rsidR="00F60A1D" w:rsidRDefault="00E72A7F">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In the</w:t>
      </w:r>
      <w:r>
        <w:rPr>
          <w:rFonts w:ascii="Times New Roman" w:hAnsi="Times New Roman" w:cs="Times New Roman"/>
          <w:b/>
          <w:noProof/>
          <w:sz w:val="24"/>
          <w:szCs w:val="24"/>
        </w:rPr>
        <w:t xml:space="preserve"> context of population ageing and increasingly binding resource constraints, future income and employment growth in Europe will depend crucially on higher productivity and innovation.</w:t>
      </w:r>
      <w:r>
        <w:rPr>
          <w:rFonts w:ascii="Times New Roman" w:hAnsi="Times New Roman" w:cs="Times New Roman"/>
          <w:b/>
          <w:noProof/>
          <w:sz w:val="24"/>
        </w:rPr>
        <w:t xml:space="preserve"> </w:t>
      </w:r>
      <w:r>
        <w:rPr>
          <w:rFonts w:ascii="Times New Roman" w:hAnsi="Times New Roman" w:cs="Times New Roman"/>
          <w:noProof/>
          <w:sz w:val="24"/>
          <w:szCs w:val="24"/>
        </w:rPr>
        <w:t>Productivity growth in the EU remains significantly below the level of o</w:t>
      </w:r>
      <w:r>
        <w:rPr>
          <w:rFonts w:ascii="Times New Roman" w:hAnsi="Times New Roman" w:cs="Times New Roman"/>
          <w:noProof/>
          <w:sz w:val="24"/>
          <w:szCs w:val="24"/>
        </w:rPr>
        <w:t>ther global players. Member States stopped converging with the United States in the 1980s. This also reflects the global situation of European firms. Among the top 100 largest publicly listed companies, today only 23 are European. Ten years ago, 40 were Eu</w:t>
      </w:r>
      <w:r>
        <w:rPr>
          <w:rFonts w:ascii="Times New Roman" w:hAnsi="Times New Roman" w:cs="Times New Roman"/>
          <w:noProof/>
          <w:sz w:val="24"/>
          <w:szCs w:val="24"/>
        </w:rPr>
        <w:t>ropean. At the same time, disparities within the EU have increased, with the top 10% of the regions more than six times more productive than the bottom 10%. The establishment of National Productivity Boards could benefit national debates on how to boost pr</w:t>
      </w:r>
      <w:r>
        <w:rPr>
          <w:rFonts w:ascii="Times New Roman" w:hAnsi="Times New Roman" w:cs="Times New Roman"/>
          <w:noProof/>
          <w:sz w:val="24"/>
          <w:szCs w:val="24"/>
        </w:rPr>
        <w:t>oductivity by providing high-quality and independent analysis and enhancing national ownership of structural reforms.</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b/>
          <w:bCs/>
          <w:noProof/>
          <w:sz w:val="24"/>
          <w:szCs w:val="24"/>
        </w:rPr>
        <w:t>Achieving higher productivity requires a systematic and forward-looking research and innovation strategy.</w:t>
      </w:r>
      <w:r>
        <w:rPr>
          <w:rFonts w:ascii="Times New Roman" w:hAnsi="Times New Roman" w:cs="Times New Roman"/>
          <w:noProof/>
          <w:sz w:val="24"/>
          <w:szCs w:val="24"/>
        </w:rPr>
        <w:t xml:space="preserve"> The productivity gap between the</w:t>
      </w:r>
      <w:r>
        <w:rPr>
          <w:rFonts w:ascii="Times New Roman" w:hAnsi="Times New Roman" w:cs="Times New Roman"/>
          <w:noProof/>
          <w:sz w:val="24"/>
          <w:szCs w:val="24"/>
        </w:rPr>
        <w:t xml:space="preserve"> best performing and laggard firms has increased in most Member States. Structural reforms aimed at fostering the spread of innovation and improving access to finance could enable a much wider set of firms to benefit from innovations, thus boosting product</w:t>
      </w:r>
      <w:r>
        <w:rPr>
          <w:rFonts w:ascii="Times New Roman" w:hAnsi="Times New Roman" w:cs="Times New Roman"/>
          <w:noProof/>
          <w:sz w:val="24"/>
          <w:szCs w:val="24"/>
        </w:rPr>
        <w:t>ivity growth. Public and private investment in innovative technologies, including advanced digital technologies, should be supported to foster the creation of new goods, services and business models. More young and nimble innovators with breakthrough techn</w:t>
      </w:r>
      <w:r>
        <w:rPr>
          <w:rFonts w:ascii="Times New Roman" w:hAnsi="Times New Roman" w:cs="Times New Roman"/>
          <w:noProof/>
          <w:sz w:val="24"/>
          <w:szCs w:val="24"/>
        </w:rPr>
        <w:t>ologies are needed, like this generation’s tech giants were only a decade ago.</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Digital technologies, like Artificial Intelligence or the Internet of Things and access to data are crucial to a more productive and green economy. </w:t>
      </w:r>
      <w:r>
        <w:rPr>
          <w:rFonts w:ascii="Times New Roman" w:hAnsi="Times New Roman" w:cs="Times New Roman"/>
          <w:noProof/>
          <w:sz w:val="24"/>
          <w:szCs w:val="24"/>
        </w:rPr>
        <w:t>They are changing how we comm</w:t>
      </w:r>
      <w:r>
        <w:rPr>
          <w:rFonts w:ascii="Times New Roman" w:hAnsi="Times New Roman" w:cs="Times New Roman"/>
          <w:noProof/>
          <w:sz w:val="24"/>
          <w:szCs w:val="24"/>
        </w:rPr>
        <w:t xml:space="preserve">unicate, live and work. </w:t>
      </w:r>
      <w:r>
        <w:rPr>
          <w:rFonts w:ascii="Times New Roman" w:hAnsi="Times New Roman" w:cs="Times New Roman"/>
          <w:bCs/>
          <w:noProof/>
          <w:sz w:val="24"/>
          <w:szCs w:val="24"/>
        </w:rPr>
        <w:t>The changing dynamics brought about by the digital transformation require additional ambition at EU and national levels in terms of increased investment, innovation-conducive regulation, effective reforms and a human-centric approac</w:t>
      </w:r>
      <w:r>
        <w:rPr>
          <w:rFonts w:ascii="Times New Roman" w:hAnsi="Times New Roman" w:cs="Times New Roman"/>
          <w:bCs/>
          <w:noProof/>
          <w:sz w:val="24"/>
          <w:szCs w:val="24"/>
        </w:rPr>
        <w:t>h based on European values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Europe needs a strong in industrial base, built on a common strategy and pooled resources in key sectors, to be able to produce domestically the technologies it needs to stay at the forefront of global competition. Europe also </w:t>
      </w:r>
      <w:r>
        <w:rPr>
          <w:rFonts w:ascii="Times New Roman" w:hAnsi="Times New Roman" w:cs="Times New Roman"/>
          <w:noProof/>
          <w:sz w:val="24"/>
          <w:szCs w:val="24"/>
        </w:rPr>
        <w:t>needs to remain technologically sovereign by investing in innovative technologies like block-chain, high-performance and quantum computing, algorithms and tools to allow data sharing and data usage. Data and Artificial Intelligence</w:t>
      </w:r>
      <w:r>
        <w:rPr>
          <w:rFonts w:ascii="Times New Roman" w:hAnsi="Times New Roman" w:cs="Times New Roman"/>
          <w:b/>
          <w:noProof/>
          <w:sz w:val="24"/>
        </w:rPr>
        <w:t xml:space="preserve"> </w:t>
      </w:r>
      <w:r>
        <w:rPr>
          <w:rFonts w:ascii="Times New Roman" w:hAnsi="Times New Roman" w:cs="Times New Roman"/>
          <w:noProof/>
          <w:sz w:val="24"/>
          <w:szCs w:val="24"/>
        </w:rPr>
        <w:t>are major drivers for in</w:t>
      </w:r>
      <w:r>
        <w:rPr>
          <w:rFonts w:ascii="Times New Roman" w:hAnsi="Times New Roman" w:cs="Times New Roman"/>
          <w:noProof/>
          <w:sz w:val="24"/>
          <w:szCs w:val="24"/>
        </w:rPr>
        <w:t xml:space="preserve">novation that can help us to find solutions to societal challenges, from health to farming and food production, from security to manufacturing. </w:t>
      </w:r>
    </w:p>
    <w:p w:rsidR="00F60A1D" w:rsidRDefault="00E72A7F">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In times of increasing global tensions, the EU Single Market offers Member States multiple opportunities to exp</w:t>
      </w:r>
      <w:r>
        <w:rPr>
          <w:rFonts w:ascii="Times New Roman" w:hAnsi="Times New Roman" w:cs="Times New Roman"/>
          <w:b/>
          <w:noProof/>
          <w:sz w:val="24"/>
          <w:szCs w:val="24"/>
        </w:rPr>
        <w:t xml:space="preserve">and trade, create jobs and boost growth. </w:t>
      </w:r>
      <w:r>
        <w:rPr>
          <w:rFonts w:ascii="Times New Roman" w:hAnsi="Times New Roman" w:cs="Times New Roman"/>
          <w:noProof/>
          <w:sz w:val="24"/>
          <w:szCs w:val="24"/>
        </w:rPr>
        <w:t xml:space="preserve">The Single Market is a major source of resilience for the EU economy. Europe’s competitors are continent-sized economies, so the EU needs a true, continent-sized single market. The benefits are clear: technological </w:t>
      </w:r>
      <w:r>
        <w:rPr>
          <w:rFonts w:ascii="Times New Roman" w:hAnsi="Times New Roman" w:cs="Times New Roman"/>
          <w:noProof/>
          <w:sz w:val="24"/>
          <w:szCs w:val="24"/>
        </w:rPr>
        <w:t xml:space="preserve">advances spread faster in a unified market. Well-functioning product and services markets are a key driver of productivity growth, as they enable a more efficient allocation of resources. However, progress in market integration is uneven and we need a new </w:t>
      </w:r>
      <w:r>
        <w:rPr>
          <w:rFonts w:ascii="Times New Roman" w:hAnsi="Times New Roman" w:cs="Times New Roman"/>
          <w:noProof/>
          <w:sz w:val="24"/>
          <w:szCs w:val="24"/>
        </w:rPr>
        <w:t xml:space="preserve">impetus is needed not least for the digital single market, European networks and the Capital Markets Union. </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At the core of the Single Market, standardisation plays a key role to further the EU sustainable development agenda.</w:t>
      </w:r>
      <w:r>
        <w:rPr>
          <w:rFonts w:ascii="Times New Roman" w:hAnsi="Times New Roman" w:cs="Times New Roman"/>
          <w:noProof/>
          <w:sz w:val="24"/>
          <w:szCs w:val="24"/>
        </w:rPr>
        <w:t xml:space="preserve"> Standards are essential to ste</w:t>
      </w:r>
      <w:r>
        <w:rPr>
          <w:rFonts w:ascii="Times New Roman" w:hAnsi="Times New Roman" w:cs="Times New Roman"/>
          <w:noProof/>
          <w:sz w:val="24"/>
          <w:szCs w:val="24"/>
        </w:rPr>
        <w:t>er business towards Sustainable Development Goals as they act as bridges linking legal provisions with down-to-earth technical practice. Standards also contribute to competitiveness by reducing production costs and increasing market size. For these reasons</w:t>
      </w:r>
      <w:r>
        <w:rPr>
          <w:rFonts w:ascii="Times New Roman" w:hAnsi="Times New Roman" w:cs="Times New Roman"/>
          <w:noProof/>
          <w:sz w:val="24"/>
          <w:szCs w:val="24"/>
        </w:rPr>
        <w:t>, standardisation can help developing innovative products and production processes that based on recent technological progress contribute to energy efficiency, enhanced recycling, and sustainable production. The clearest examples of the role of standards i</w:t>
      </w:r>
      <w:r>
        <w:rPr>
          <w:rFonts w:ascii="Times New Roman" w:hAnsi="Times New Roman" w:cs="Times New Roman"/>
          <w:noProof/>
          <w:sz w:val="24"/>
          <w:szCs w:val="24"/>
        </w:rPr>
        <w:t>n promoting the sustainable development agenda are “Ecodesign” and the Energy Labelling policy framework</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Finally, standards also contribute to a fair global competition.</w:t>
      </w:r>
    </w:p>
    <w:p w:rsidR="00F60A1D" w:rsidRDefault="00F60A1D">
      <w:pPr>
        <w:spacing w:after="0"/>
        <w:jc w:val="both"/>
        <w:rPr>
          <w:noProof/>
        </w:rPr>
      </w:pPr>
    </w:p>
    <w:p w:rsidR="00F60A1D" w:rsidRDefault="00E72A7F">
      <w:pPr>
        <w:spacing w:after="0"/>
        <w:jc w:val="both"/>
        <w:rPr>
          <w:rFonts w:ascii="Times New Roman" w:hAnsi="Times New Roman" w:cs="Times New Roman"/>
          <w:noProof/>
          <w:sz w:val="24"/>
          <w:szCs w:val="24"/>
        </w:rPr>
      </w:pPr>
      <w:r>
        <w:rPr>
          <w:rFonts w:ascii="Times New Roman" w:hAnsi="Times New Roman"/>
          <w:noProof/>
          <w:sz w:val="24"/>
        </w:rPr>
        <w:t>Box 1: Contribution of the Single Market and Single Market Performance Report</w:t>
      </w:r>
      <w:r>
        <w:rPr>
          <w:rStyle w:val="FootnoteReference"/>
          <w:rFonts w:ascii="Times New Roman" w:hAnsi="Times New Roman" w:cs="Times New Roman"/>
          <w:noProof/>
          <w:sz w:val="24"/>
          <w:szCs w:val="24"/>
        </w:rPr>
        <w:footnoteReference w:id="5"/>
      </w:r>
    </w:p>
    <w:p w:rsidR="00F60A1D" w:rsidRDefault="00E72A7F">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The </w:t>
      </w:r>
      <w:r>
        <w:rPr>
          <w:rFonts w:ascii="Times New Roman" w:hAnsi="Times New Roman" w:cs="Times New Roman"/>
          <w:b/>
          <w:noProof/>
          <w:sz w:val="24"/>
          <w:szCs w:val="24"/>
        </w:rPr>
        <w:t>Single Market is a major asset of the Union.</w:t>
      </w:r>
      <w:r>
        <w:rPr>
          <w:rFonts w:ascii="Times New Roman" w:hAnsi="Times New Roman" w:cs="Times New Roman"/>
          <w:noProof/>
          <w:sz w:val="24"/>
          <w:szCs w:val="24"/>
        </w:rPr>
        <w:t xml:space="preserve"> The unprecedented integration of the past 25 years has resulted in closer economic and social connections between individuals and businesses across Member States. The Single Market holds potential to deliver mor</w:t>
      </w:r>
      <w:r>
        <w:rPr>
          <w:rFonts w:ascii="Times New Roman" w:hAnsi="Times New Roman" w:cs="Times New Roman"/>
          <w:noProof/>
          <w:sz w:val="24"/>
          <w:szCs w:val="24"/>
        </w:rPr>
        <w:t xml:space="preserve">e benefits to individuals and businesses. </w:t>
      </w:r>
    </w:p>
    <w:p w:rsidR="00F60A1D" w:rsidRDefault="00E72A7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The Single Market needs to be completed and implemented in those areas where the results of past efforts still fall short of the expectations,</w:t>
      </w:r>
      <w:r>
        <w:rPr>
          <w:rFonts w:ascii="Times New Roman" w:hAnsi="Times New Roman"/>
          <w:noProof/>
          <w:sz w:val="24"/>
        </w:rPr>
        <w:t xml:space="preserve"> and </w:t>
      </w:r>
      <w:r>
        <w:rPr>
          <w:rFonts w:ascii="Times New Roman" w:hAnsi="Times New Roman" w:cs="Times New Roman"/>
          <w:noProof/>
          <w:sz w:val="24"/>
          <w:szCs w:val="24"/>
        </w:rPr>
        <w:t xml:space="preserve">it needs to be continuously updated to face new challenges. This is also true for recently adopted legal acts affecting the </w:t>
      </w:r>
      <w:r>
        <w:rPr>
          <w:rFonts w:ascii="Times New Roman" w:hAnsi="Times New Roman" w:cs="Times New Roman"/>
          <w:b/>
          <w:noProof/>
          <w:sz w:val="24"/>
          <w:szCs w:val="24"/>
        </w:rPr>
        <w:t>digital</w:t>
      </w:r>
      <w:r>
        <w:rPr>
          <w:rFonts w:ascii="Times New Roman" w:hAnsi="Times New Roman" w:cs="Times New Roman"/>
          <w:noProof/>
          <w:sz w:val="24"/>
          <w:szCs w:val="24"/>
        </w:rPr>
        <w:t xml:space="preserve"> side of the economy. The financial crisis has emphasised the importance of stability and integration in </w:t>
      </w:r>
      <w:r>
        <w:rPr>
          <w:rFonts w:ascii="Times New Roman" w:hAnsi="Times New Roman" w:cs="Times New Roman"/>
          <w:b/>
          <w:noProof/>
          <w:sz w:val="24"/>
          <w:szCs w:val="24"/>
        </w:rPr>
        <w:t>capital and financia</w:t>
      </w:r>
      <w:r>
        <w:rPr>
          <w:rFonts w:ascii="Times New Roman" w:hAnsi="Times New Roman" w:cs="Times New Roman"/>
          <w:b/>
          <w:noProof/>
          <w:sz w:val="24"/>
          <w:szCs w:val="24"/>
        </w:rPr>
        <w:t>l markets</w:t>
      </w:r>
      <w:r>
        <w:rPr>
          <w:rFonts w:ascii="Times New Roman" w:hAnsi="Times New Roman" w:cs="Times New Roman"/>
          <w:noProof/>
          <w:sz w:val="24"/>
          <w:szCs w:val="24"/>
        </w:rPr>
        <w:t xml:space="preserve">, where fragmentation remains a handicap for firm growth and investment. </w:t>
      </w:r>
      <w:r>
        <w:rPr>
          <w:rFonts w:ascii="Times New Roman" w:hAnsi="Times New Roman" w:cs="Times New Roman"/>
          <w:b/>
          <w:noProof/>
          <w:sz w:val="24"/>
          <w:szCs w:val="24"/>
        </w:rPr>
        <w:t>Energy</w:t>
      </w:r>
      <w:r>
        <w:rPr>
          <w:rFonts w:ascii="Times New Roman" w:hAnsi="Times New Roman" w:cs="Times New Roman"/>
          <w:noProof/>
          <w:sz w:val="24"/>
          <w:szCs w:val="24"/>
        </w:rPr>
        <w:t xml:space="preserve"> has become a key element of integration for the Union, but energy markets still remain largely fragmented at national level. Environmental, climate and infrastructure </w:t>
      </w:r>
      <w:r>
        <w:rPr>
          <w:rFonts w:ascii="Times New Roman" w:hAnsi="Times New Roman" w:cs="Times New Roman"/>
          <w:noProof/>
          <w:sz w:val="24"/>
          <w:szCs w:val="24"/>
        </w:rPr>
        <w:t xml:space="preserve">objectives are also critical to ensure that the Single Market performs in line with social expectations. The Single Market is being deeply transformed to enable EU firms and individuals to get the most out of the possibilities offered by new technologies, </w:t>
      </w:r>
      <w:r>
        <w:rPr>
          <w:rFonts w:ascii="Times New Roman" w:hAnsi="Times New Roman" w:cs="Times New Roman"/>
          <w:noProof/>
          <w:sz w:val="24"/>
          <w:szCs w:val="24"/>
        </w:rPr>
        <w:t xml:space="preserve">such as digitalisation. </w:t>
      </w:r>
    </w:p>
    <w:p w:rsidR="00F60A1D" w:rsidRDefault="00E72A7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b/>
          <w:noProof/>
          <w:sz w:val="24"/>
          <w:szCs w:val="24"/>
        </w:rPr>
        <w:t>The Single Market is key to the European Semester and vice versa.</w:t>
      </w:r>
      <w:r>
        <w:rPr>
          <w:rFonts w:ascii="Times New Roman" w:hAnsi="Times New Roman" w:cs="Times New Roman"/>
          <w:noProof/>
          <w:sz w:val="24"/>
          <w:szCs w:val="24"/>
        </w:rPr>
        <w:t xml:space="preserve"> Many of the structural barriers preventing full delivery of the benefits of the Single Market are actually due to regulations or administrative practices at national</w:t>
      </w:r>
      <w:r>
        <w:rPr>
          <w:rFonts w:ascii="Times New Roman" w:hAnsi="Times New Roman" w:cs="Times New Roman"/>
          <w:noProof/>
          <w:sz w:val="24"/>
          <w:szCs w:val="24"/>
        </w:rPr>
        <w:t>, regional or local levels, worsening the business environment and discouraging firms from operating cross-border. The lack of administrative capacity or professionally qualified staff damages the performance of public procurement markets in some Member St</w:t>
      </w:r>
      <w:r>
        <w:rPr>
          <w:rFonts w:ascii="Times New Roman" w:hAnsi="Times New Roman" w:cs="Times New Roman"/>
          <w:noProof/>
          <w:sz w:val="24"/>
          <w:szCs w:val="24"/>
        </w:rPr>
        <w:t>ates.</w:t>
      </w:r>
    </w:p>
    <w:p w:rsidR="00F60A1D" w:rsidRDefault="00E72A7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These findings are reflected in the </w:t>
      </w:r>
      <w:r>
        <w:rPr>
          <w:rFonts w:ascii="Times New Roman" w:hAnsi="Times New Roman" w:cs="Times New Roman"/>
          <w:b/>
          <w:noProof/>
          <w:sz w:val="24"/>
          <w:szCs w:val="24"/>
        </w:rPr>
        <w:t>Single Market Performance Report</w:t>
      </w:r>
      <w:r>
        <w:rPr>
          <w:rFonts w:ascii="Times New Roman" w:hAnsi="Times New Roman" w:cs="Times New Roman"/>
          <w:noProof/>
          <w:sz w:val="24"/>
          <w:szCs w:val="24"/>
        </w:rPr>
        <w:t xml:space="preserve">, which is a novelty in the 2020 European Semester cycle, and which is published alongside this Annual Sustainable Growth Strategy. </w:t>
      </w:r>
    </w:p>
    <w:p w:rsidR="00F60A1D" w:rsidRDefault="00E72A7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the report is to </w:t>
      </w:r>
      <w:r>
        <w:rPr>
          <w:rFonts w:ascii="Times New Roman" w:hAnsi="Times New Roman" w:cs="Times New Roman"/>
          <w:b/>
          <w:noProof/>
          <w:sz w:val="24"/>
          <w:szCs w:val="24"/>
        </w:rPr>
        <w:t>assess the mark</w:t>
      </w:r>
      <w:r>
        <w:rPr>
          <w:rFonts w:ascii="Times New Roman" w:hAnsi="Times New Roman" w:cs="Times New Roman"/>
          <w:b/>
          <w:noProof/>
          <w:sz w:val="24"/>
          <w:szCs w:val="24"/>
        </w:rPr>
        <w:t>et performance of the real economy in the Single Market.</w:t>
      </w:r>
      <w:r>
        <w:rPr>
          <w:rFonts w:ascii="Times New Roman" w:hAnsi="Times New Roman" w:cs="Times New Roman"/>
          <w:noProof/>
          <w:sz w:val="24"/>
          <w:szCs w:val="24"/>
        </w:rPr>
        <w:t xml:space="preserve"> Whilst in the past, monitoring efforts focused mainly on the legal environment of the Single Market to ensure that it was properly enforced, the report focuses primarily</w:t>
      </w:r>
      <w:r>
        <w:rPr>
          <w:rFonts w:ascii="Times New Roman" w:hAnsi="Times New Roman"/>
          <w:noProof/>
          <w:sz w:val="24"/>
        </w:rPr>
        <w:t xml:space="preserve"> </w:t>
      </w:r>
      <w:r>
        <w:rPr>
          <w:rFonts w:ascii="Times New Roman" w:hAnsi="Times New Roman" w:cs="Times New Roman"/>
          <w:b/>
          <w:noProof/>
          <w:sz w:val="24"/>
          <w:szCs w:val="24"/>
        </w:rPr>
        <w:t>on the results and achievemen</w:t>
      </w:r>
      <w:r>
        <w:rPr>
          <w:rFonts w:ascii="Times New Roman" w:hAnsi="Times New Roman" w:cs="Times New Roman"/>
          <w:b/>
          <w:noProof/>
          <w:sz w:val="24"/>
          <w:szCs w:val="24"/>
        </w:rPr>
        <w:t>ts of the Single Market.</w:t>
      </w:r>
      <w:r>
        <w:rPr>
          <w:rFonts w:ascii="Times New Roman" w:hAnsi="Times New Roman" w:cs="Times New Roman"/>
          <w:noProof/>
          <w:sz w:val="24"/>
          <w:szCs w:val="24"/>
        </w:rPr>
        <w:t xml:space="preserve"> </w:t>
      </w:r>
    </w:p>
    <w:p w:rsidR="00F60A1D" w:rsidRDefault="00E72A7F">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report firstly takes into account the </w:t>
      </w:r>
      <w:r>
        <w:rPr>
          <w:rFonts w:ascii="Times New Roman" w:hAnsi="Times New Roman" w:cs="Times New Roman"/>
          <w:b/>
          <w:noProof/>
          <w:sz w:val="24"/>
          <w:szCs w:val="24"/>
        </w:rPr>
        <w:t>obstacles hindering the delivery of Single Market benefits to citizens and businesses</w:t>
      </w:r>
      <w:r>
        <w:rPr>
          <w:rFonts w:ascii="Times New Roman" w:hAnsi="Times New Roman" w:cs="Times New Roman"/>
          <w:noProof/>
          <w:sz w:val="24"/>
          <w:szCs w:val="24"/>
        </w:rPr>
        <w:t xml:space="preserve">. Secondly, it assesses the </w:t>
      </w:r>
      <w:r>
        <w:rPr>
          <w:rFonts w:ascii="Times New Roman" w:hAnsi="Times New Roman" w:cs="Times New Roman"/>
          <w:b/>
          <w:noProof/>
          <w:sz w:val="24"/>
          <w:szCs w:val="24"/>
        </w:rPr>
        <w:t>Single Market achievements</w:t>
      </w:r>
      <w:r>
        <w:rPr>
          <w:rFonts w:ascii="Times New Roman" w:hAnsi="Times New Roman" w:cs="Times New Roman"/>
          <w:noProof/>
          <w:sz w:val="24"/>
          <w:szCs w:val="24"/>
        </w:rPr>
        <w:t xml:space="preserve">: more choice for consumers and businesses, lower prices, and high standards of consumer safety and environmental protection. Lastly, it scrutinizes a broad range of activities relevant for the good performance of the Single Market </w:t>
      </w:r>
      <w:r>
        <w:rPr>
          <w:rFonts w:ascii="Times New Roman" w:hAnsi="Times New Roman" w:cs="Times New Roman"/>
          <w:b/>
          <w:noProof/>
          <w:sz w:val="24"/>
          <w:szCs w:val="24"/>
        </w:rPr>
        <w:t>including its environmen</w:t>
      </w:r>
      <w:r>
        <w:rPr>
          <w:rFonts w:ascii="Times New Roman" w:hAnsi="Times New Roman" w:cs="Times New Roman"/>
          <w:b/>
          <w:noProof/>
          <w:sz w:val="24"/>
          <w:szCs w:val="24"/>
        </w:rPr>
        <w:t>tal performance and digitalisation.</w:t>
      </w:r>
      <w:r>
        <w:rPr>
          <w:rFonts w:ascii="Times New Roman" w:hAnsi="Times New Roman" w:cs="Times New Roman"/>
          <w:noProof/>
          <w:sz w:val="24"/>
          <w:szCs w:val="24"/>
        </w:rPr>
        <w:t xml:space="preserve"> Against this background, the Single Market Performance Report intends to highlight the importance of structural reforms at a Member State level for a good performance of the Single Market. </w:t>
      </w:r>
    </w:p>
    <w:p w:rsidR="00F60A1D" w:rsidRDefault="00E72A7F">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noProof/>
          <w:sz w:val="24"/>
        </w:rPr>
      </w:pPr>
      <w:r>
        <w:rPr>
          <w:rFonts w:ascii="Times New Roman" w:hAnsi="Times New Roman" w:cs="Times New Roman"/>
          <w:b/>
          <w:noProof/>
          <w:sz w:val="24"/>
          <w:szCs w:val="24"/>
        </w:rPr>
        <w:t>Closer attention to Single Mar</w:t>
      </w:r>
      <w:r>
        <w:rPr>
          <w:rFonts w:ascii="Times New Roman" w:hAnsi="Times New Roman" w:cs="Times New Roman"/>
          <w:b/>
          <w:noProof/>
          <w:sz w:val="24"/>
          <w:szCs w:val="24"/>
        </w:rPr>
        <w:t>ket issues will also support integration.</w:t>
      </w:r>
      <w:r>
        <w:rPr>
          <w:rFonts w:ascii="Times New Roman" w:hAnsi="Times New Roman" w:cs="Times New Roman"/>
          <w:noProof/>
          <w:sz w:val="24"/>
          <w:szCs w:val="24"/>
        </w:rPr>
        <w:t xml:space="preserve"> The benefits of structural reforms in a closely integrated market will benefit domestic consumers in the country where such reforms are carried out, but they will also spill over to consumers in other Member States</w:t>
      </w:r>
      <w:r>
        <w:rPr>
          <w:rFonts w:ascii="Times New Roman" w:hAnsi="Times New Roman" w:cs="Times New Roman"/>
          <w:noProof/>
          <w:sz w:val="24"/>
          <w:szCs w:val="24"/>
        </w:rPr>
        <w:t xml:space="preserve">. </w:t>
      </w:r>
    </w:p>
    <w:p w:rsidR="00F60A1D" w:rsidRDefault="00F60A1D">
      <w:pPr>
        <w:spacing w:after="120"/>
        <w:jc w:val="both"/>
        <w:rPr>
          <w:rFonts w:ascii="Times New Roman" w:hAnsi="Times New Roman" w:cs="Times New Roman"/>
          <w:noProof/>
          <w:sz w:val="24"/>
          <w:szCs w:val="24"/>
        </w:rPr>
      </w:pP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The financial sector in Europe needs to better support innovation and investments in the economy.</w:t>
      </w:r>
      <w:r>
        <w:rPr>
          <w:rFonts w:ascii="Times New Roman" w:hAnsi="Times New Roman" w:cs="Times New Roman"/>
          <w:noProof/>
          <w:sz w:val="24"/>
          <w:szCs w:val="24"/>
        </w:rPr>
        <w:t xml:space="preserve"> Europe needs to continue developing its financial markets so that all viable companies can get funding to invest in job creation and growth, including the</w:t>
      </w:r>
      <w:r>
        <w:rPr>
          <w:rFonts w:ascii="Times New Roman" w:hAnsi="Times New Roman" w:cs="Times New Roman"/>
          <w:noProof/>
          <w:sz w:val="24"/>
          <w:szCs w:val="24"/>
        </w:rPr>
        <w:t xml:space="preserve"> innovative companies of the future. Further measures towards completing the Capital Markets Union will ensure that companies have access to the financing they need to grow, innovate and scale up. Firms, and in particular SMEs, need to benefit fully from t</w:t>
      </w:r>
      <w:r>
        <w:rPr>
          <w:rFonts w:ascii="Times New Roman" w:hAnsi="Times New Roman" w:cs="Times New Roman"/>
          <w:noProof/>
          <w:sz w:val="24"/>
          <w:szCs w:val="24"/>
        </w:rPr>
        <w:t xml:space="preserve">he integration in cross-border value-chains and the seamless coalescence of industry and services that characterises the digital age. The EU budget will also contribute to this by unlocking private investment in these sectors. </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Higher productivity and inno</w:t>
      </w:r>
      <w:r>
        <w:rPr>
          <w:rFonts w:ascii="Times New Roman" w:hAnsi="Times New Roman" w:cs="Times New Roman"/>
          <w:b/>
          <w:noProof/>
          <w:sz w:val="24"/>
          <w:szCs w:val="24"/>
        </w:rPr>
        <w:t xml:space="preserve">vation cannot be achieved without a far reaching investment in education and skills development. </w:t>
      </w:r>
      <w:r>
        <w:rPr>
          <w:rFonts w:ascii="Times New Roman" w:hAnsi="Times New Roman" w:cs="Times New Roman"/>
          <w:noProof/>
          <w:sz w:val="24"/>
          <w:szCs w:val="24"/>
        </w:rPr>
        <w:t>It is vital to support adult workers, in particular the 60 million low qualified adults, to develop broader skills sets at a higher level. Similarly, reforms i</w:t>
      </w:r>
      <w:r>
        <w:rPr>
          <w:rFonts w:ascii="Times New Roman" w:hAnsi="Times New Roman" w:cs="Times New Roman"/>
          <w:noProof/>
          <w:sz w:val="24"/>
          <w:szCs w:val="24"/>
        </w:rPr>
        <w:t>n initial education and training are needed to reverse the trend of an increasing share of underperforming pupils – now above 20% in reading, maths and science. The digital skills gap needs to be addressed. Comprehensive skills strategies should be focused</w:t>
      </w:r>
      <w:r>
        <w:rPr>
          <w:rFonts w:ascii="Times New Roman" w:hAnsi="Times New Roman" w:cs="Times New Roman"/>
          <w:noProof/>
          <w:sz w:val="24"/>
          <w:szCs w:val="24"/>
        </w:rPr>
        <w:t xml:space="preserve"> on the individual needs for up-and re-skilling, a shared responsibility between individuals, businesses and governments, taking into consideration the needs of the most vulnerable</w:t>
      </w:r>
      <w:r>
        <w:rPr>
          <w:noProof/>
          <w:color w:val="1F497D"/>
        </w:rPr>
        <w:t>.</w:t>
      </w:r>
    </w:p>
    <w:p w:rsidR="00F60A1D" w:rsidRDefault="00E72A7F">
      <w:pPr>
        <w:spacing w:after="120"/>
        <w:jc w:val="both"/>
        <w:rPr>
          <w:rFonts w:ascii="Times New Roman" w:hAnsi="Times New Roman"/>
          <w:noProof/>
          <w:sz w:val="24"/>
        </w:rPr>
      </w:pPr>
      <w:r>
        <w:rPr>
          <w:rFonts w:ascii="Times New Roman" w:hAnsi="Times New Roman" w:cs="Times New Roman"/>
          <w:b/>
          <w:noProof/>
          <w:sz w:val="24"/>
          <w:szCs w:val="24"/>
        </w:rPr>
        <w:t xml:space="preserve">Growth and productivity need to be supported by competitive and efficient </w:t>
      </w:r>
      <w:r>
        <w:rPr>
          <w:rFonts w:ascii="Times New Roman" w:hAnsi="Times New Roman" w:cs="Times New Roman"/>
          <w:b/>
          <w:noProof/>
          <w:sz w:val="24"/>
          <w:szCs w:val="24"/>
        </w:rPr>
        <w:t xml:space="preserve">markets and structural reforms that remove bottlenecks in the business environment. </w:t>
      </w:r>
      <w:r>
        <w:rPr>
          <w:rFonts w:ascii="Times New Roman" w:hAnsi="Times New Roman" w:cs="Times New Roman"/>
          <w:noProof/>
          <w:sz w:val="24"/>
          <w:szCs w:val="24"/>
        </w:rPr>
        <w:t>Good governance, effective institutions, independent and efficient justice systems, quality public administrations, robust anti-corruption frameworks, an efficient delivery</w:t>
      </w:r>
      <w:r>
        <w:rPr>
          <w:rFonts w:ascii="Times New Roman" w:hAnsi="Times New Roman" w:cs="Times New Roman"/>
          <w:noProof/>
          <w:sz w:val="24"/>
          <w:szCs w:val="24"/>
        </w:rPr>
        <w:t xml:space="preserve"> of public procurement, effective insolvency frameworks and efficient tax systems are important determinants of a Member State’s business environment. All these aspects, including those related to the rule of law, can have an impact on investment decisions</w:t>
      </w:r>
      <w:r>
        <w:rPr>
          <w:rFonts w:ascii="Times New Roman" w:hAnsi="Times New Roman" w:cs="Times New Roman"/>
          <w:noProof/>
          <w:sz w:val="24"/>
          <w:szCs w:val="24"/>
        </w:rPr>
        <w:t xml:space="preserve"> and are therefore important to increase productivity and competitiveness.</w:t>
      </w:r>
      <w:r>
        <w:rPr>
          <w:rFonts w:ascii="Times New Roman" w:hAnsi="Times New Roman" w:cs="Times New Roman"/>
          <w:b/>
          <w:noProof/>
          <w:sz w:val="24"/>
          <w:szCs w:val="24"/>
        </w:rPr>
        <w:t xml:space="preserve"> </w:t>
      </w:r>
      <w:r>
        <w:rPr>
          <w:rFonts w:ascii="Times New Roman" w:hAnsi="Times New Roman" w:cs="Times New Roman"/>
          <w:noProof/>
          <w:sz w:val="24"/>
          <w:szCs w:val="24"/>
        </w:rPr>
        <w:t>This is all the more so in a globalised and digitalised environment with very mobile capital. Insights into the institutional and administrative performance of the Member States, ga</w:t>
      </w:r>
      <w:r>
        <w:rPr>
          <w:rFonts w:ascii="Times New Roman" w:hAnsi="Times New Roman" w:cs="Times New Roman"/>
          <w:noProof/>
          <w:sz w:val="24"/>
          <w:szCs w:val="24"/>
        </w:rPr>
        <w:t xml:space="preserve">thered from other existing governance processes, will feed into the European Semester and inform the macroeconomic assessment. </w:t>
      </w:r>
    </w:p>
    <w:p w:rsidR="00F60A1D" w:rsidRDefault="00F60A1D">
      <w:pPr>
        <w:spacing w:after="120"/>
        <w:jc w:val="both"/>
        <w:rPr>
          <w:rFonts w:ascii="Times New Roman" w:hAnsi="Times New Roman" w:cs="Times New Roman"/>
          <w:b/>
          <w:noProof/>
          <w:sz w:val="24"/>
          <w:szCs w:val="24"/>
        </w:rPr>
      </w:pPr>
    </w:p>
    <w:p w:rsidR="00F60A1D" w:rsidRDefault="00E72A7F">
      <w:pPr>
        <w:pStyle w:val="ListParagraph"/>
        <w:keepNext/>
        <w:numPr>
          <w:ilvl w:val="1"/>
          <w:numId w:val="2"/>
        </w:numPr>
        <w:spacing w:line="257" w:lineRule="auto"/>
        <w:ind w:left="1066" w:hanging="357"/>
        <w:jc w:val="both"/>
        <w:rPr>
          <w:rFonts w:ascii="Times New Roman" w:hAnsi="Times New Roman" w:cs="Times New Roman"/>
          <w:b/>
          <w:bCs/>
          <w:noProof/>
          <w:sz w:val="24"/>
          <w:szCs w:val="24"/>
          <w:lang w:val="en-GB"/>
        </w:rPr>
      </w:pPr>
      <w:r>
        <w:rPr>
          <w:rFonts w:ascii="Times New Roman" w:hAnsi="Times New Roman" w:cs="Times New Roman"/>
          <w:b/>
          <w:noProof/>
          <w:sz w:val="24"/>
          <w:szCs w:val="24"/>
          <w:lang w:val="en-GB"/>
        </w:rPr>
        <w:t>Fairness</w:t>
      </w:r>
    </w:p>
    <w:p w:rsidR="00F60A1D" w:rsidRDefault="00E72A7F">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 xml:space="preserve">To strengthen its economic and social performance, the EU must fully deliver on the principles of the European Pillar </w:t>
      </w:r>
      <w:r>
        <w:rPr>
          <w:rFonts w:ascii="Times New Roman" w:hAnsi="Times New Roman" w:cs="Times New Roman"/>
          <w:b/>
          <w:noProof/>
          <w:sz w:val="24"/>
          <w:szCs w:val="24"/>
        </w:rPr>
        <w:t xml:space="preserve">of Social Rights. </w:t>
      </w:r>
      <w:r>
        <w:rPr>
          <w:rFonts w:ascii="Times New Roman" w:hAnsi="Times New Roman" w:cs="Times New Roman"/>
          <w:noProof/>
          <w:sz w:val="24"/>
          <w:szCs w:val="24"/>
        </w:rPr>
        <w:t>While the economic recovery helped to improve employment and social outcomes across Europe, action is needed to ensure the enjoyment of social rights and to counter the risks posed by a growing social divide.</w:t>
      </w:r>
    </w:p>
    <w:p w:rsidR="00F60A1D" w:rsidRDefault="00E72A7F">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Every worker in Europe deserv</w:t>
      </w:r>
      <w:r>
        <w:rPr>
          <w:rFonts w:ascii="Times New Roman" w:hAnsi="Times New Roman" w:cs="Times New Roman"/>
          <w:b/>
          <w:bCs/>
          <w:noProof/>
          <w:sz w:val="24"/>
          <w:szCs w:val="24"/>
        </w:rPr>
        <w:t xml:space="preserve">es fair working conditions. </w:t>
      </w:r>
      <w:r>
        <w:rPr>
          <w:rFonts w:ascii="Times New Roman" w:hAnsi="Times New Roman" w:cs="Times New Roman"/>
          <w:bCs/>
          <w:noProof/>
          <w:sz w:val="24"/>
          <w:szCs w:val="24"/>
        </w:rPr>
        <w:t>In-work poverty is still above the pre-crisis levels in the majority of EU countries, with almost 1 out of 10 workers in Europe at risk of poverty. While decreasing, involuntary part-time work remains high in several Member Stat</w:t>
      </w:r>
      <w:r>
        <w:rPr>
          <w:rFonts w:ascii="Times New Roman" w:hAnsi="Times New Roman" w:cs="Times New Roman"/>
          <w:bCs/>
          <w:noProof/>
          <w:sz w:val="24"/>
          <w:szCs w:val="24"/>
        </w:rPr>
        <w:t>es, and the spread of atypical forms of work contributes to labour market segmentation. In this perspective, making sure that each worker earns a fair wage, promoting transitions towards open-ended full-time contracts, as well as investing in people and th</w:t>
      </w:r>
      <w:r>
        <w:rPr>
          <w:rFonts w:ascii="Times New Roman" w:hAnsi="Times New Roman" w:cs="Times New Roman"/>
          <w:bCs/>
          <w:noProof/>
          <w:sz w:val="24"/>
          <w:szCs w:val="24"/>
        </w:rPr>
        <w:t>eir skills are important policy objectives. A stronger involvement of social partners and more support for building their capacities should be promoted in countries where social dialogue is weak. To ensure that workers continue to receive support also in c</w:t>
      </w:r>
      <w:r>
        <w:rPr>
          <w:rFonts w:ascii="Times New Roman" w:hAnsi="Times New Roman" w:cs="Times New Roman"/>
          <w:bCs/>
          <w:noProof/>
          <w:sz w:val="24"/>
          <w:szCs w:val="24"/>
        </w:rPr>
        <w:t xml:space="preserve">ase of a strong economic shock, a </w:t>
      </w:r>
      <w:r>
        <w:rPr>
          <w:rFonts w:ascii="Times New Roman" w:hAnsi="Times New Roman" w:cs="Times New Roman"/>
          <w:noProof/>
          <w:sz w:val="24"/>
          <w:szCs w:val="24"/>
        </w:rPr>
        <w:t xml:space="preserve">European Unemployment Benefit Reinsurance Scheme - SURE could complement the national action. In addition, the EU should step up the efforts to address all forms of irregular employment that contribute to social dumping </w:t>
      </w:r>
      <w:r>
        <w:rPr>
          <w:rFonts w:ascii="Times New Roman" w:hAnsi="Times New Roman" w:cs="Times New Roman"/>
          <w:noProof/>
          <w:sz w:val="24"/>
          <w:szCs w:val="24"/>
        </w:rPr>
        <w:t>and exploitation of workers.</w:t>
      </w:r>
    </w:p>
    <w:p w:rsidR="00F60A1D" w:rsidRDefault="00E72A7F">
      <w:pPr>
        <w:spacing w:after="120"/>
        <w:jc w:val="both"/>
        <w:rPr>
          <w:rFonts w:ascii="Times New Roman" w:hAnsi="Times New Roman" w:cs="Times New Roman"/>
          <w:b/>
          <w:noProof/>
          <w:sz w:val="24"/>
          <w:szCs w:val="24"/>
        </w:rPr>
      </w:pPr>
      <w:r>
        <w:rPr>
          <w:rFonts w:ascii="Times New Roman" w:hAnsi="Times New Roman" w:cs="Times New Roman"/>
          <w:b/>
          <w:bCs/>
          <w:noProof/>
          <w:sz w:val="24"/>
          <w:szCs w:val="24"/>
        </w:rPr>
        <w:t>Women remain at a disadvantage in the labour market.</w:t>
      </w:r>
      <w:r>
        <w:rPr>
          <w:rFonts w:ascii="Times New Roman" w:hAnsi="Times New Roman" w:cs="Times New Roman"/>
          <w:bCs/>
          <w:noProof/>
          <w:sz w:val="24"/>
          <w:szCs w:val="24"/>
        </w:rPr>
        <w:t xml:space="preserve"> Despite generally better educational outcomes for women, the gap with men in terms of employment rate and pay have remained broadly stable in recent years. Closing these gaps</w:t>
      </w:r>
      <w:r>
        <w:rPr>
          <w:rFonts w:ascii="Times New Roman" w:hAnsi="Times New Roman" w:cs="Times New Roman"/>
          <w:bCs/>
          <w:noProof/>
          <w:sz w:val="24"/>
          <w:szCs w:val="24"/>
        </w:rPr>
        <w:t xml:space="preserve"> would have a positive impact on the economy and society. Promoting effective work-life balance policies, ensuring access to quality childcare and tackling tax and benefit disincentives to working are crucial to increase the employment rates of women and h</w:t>
      </w:r>
      <w:r>
        <w:rPr>
          <w:rFonts w:ascii="Times New Roman" w:hAnsi="Times New Roman" w:cs="Times New Roman"/>
          <w:bCs/>
          <w:noProof/>
          <w:sz w:val="24"/>
          <w:szCs w:val="24"/>
        </w:rPr>
        <w:t>elp fight child poverty.</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Promoting fairness requires investment in skills, adequate and sustainable social protection systems and fighting against exclusion. </w:t>
      </w:r>
      <w:r>
        <w:rPr>
          <w:rFonts w:ascii="Times New Roman" w:hAnsi="Times New Roman" w:cs="Times New Roman"/>
          <w:noProof/>
          <w:sz w:val="24"/>
          <w:szCs w:val="24"/>
        </w:rPr>
        <w:t>Improving the inclusiveness and quality of education and training systems is crucial to foster the</w:t>
      </w:r>
      <w:r>
        <w:rPr>
          <w:rFonts w:ascii="Times New Roman" w:hAnsi="Times New Roman" w:cs="Times New Roman"/>
          <w:noProof/>
          <w:sz w:val="24"/>
          <w:szCs w:val="24"/>
        </w:rPr>
        <w:t xml:space="preserve"> inclusion of all people in tomorrow’s societies. Early school leaving should be reduced and the quality and attractiveness of vocational education and training increased. Yet, investment in skills is far from sufficient. Social protection systems need to </w:t>
      </w:r>
      <w:r>
        <w:rPr>
          <w:rFonts w:ascii="Times New Roman" w:hAnsi="Times New Roman" w:cs="Times New Roman"/>
          <w:noProof/>
          <w:sz w:val="24"/>
          <w:szCs w:val="24"/>
        </w:rPr>
        <w:t>be adapted to protect all those in need, irrespective of their working status. Europe also has to address more efficiently the inequalities borne by groups at risk of exclusion, including persons with a disability, Roma and migrants, to ensure that they ca</w:t>
      </w:r>
      <w:r>
        <w:rPr>
          <w:rFonts w:ascii="Times New Roman" w:hAnsi="Times New Roman" w:cs="Times New Roman"/>
          <w:noProof/>
          <w:sz w:val="24"/>
          <w:szCs w:val="24"/>
        </w:rPr>
        <w:t>n make full use of their potential to contribute to the economy, social protection systems and society. Population ageing makes investing in healthcare and long-term care increasingly important, while ensuring the sustainability of the social protection sy</w:t>
      </w:r>
      <w:r>
        <w:rPr>
          <w:rFonts w:ascii="Times New Roman" w:hAnsi="Times New Roman" w:cs="Times New Roman"/>
          <w:noProof/>
          <w:sz w:val="24"/>
          <w:szCs w:val="24"/>
        </w:rPr>
        <w:t xml:space="preserve">stem in order to ensure intergenerational fairness. </w:t>
      </w:r>
    </w:p>
    <w:p w:rsidR="00F60A1D" w:rsidRDefault="00E72A7F">
      <w:pPr>
        <w:spacing w:after="120"/>
        <w:jc w:val="both"/>
        <w:rPr>
          <w:rFonts w:ascii="Times New Roman" w:hAnsi="Times New Roman" w:cs="Times New Roman"/>
          <w:noProof/>
          <w:sz w:val="24"/>
          <w:szCs w:val="24"/>
        </w:rPr>
      </w:pPr>
      <w:r>
        <w:rPr>
          <w:rFonts w:ascii="Times New Roman" w:hAnsi="Times New Roman"/>
          <w:b/>
          <w:noProof/>
          <w:sz w:val="24"/>
        </w:rPr>
        <w:t>Challenges to cohesion across and within Member States have increased.</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In the aftermath of the economic and financial crisis, inequalities in income and access to basic services have grown within the Member States. Regional disparities in Europe continue to pose a challenge as they affect growth negatively. While the poorest </w:t>
      </w:r>
      <w:r>
        <w:rPr>
          <w:rFonts w:ascii="Times New Roman" w:hAnsi="Times New Roman" w:cs="Times New Roman"/>
          <w:noProof/>
          <w:sz w:val="24"/>
          <w:szCs w:val="24"/>
        </w:rPr>
        <w:t>regions have become more prosperous since 2010, their economic gap with richer regions has widened including as a result of a decline in investment. In some cases, technological change and the energy transition could increase this gap further, unless suita</w:t>
      </w:r>
      <w:r>
        <w:rPr>
          <w:rFonts w:ascii="Times New Roman" w:hAnsi="Times New Roman" w:cs="Times New Roman"/>
          <w:noProof/>
          <w:sz w:val="24"/>
          <w:szCs w:val="24"/>
        </w:rPr>
        <w:t xml:space="preserve">ble measures are taken to boost regional competitiveness. </w:t>
      </w:r>
    </w:p>
    <w:p w:rsidR="00F60A1D" w:rsidRDefault="00E72A7F">
      <w:pPr>
        <w:spacing w:after="120"/>
        <w:jc w:val="both"/>
        <w:rPr>
          <w:rFonts w:ascii="Times New Roman" w:hAnsi="Times New Roman" w:cs="Times New Roman"/>
          <w:b/>
          <w:noProof/>
          <w:sz w:val="24"/>
        </w:rPr>
      </w:pPr>
      <w:r>
        <w:rPr>
          <w:rFonts w:ascii="Times New Roman" w:hAnsi="Times New Roman" w:cs="Times New Roman"/>
          <w:b/>
          <w:noProof/>
          <w:sz w:val="24"/>
          <w:szCs w:val="24"/>
        </w:rPr>
        <w:t>The EU must remain an engine of cohesion.</w:t>
      </w:r>
      <w:r>
        <w:rPr>
          <w:rFonts w:ascii="Times New Roman" w:hAnsi="Times New Roman" w:cs="Times New Roman"/>
          <w:noProof/>
          <w:sz w:val="24"/>
          <w:szCs w:val="24"/>
        </w:rPr>
        <w:t xml:space="preserve"> </w:t>
      </w:r>
      <w:r>
        <w:rPr>
          <w:rFonts w:ascii="Times New Roman" w:hAnsi="Times New Roman" w:cs="Times New Roman"/>
          <w:bCs/>
          <w:noProof/>
          <w:sz w:val="24"/>
          <w:szCs w:val="24"/>
        </w:rPr>
        <w:t>To address regional and social disparities, opportunities need to be created for those not directly benefiting from market openings and technological chang</w:t>
      </w:r>
      <w:r>
        <w:rPr>
          <w:rFonts w:ascii="Times New Roman" w:hAnsi="Times New Roman" w:cs="Times New Roman"/>
          <w:bCs/>
          <w:noProof/>
          <w:sz w:val="24"/>
          <w:szCs w:val="24"/>
        </w:rPr>
        <w:t>e.</w:t>
      </w:r>
      <w:r>
        <w:rPr>
          <w:rFonts w:ascii="Times New Roman" w:hAnsi="Times New Roman" w:cs="Times New Roman"/>
          <w:noProof/>
          <w:sz w:val="24"/>
          <w:szCs w:val="24"/>
        </w:rPr>
        <w:t xml:space="preserve"> This includes upgrading skills through better education and training and ensuring appropriate regional convergence on issues like access to healthcare and quality education. Member States need to continue reforming to that end, using the full support of</w:t>
      </w:r>
      <w:r>
        <w:rPr>
          <w:rFonts w:ascii="Times New Roman" w:hAnsi="Times New Roman" w:cs="Times New Roman"/>
          <w:noProof/>
          <w:sz w:val="24"/>
          <w:szCs w:val="24"/>
        </w:rPr>
        <w:t xml:space="preserve"> the tools in the EU budget. Connectivity of regions and accessibility to mobility are crucial both for cohesion and productivity and need to be supported by appropriate investment. </w:t>
      </w:r>
    </w:p>
    <w:p w:rsidR="00F60A1D" w:rsidRDefault="00E72A7F">
      <w:pPr>
        <w:jc w:val="both"/>
        <w:rPr>
          <w:rFonts w:ascii="Times New Roman" w:hAnsi="Times New Roman" w:cs="Times New Roman"/>
          <w:noProof/>
          <w:sz w:val="24"/>
          <w:szCs w:val="24"/>
        </w:rPr>
      </w:pPr>
      <w:r>
        <w:rPr>
          <w:rFonts w:ascii="Times New Roman" w:hAnsi="Times New Roman" w:cs="Times New Roman"/>
          <w:b/>
          <w:noProof/>
          <w:sz w:val="24"/>
        </w:rPr>
        <w:t>When designing and implementing climate and environmental policies not al</w:t>
      </w:r>
      <w:r>
        <w:rPr>
          <w:rFonts w:ascii="Times New Roman" w:hAnsi="Times New Roman" w:cs="Times New Roman"/>
          <w:b/>
          <w:noProof/>
          <w:sz w:val="24"/>
        </w:rPr>
        <w:t>l Member States, regions and cities start from the same place</w:t>
      </w:r>
      <w:r>
        <w:rPr>
          <w:rFonts w:ascii="Times New Roman" w:hAnsi="Times New Roman" w:cs="Times New Roman"/>
          <w:bCs/>
          <w:noProof/>
          <w:sz w:val="24"/>
          <w:szCs w:val="24"/>
        </w:rPr>
        <w:t>. This is why climate policies must remain framed into a cohesive approach to avoid undermining convergence</w:t>
      </w:r>
      <w:r>
        <w:rPr>
          <w:rFonts w:ascii="Times New Roman" w:hAnsi="Times New Roman" w:cs="Times New Roman"/>
          <w:noProof/>
          <w:sz w:val="24"/>
          <w:szCs w:val="24"/>
        </w:rPr>
        <w:t>. While the move towards a sustainable economic model can potentially boost growth and e</w:t>
      </w:r>
      <w:r>
        <w:rPr>
          <w:rFonts w:ascii="Times New Roman" w:hAnsi="Times New Roman" w:cs="Times New Roman"/>
          <w:noProof/>
          <w:sz w:val="24"/>
          <w:szCs w:val="24"/>
        </w:rPr>
        <w:t>mployment across the EU over the medium term, policy measures are required to mitigate negative impact on specific sectors and regions in the short term</w:t>
      </w:r>
      <w:r>
        <w:rPr>
          <w:rFonts w:ascii="Times New Roman" w:hAnsi="Times New Roman" w:cs="Times New Roman"/>
          <w:b/>
          <w:noProof/>
          <w:sz w:val="24"/>
          <w:szCs w:val="24"/>
        </w:rPr>
        <w:t xml:space="preserve">. </w:t>
      </w:r>
      <w:r>
        <w:rPr>
          <w:rFonts w:ascii="Times New Roman" w:hAnsi="Times New Roman" w:cs="Times New Roman"/>
          <w:noProof/>
          <w:sz w:val="24"/>
          <w:szCs w:val="24"/>
        </w:rPr>
        <w:t>Some sectors will need to transform themselves, while many other sectors will have to take action to p</w:t>
      </w:r>
      <w:r>
        <w:rPr>
          <w:rFonts w:ascii="Times New Roman" w:hAnsi="Times New Roman" w:cs="Times New Roman"/>
          <w:noProof/>
          <w:sz w:val="24"/>
          <w:szCs w:val="24"/>
        </w:rPr>
        <w:t>reserve their competitiveness. The impact of these changes is likely to be unequally felt across Europe. A new Just Transition Mechanism will provide tailored support to the people and regions most affected and to ensure that nobody is left behind.</w:t>
      </w:r>
      <w:r>
        <w:rPr>
          <w:rFonts w:ascii="Times New Roman" w:hAnsi="Times New Roman" w:cs="Times New Roman"/>
          <w:noProof/>
          <w:sz w:val="24"/>
        </w:rPr>
        <w:t xml:space="preserve"> </w:t>
      </w:r>
      <w:r>
        <w:rPr>
          <w:rFonts w:ascii="Times New Roman" w:hAnsi="Times New Roman" w:cs="Times New Roman"/>
          <w:noProof/>
          <w:sz w:val="24"/>
          <w:szCs w:val="24"/>
        </w:rPr>
        <w:t>It will</w:t>
      </w:r>
      <w:r>
        <w:rPr>
          <w:rFonts w:ascii="Times New Roman" w:hAnsi="Times New Roman" w:cs="Times New Roman"/>
          <w:noProof/>
          <w:sz w:val="24"/>
          <w:szCs w:val="24"/>
        </w:rPr>
        <w:t xml:space="preserve"> put particular emphasis on the reconversion of regions most impacted by the transition out of fossil fuels.</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Tax evasion, tax avoidance and a race to the bottom on taxation undermine the ability of countries to set tax policies that meet the needs of their</w:t>
      </w:r>
      <w:r>
        <w:rPr>
          <w:rFonts w:ascii="Times New Roman" w:hAnsi="Times New Roman" w:cs="Times New Roman"/>
          <w:b/>
          <w:bCs/>
          <w:noProof/>
          <w:sz w:val="24"/>
          <w:szCs w:val="24"/>
        </w:rPr>
        <w:t xml:space="preserve"> economies and people. </w:t>
      </w:r>
      <w:r>
        <w:rPr>
          <w:rFonts w:ascii="Times New Roman" w:hAnsi="Times New Roman" w:cs="Times New Roman"/>
          <w:noProof/>
          <w:color w:val="000000"/>
          <w:sz w:val="24"/>
          <w:szCs w:val="24"/>
        </w:rPr>
        <w:t>National tax and benefit systems should be optimised to strengthen incentives for labour market participation, to increase fairness and transparency and to ensure the financial sustainability and adequacy of welfare systems in a chan</w:t>
      </w:r>
      <w:r>
        <w:rPr>
          <w:rFonts w:ascii="Times New Roman" w:hAnsi="Times New Roman" w:cs="Times New Roman"/>
          <w:noProof/>
          <w:color w:val="000000"/>
          <w:sz w:val="24"/>
          <w:szCs w:val="24"/>
        </w:rPr>
        <w:t>ging world of work. Tax systems should also ensure sufficient revenues for public investment, education, healthcare and welfare, guarantee fair burden-sharing and avoid distortion of competition between firms. The fight against aggressive tax planning prac</w:t>
      </w:r>
      <w:r>
        <w:rPr>
          <w:rFonts w:ascii="Times New Roman" w:hAnsi="Times New Roman" w:cs="Times New Roman"/>
          <w:noProof/>
          <w:color w:val="000000"/>
          <w:sz w:val="24"/>
          <w:szCs w:val="24"/>
        </w:rPr>
        <w:t xml:space="preserve">tices and the fair taxation of globalised companies are essential in this respect. </w:t>
      </w:r>
      <w:r>
        <w:rPr>
          <w:rFonts w:ascii="Times New Roman" w:hAnsi="Times New Roman" w:cs="Times New Roman"/>
          <w:noProof/>
          <w:sz w:val="24"/>
          <w:szCs w:val="24"/>
        </w:rPr>
        <w:t>EU corporate tax systems are in urgent need of reform. They are not fit for the realities of the modern global economy and do not capture the new business models in the digi</w:t>
      </w:r>
      <w:r>
        <w:rPr>
          <w:rFonts w:ascii="Times New Roman" w:hAnsi="Times New Roman" w:cs="Times New Roman"/>
          <w:noProof/>
          <w:sz w:val="24"/>
          <w:szCs w:val="24"/>
        </w:rPr>
        <w:t xml:space="preserve">tal world. Where profits are generated, taxes and levies must also contribute to our social security systems, our education and health systems and our infrastructure. </w:t>
      </w:r>
    </w:p>
    <w:p w:rsidR="00F60A1D" w:rsidRDefault="00E72A7F">
      <w:pPr>
        <w:pStyle w:val="ListParagraph"/>
        <w:keepNext/>
        <w:numPr>
          <w:ilvl w:val="1"/>
          <w:numId w:val="2"/>
        </w:numPr>
        <w:spacing w:line="257" w:lineRule="auto"/>
        <w:ind w:left="1066" w:hanging="357"/>
        <w:jc w:val="both"/>
        <w:rPr>
          <w:rFonts w:ascii="Times New Roman" w:hAnsi="Times New Roman" w:cs="Times New Roman"/>
          <w:b/>
          <w:bCs/>
          <w:noProof/>
          <w:sz w:val="24"/>
          <w:szCs w:val="24"/>
          <w:lang w:val="en-GB"/>
        </w:rPr>
      </w:pPr>
      <w:r>
        <w:rPr>
          <w:rFonts w:ascii="Times New Roman" w:hAnsi="Times New Roman" w:cs="Times New Roman"/>
          <w:b/>
          <w:noProof/>
          <w:sz w:val="24"/>
          <w:szCs w:val="24"/>
          <w:lang w:val="en-GB"/>
        </w:rPr>
        <w:t>Macro-economic stability</w:t>
      </w:r>
    </w:p>
    <w:p w:rsidR="00F60A1D" w:rsidRDefault="00E72A7F">
      <w:pPr>
        <w:spacing w:after="120"/>
        <w:jc w:val="both"/>
        <w:rPr>
          <w:rFonts w:ascii="Times New Roman" w:hAnsi="Times New Roman"/>
          <w:noProof/>
          <w:sz w:val="24"/>
        </w:rPr>
      </w:pPr>
      <w:r>
        <w:rPr>
          <w:rFonts w:ascii="Times New Roman" w:hAnsi="Times New Roman" w:cs="Times New Roman"/>
          <w:b/>
          <w:bCs/>
          <w:noProof/>
          <w:sz w:val="24"/>
          <w:szCs w:val="24"/>
        </w:rPr>
        <w:t xml:space="preserve">The European Union must further increase the stability of its economy by addressing the remaining fragilities at the national and EU level. </w:t>
      </w:r>
      <w:r>
        <w:rPr>
          <w:rFonts w:ascii="Times New Roman" w:hAnsi="Times New Roman" w:cs="Times New Roman"/>
          <w:bCs/>
          <w:noProof/>
          <w:sz w:val="24"/>
          <w:szCs w:val="24"/>
        </w:rPr>
        <w:t>This is a precondition to ensure resilience against future shocks and facilitate the transformation. This means resp</w:t>
      </w:r>
      <w:r>
        <w:rPr>
          <w:rFonts w:ascii="Times New Roman" w:hAnsi="Times New Roman" w:cs="Times New Roman"/>
          <w:bCs/>
          <w:noProof/>
          <w:sz w:val="24"/>
          <w:szCs w:val="24"/>
        </w:rPr>
        <w:t xml:space="preserve">onsible economic, fiscal and financial policies at the national level in the short-term and adequate policy planning for the longer term. This also means that action needs to be taken at the EU level to complete the key reforms to strengthen </w:t>
      </w:r>
      <w:r>
        <w:rPr>
          <w:rFonts w:ascii="Times New Roman" w:hAnsi="Times New Roman"/>
          <w:noProof/>
          <w:sz w:val="24"/>
        </w:rPr>
        <w:t>the euro area.</w:t>
      </w:r>
      <w:r>
        <w:rPr>
          <w:rFonts w:ascii="Times New Roman" w:hAnsi="Times New Roman" w:cs="Times New Roman"/>
          <w:noProof/>
          <w:sz w:val="24"/>
          <w:szCs w:val="24"/>
        </w:rPr>
        <w:t xml:space="preserve"> </w:t>
      </w:r>
    </w:p>
    <w:p w:rsidR="00F60A1D" w:rsidRDefault="00E72A7F">
      <w:pPr>
        <w:jc w:val="both"/>
        <w:rPr>
          <w:rFonts w:ascii="Times New Roman" w:hAnsi="Times New Roman" w:cs="Times New Roman"/>
          <w:noProof/>
          <w:sz w:val="24"/>
          <w:szCs w:val="24"/>
        </w:rPr>
      </w:pPr>
      <w:r>
        <w:rPr>
          <w:rFonts w:ascii="Times New Roman" w:hAnsi="Times New Roman" w:cs="Times New Roman"/>
          <w:b/>
          <w:noProof/>
          <w:sz w:val="24"/>
          <w:szCs w:val="24"/>
        </w:rPr>
        <w:t>Coordination of national fiscal policies, in full respect of the Stability and Growth Pact, is needed to support the proper functioning of the Economic and Monetary Union.</w:t>
      </w:r>
      <w:r>
        <w:rPr>
          <w:rFonts w:ascii="Times New Roman" w:hAnsi="Times New Roman" w:cs="Times New Roman"/>
          <w:noProof/>
          <w:sz w:val="24"/>
          <w:szCs w:val="24"/>
        </w:rPr>
        <w:t xml:space="preserve"> Responsible and responsive fiscal policies, leading to sound and sustainable publi</w:t>
      </w:r>
      <w:r>
        <w:rPr>
          <w:rFonts w:ascii="Times New Roman" w:hAnsi="Times New Roman" w:cs="Times New Roman"/>
          <w:noProof/>
          <w:sz w:val="24"/>
          <w:szCs w:val="24"/>
        </w:rPr>
        <w:t>c finances are needed to ensure that fiscal policy can fulfil all its functions. The euro area fiscal stance is expected to be broadly neutral to slightly expansionary in 2020 and 2021. At the same time, national fiscal policies remain insufficiently diffe</w:t>
      </w:r>
      <w:r>
        <w:rPr>
          <w:rFonts w:ascii="Times New Roman" w:hAnsi="Times New Roman" w:cs="Times New Roman"/>
          <w:noProof/>
          <w:sz w:val="24"/>
          <w:szCs w:val="24"/>
        </w:rPr>
        <w:t>rentiated in light of the available fiscal space in Member States. The pursuit of prudent fiscal policies by Member States with high levels of public debt would put public debt on a downward path, reduce vulnerability to shocks, and allow for the full func</w:t>
      </w:r>
      <w:r>
        <w:rPr>
          <w:rFonts w:ascii="Times New Roman" w:hAnsi="Times New Roman" w:cs="Times New Roman"/>
          <w:noProof/>
          <w:sz w:val="24"/>
          <w:szCs w:val="24"/>
        </w:rPr>
        <w:t>tioning of automatic stabilisers in the event of an economic downturn. On the other hand, further boosting investment and other productive spending in Member States with a favourable budgetary situation would support growth in the short and medium term, wh</w:t>
      </w:r>
      <w:r>
        <w:rPr>
          <w:rFonts w:ascii="Times New Roman" w:hAnsi="Times New Roman" w:cs="Times New Roman"/>
          <w:noProof/>
          <w:sz w:val="24"/>
          <w:szCs w:val="24"/>
        </w:rPr>
        <w:t>ile also helping to rebalance the euro area economy. In case of a worsening outlook, an effective response would call for a supportive fiscal stance at the aggregate level, while pursuing policies in full respect of the Stability and Growth Pact, taking in</w:t>
      </w:r>
      <w:r>
        <w:rPr>
          <w:rFonts w:ascii="Times New Roman" w:hAnsi="Times New Roman" w:cs="Times New Roman"/>
          <w:noProof/>
          <w:sz w:val="24"/>
          <w:szCs w:val="24"/>
        </w:rPr>
        <w:t>to account country-specific circumstances and avoiding pro-cyclicality to the extent possible.</w:t>
      </w:r>
    </w:p>
    <w:p w:rsidR="00F60A1D" w:rsidRDefault="00E72A7F">
      <w:pPr>
        <w:jc w:val="both"/>
        <w:rPr>
          <w:rFonts w:ascii="Times New Roman" w:hAnsi="Times New Roman" w:cs="Times New Roman"/>
          <w:noProof/>
          <w:sz w:val="24"/>
          <w:szCs w:val="24"/>
        </w:rPr>
      </w:pPr>
      <w:r>
        <w:rPr>
          <w:rFonts w:ascii="Times New Roman" w:hAnsi="Times New Roman" w:cs="Times New Roman"/>
          <w:b/>
          <w:noProof/>
          <w:sz w:val="24"/>
          <w:szCs w:val="24"/>
        </w:rPr>
        <w:t>To ensure stability, potential sources of domestic and external imbalances need to be addressed, while protecting investments in future sustainability and produc</w:t>
      </w:r>
      <w:r>
        <w:rPr>
          <w:rFonts w:ascii="Times New Roman" w:hAnsi="Times New Roman" w:cs="Times New Roman"/>
          <w:b/>
          <w:noProof/>
          <w:sz w:val="24"/>
          <w:szCs w:val="24"/>
        </w:rPr>
        <w:t xml:space="preserve">tivity. </w:t>
      </w:r>
      <w:r>
        <w:rPr>
          <w:rFonts w:ascii="Times New Roman" w:hAnsi="Times New Roman" w:cs="Times New Roman"/>
          <w:noProof/>
          <w:sz w:val="24"/>
          <w:szCs w:val="24"/>
        </w:rPr>
        <w:t>Both domestic and external imbalances need to be kept in check through appropriate monitoring and structural reforms.</w:t>
      </w:r>
      <w:r>
        <w:rPr>
          <w:rFonts w:ascii="Times New Roman" w:hAnsi="Times New Roman" w:cs="Times New Roman"/>
          <w:b/>
          <w:noProof/>
          <w:sz w:val="24"/>
          <w:szCs w:val="24"/>
        </w:rPr>
        <w:t xml:space="preserve"> </w:t>
      </w:r>
      <w:r>
        <w:rPr>
          <w:rFonts w:ascii="Times New Roman" w:hAnsi="Times New Roman" w:cs="Times New Roman"/>
          <w:noProof/>
          <w:sz w:val="24"/>
          <w:szCs w:val="24"/>
        </w:rPr>
        <w:t>With the low interest rate environment, Member States with deleveraging needs should make swift process to reduce debt without jeo</w:t>
      </w:r>
      <w:r>
        <w:rPr>
          <w:rFonts w:ascii="Times New Roman" w:hAnsi="Times New Roman" w:cs="Times New Roman"/>
          <w:noProof/>
          <w:sz w:val="24"/>
          <w:szCs w:val="24"/>
        </w:rPr>
        <w:t xml:space="preserve">pardising investment. Current high levels of public debt are a source of vulnerability in some Member States and a constraint on governments delivering macroeconomic stabilisation when needed. Debt reduction will also be necessary to provide Member States </w:t>
      </w:r>
      <w:r>
        <w:rPr>
          <w:rFonts w:ascii="Times New Roman" w:hAnsi="Times New Roman" w:cs="Times New Roman"/>
          <w:noProof/>
          <w:sz w:val="24"/>
          <w:szCs w:val="24"/>
        </w:rPr>
        <w:t>with fiscal room for manoeuvre to deal with future challenges and free up funds for investment. This is especially true, considering the constrained balance sheets of banks and the indebtedness of the private sector. Further correcting large external stock</w:t>
      </w:r>
      <w:r>
        <w:rPr>
          <w:rFonts w:ascii="Times New Roman" w:hAnsi="Times New Roman" w:cs="Times New Roman"/>
          <w:noProof/>
          <w:sz w:val="24"/>
          <w:szCs w:val="24"/>
        </w:rPr>
        <w:t xml:space="preserve"> imbalances and reducing corporate and household debt is important to decrease vulnerabilities. </w:t>
      </w:r>
    </w:p>
    <w:p w:rsidR="00F60A1D" w:rsidRDefault="00E72A7F">
      <w:pPr>
        <w:pStyle w:val="ListParagraph"/>
        <w:spacing w:line="276" w:lineRule="auto"/>
        <w:ind w:left="0"/>
        <w:jc w:val="both"/>
        <w:rPr>
          <w:rFonts w:ascii="Times New Roman" w:hAnsi="Times New Roman"/>
          <w:noProof/>
          <w:sz w:val="24"/>
          <w:lang w:val="en-GB"/>
        </w:rPr>
      </w:pPr>
      <w:r>
        <w:rPr>
          <w:rFonts w:ascii="Times New Roman" w:hAnsi="Times New Roman" w:cs="Times New Roman"/>
          <w:b/>
          <w:noProof/>
          <w:sz w:val="24"/>
          <w:szCs w:val="24"/>
          <w:lang w:val="en-GB"/>
        </w:rPr>
        <w:t>Improving the quality of public finances is important to boost potential growth and support the economic transformation related to climate and digital challeng</w:t>
      </w:r>
      <w:r>
        <w:rPr>
          <w:rFonts w:ascii="Times New Roman" w:hAnsi="Times New Roman" w:cs="Times New Roman"/>
          <w:b/>
          <w:noProof/>
          <w:sz w:val="24"/>
          <w:szCs w:val="24"/>
          <w:lang w:val="en-GB"/>
        </w:rPr>
        <w:t>es.</w:t>
      </w:r>
      <w:r>
        <w:rPr>
          <w:rFonts w:ascii="Times New Roman" w:hAnsi="Times New Roman" w:cs="Times New Roman"/>
          <w:noProof/>
          <w:sz w:val="24"/>
          <w:szCs w:val="24"/>
          <w:lang w:val="en-GB"/>
        </w:rPr>
        <w:t xml:space="preserve"> Efforts should take place on the revenue side as well as on the expenditure side through regular spending reviews, prioritising expenditure that fosters long-term growth and making use of green budgeting tools.</w:t>
      </w:r>
      <w:r>
        <w:rPr>
          <w:noProof/>
          <w:lang w:val="en-GB"/>
        </w:rPr>
        <w:t xml:space="preserve"> </w:t>
      </w:r>
      <w:r>
        <w:rPr>
          <w:rFonts w:ascii="Times New Roman" w:hAnsi="Times New Roman" w:cs="Times New Roman"/>
          <w:noProof/>
          <w:sz w:val="24"/>
          <w:szCs w:val="24"/>
          <w:lang w:val="en-GB"/>
        </w:rPr>
        <w:t>On the expenditure side, spending reviews</w:t>
      </w:r>
      <w:r>
        <w:rPr>
          <w:rFonts w:ascii="Times New Roman" w:hAnsi="Times New Roman" w:cs="Times New Roman"/>
          <w:noProof/>
          <w:sz w:val="24"/>
          <w:szCs w:val="24"/>
          <w:lang w:val="en-GB"/>
        </w:rPr>
        <w:t xml:space="preserve"> should be carried out regularly and expenditure that fosters long-term growth, in particular for education, employment and investment, should be prioritised. On the revenue side, taxes should support the transition to a green economy, become fairer and mo</w:t>
      </w:r>
      <w:r>
        <w:rPr>
          <w:rFonts w:ascii="Times New Roman" w:hAnsi="Times New Roman" w:cs="Times New Roman"/>
          <w:noProof/>
          <w:sz w:val="24"/>
          <w:szCs w:val="24"/>
          <w:lang w:val="en-GB"/>
        </w:rPr>
        <w:t>ve to sources less detrimental to growth.</w:t>
      </w:r>
      <w:r>
        <w:rPr>
          <w:rFonts w:ascii="Times New Roman" w:hAnsi="Times New Roman"/>
          <w:noProof/>
          <w:sz w:val="24"/>
          <w:lang w:val="en-GB"/>
        </w:rPr>
        <w:t xml:space="preserve"> </w:t>
      </w:r>
    </w:p>
    <w:p w:rsidR="00F60A1D" w:rsidRDefault="00E72A7F">
      <w:pPr>
        <w:pStyle w:val="ListParagraph"/>
        <w:spacing w:line="276" w:lineRule="auto"/>
        <w:ind w:left="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The financial sector needs to be strengthened further through the completion of the Banking and Capital Markets Union.</w:t>
      </w:r>
      <w:r>
        <w:rPr>
          <w:rFonts w:ascii="Times New Roman" w:hAnsi="Times New Roman" w:cs="Times New Roman"/>
          <w:noProof/>
          <w:sz w:val="24"/>
          <w:szCs w:val="24"/>
          <w:lang w:val="en-GB"/>
        </w:rPr>
        <w:t xml:space="preserve"> This should be achieved, inter alia, by setting up a European Deposit Insurance Scheme, reducing non-performing loans, addressing the bank-sovereign nexus, improving bank insolvency laws and by adopting measures to further enhance financial integration. S</w:t>
      </w:r>
      <w:r>
        <w:rPr>
          <w:rFonts w:ascii="Times New Roman" w:hAnsi="Times New Roman" w:cs="Times New Roman"/>
          <w:noProof/>
          <w:sz w:val="24"/>
          <w:szCs w:val="24"/>
          <w:lang w:val="en-GB"/>
        </w:rPr>
        <w:t>imultaneously, rising unit labour costs or sharp increases in housing prices in a number of countries need to be monitored closely, while macro-prudential frameworks need to be adapted and appropriate measures to be taken where necessary to prevent the acc</w:t>
      </w:r>
      <w:r>
        <w:rPr>
          <w:rFonts w:ascii="Times New Roman" w:hAnsi="Times New Roman" w:cs="Times New Roman"/>
          <w:noProof/>
          <w:sz w:val="24"/>
          <w:szCs w:val="24"/>
          <w:lang w:val="en-GB"/>
        </w:rPr>
        <w:t>umulation of new imbalances. Further work on the Capital Markets Union is necessary to diversify sources of funding for companies and investment opportunities for savers, thereby increasing private risk sharing in the euro area. The financial system also n</w:t>
      </w:r>
      <w:r>
        <w:rPr>
          <w:rFonts w:ascii="Times New Roman" w:hAnsi="Times New Roman" w:cs="Times New Roman"/>
          <w:noProof/>
          <w:sz w:val="24"/>
          <w:szCs w:val="24"/>
          <w:lang w:val="en-GB"/>
        </w:rPr>
        <w:t>eeds to be made more resilient to cyber and climate threats.</w:t>
      </w:r>
    </w:p>
    <w:p w:rsidR="00F60A1D" w:rsidRDefault="00E72A7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Europe needs well-targeted investments to support the move to a climate-neutral and fully digital economy deployed.</w:t>
      </w:r>
      <w:r>
        <w:rPr>
          <w:rFonts w:ascii="Times New Roman" w:hAnsi="Times New Roman" w:cs="Times New Roman"/>
          <w:noProof/>
          <w:sz w:val="24"/>
          <w:szCs w:val="24"/>
        </w:rPr>
        <w:t xml:space="preserve"> The flexibility allowed within the Stability and Growth Pact should be fully us</w:t>
      </w:r>
      <w:r>
        <w:rPr>
          <w:rFonts w:ascii="Times New Roman" w:hAnsi="Times New Roman" w:cs="Times New Roman"/>
          <w:noProof/>
          <w:sz w:val="24"/>
          <w:szCs w:val="24"/>
        </w:rPr>
        <w:t>ed to enable the necessary investment while safeguarding fiscal sustainability. This will help us achieve a more growth-friendly fiscal stance in the euro area while safeguarding fiscal responsibility. A swift adoption of the new multiannual financial fram</w:t>
      </w:r>
      <w:r>
        <w:rPr>
          <w:rFonts w:ascii="Times New Roman" w:hAnsi="Times New Roman" w:cs="Times New Roman"/>
          <w:noProof/>
          <w:sz w:val="24"/>
          <w:szCs w:val="24"/>
        </w:rPr>
        <w:t>ework is also key to ensure the prompt availability of additional investment in support of the digital and climate transformation (see Box 2).</w:t>
      </w:r>
    </w:p>
    <w:p w:rsidR="00F60A1D" w:rsidRDefault="00E72A7F">
      <w:pPr>
        <w:pStyle w:val="ListParagraph"/>
        <w:spacing w:line="276" w:lineRule="auto"/>
        <w:ind w:left="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All the above will be essential to reinforce the international role of the euro, a key enabler to increase Europe</w:t>
      </w:r>
      <w:r>
        <w:rPr>
          <w:rFonts w:ascii="Times New Roman" w:hAnsi="Times New Roman" w:cs="Times New Roman"/>
          <w:b/>
          <w:noProof/>
          <w:sz w:val="24"/>
          <w:szCs w:val="24"/>
          <w:lang w:val="en-GB"/>
        </w:rPr>
        <w:t xml:space="preserve">an clout on global markets. </w:t>
      </w:r>
      <w:r>
        <w:rPr>
          <w:rFonts w:ascii="Times New Roman" w:hAnsi="Times New Roman" w:cs="Times New Roman"/>
          <w:noProof/>
          <w:sz w:val="24"/>
          <w:szCs w:val="24"/>
          <w:lang w:val="en-GB"/>
        </w:rPr>
        <w:t>It</w:t>
      </w:r>
      <w:r>
        <w:rPr>
          <w:rFonts w:ascii="Times New Roman" w:hAnsi="Times New Roman" w:cs="Times New Roman"/>
          <w:noProof/>
          <w:color w:val="000000"/>
          <w:sz w:val="24"/>
          <w:szCs w:val="24"/>
          <w:lang w:val="en-GB"/>
        </w:rPr>
        <w:t xml:space="preserve"> will help European firms, consumers and governments to withstand unfavourable external developments</w:t>
      </w:r>
      <w:r>
        <w:rPr>
          <w:rFonts w:ascii="Times New Roman" w:hAnsi="Times New Roman" w:cs="Times New Roman"/>
          <w:noProof/>
          <w:sz w:val="24"/>
          <w:szCs w:val="24"/>
          <w:lang w:val="en-GB"/>
        </w:rPr>
        <w:t xml:space="preserve"> and assert the role of euro area economy on the world stage The urgency to act has become even stronger in the current contex</w:t>
      </w:r>
      <w:r>
        <w:rPr>
          <w:rFonts w:ascii="Times New Roman" w:hAnsi="Times New Roman" w:cs="Times New Roman"/>
          <w:noProof/>
          <w:sz w:val="24"/>
          <w:szCs w:val="24"/>
          <w:lang w:val="en-GB"/>
        </w:rPr>
        <w:t xml:space="preserve">t, where global rivalries and threats to the multilateral system are giving rise to new economic conflicts via trade and currency conflicts, which risk undermining many of the benefits of globalization. </w:t>
      </w:r>
    </w:p>
    <w:p w:rsidR="00F60A1D" w:rsidRDefault="00F60A1D">
      <w:pPr>
        <w:pStyle w:val="ListParagraph"/>
        <w:spacing w:line="276" w:lineRule="auto"/>
        <w:ind w:left="0"/>
        <w:jc w:val="both"/>
        <w:rPr>
          <w:rFonts w:ascii="Times New Roman" w:hAnsi="Times New Roman" w:cs="Times New Roman"/>
          <w:b/>
          <w:noProof/>
          <w:sz w:val="24"/>
          <w:szCs w:val="24"/>
          <w:lang w:val="en-GB"/>
        </w:rPr>
      </w:pPr>
    </w:p>
    <w:p w:rsidR="00F60A1D" w:rsidRDefault="00E72A7F">
      <w:pPr>
        <w:pStyle w:val="ListParagraph"/>
        <w:keepNext/>
        <w:ind w:left="0"/>
        <w:jc w:val="both"/>
        <w:rPr>
          <w:rFonts w:ascii="Times New Roman" w:hAnsi="Times New Roman"/>
          <w:noProof/>
          <w:sz w:val="24"/>
          <w:lang w:val="en-GB"/>
        </w:rPr>
      </w:pPr>
      <w:r>
        <w:rPr>
          <w:rFonts w:ascii="Times New Roman" w:hAnsi="Times New Roman"/>
          <w:noProof/>
          <w:sz w:val="24"/>
          <w:lang w:val="en-GB"/>
        </w:rPr>
        <w:t>Box 2: The contribution of the EU budget – the need</w:t>
      </w:r>
      <w:r>
        <w:rPr>
          <w:rFonts w:ascii="Times New Roman" w:hAnsi="Times New Roman"/>
          <w:noProof/>
          <w:sz w:val="24"/>
          <w:lang w:val="en-GB"/>
        </w:rPr>
        <w:t xml:space="preserve"> to swiftly adopt the new multiannual financial framework </w:t>
      </w:r>
    </w:p>
    <w:p w:rsidR="00F60A1D" w:rsidRDefault="00E72A7F">
      <w:pPr>
        <w:pStyle w:val="ListParagraph"/>
        <w:keepNext/>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European Union budget is at the center of our policy ambitions coming to life</w:t>
      </w:r>
      <w:r>
        <w:rPr>
          <w:rFonts w:ascii="Times New Roman" w:hAnsi="Times New Roman" w:cs="Times New Roman"/>
          <w:noProof/>
          <w:sz w:val="24"/>
          <w:szCs w:val="24"/>
          <w:lang w:val="en-GB"/>
        </w:rPr>
        <w:t xml:space="preserve">. </w:t>
      </w:r>
    </w:p>
    <w:p w:rsidR="00F60A1D" w:rsidRDefault="00E72A7F">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Building on existing and new mechanisms, a </w:t>
      </w:r>
      <w:r>
        <w:rPr>
          <w:rFonts w:ascii="Times New Roman" w:hAnsi="Times New Roman" w:cs="Times New Roman"/>
          <w:b/>
          <w:noProof/>
          <w:color w:val="000000"/>
          <w:sz w:val="24"/>
          <w:szCs w:val="24"/>
          <w:lang w:val="en-GB"/>
        </w:rPr>
        <w:t>Sustainable Europe Investment Plan</w:t>
      </w:r>
      <w:r>
        <w:rPr>
          <w:rFonts w:ascii="Times New Roman" w:hAnsi="Times New Roman" w:cs="Times New Roman"/>
          <w:noProof/>
          <w:color w:val="000000"/>
          <w:sz w:val="24"/>
          <w:szCs w:val="24"/>
          <w:lang w:val="en-GB"/>
        </w:rPr>
        <w:t xml:space="preserve"> will deliver investments necessary to deliver on the European Green Deal. A </w:t>
      </w:r>
      <w:r>
        <w:rPr>
          <w:rFonts w:ascii="Times New Roman" w:hAnsi="Times New Roman" w:cs="Times New Roman"/>
          <w:b/>
          <w:noProof/>
          <w:color w:val="000000"/>
          <w:sz w:val="24"/>
          <w:szCs w:val="24"/>
          <w:lang w:val="en-GB"/>
        </w:rPr>
        <w:t>Just Transition Mechanism</w:t>
      </w:r>
      <w:r>
        <w:rPr>
          <w:rFonts w:ascii="Times New Roman" w:hAnsi="Times New Roman" w:cs="Times New Roman"/>
          <w:noProof/>
          <w:color w:val="000000"/>
          <w:sz w:val="24"/>
          <w:szCs w:val="24"/>
          <w:lang w:val="en-GB"/>
        </w:rPr>
        <w:t xml:space="preserve"> will deal with the most affected regions and ensure no one is left behind.</w:t>
      </w:r>
    </w:p>
    <w:p w:rsidR="00F60A1D" w:rsidRDefault="00E72A7F">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InvestEU Programme is expected to mobilize over EUR 650 billion of additio</w:t>
      </w:r>
      <w:r>
        <w:rPr>
          <w:rFonts w:ascii="Times New Roman" w:hAnsi="Times New Roman" w:cs="Times New Roman"/>
          <w:noProof/>
          <w:color w:val="000000"/>
          <w:sz w:val="24"/>
          <w:szCs w:val="24"/>
          <w:lang w:val="en-GB"/>
        </w:rPr>
        <w:t xml:space="preserve">nal investment by 2027, through the use of an EU guarantee. It is a key instrument to crowd-in private financial resources to promote EU objectives. </w:t>
      </w:r>
    </w:p>
    <w:p w:rsidR="00F60A1D" w:rsidRDefault="00E72A7F">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Cohesion policy funds (European Regional Development Fund, European Social Fund Plus, Cohesion Fund) play </w:t>
      </w:r>
      <w:r>
        <w:rPr>
          <w:rFonts w:ascii="Times New Roman" w:hAnsi="Times New Roman" w:cs="Times New Roman"/>
          <w:noProof/>
          <w:color w:val="000000"/>
          <w:sz w:val="24"/>
          <w:szCs w:val="24"/>
          <w:lang w:val="en-GB"/>
        </w:rPr>
        <w:t xml:space="preserve">a crucial role in supporting social and territorial cohesion in our Member States, regions and rural areas, to keep up with the digital and green transformations of our world. The Commission’s proposal for the next multiannual </w:t>
      </w:r>
      <w:r>
        <w:rPr>
          <w:rFonts w:ascii="Times New Roman" w:hAnsi="Times New Roman" w:cs="Times New Roman"/>
          <w:noProof/>
          <w:sz w:val="24"/>
          <w:szCs w:val="24"/>
          <w:lang w:val="en-GB"/>
        </w:rPr>
        <w:t>financial framework establish</w:t>
      </w:r>
      <w:r>
        <w:rPr>
          <w:rFonts w:ascii="Times New Roman" w:hAnsi="Times New Roman" w:cs="Times New Roman"/>
          <w:noProof/>
          <w:sz w:val="24"/>
          <w:szCs w:val="24"/>
          <w:lang w:val="en-GB"/>
        </w:rPr>
        <w:t xml:space="preserve">ed the overall allocation for cohesion policy for 2021-2027 at EUR 374 billion in current prices. </w:t>
      </w:r>
    </w:p>
    <w:p w:rsidR="00F60A1D" w:rsidRDefault="00E72A7F" w:rsidP="00E72A7F">
      <w:pPr>
        <w:pStyle w:val="ListParagraph"/>
        <w:keepLines/>
        <w:pBdr>
          <w:top w:val="single" w:sz="4" w:space="1" w:color="000000"/>
          <w:left w:val="single" w:sz="4" w:space="4" w:color="000000"/>
          <w:bottom w:val="single" w:sz="4" w:space="1" w:color="000000"/>
          <w:right w:val="single" w:sz="4" w:space="4" w:color="000000"/>
        </w:pBdr>
        <w:spacing w:line="257" w:lineRule="auto"/>
        <w:ind w:left="0"/>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The Reform Support Programme will expand the tools available at EU level to help implement structural reforms in all Member States, providing bot</w:t>
      </w:r>
      <w:bookmarkStart w:id="1" w:name="_GoBack"/>
      <w:bookmarkEnd w:id="1"/>
      <w:r>
        <w:rPr>
          <w:rFonts w:ascii="Times New Roman" w:hAnsi="Times New Roman" w:cs="Times New Roman"/>
          <w:noProof/>
          <w:color w:val="000000"/>
          <w:sz w:val="24"/>
          <w:szCs w:val="24"/>
          <w:lang w:val="en-GB"/>
        </w:rPr>
        <w:t xml:space="preserve">h technical </w:t>
      </w:r>
      <w:r>
        <w:rPr>
          <w:rFonts w:ascii="Times New Roman" w:hAnsi="Times New Roman" w:cs="Times New Roman"/>
          <w:noProof/>
          <w:color w:val="000000"/>
          <w:sz w:val="24"/>
          <w:szCs w:val="24"/>
          <w:lang w:val="en-GB"/>
        </w:rPr>
        <w:t>and financial support. Within that, the Budgetary Instrument for Convergence and Competitiveness is expected to provide support for reforms and investment in euro-area Member States.</w:t>
      </w:r>
    </w:p>
    <w:p w:rsidR="00F60A1D" w:rsidRDefault="00E72A7F">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b/>
          <w:noProof/>
          <w:sz w:val="24"/>
          <w:szCs w:val="24"/>
          <w:lang w:val="en-GB"/>
        </w:rPr>
      </w:pPr>
      <w:r>
        <w:rPr>
          <w:rFonts w:ascii="Times New Roman" w:hAnsi="Times New Roman" w:cs="Times New Roman"/>
          <w:noProof/>
          <w:color w:val="000000"/>
          <w:sz w:val="24"/>
          <w:szCs w:val="24"/>
          <w:lang w:val="en-GB"/>
        </w:rPr>
        <w:t>The EU budget will invest record amounts in cutting-edge research and inn</w:t>
      </w:r>
      <w:r>
        <w:rPr>
          <w:rFonts w:ascii="Times New Roman" w:hAnsi="Times New Roman" w:cs="Times New Roman"/>
          <w:noProof/>
          <w:color w:val="000000"/>
          <w:sz w:val="24"/>
          <w:szCs w:val="24"/>
          <w:lang w:val="en-GB"/>
        </w:rPr>
        <w:t xml:space="preserve">ovation, using the full flexibility of the next EU budget to focus on the areas with the greatest potential. Horizon Europe will </w:t>
      </w:r>
      <w:r>
        <w:rPr>
          <w:rFonts w:ascii="Times New Roman" w:hAnsi="Times New Roman" w:cs="Times New Roman"/>
          <w:noProof/>
          <w:sz w:val="24"/>
          <w:szCs w:val="24"/>
          <w:lang w:val="en-GB"/>
        </w:rPr>
        <w:t>provide EUR 98 billion to investments in innovation in the EU.</w:t>
      </w:r>
    </w:p>
    <w:p w:rsidR="00F60A1D" w:rsidRDefault="00E72A7F">
      <w:pPr>
        <w:pStyle w:val="ListParagraph"/>
        <w:pBdr>
          <w:top w:val="single" w:sz="4" w:space="1" w:color="000000"/>
          <w:left w:val="single" w:sz="4" w:space="4" w:color="000000"/>
          <w:bottom w:val="single" w:sz="4" w:space="1" w:color="000000"/>
          <w:right w:val="single" w:sz="4" w:space="4" w:color="000000"/>
        </w:pBdr>
        <w:ind w:left="0"/>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The EU budget will act as a catalyst to leverage sustainable pri</w:t>
      </w:r>
      <w:r>
        <w:rPr>
          <w:rFonts w:ascii="Times New Roman" w:hAnsi="Times New Roman" w:cs="Times New Roman"/>
          <w:b/>
          <w:noProof/>
          <w:sz w:val="24"/>
          <w:szCs w:val="24"/>
          <w:lang w:val="en-GB"/>
        </w:rPr>
        <w:t>vate and public investment and channel EU support for the clean energy transition to where it is most needed.</w:t>
      </w:r>
      <w:r>
        <w:rPr>
          <w:rFonts w:ascii="Times New Roman" w:hAnsi="Times New Roman" w:cs="Times New Roman"/>
          <w:noProof/>
          <w:sz w:val="24"/>
          <w:szCs w:val="24"/>
          <w:lang w:val="en-GB"/>
        </w:rPr>
        <w:t xml:space="preserve"> </w:t>
      </w:r>
      <w:r>
        <w:rPr>
          <w:rFonts w:ascii="Times New Roman" w:hAnsi="Times New Roman" w:cs="Times New Roman"/>
          <w:noProof/>
          <w:color w:val="000000"/>
          <w:sz w:val="24"/>
          <w:szCs w:val="24"/>
          <w:lang w:val="en-GB"/>
        </w:rPr>
        <w:t>Already under the current long-term budget for 2014-2020, the EU budget has increased the weight of climate and environment in its spending progra</w:t>
      </w:r>
      <w:r>
        <w:rPr>
          <w:rFonts w:ascii="Times New Roman" w:hAnsi="Times New Roman" w:cs="Times New Roman"/>
          <w:noProof/>
          <w:color w:val="000000"/>
          <w:sz w:val="24"/>
          <w:szCs w:val="24"/>
          <w:lang w:val="en-GB"/>
        </w:rPr>
        <w:t>mmes. Climate change mitigation and adaptation has been integrated and mainstreamed into all major EU spending areas. In its proposal for an EU budget of over EUR 1 trillion over 2021-2027(</w:t>
      </w:r>
      <w:r>
        <w:rPr>
          <w:rFonts w:ascii="Times New Roman" w:hAnsi="Times New Roman"/>
          <w:noProof/>
          <w:color w:val="000000"/>
          <w:sz w:val="24"/>
          <w:vertAlign w:val="superscript"/>
          <w:lang w:val="en-GB"/>
        </w:rPr>
        <w:footnoteReference w:id="6"/>
      </w:r>
      <w:r>
        <w:rPr>
          <w:rFonts w:ascii="Times New Roman" w:hAnsi="Times New Roman" w:cs="Times New Roman"/>
          <w:noProof/>
          <w:color w:val="000000"/>
          <w:sz w:val="24"/>
          <w:szCs w:val="24"/>
          <w:lang w:val="en-GB"/>
        </w:rPr>
        <w:t>), the European Commission increased its ambition to spend at leas</w:t>
      </w:r>
      <w:r>
        <w:rPr>
          <w:rFonts w:ascii="Times New Roman" w:hAnsi="Times New Roman" w:cs="Times New Roman"/>
          <w:noProof/>
          <w:color w:val="000000"/>
          <w:sz w:val="24"/>
          <w:szCs w:val="24"/>
          <w:lang w:val="en-GB"/>
        </w:rPr>
        <w:t>t 25% of expenditure on climate-related activities; this represents EUR 320 billion. Under the future common agricultural policy (CAP), a new green architecture will make a stronger contribution to care for the environment and climate, with actions under t</w:t>
      </w:r>
      <w:r>
        <w:rPr>
          <w:rFonts w:ascii="Times New Roman" w:hAnsi="Times New Roman" w:cs="Times New Roman"/>
          <w:noProof/>
          <w:color w:val="000000"/>
          <w:sz w:val="24"/>
          <w:szCs w:val="24"/>
          <w:lang w:val="en-GB"/>
        </w:rPr>
        <w:t xml:space="preserve">he CAP expected to contribute 40% of the overall financial envelope of the CAP to climate objectives. </w:t>
      </w:r>
    </w:p>
    <w:p w:rsidR="00F60A1D" w:rsidRDefault="00F60A1D">
      <w:pPr>
        <w:pStyle w:val="ListParagraph"/>
        <w:keepNext/>
        <w:spacing w:line="257" w:lineRule="auto"/>
        <w:ind w:left="0"/>
        <w:jc w:val="both"/>
        <w:rPr>
          <w:rFonts w:ascii="Times New Roman" w:hAnsi="Times New Roman" w:cs="Times New Roman"/>
          <w:b/>
          <w:bCs/>
          <w:noProof/>
          <w:sz w:val="24"/>
          <w:szCs w:val="24"/>
          <w:lang w:val="en-GB"/>
        </w:rPr>
      </w:pPr>
    </w:p>
    <w:p w:rsidR="00F60A1D" w:rsidRDefault="00E72A7F">
      <w:pPr>
        <w:pStyle w:val="ListParagraph"/>
        <w:keepNext/>
        <w:numPr>
          <w:ilvl w:val="1"/>
          <w:numId w:val="2"/>
        </w:numPr>
        <w:spacing w:line="257" w:lineRule="auto"/>
        <w:ind w:left="1066" w:hanging="357"/>
        <w:jc w:val="both"/>
        <w:rPr>
          <w:rFonts w:ascii="Times New Roman" w:hAnsi="Times New Roman" w:cs="Times New Roman"/>
          <w:b/>
          <w:bCs/>
          <w:noProof/>
          <w:sz w:val="24"/>
          <w:szCs w:val="24"/>
          <w:lang w:val="en-GB"/>
        </w:rPr>
      </w:pPr>
      <w:r>
        <w:rPr>
          <w:rFonts w:ascii="Times New Roman" w:hAnsi="Times New Roman" w:cs="Times New Roman"/>
          <w:b/>
          <w:noProof/>
          <w:sz w:val="24"/>
          <w:szCs w:val="24"/>
          <w:lang w:val="en-GB"/>
        </w:rPr>
        <w:t xml:space="preserve">Refocusing the European Semester </w:t>
      </w:r>
    </w:p>
    <w:p w:rsidR="00F60A1D" w:rsidRDefault="00E72A7F">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 xml:space="preserve">The new growth strategy with its focus on competitive sustainability will help us achieve the Sustainable Development </w:t>
      </w:r>
      <w:r>
        <w:rPr>
          <w:rFonts w:ascii="Times New Roman" w:hAnsi="Times New Roman" w:cs="Times New Roman"/>
          <w:b/>
          <w:bCs/>
          <w:noProof/>
          <w:sz w:val="24"/>
          <w:szCs w:val="24"/>
        </w:rPr>
        <w:t>Goals (SDGs).</w:t>
      </w:r>
      <w:r>
        <w:rPr>
          <w:rFonts w:ascii="Times New Roman" w:hAnsi="Times New Roman" w:cs="Times New Roman"/>
          <w:bCs/>
          <w:noProof/>
          <w:sz w:val="24"/>
          <w:szCs w:val="24"/>
        </w:rPr>
        <w:t xml:space="preserve"> The economic, social and environmental challenges are of economy-wide relevance. To succeed we will require considerable efforts in all policy areas, at EU and national level. A key factor of success is the ability of public authorities to drive economic,</w:t>
      </w:r>
      <w:r>
        <w:rPr>
          <w:rFonts w:ascii="Times New Roman" w:hAnsi="Times New Roman" w:cs="Times New Roman"/>
          <w:bCs/>
          <w:noProof/>
          <w:sz w:val="24"/>
          <w:szCs w:val="24"/>
        </w:rPr>
        <w:t xml:space="preserve"> social and fiscal policies towards the achievement of the SDGs. The contribution of the different levels of governance within the EU towards achieving the SDGs is complex due to the division of competences between Member States and EU institutions. While </w:t>
      </w:r>
      <w:r>
        <w:rPr>
          <w:rFonts w:ascii="Times New Roman" w:hAnsi="Times New Roman" w:cs="Times New Roman"/>
          <w:bCs/>
          <w:noProof/>
          <w:sz w:val="24"/>
          <w:szCs w:val="24"/>
        </w:rPr>
        <w:t>the transformational challenges are commonly shared, the starting point differs: some Member States more exposed to economic, social and environmental risks or have more progress to make towards reaching the Sustainable Development Goals. Differentiated, y</w:t>
      </w:r>
      <w:r>
        <w:rPr>
          <w:rFonts w:ascii="Times New Roman" w:hAnsi="Times New Roman" w:cs="Times New Roman"/>
          <w:bCs/>
          <w:noProof/>
          <w:sz w:val="24"/>
          <w:szCs w:val="24"/>
        </w:rPr>
        <w:t>et closely coordinated, policies in Member States are therefore necessary.</w:t>
      </w:r>
      <w:r>
        <w:rPr>
          <w:noProof/>
        </w:rPr>
        <w:t xml:space="preserve"> </w:t>
      </w:r>
      <w:r>
        <w:rPr>
          <w:rFonts w:ascii="Times New Roman" w:hAnsi="Times New Roman" w:cs="Times New Roman"/>
          <w:bCs/>
          <w:noProof/>
          <w:sz w:val="24"/>
          <w:szCs w:val="24"/>
        </w:rPr>
        <w:t>Over the past decade, the European Semester has established itself as the key tool for the coordination of national economic and employment policies. As such, it can help drive thes</w:t>
      </w:r>
      <w:r>
        <w:rPr>
          <w:rFonts w:ascii="Times New Roman" w:hAnsi="Times New Roman" w:cs="Times New Roman"/>
          <w:bCs/>
          <w:noProof/>
          <w:sz w:val="24"/>
          <w:szCs w:val="24"/>
        </w:rPr>
        <w:t xml:space="preserve">e policies towards the achievement of the SDGs by monitoring progress and ensuring closer coordination of national efforts in the area of economic and employment policies, keeping its focus on issues that have economy-wide implications. </w:t>
      </w:r>
    </w:p>
    <w:p w:rsidR="00F60A1D" w:rsidRDefault="00E72A7F">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 xml:space="preserve">The refocusing of </w:t>
      </w:r>
      <w:r>
        <w:rPr>
          <w:rFonts w:ascii="Times New Roman" w:hAnsi="Times New Roman" w:cs="Times New Roman"/>
          <w:b/>
          <w:bCs/>
          <w:noProof/>
          <w:sz w:val="24"/>
          <w:szCs w:val="24"/>
        </w:rPr>
        <w:t>the European Semester has already started through the broader economic narrative put forward in this Annual Sustainable Growth Strategy</w:t>
      </w:r>
      <w:r>
        <w:rPr>
          <w:rFonts w:ascii="Times New Roman" w:hAnsi="Times New Roman" w:cs="Times New Roman"/>
          <w:bCs/>
          <w:noProof/>
          <w:sz w:val="24"/>
          <w:szCs w:val="24"/>
        </w:rPr>
        <w:t>. It will continue with the 2020 country reports, the Commission’s analysis of the Member States’ social and economic sit</w:t>
      </w:r>
      <w:r>
        <w:rPr>
          <w:rFonts w:ascii="Times New Roman" w:hAnsi="Times New Roman" w:cs="Times New Roman"/>
          <w:bCs/>
          <w:noProof/>
          <w:sz w:val="24"/>
          <w:szCs w:val="24"/>
        </w:rPr>
        <w:t>uation. As a first step, the 2020 reports will feature a reinforced analysis and monitoring on the SDGs. They will include anew dedicated section focusing on environmental sustainability will be added to complement the analysis on economic and social chall</w:t>
      </w:r>
      <w:r>
        <w:rPr>
          <w:rFonts w:ascii="Times New Roman" w:hAnsi="Times New Roman" w:cs="Times New Roman"/>
          <w:bCs/>
          <w:noProof/>
          <w:sz w:val="24"/>
          <w:szCs w:val="24"/>
        </w:rPr>
        <w:t>enges. The aim is to support Member States’ actions by identifying synergies and trade-offs between environmental, social and economic policies at national level. The analysis of the reports will also support the use of EU funds for sustainable investments</w:t>
      </w:r>
      <w:r>
        <w:rPr>
          <w:rFonts w:ascii="Times New Roman" w:hAnsi="Times New Roman" w:cs="Times New Roman"/>
          <w:bCs/>
          <w:noProof/>
          <w:sz w:val="24"/>
          <w:szCs w:val="24"/>
        </w:rPr>
        <w:t xml:space="preserve"> in the European Union. In addition to this new section, each country report will also include a new annex setting out the individual Member States’ SDG performance. This new annex will monitor each country’s progress, based on Eurostat’s EU SDG indicator </w:t>
      </w:r>
      <w:r>
        <w:rPr>
          <w:rFonts w:ascii="Times New Roman" w:hAnsi="Times New Roman" w:cs="Times New Roman"/>
          <w:bCs/>
          <w:noProof/>
          <w:sz w:val="24"/>
          <w:szCs w:val="24"/>
        </w:rPr>
        <w:t>set. In addition, the Commission has invited Member States to take stock of progress made on the SDGs in their national reform programmes, as a qualitative complement to the indicator-based monitoring by the Commission within the Semester that will capture</w:t>
      </w:r>
      <w:r>
        <w:rPr>
          <w:rFonts w:ascii="Times New Roman" w:hAnsi="Times New Roman" w:cs="Times New Roman"/>
          <w:bCs/>
          <w:noProof/>
          <w:sz w:val="24"/>
          <w:szCs w:val="24"/>
        </w:rPr>
        <w:t xml:space="preserve"> the economy-wide aspects of the related policies. The objective is not to create additional administrative burden for the national administrations but rather to build on existing national monitoring tools, such as for instance the annual Voluntary Nationa</w:t>
      </w:r>
      <w:r>
        <w:rPr>
          <w:rFonts w:ascii="Times New Roman" w:hAnsi="Times New Roman" w:cs="Times New Roman"/>
          <w:bCs/>
          <w:noProof/>
          <w:sz w:val="24"/>
          <w:szCs w:val="24"/>
        </w:rPr>
        <w:t>l Reviews foreseen at the UN level, in order to provide more useful guidance and coordination at EU level. Building on the country reports, the Commission’s proposals for the 2020 country-specific recommendations, to be adopted in May, will highlight the c</w:t>
      </w:r>
      <w:r>
        <w:rPr>
          <w:rFonts w:ascii="Times New Roman" w:hAnsi="Times New Roman" w:cs="Times New Roman"/>
          <w:bCs/>
          <w:noProof/>
          <w:sz w:val="24"/>
          <w:szCs w:val="24"/>
        </w:rPr>
        <w:t xml:space="preserve">ontribution of national reforms to progress towards specific SDGs, where instrumental to ensure the coordination of economic and employment policies on economic challenges that are a matter of common concern. </w:t>
      </w:r>
    </w:p>
    <w:p w:rsidR="00F60A1D" w:rsidRDefault="00F60A1D">
      <w:pPr>
        <w:spacing w:after="120"/>
        <w:jc w:val="both"/>
        <w:rPr>
          <w:rFonts w:ascii="Times New Roman" w:hAnsi="Times New Roman" w:cs="Times New Roman"/>
          <w:bCs/>
          <w:noProof/>
          <w:sz w:val="24"/>
          <w:szCs w:val="24"/>
        </w:rPr>
      </w:pPr>
    </w:p>
    <w:p w:rsidR="00F60A1D" w:rsidRDefault="00E72A7F">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By developing this new approach in this Semes</w:t>
      </w:r>
      <w:r>
        <w:rPr>
          <w:rFonts w:ascii="Times New Roman" w:hAnsi="Times New Roman" w:cs="Times New Roman"/>
          <w:b/>
          <w:bCs/>
          <w:noProof/>
          <w:sz w:val="24"/>
          <w:szCs w:val="24"/>
        </w:rPr>
        <w:t>ter cycle and over the years to come, the European Semester will directly support the European Union and its Member States in delivering the SDGs across its economic and employment policies and ensure that the economy works for everyone and growth is susta</w:t>
      </w:r>
      <w:r>
        <w:rPr>
          <w:rFonts w:ascii="Times New Roman" w:hAnsi="Times New Roman" w:cs="Times New Roman"/>
          <w:b/>
          <w:bCs/>
          <w:noProof/>
          <w:sz w:val="24"/>
          <w:szCs w:val="24"/>
        </w:rPr>
        <w:t>inable.</w:t>
      </w:r>
    </w:p>
    <w:p w:rsidR="00F60A1D" w:rsidRDefault="00E72A7F">
      <w:pPr>
        <w:spacing w:after="120"/>
        <w:jc w:val="both"/>
        <w:rPr>
          <w:rFonts w:ascii="Times New Roman" w:hAnsi="Times New Roman" w:cs="Times New Roman"/>
          <w:b/>
          <w:bCs/>
          <w:noProof/>
          <w:sz w:val="24"/>
          <w:szCs w:val="24"/>
        </w:rPr>
      </w:pPr>
      <w:r>
        <w:rPr>
          <w:noProof/>
          <w:lang w:val="fr-BE" w:eastAsia="fr-BE"/>
        </w:rPr>
        <w:drawing>
          <wp:inline distT="0" distB="0" distL="0" distR="0">
            <wp:extent cx="5780477" cy="215328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17212"/>
                    <a:stretch/>
                  </pic:blipFill>
                  <pic:spPr bwMode="auto">
                    <a:xfrm>
                      <a:off x="0" y="0"/>
                      <a:ext cx="5792327" cy="2157699"/>
                    </a:xfrm>
                    <a:prstGeom prst="rect">
                      <a:avLst/>
                    </a:prstGeom>
                    <a:ln>
                      <a:noFill/>
                    </a:ln>
                    <a:extLst>
                      <a:ext uri="{53640926-AAD7-44D8-BBD7-CCE9431645EC}">
                        <a14:shadowObscured xmlns:a14="http://schemas.microsoft.com/office/drawing/2010/main"/>
                      </a:ext>
                    </a:extLst>
                  </pic:spPr>
                </pic:pic>
              </a:graphicData>
            </a:graphic>
          </wp:inline>
        </w:drawing>
      </w:r>
    </w:p>
    <w:p w:rsidR="00F60A1D" w:rsidRDefault="00F60A1D">
      <w:pPr>
        <w:spacing w:after="120"/>
        <w:jc w:val="both"/>
        <w:rPr>
          <w:rFonts w:ascii="Times New Roman" w:hAnsi="Times New Roman" w:cs="Times New Roman"/>
          <w:b/>
          <w:bCs/>
          <w:noProof/>
          <w:sz w:val="24"/>
          <w:szCs w:val="24"/>
        </w:rPr>
      </w:pPr>
    </w:p>
    <w:p w:rsidR="00F60A1D" w:rsidRDefault="00E72A7F">
      <w:pPr>
        <w:keepNext/>
        <w:jc w:val="both"/>
        <w:rPr>
          <w:rFonts w:ascii="Times New Roman" w:hAnsi="Times New Roman" w:cs="Times New Roman"/>
          <w:b/>
          <w:bCs/>
          <w:noProof/>
          <w:color w:val="000000"/>
          <w:sz w:val="24"/>
          <w:szCs w:val="24"/>
        </w:rPr>
      </w:pPr>
      <w:r>
        <w:rPr>
          <w:rFonts w:ascii="Times New Roman" w:hAnsi="Times New Roman" w:cs="Times New Roman"/>
          <w:b/>
          <w:bCs/>
          <w:smallCaps/>
          <w:noProof/>
          <w:sz w:val="24"/>
          <w:szCs w:val="24"/>
        </w:rPr>
        <w:t>Conclusions and next steps</w:t>
      </w:r>
    </w:p>
    <w:p w:rsidR="00F60A1D" w:rsidRDefault="00E72A7F">
      <w:pPr>
        <w:keepLines/>
        <w:jc w:val="both"/>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Putting this sustainable growth strategy to work is a joint endeavour. </w:t>
      </w:r>
      <w:r>
        <w:rPr>
          <w:rFonts w:ascii="Times New Roman" w:hAnsi="Times New Roman" w:cs="Times New Roman"/>
          <w:bCs/>
          <w:noProof/>
          <w:color w:val="000000"/>
          <w:sz w:val="24"/>
          <w:szCs w:val="24"/>
        </w:rPr>
        <w:t>It</w:t>
      </w:r>
      <w:r>
        <w:rPr>
          <w:rFonts w:ascii="Times New Roman" w:hAnsi="Times New Roman" w:cs="Times New Roman"/>
          <w:noProof/>
          <w:color w:val="000000"/>
          <w:sz w:val="24"/>
          <w:szCs w:val="24"/>
        </w:rPr>
        <w:t xml:space="preserve"> will require the combined action and commitment of all European actors. </w:t>
      </w:r>
      <w:r>
        <w:rPr>
          <w:rFonts w:ascii="Times New Roman" w:hAnsi="Times New Roman" w:cs="Times New Roman"/>
          <w:noProof/>
          <w:sz w:val="24"/>
          <w:szCs w:val="24"/>
        </w:rPr>
        <w:t xml:space="preserve">The European Council is invited to endorse this strategy. </w:t>
      </w:r>
      <w:r>
        <w:rPr>
          <w:rFonts w:ascii="Times New Roman" w:hAnsi="Times New Roman" w:cs="Times New Roman"/>
          <w:noProof/>
          <w:color w:val="000000"/>
          <w:sz w:val="24"/>
          <w:szCs w:val="24"/>
        </w:rPr>
        <w:t xml:space="preserve">Member States should take account of the priorities the Commission has identified here in their national policies and strategies, </w:t>
      </w:r>
      <w:r>
        <w:rPr>
          <w:rFonts w:ascii="Times New Roman" w:hAnsi="Times New Roman" w:cs="Times New Roman"/>
          <w:noProof/>
          <w:sz w:val="24"/>
          <w:szCs w:val="24"/>
        </w:rPr>
        <w:t>as set out in their Stability or Convergence Programmes and their National Reform Programmes. On that basis, the Commission wi</w:t>
      </w:r>
      <w:r>
        <w:rPr>
          <w:rFonts w:ascii="Times New Roman" w:hAnsi="Times New Roman" w:cs="Times New Roman"/>
          <w:noProof/>
          <w:sz w:val="24"/>
          <w:szCs w:val="24"/>
        </w:rPr>
        <w:t xml:space="preserve">ll propose </w:t>
      </w:r>
      <w:r>
        <w:rPr>
          <w:rFonts w:ascii="Times New Roman" w:hAnsi="Times New Roman" w:cs="Times New Roman"/>
          <w:noProof/>
          <w:color w:val="000000"/>
          <w:sz w:val="24"/>
          <w:szCs w:val="24"/>
        </w:rPr>
        <w:t xml:space="preserve">country-specific recommendations, which Member States will eventually adopt in the Council. Member States are thus ultimately responsible for the content and implementation of these recommendations. </w:t>
      </w:r>
    </w:p>
    <w:p w:rsidR="00F60A1D" w:rsidRDefault="00E72A7F">
      <w:pPr>
        <w:pStyle w:val="CommentText"/>
        <w:jc w:val="both"/>
        <w:rPr>
          <w:noProof/>
        </w:rPr>
      </w:pPr>
      <w:r>
        <w:rPr>
          <w:rFonts w:ascii="Times New Roman" w:hAnsi="Times New Roman" w:cs="Times New Roman"/>
          <w:b/>
          <w:noProof/>
          <w:color w:val="000000"/>
          <w:sz w:val="24"/>
          <w:szCs w:val="24"/>
        </w:rPr>
        <w:t>Member States should make full use of the ava</w:t>
      </w:r>
      <w:r>
        <w:rPr>
          <w:rFonts w:ascii="Times New Roman" w:hAnsi="Times New Roman" w:cs="Times New Roman"/>
          <w:b/>
          <w:noProof/>
          <w:color w:val="000000"/>
          <w:sz w:val="24"/>
          <w:szCs w:val="24"/>
        </w:rPr>
        <w:t xml:space="preserve">ilable EU policy and funding instruments. </w:t>
      </w:r>
      <w:r>
        <w:rPr>
          <w:rFonts w:ascii="Times New Roman" w:hAnsi="Times New Roman" w:cs="Times New Roman"/>
          <w:noProof/>
          <w:color w:val="000000"/>
          <w:sz w:val="24"/>
          <w:szCs w:val="24"/>
        </w:rPr>
        <w:t xml:space="preserve">The Commission stands ready to support Member States in their reform efforts by providing technical support, in particular through its proposed Reform Support Programme, for all Member States. As part of that, for </w:t>
      </w:r>
      <w:r>
        <w:rPr>
          <w:rFonts w:ascii="Times New Roman" w:hAnsi="Times New Roman" w:cs="Times New Roman"/>
          <w:noProof/>
          <w:color w:val="000000"/>
          <w:sz w:val="24"/>
          <w:szCs w:val="24"/>
        </w:rPr>
        <w:t>euro-area Member States, the Budgetary Instrument for Convergence and Competitiveness is expected to provide tailored incentives and support for reforms and investment. Finally, cohesion policy funds play a crucial role in supporting social and territorial</w:t>
      </w:r>
      <w:r>
        <w:rPr>
          <w:rFonts w:ascii="Times New Roman" w:hAnsi="Times New Roman" w:cs="Times New Roman"/>
          <w:noProof/>
          <w:color w:val="000000"/>
          <w:sz w:val="24"/>
          <w:szCs w:val="24"/>
        </w:rPr>
        <w:t xml:space="preserve"> cohesion.</w:t>
      </w:r>
    </w:p>
    <w:p w:rsidR="00F60A1D" w:rsidRDefault="00E72A7F">
      <w:pPr>
        <w:jc w:val="both"/>
        <w:rPr>
          <w:rFonts w:ascii="Times New Roman" w:hAnsi="Times New Roman"/>
          <w:noProof/>
          <w:color w:val="000000"/>
          <w:sz w:val="24"/>
        </w:rPr>
      </w:pPr>
      <w:r>
        <w:rPr>
          <w:rFonts w:ascii="Times New Roman" w:hAnsi="Times New Roman" w:cs="Times New Roman"/>
          <w:b/>
          <w:bCs/>
          <w:noProof/>
          <w:color w:val="000000"/>
          <w:sz w:val="24"/>
          <w:szCs w:val="24"/>
        </w:rPr>
        <w:t>Economic governance and democratic accountability must go hand in hand.</w:t>
      </w:r>
      <w:r>
        <w:rPr>
          <w:rFonts w:ascii="Times New Roman" w:hAnsi="Times New Roman" w:cs="Times New Roman"/>
          <w:noProof/>
          <w:color w:val="000000"/>
          <w:sz w:val="24"/>
          <w:szCs w:val="24"/>
        </w:rPr>
        <w:t xml:space="preserve"> The European Parliament should have a stronger voice on the EU economic governance. To this end, the Commission will engage in a dialogue with the European Parliament on how to make this operational going forward. As a first step, Members of the Commissio</w:t>
      </w:r>
      <w:r>
        <w:rPr>
          <w:rFonts w:ascii="Times New Roman" w:hAnsi="Times New Roman" w:cs="Times New Roman"/>
          <w:noProof/>
          <w:color w:val="000000"/>
          <w:sz w:val="24"/>
          <w:szCs w:val="24"/>
        </w:rPr>
        <w:t>n in charge of economic matters will come to the European Parliament before each key stage in the European Semester cycle.</w:t>
      </w:r>
      <w:r>
        <w:rPr>
          <w:rFonts w:ascii="Times New Roman" w:hAnsi="Times New Roman"/>
          <w:noProof/>
          <w:color w:val="000000"/>
          <w:sz w:val="24"/>
        </w:rPr>
        <w:t xml:space="preserve"> </w:t>
      </w:r>
      <w:r>
        <w:rPr>
          <w:rFonts w:ascii="Times New Roman" w:hAnsi="Times New Roman" w:cs="Times New Roman"/>
          <w:noProof/>
          <w:color w:val="000000"/>
          <w:sz w:val="24"/>
          <w:szCs w:val="24"/>
        </w:rPr>
        <w:t>This enhanced democratic accountability of the European Semester should help to enhance ownership and therefore reform implementation</w:t>
      </w:r>
      <w:r>
        <w:rPr>
          <w:rFonts w:ascii="Times New Roman" w:hAnsi="Times New Roman" w:cs="Times New Roman"/>
          <w:noProof/>
          <w:color w:val="000000"/>
          <w:sz w:val="24"/>
          <w:szCs w:val="24"/>
        </w:rPr>
        <w:t xml:space="preserve">. More broadly, the Commission will continue the dialogue with Member States, and invites the Member States to involve national parliaments, social partners and all other relevant stakeholders. </w:t>
      </w:r>
    </w:p>
    <w:sectPr w:rsidR="00F60A1D">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134" w:left="1418" w:header="567"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1D" w:rsidRDefault="00E72A7F">
      <w:pPr>
        <w:spacing w:after="0" w:line="240" w:lineRule="auto"/>
      </w:pPr>
      <w:r>
        <w:separator/>
      </w:r>
    </w:p>
  </w:endnote>
  <w:endnote w:type="continuationSeparator" w:id="0">
    <w:p w:rsidR="00F60A1D" w:rsidRDefault="00E72A7F">
      <w:pPr>
        <w:spacing w:after="0" w:line="240" w:lineRule="auto"/>
      </w:pPr>
      <w:r>
        <w:continuationSeparator/>
      </w:r>
    </w:p>
  </w:endnote>
  <w:endnote w:type="continuationNotice" w:id="1">
    <w:p w:rsidR="00F60A1D" w:rsidRDefault="00F60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4">
    <w:altName w:val="MV Boli"/>
    <w:charset w:val="00"/>
    <w:family w:val="auto"/>
    <w:pitch w:val="variable"/>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OpenSymbol">
    <w:altName w:val="Arial Unicode MS"/>
    <w:charset w:val="8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MV Boli"/>
    <w:panose1 w:val="020B0602030504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E72A7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E72A7F">
    <w:pPr>
      <w:pStyle w:val="Footer"/>
    </w:pPr>
    <w:r>
      <w:tab/>
    </w:r>
    <w:r>
      <w:fldChar w:fldCharType="begin"/>
    </w:r>
    <w:r>
      <w:instrText xml:space="preserve"> PAGE </w:instrText>
    </w:r>
    <w:r>
      <w:fldChar w:fldCharType="separate"/>
    </w:r>
    <w:r>
      <w:rPr>
        <w:noProof/>
      </w:rPr>
      <w:t>2</w:t>
    </w:r>
    <w:r>
      <w:fldChar w:fldCharType="end"/>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E72A7F">
    <w:pPr>
      <w:pStyle w:val="Foote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1D" w:rsidRDefault="00E72A7F">
      <w:pPr>
        <w:spacing w:after="0" w:line="240" w:lineRule="auto"/>
      </w:pPr>
      <w:r>
        <w:separator/>
      </w:r>
    </w:p>
  </w:footnote>
  <w:footnote w:type="continuationSeparator" w:id="0">
    <w:p w:rsidR="00F60A1D" w:rsidRDefault="00E72A7F">
      <w:pPr>
        <w:spacing w:after="0" w:line="240" w:lineRule="auto"/>
      </w:pPr>
      <w:r>
        <w:continuationSeparator/>
      </w:r>
    </w:p>
  </w:footnote>
  <w:footnote w:type="continuationNotice" w:id="1">
    <w:p w:rsidR="00F60A1D" w:rsidRDefault="00F60A1D">
      <w:pPr>
        <w:spacing w:after="0" w:line="240" w:lineRule="auto"/>
      </w:pPr>
    </w:p>
  </w:footnote>
  <w:footnote w:id="2">
    <w:p w:rsidR="00F60A1D" w:rsidRDefault="00E72A7F">
      <w:pPr>
        <w:pStyle w:val="FootnoteText"/>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The Proposal for a </w:t>
      </w:r>
      <w:r>
        <w:rPr>
          <w:rFonts w:ascii="Times New Roman" w:hAnsi="Times New Roman" w:cs="Times New Roman"/>
          <w:sz w:val="18"/>
          <w:szCs w:val="18"/>
        </w:rPr>
        <w:t>Joint Employment Report from the Commission and the Council, adopted together with the Annual Sustainable Growth Strategy (C</w:t>
      </w:r>
      <w:r>
        <w:rPr>
          <w:rFonts w:ascii="Times New Roman" w:hAnsi="Times New Roman" w:cs="Times New Roman"/>
          <w:sz w:val="18"/>
          <w:szCs w:val="18"/>
          <w:lang w:val="en-IE"/>
        </w:rPr>
        <w:t>OM(2019) 653</w:t>
      </w:r>
      <w:r>
        <w:rPr>
          <w:rFonts w:ascii="Times New Roman" w:hAnsi="Times New Roman" w:cs="Times New Roman"/>
          <w:sz w:val="18"/>
          <w:szCs w:val="18"/>
        </w:rPr>
        <w:t>), presents a detailed account of labour market and social policy developments, including through the Social Scoreboard</w:t>
      </w:r>
    </w:p>
  </w:footnote>
  <w:footnote w:id="3">
    <w:p w:rsidR="00F60A1D" w:rsidRDefault="00E72A7F">
      <w:pPr>
        <w:pStyle w:val="FootnoteText"/>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The 2018 Ageing Report  </w:t>
      </w:r>
      <w:hyperlink r:id="rId1" w:history="1">
        <w:r>
          <w:rPr>
            <w:rStyle w:val="Hyperlink"/>
            <w:rFonts w:ascii="Times New Roman" w:hAnsi="Times New Roman" w:cs="Times New Roman"/>
            <w:sz w:val="18"/>
            <w:szCs w:val="18"/>
          </w:rPr>
          <w:t>https://ec.europa.eu/info/sites/info/files/economy-finance/ip079_en.pdf</w:t>
        </w:r>
      </w:hyperlink>
    </w:p>
  </w:footnote>
  <w:footnote w:id="4">
    <w:p w:rsidR="00F60A1D" w:rsidRDefault="00E72A7F">
      <w:pPr>
        <w:spacing w:after="120"/>
        <w:ind w:left="284" w:hanging="284"/>
        <w:jc w:val="both"/>
      </w:pPr>
      <w:r>
        <w:rPr>
          <w:rStyle w:val="FootnoteCharacters"/>
          <w:rFonts w:ascii="Times New Roman" w:hAnsi="Times New Roman"/>
          <w:vertAlign w:val="superscript"/>
        </w:rPr>
        <w:footnoteRef/>
      </w:r>
      <w:r>
        <w:rPr>
          <w:rFonts w:ascii="Times New Roman" w:hAnsi="Times New Roman" w:cs="Times New Roman"/>
          <w:sz w:val="18"/>
          <w:szCs w:val="18"/>
        </w:rPr>
        <w:tab/>
        <w:t>Since 2009, Ecodesign has been delivering substantial energy savings</w:t>
      </w:r>
      <w:r>
        <w:rPr>
          <w:rFonts w:ascii="Times New Roman" w:hAnsi="Times New Roman" w:cs="Times New Roman"/>
          <w:sz w:val="18"/>
          <w:szCs w:val="18"/>
        </w:rPr>
        <w:t xml:space="preserve"> and associated avoided CO2 emissions, as well as, increasingly, material efficiency savings. </w:t>
      </w:r>
    </w:p>
  </w:footnote>
  <w:footnote w:id="5">
    <w:p w:rsidR="00F60A1D" w:rsidRDefault="00E72A7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Single Market Performance Report </w:t>
      </w:r>
      <w:r>
        <w:rPr>
          <w:rFonts w:ascii="Times New Roman" w:hAnsi="Times New Roman" w:cs="Times New Roman"/>
          <w:sz w:val="18"/>
          <w:szCs w:val="18"/>
          <w:lang w:val="en-IE"/>
        </w:rPr>
        <w:t>SWD(2019) 443</w:t>
      </w:r>
    </w:p>
  </w:footnote>
  <w:footnote w:id="6">
    <w:p w:rsidR="00F60A1D" w:rsidRDefault="00E72A7F">
      <w:pPr>
        <w:pStyle w:val="NormalWeb"/>
        <w:shd w:val="clear" w:color="auto" w:fill="FFFFFF"/>
        <w:spacing w:before="0" w:beforeAutospacing="0" w:after="75" w:afterAutospacing="0"/>
        <w:ind w:left="284" w:hanging="284"/>
      </w:pPr>
      <w:r>
        <w:rPr>
          <w:rStyle w:val="FootnoteCharacters"/>
          <w:sz w:val="22"/>
          <w:vertAlign w:val="superscript"/>
        </w:rPr>
        <w:footnoteRef/>
      </w:r>
      <w:r>
        <w:rPr>
          <w:rStyle w:val="FootnoteCharacters"/>
          <w:sz w:val="18"/>
          <w:szCs w:val="18"/>
        </w:rPr>
        <w:tab/>
      </w:r>
      <w:r>
        <w:rPr>
          <w:sz w:val="18"/>
        </w:rPr>
        <w:t xml:space="preserve">Commission proposal for </w:t>
      </w:r>
      <w:r>
        <w:rPr>
          <w:sz w:val="18"/>
          <w:szCs w:val="18"/>
        </w:rPr>
        <w:t xml:space="preserve">a Council Regulation laying down </w:t>
      </w:r>
      <w:r>
        <w:rPr>
          <w:sz w:val="18"/>
        </w:rPr>
        <w:t xml:space="preserve">the multiannual financial framework for </w:t>
      </w:r>
      <w:r>
        <w:rPr>
          <w:sz w:val="18"/>
          <w:szCs w:val="18"/>
        </w:rPr>
        <w:t xml:space="preserve">the years </w:t>
      </w:r>
      <w:r>
        <w:rPr>
          <w:sz w:val="18"/>
        </w:rPr>
        <w:t>202</w:t>
      </w:r>
      <w:r>
        <w:rPr>
          <w:sz w:val="18"/>
        </w:rPr>
        <w:t>1</w:t>
      </w:r>
      <w:r>
        <w:rPr>
          <w:sz w:val="18"/>
          <w:szCs w:val="18"/>
        </w:rPr>
        <w:t xml:space="preserve"> to </w:t>
      </w:r>
      <w:r>
        <w:rPr>
          <w:sz w:val="18"/>
        </w:rPr>
        <w:t>2027</w:t>
      </w:r>
      <w:r>
        <w:rPr>
          <w:sz w:val="18"/>
          <w:szCs w:val="18"/>
        </w:rPr>
        <w:t>, COM/</w:t>
      </w:r>
      <w:r>
        <w:rPr>
          <w:sz w:val="18"/>
        </w:rPr>
        <w:t>2018</w:t>
      </w:r>
      <w:r>
        <w:rPr>
          <w:sz w:val="18"/>
          <w:szCs w:val="18"/>
        </w:rPr>
        <w:t>/322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1D" w:rsidRDefault="00F60A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b/>
        <w:sz w:val="26"/>
      </w:rPr>
    </w:lvl>
    <w:lvl w:ilvl="1">
      <w:start w:val="1"/>
      <w:numFmt w:val="decimal"/>
      <w:lvlText w:val="%2."/>
      <w:lvlJc w:val="left"/>
      <w:pPr>
        <w:tabs>
          <w:tab w:val="num" w:pos="1069"/>
        </w:tabs>
        <w:ind w:left="1069"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E342CD04-9BB0-425F-9FE1-2DDCFC7483EE"/>
    <w:docVar w:name="LW_COVERPAGE_TYPE" w:val="1"/>
    <w:docVar w:name="LW_CROSSREFERENCE" w:val="{SWD(2019) 444 final}"/>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Sustainable Growth Strategy 2020"/>
    <w:docVar w:name="LW_TYPE.DOC.CP" w:val="COMMUNICATION FROM THE COMMISSION"/>
    <w:docVar w:name="LW_TYPE.DOC.CP.USERTEXT" w:val="TO THE EUROPEAN PARLIAMENT, THE COUNCIL, THE EUROPEAN CENTRAL BANK, THE EUROPEAN ECONOMIC AND SOCIAL COMMITTEE, THE COMMITTEE OF THE REGIONS AND THE EUROPEAN INVESTMENT BANK"/>
  </w:docVars>
  <w:rsids>
    <w:rsidRoot w:val="00F60A1D"/>
    <w:rsid w:val="00E72A7F"/>
    <w:rsid w:val="00F6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3E6B6E76-8042-4360-94E7-1FBEDA7A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224"/>
      <w:sz w:val="22"/>
      <w:szCs w:val="22"/>
      <w:lang w:eastAsia="ar-SA"/>
    </w:rPr>
  </w:style>
  <w:style w:type="paragraph" w:styleId="Heading1">
    <w:name w:val="heading 1"/>
    <w:basedOn w:val="Normal"/>
    <w:next w:val="BodyText"/>
    <w:qFormat/>
    <w:pPr>
      <w:keepNext/>
      <w:keepLines/>
      <w:numPr>
        <w:numId w:val="1"/>
      </w:numPr>
      <w:spacing w:before="240" w:after="240"/>
      <w:jc w:val="both"/>
      <w:outlineLvl w:val="0"/>
    </w:pPr>
    <w:rPr>
      <w:rFonts w:ascii="Times New Roman Bold" w:hAnsi="Times New Roman Bold" w:cs="Times New Roman"/>
      <w:b/>
      <w:smallCaps/>
      <w:sz w:val="24"/>
      <w:szCs w:val="24"/>
    </w:rPr>
  </w:style>
  <w:style w:type="paragraph" w:styleId="Heading3">
    <w:name w:val="heading 3"/>
    <w:basedOn w:val="Normal"/>
    <w:next w:val="BodyText"/>
    <w:qFormat/>
    <w:pPr>
      <w:keepNext/>
      <w:numPr>
        <w:ilvl w:val="2"/>
        <w:numId w:val="1"/>
      </w:numPr>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n-G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lang w:val="en-GB"/>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Marker">
    <w:name w:val="Marker"/>
    <w:rPr>
      <w:color w:val="0000FF"/>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rPr>
      <w:rFonts w:ascii="Times New Roman" w:hAnsi="Times New Roman" w:cs="Times New Roman"/>
      <w:sz w:val="24"/>
    </w:rPr>
  </w:style>
  <w:style w:type="character" w:customStyle="1" w:styleId="FooterSensitivityChar">
    <w:name w:val="Footer Sensitivity Char"/>
    <w:rPr>
      <w:rFonts w:ascii="Times New Roman" w:hAnsi="Times New Roman" w:cs="Times New Roman"/>
      <w:b/>
      <w:sz w:val="32"/>
    </w:rPr>
  </w:style>
  <w:style w:type="character" w:customStyle="1" w:styleId="HeaderCoverPageChar">
    <w:name w:val="Header Cover Page Char"/>
    <w:rPr>
      <w:rFonts w:ascii="Times New Roman" w:hAnsi="Times New Roman" w:cs="Times New Roman"/>
      <w:sz w:val="24"/>
    </w:rPr>
  </w:style>
  <w:style w:type="character" w:customStyle="1" w:styleId="HeaderSensitivityChar">
    <w:name w:val="Header Sensitivity Char"/>
    <w:rPr>
      <w:rFonts w:ascii="Times New Roman" w:hAnsi="Times New Roman" w:cs="Times New Roman"/>
      <w:b/>
      <w:sz w:val="32"/>
    </w:rPr>
  </w:style>
  <w:style w:type="character" w:customStyle="1" w:styleId="HeaderSensitivityRightChar">
    <w:name w:val="Header Sensitivity Right Char"/>
    <w:rPr>
      <w:rFonts w:ascii="Times New Roman" w:hAnsi="Times New Roman" w:cs="Times New Roman"/>
      <w:sz w:val="28"/>
    </w:rPr>
  </w:style>
  <w:style w:type="character" w:customStyle="1" w:styleId="Heading1Char">
    <w:name w:val="Heading 1 Char"/>
    <w:rPr>
      <w:rFonts w:ascii="Times New Roman Bold" w:hAnsi="Times New Roman Bold" w:cs="Times New Roman"/>
      <w:b/>
      <w:smallCaps/>
      <w:sz w:val="24"/>
      <w:szCs w:val="24"/>
    </w:rPr>
  </w:style>
  <w:style w:type="character" w:customStyle="1" w:styleId="ListLabel1">
    <w:name w:val="ListLabel 1"/>
    <w:rPr>
      <w:b/>
      <w:sz w:val="26"/>
    </w:rPr>
  </w:style>
  <w:style w:type="character" w:customStyle="1" w:styleId="ListLabel2">
    <w:name w:val="ListLabel 2"/>
    <w:rPr>
      <w:rFonts w:cs="OpenSymbol"/>
    </w:rPr>
  </w:style>
  <w:style w:type="character" w:customStyle="1" w:styleId="ListLabel3">
    <w:name w:val="ListLabel 3"/>
    <w:rPr>
      <w:rFonts w:cs="Courier New"/>
    </w:rPr>
  </w:style>
  <w:style w:type="character" w:customStyle="1" w:styleId="BalloonTextChar">
    <w:name w:val="Balloon Text Char"/>
    <w:rPr>
      <w:rFonts w:ascii="Segoe UI" w:eastAsia="SimSun" w:hAnsi="Segoe UI" w:cs="Segoe UI"/>
      <w:sz w:val="18"/>
      <w:szCs w:val="18"/>
      <w:lang w:val="en-GB"/>
    </w:rPr>
  </w:style>
  <w:style w:type="character" w:customStyle="1" w:styleId="CommentReference1">
    <w:name w:val="Comment Reference1"/>
    <w:rPr>
      <w:sz w:val="16"/>
      <w:szCs w:val="16"/>
    </w:rPr>
  </w:style>
  <w:style w:type="character" w:customStyle="1" w:styleId="CommentTextChar">
    <w:name w:val="Comment Text Char"/>
    <w:rPr>
      <w:rFonts w:ascii="Calibri" w:eastAsia="SimSun" w:hAnsi="Calibri" w:cs="font224"/>
      <w:lang w:val="en-GB"/>
    </w:rPr>
  </w:style>
  <w:style w:type="character" w:customStyle="1" w:styleId="CommentSubjectChar">
    <w:name w:val="Comment Subject Char"/>
    <w:rPr>
      <w:rFonts w:ascii="Calibri" w:eastAsia="SimSun" w:hAnsi="Calibri" w:cs="font224"/>
      <w:b/>
      <w:bCs/>
      <w:lang w:val="en-GB"/>
    </w:rPr>
  </w:style>
  <w:style w:type="character" w:customStyle="1" w:styleId="FootnoteTextChar">
    <w:name w:val="Footnote Text Char"/>
    <w:rPr>
      <w:rFonts w:ascii="Calibri" w:eastAsia="Calibri" w:hAnsi="Calibri" w:cs="Calibri"/>
    </w:rPr>
  </w:style>
  <w:style w:type="character" w:styleId="Hyperlink">
    <w:name w:val="Hyperlink"/>
    <w:rPr>
      <w:color w:val="0563C1"/>
      <w:u w:val="single"/>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ListLabel4">
    <w:name w:val="ListLabel 4"/>
    <w:rPr>
      <w:b/>
      <w:sz w:val="26"/>
    </w:rPr>
  </w:style>
  <w:style w:type="character" w:customStyle="1" w:styleId="ListLabel5">
    <w:name w:val="ListLabel 5"/>
    <w:rPr>
      <w:rFonts w:cs="OpenSymbol"/>
    </w:rPr>
  </w:style>
  <w:style w:type="character" w:customStyle="1" w:styleId="ListLabel6">
    <w:name w:val="ListLabel 6"/>
    <w:rPr>
      <w:rFonts w:cs="Courier New"/>
    </w:rPr>
  </w:style>
  <w:style w:type="character" w:customStyle="1" w:styleId="FootnoteCharacters">
    <w:name w:val="Footnote Characters"/>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link w:val="FootnotesymbolCarZchn"/>
    <w:uiPriority w:val="99"/>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Pagedecouverture">
    <w:name w:val="Page de couverture"/>
    <w:basedOn w:val="Normal"/>
    <w:pPr>
      <w:spacing w:after="0" w:line="100" w:lineRule="atLeast"/>
      <w:jc w:val="both"/>
    </w:pPr>
    <w:rPr>
      <w:rFonts w:ascii="Times New Roman" w:hAnsi="Times New Roman" w:cs="Times New Roman"/>
      <w:sz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CoverPage">
    <w:name w:val="Header Cover Page"/>
    <w:basedOn w:val="Normal"/>
    <w:pPr>
      <w:tabs>
        <w:tab w:val="center" w:pos="4535"/>
        <w:tab w:val="right" w:pos="9071"/>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qFormat/>
    <w:pPr>
      <w:spacing w:after="160" w:line="256" w:lineRule="auto"/>
      <w:ind w:left="720"/>
    </w:pPr>
    <w:rPr>
      <w:lang w:val="en-US"/>
    </w:r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SimSun" w:hAnsi="Calibri" w:cs="font224"/>
      <w:sz w:val="22"/>
      <w:szCs w:val="22"/>
      <w:lang w:eastAsia="ar-SA"/>
    </w:rPr>
  </w:style>
  <w:style w:type="paragraph" w:customStyle="1" w:styleId="FootnoteText1">
    <w:name w:val="Footnote Text1"/>
    <w:basedOn w:val="Normal"/>
    <w:pPr>
      <w:suppressAutoHyphens w:val="0"/>
      <w:spacing w:after="120"/>
      <w:jc w:val="both"/>
    </w:pPr>
    <w:rPr>
      <w:rFonts w:eastAsia="Calibri" w:cs="Calibri"/>
      <w:sz w:val="20"/>
      <w:szCs w:val="20"/>
    </w:rPr>
  </w:style>
  <w:style w:type="paragraph" w:customStyle="1" w:styleId="Text3">
    <w:name w:val="Text 3"/>
    <w:basedOn w:val="Normal"/>
    <w:pPr>
      <w:tabs>
        <w:tab w:val="left" w:pos="2302"/>
      </w:tabs>
      <w:suppressAutoHyphens w:val="0"/>
      <w:spacing w:after="240" w:line="100" w:lineRule="atLeast"/>
      <w:ind w:left="1916"/>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uppressAutoHyphens w:val="0"/>
      <w:spacing w:after="240" w:line="100" w:lineRule="atLeast"/>
      <w:ind w:left="1077"/>
      <w:jc w:val="both"/>
    </w:pPr>
    <w:rPr>
      <w:rFonts w:ascii="Times New Roman" w:eastAsia="Times New Roman" w:hAnsi="Times New Roman" w:cs="Times New Roman"/>
      <w:sz w:val="24"/>
      <w:szCs w:val="20"/>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uiPriority w:val="99"/>
    <w:qFormat/>
    <w:pPr>
      <w:suppressLineNumbers/>
      <w:ind w:left="283" w:hanging="283"/>
    </w:pPr>
    <w:rPr>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1"/>
    <w:uiPriority w:val="99"/>
    <w:unhideWhenUsed/>
    <w:rPr>
      <w:sz w:val="20"/>
      <w:szCs w:val="20"/>
    </w:rPr>
  </w:style>
  <w:style w:type="character" w:customStyle="1" w:styleId="CommentTextChar1">
    <w:name w:val="Comment Text Char1"/>
    <w:link w:val="CommentText"/>
    <w:uiPriority w:val="99"/>
    <w:rPr>
      <w:rFonts w:ascii="Calibri" w:eastAsia="SimSun" w:hAnsi="Calibri" w:cs="font224"/>
      <w:lang w:eastAsia="ar-SA"/>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uppressAutoHyphens w:val="0"/>
      <w:spacing w:after="160" w:line="240" w:lineRule="exact"/>
      <w:jc w:val="both"/>
    </w:pPr>
    <w:rPr>
      <w:rFonts w:ascii="Times New Roman" w:eastAsia="Times New Roman" w:hAnsi="Times New Roman" w:cs="Times New Roman"/>
      <w:sz w:val="20"/>
      <w:szCs w:val="20"/>
      <w:vertAlign w:val="superscript"/>
      <w:lang w:eastAsia="en-GB"/>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link w:val="CommentSubject"/>
    <w:uiPriority w:val="99"/>
    <w:semiHidden/>
    <w:rPr>
      <w:rFonts w:ascii="Calibri" w:eastAsia="SimSun" w:hAnsi="Calibri" w:cs="font224"/>
      <w:b/>
      <w:bCs/>
      <w:lang w:eastAsia="ar-SA"/>
    </w:rPr>
  </w:style>
  <w:style w:type="paragraph" w:styleId="NormalWeb">
    <w:name w:val="Normal (Web)"/>
    <w:basedOn w:val="Normal"/>
    <w:uiPriority w:val="99"/>
    <w:unhideWhenUsed/>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1723">
      <w:bodyDiv w:val="1"/>
      <w:marLeft w:val="0"/>
      <w:marRight w:val="0"/>
      <w:marTop w:val="0"/>
      <w:marBottom w:val="0"/>
      <w:divBdr>
        <w:top w:val="none" w:sz="0" w:space="0" w:color="auto"/>
        <w:left w:val="none" w:sz="0" w:space="0" w:color="auto"/>
        <w:bottom w:val="none" w:sz="0" w:space="0" w:color="auto"/>
        <w:right w:val="none" w:sz="0" w:space="0" w:color="auto"/>
      </w:divBdr>
    </w:div>
    <w:div w:id="473180486">
      <w:bodyDiv w:val="1"/>
      <w:marLeft w:val="0"/>
      <w:marRight w:val="0"/>
      <w:marTop w:val="0"/>
      <w:marBottom w:val="0"/>
      <w:divBdr>
        <w:top w:val="none" w:sz="0" w:space="0" w:color="auto"/>
        <w:left w:val="none" w:sz="0" w:space="0" w:color="auto"/>
        <w:bottom w:val="none" w:sz="0" w:space="0" w:color="auto"/>
        <w:right w:val="none" w:sz="0" w:space="0" w:color="auto"/>
      </w:divBdr>
    </w:div>
    <w:div w:id="733624383">
      <w:bodyDiv w:val="1"/>
      <w:marLeft w:val="0"/>
      <w:marRight w:val="0"/>
      <w:marTop w:val="0"/>
      <w:marBottom w:val="0"/>
      <w:divBdr>
        <w:top w:val="none" w:sz="0" w:space="0" w:color="auto"/>
        <w:left w:val="none" w:sz="0" w:space="0" w:color="auto"/>
        <w:bottom w:val="none" w:sz="0" w:space="0" w:color="auto"/>
        <w:right w:val="none" w:sz="0" w:space="0" w:color="auto"/>
      </w:divBdr>
    </w:div>
    <w:div w:id="9696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economy-finance/ip07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2F599D3-E623-4072-8320-D3AC633A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6917</Words>
  <Characters>38875</Characters>
  <Application>Microsoft Office Word</Application>
  <DocSecurity>0</DocSecurity>
  <Lines>571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HEILEMANN Stefanie (SG)</cp:lastModifiedBy>
  <cp:revision>20</cp:revision>
  <cp:lastPrinted>2019-12-11T17:53:00Z</cp:lastPrinted>
  <dcterms:created xsi:type="dcterms:W3CDTF">2019-12-16T16:11:00Z</dcterms:created>
  <dcterms:modified xsi:type="dcterms:W3CDTF">2019-12-17T08:41:00Z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CP-009</vt:lpwstr>
  </property>
  <property fmtid="{D5CDD505-2E9C-101B-9397-08002B2CF9AE}" pid="14" name="Last edited using">
    <vt:lpwstr>LW 7.0, Build 20190717</vt:lpwstr>
  </property>
  <property fmtid="{D5CDD505-2E9C-101B-9397-08002B2CF9AE}" pid="15" name="Created using">
    <vt:lpwstr>LW 7.0, Build 20190717</vt:lpwstr>
  </property>
</Properties>
</file>