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C9B" w:rsidRDefault="00EB074D" w:rsidP="00EB074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E6CC094-C13D-46C9-ACFA-3F92A2FB81BB" style="width:450.75pt;height:338.25pt">
            <v:imagedata r:id="rId11" o:title=""/>
          </v:shape>
        </w:pict>
      </w:r>
    </w:p>
    <w:p w:rsidR="00225C9B" w:rsidRDefault="00225C9B">
      <w:pPr>
        <w:rPr>
          <w:noProof/>
        </w:rPr>
        <w:sectPr w:rsidR="00225C9B" w:rsidSect="00EB074D">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225C9B" w:rsidRDefault="00EB074D">
      <w:pPr>
        <w:pStyle w:val="Statut"/>
        <w:rPr>
          <w:noProof/>
        </w:rPr>
      </w:pPr>
      <w:r>
        <w:rPr>
          <w:noProof/>
        </w:rPr>
        <w:lastRenderedPageBreak/>
        <w:t>Препоръка за</w:t>
      </w:r>
    </w:p>
    <w:p w:rsidR="00225C9B" w:rsidRDefault="00EB074D">
      <w:pPr>
        <w:pStyle w:val="Typedudocument"/>
        <w:rPr>
          <w:noProof/>
        </w:rPr>
      </w:pPr>
      <w:r>
        <w:rPr>
          <w:noProof/>
        </w:rPr>
        <w:t>ПРЕПОРЪКА НА СЪВЕТА</w:t>
      </w:r>
    </w:p>
    <w:p w:rsidR="00225C9B" w:rsidRDefault="00EB074D">
      <w:pPr>
        <w:pStyle w:val="Titreobjet"/>
        <w:rPr>
          <w:noProof/>
        </w:rPr>
      </w:pPr>
      <w:r>
        <w:rPr>
          <w:noProof/>
        </w:rPr>
        <w:t>относно икономическата политика на еврозоната</w:t>
      </w:r>
    </w:p>
    <w:p w:rsidR="00225C9B" w:rsidRDefault="00EB074D">
      <w:pPr>
        <w:pStyle w:val="Institutionquiagit"/>
        <w:rPr>
          <w:noProof/>
        </w:rPr>
      </w:pPr>
      <w:r>
        <w:rPr>
          <w:noProof/>
        </w:rPr>
        <w:t>СЪВЕТЪТ НА ЕВРОПЕЙСКИЯ СЪЮЗ,</w:t>
      </w:r>
    </w:p>
    <w:p w:rsidR="00225C9B" w:rsidRDefault="00EB074D">
      <w:pPr>
        <w:autoSpaceDE w:val="0"/>
        <w:autoSpaceDN w:val="0"/>
        <w:adjustRightInd w:val="0"/>
        <w:spacing w:after="0"/>
        <w:rPr>
          <w:noProof/>
        </w:rPr>
      </w:pPr>
      <w:r>
        <w:rPr>
          <w:noProof/>
        </w:rPr>
        <w:t xml:space="preserve">като взе предвид Договора за </w:t>
      </w:r>
      <w:r>
        <w:rPr>
          <w:noProof/>
        </w:rPr>
        <w:t>функционирането на Европейския съюз и по-специално член 136, във връзка с член 121, параграф 2 от него.</w:t>
      </w:r>
    </w:p>
    <w:p w:rsidR="00225C9B" w:rsidRDefault="00EB074D">
      <w:pPr>
        <w:autoSpaceDE w:val="0"/>
        <w:autoSpaceDN w:val="0"/>
        <w:adjustRightInd w:val="0"/>
        <w:spacing w:after="0"/>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w:t>
      </w:r>
      <w:r>
        <w:rPr>
          <w:noProof/>
        </w:rPr>
        <w:t>а икономическите политики</w:t>
      </w:r>
      <w:r>
        <w:rPr>
          <w:rStyle w:val="FootnoteReference"/>
          <w:noProof/>
        </w:rPr>
        <w:footnoteReference w:id="2"/>
      </w:r>
      <w:r>
        <w:rPr>
          <w:noProof/>
        </w:rPr>
        <w:t>, и по-специално член 5, параграф 2 от него,</w:t>
      </w:r>
    </w:p>
    <w:p w:rsidR="00225C9B" w:rsidRDefault="00EB074D">
      <w:pPr>
        <w:autoSpaceDE w:val="0"/>
        <w:autoSpaceDN w:val="0"/>
        <w:adjustRightInd w:val="0"/>
        <w:spacing w:after="0"/>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w:t>
      </w:r>
      <w:r>
        <w:rPr>
          <w:noProof/>
        </w:rPr>
        <w:t>специално член 6, параграф 1 от него,</w:t>
      </w:r>
    </w:p>
    <w:p w:rsidR="00225C9B" w:rsidRDefault="00EB074D">
      <w:pPr>
        <w:autoSpaceDE w:val="0"/>
        <w:autoSpaceDN w:val="0"/>
        <w:adjustRightInd w:val="0"/>
        <w:spacing w:after="0"/>
        <w:rPr>
          <w:noProof/>
        </w:rPr>
      </w:pPr>
      <w:r>
        <w:rPr>
          <w:noProof/>
        </w:rPr>
        <w:t>като взе предвид препоръката на Европейската комисия,</w:t>
      </w:r>
    </w:p>
    <w:p w:rsidR="00225C9B" w:rsidRDefault="00EB074D">
      <w:pPr>
        <w:autoSpaceDE w:val="0"/>
        <w:autoSpaceDN w:val="0"/>
        <w:adjustRightInd w:val="0"/>
        <w:spacing w:after="0"/>
        <w:rPr>
          <w:noProof/>
        </w:rPr>
      </w:pPr>
      <w:r>
        <w:rPr>
          <w:noProof/>
        </w:rPr>
        <w:t>като взе предвид заключенията на Европейския съвет,</w:t>
      </w:r>
    </w:p>
    <w:p w:rsidR="00225C9B" w:rsidRDefault="00EB074D">
      <w:pPr>
        <w:autoSpaceDE w:val="0"/>
        <w:autoSpaceDN w:val="0"/>
        <w:adjustRightInd w:val="0"/>
        <w:spacing w:after="0"/>
        <w:rPr>
          <w:noProof/>
        </w:rPr>
      </w:pPr>
      <w:r>
        <w:rPr>
          <w:noProof/>
        </w:rPr>
        <w:t>като взе предвид становището на Икономическия и финансов комитет,</w:t>
      </w:r>
    </w:p>
    <w:p w:rsidR="00225C9B" w:rsidRDefault="00EB074D">
      <w:pPr>
        <w:rPr>
          <w:noProof/>
        </w:rPr>
      </w:pPr>
      <w:r>
        <w:rPr>
          <w:noProof/>
        </w:rPr>
        <w:t xml:space="preserve">като взе предвид становището на Комитета за </w:t>
      </w:r>
      <w:r>
        <w:rPr>
          <w:noProof/>
        </w:rPr>
        <w:t>икономическа политика,</w:t>
      </w:r>
    </w:p>
    <w:p w:rsidR="00225C9B" w:rsidRDefault="00EB074D">
      <w:pPr>
        <w:rPr>
          <w:noProof/>
        </w:rPr>
      </w:pPr>
      <w:r>
        <w:rPr>
          <w:noProof/>
        </w:rPr>
        <w:t xml:space="preserve"> като има предвид, че: </w:t>
      </w:r>
    </w:p>
    <w:p w:rsidR="00225C9B" w:rsidRDefault="00EB074D">
      <w:pPr>
        <w:pStyle w:val="Point0"/>
        <w:rPr>
          <w:noProof/>
        </w:rPr>
      </w:pPr>
      <w:r>
        <w:rPr>
          <w:noProof/>
        </w:rPr>
        <w:t>(1)</w:t>
      </w:r>
      <w:r>
        <w:rPr>
          <w:noProof/>
        </w:rPr>
        <w:tab/>
        <w:t>В еврозоната икономическият растеж се запазва, но в перспектива съществуват взаимосвързани рискове и несигурност на хоризонта. Освен това съществува риск от допълнителен продължителен период на слаб растеж</w:t>
      </w:r>
      <w:r>
        <w:rPr>
          <w:noProof/>
        </w:rPr>
        <w:t xml:space="preserve"> и инфлация, породен от анемичната продуктивност и застаряването на населението. Въпреки че разликата между фактическия и потенциалния БВП стана положителна от 2017 г. насам и възлезе на 0,7 % от потенциалния БВП през 2018 г., потенциалният растеж ще остан</w:t>
      </w:r>
      <w:r>
        <w:rPr>
          <w:noProof/>
        </w:rPr>
        <w:t>е под равнищата отпреди кризата</w:t>
      </w:r>
      <w:r>
        <w:rPr>
          <w:rStyle w:val="FootnoteReference"/>
          <w:noProof/>
        </w:rPr>
        <w:footnoteReference w:id="4"/>
      </w:r>
      <w:r>
        <w:rPr>
          <w:noProof/>
        </w:rPr>
        <w:t xml:space="preserve">. През 2018 г. същинската инфлация остана в диапазона от 1—1½% и се очаква да се задържи на около 1½% през 2019 г., 2020 г. и 2021 г. Показателите на пазара на труда продължават да се подобряват, макар и с по-бавни темпове, </w:t>
      </w:r>
      <w:r>
        <w:rPr>
          <w:noProof/>
        </w:rPr>
        <w:t xml:space="preserve">а растежът на заетостта се очаква да се забави допълнително. Остават и предизвикателствата по отношение на качеството на работните места. Затвърди се растежът на номиналните заплати, който достигна около 2¼% през 2018 г. след няколко години под 2,0 % и се </w:t>
      </w:r>
      <w:r>
        <w:rPr>
          <w:noProof/>
        </w:rPr>
        <w:t>очаква да достигне около 2½% през 2019 г., но да се понижи до 2¼% през 2020—2021 г. Въпреки добрите условия на пазара на труда, реалният растеж на заплатите се увеличи бавно, оставайки слаб — под 1 % през 2018 г. и 2019 г., и се очаква да бъде съответно 0,</w:t>
      </w:r>
      <w:r>
        <w:rPr>
          <w:noProof/>
        </w:rPr>
        <w:t xml:space="preserve">7 % и 0,8 % за 2020 г. и 2021 г. Прогнозира се излишъкът по текущата сметка на еврозоната да намалее. Държавите членки с дефицит ограничиха или обърнаха </w:t>
      </w:r>
      <w:r>
        <w:rPr>
          <w:noProof/>
        </w:rPr>
        <w:lastRenderedPageBreak/>
        <w:t>своите дефицити по текущата сметка, макар да продължават да регистрират големи отрицателни НМИП</w:t>
      </w:r>
      <w:r>
        <w:rPr>
          <w:rStyle w:val="FootnoteReference"/>
          <w:noProof/>
        </w:rPr>
        <w:footnoteReference w:id="5"/>
      </w:r>
      <w:r>
        <w:rPr>
          <w:noProof/>
        </w:rPr>
        <w:t>. Същев</w:t>
      </w:r>
      <w:r>
        <w:rPr>
          <w:noProof/>
        </w:rPr>
        <w:t>ременно някои държави членки продължават да поддържат постоянно големи излишъци по текущата сметка и поради това продължават да увеличават нетните си международни инвестиционни позиции (НМИП). Динамиката на текущата сметка в еврозоната е засегната от отсла</w:t>
      </w:r>
      <w:r>
        <w:rPr>
          <w:noProof/>
        </w:rPr>
        <w:t>бването на външното търсене, особено за ориентираните към износ държави членки с големи излишъци по текущата сметка, които са силно зависими от чуждестранното търсене на износ.</w:t>
      </w:r>
    </w:p>
    <w:p w:rsidR="00225C9B" w:rsidRDefault="00EB074D">
      <w:pPr>
        <w:pStyle w:val="Point0"/>
        <w:rPr>
          <w:noProof/>
        </w:rPr>
      </w:pPr>
      <w:r>
        <w:rPr>
          <w:noProof/>
        </w:rPr>
        <w:t>(2)</w:t>
      </w:r>
      <w:r>
        <w:rPr>
          <w:noProof/>
        </w:rPr>
        <w:tab/>
        <w:t>За увеличаването на потенциала за растеж, като същевременно се гарантират е</w:t>
      </w:r>
      <w:r>
        <w:rPr>
          <w:noProof/>
        </w:rPr>
        <w:t>кологична и социална устойчивост и постигане на реално сближаване между държавите членки от еврозоната, са необходими структурни реформи за укрепване на устойчивия растеж и инвестициите в материални и нематериални активи с цел повишаване на производителнос</w:t>
      </w:r>
      <w:r>
        <w:rPr>
          <w:noProof/>
        </w:rPr>
        <w:t>тта. Това ще помогне по-специално на онези държави членки, чийто потенциал за растеж е очевидно по-слаб от средния за еврозоната. Това ще бъде необходимо също така, за да се предотврати настъпването в икономиката на еврозоната на продължителен период на сл</w:t>
      </w:r>
      <w:r>
        <w:rPr>
          <w:noProof/>
        </w:rPr>
        <w:t>аб потенциал за растеж и производителност, ниска инфлация на цените и слабо увеличение на заплатите, както и нарастващи неравенства. Реформите и инвестициите продължават да бъдат от решаващо значение, за да се гарантира, че еврозоната възобновява динамикат</w:t>
      </w:r>
      <w:r>
        <w:rPr>
          <w:noProof/>
        </w:rPr>
        <w:t>а си на растеж, преодолява по-силния натиск в средносрочен и дългосрочен план, произтичащ също от влошаването на демографията, и улеснява прехода към устойчива икономика, което ще помогне на еврозоната и нейните държави членки да постигнат целите за устойч</w:t>
      </w:r>
      <w:r>
        <w:rPr>
          <w:noProof/>
        </w:rPr>
        <w:t xml:space="preserve">иво развитие на Организацията на обединените нации. </w:t>
      </w:r>
    </w:p>
    <w:p w:rsidR="00225C9B" w:rsidRDefault="00EB074D">
      <w:pPr>
        <w:pStyle w:val="Point0"/>
        <w:rPr>
          <w:noProof/>
        </w:rPr>
      </w:pPr>
      <w:r>
        <w:rPr>
          <w:noProof/>
        </w:rPr>
        <w:t>(3)</w:t>
      </w:r>
      <w:r>
        <w:rPr>
          <w:noProof/>
        </w:rPr>
        <w:tab/>
        <w:t>Икономическото въздействие на изменението на климата става видимо — един от най-големите системни рискове, пред които са изправени днес световната икономика, финансовите системи и обществата. Все по-</w:t>
      </w:r>
      <w:r>
        <w:rPr>
          <w:noProof/>
        </w:rPr>
        <w:t>често се наблюдават рискове за световната икономика от изменението на климата и в по-общ план от влошаването на състоянието на околната среда и те ще се отразят на най-уязвимите групи в нашите общества. Ако тези рискове не са посрещнати от подходящи мерки,</w:t>
      </w:r>
      <w:r>
        <w:rPr>
          <w:noProof/>
        </w:rPr>
        <w:t xml:space="preserve"> това може да има отрицателни последици за устойчивостта на нашите икономики, за приобщаването и за потенциала за дългосрочен растеж. В този контекст от съществено значение ще бъдат инвестициите и създаването на регулаторни и финансови условия за организир</w:t>
      </w:r>
      <w:r>
        <w:rPr>
          <w:noProof/>
        </w:rPr>
        <w:t>ан преход към устойчива икономика. Ако към тях се подходи правилно, предизвикателствата в областта на околната среда и климата представляват също така възможност за съживяване на европейската икономика с цел постигане на устойчиво развитие. В тази връзка К</w:t>
      </w:r>
      <w:r>
        <w:rPr>
          <w:noProof/>
        </w:rPr>
        <w:t>омисията предложи Европейски зелен пакт като стратегия на Европа за растеж, която ще включва първия европейски законодателен акт в областта на климата, чрез който целта за неутралност по отношение на климата до 2050 г. ще залегне в законодателството. В същ</w:t>
      </w:r>
      <w:r>
        <w:rPr>
          <w:noProof/>
        </w:rPr>
        <w:t>ото време при прехода към зелена икономика ще трябва да се вземе предвид въздействието върху различните части на обществото. Инвестициите за улесняване на прехода към устойчива икономика ще трябва да бъдат придружени от инвестиции в умения и подкрепа за пр</w:t>
      </w:r>
      <w:r>
        <w:rPr>
          <w:noProof/>
        </w:rPr>
        <w:t xml:space="preserve">еходите от едно работно място към друго, за да се гарантира, че всички граждани се възползват от предимствата на технологичните </w:t>
      </w:r>
      <w:r>
        <w:rPr>
          <w:noProof/>
        </w:rPr>
        <w:lastRenderedPageBreak/>
        <w:t xml:space="preserve">промени, особено в секторите и регионите, които изостават в цифровите и зелени преходи. </w:t>
      </w:r>
    </w:p>
    <w:p w:rsidR="00225C9B" w:rsidRDefault="00EB074D">
      <w:pPr>
        <w:pStyle w:val="Point0"/>
        <w:rPr>
          <w:noProof/>
        </w:rPr>
      </w:pPr>
      <w:r>
        <w:rPr>
          <w:noProof/>
        </w:rPr>
        <w:t>(4)</w:t>
      </w:r>
      <w:r>
        <w:rPr>
          <w:noProof/>
        </w:rPr>
        <w:tab/>
        <w:t>Мобилизирането на публични и частни</w:t>
      </w:r>
      <w:r>
        <w:rPr>
          <w:noProof/>
        </w:rPr>
        <w:t xml:space="preserve"> средства за инвестиции в прехода към зелена и цифрова икономика може да спомогне за постигането на растеж в краткосрочен план и за посрещането на дългосрочните предизвикателства, пред които са изправени нашите икономики. Въпреки че цифровата революция мож</w:t>
      </w:r>
      <w:r>
        <w:rPr>
          <w:noProof/>
        </w:rPr>
        <w:t>е да разкрие възможности по отношение на производителността, растежа и създаването на работни места, тя може също така да създаде предизвикателства, по-специално за по-малко квалифицираните работници, които не разполагат с умения да работят с нови технолог</w:t>
      </w:r>
      <w:r>
        <w:rPr>
          <w:noProof/>
        </w:rPr>
        <w:t>ии. Различната скорост, с която държавите членки от еврозоната осъществяват прехода към цифрова икономика, би могла да се окаже значителен риск за сближаването и макроикономическата стабилност. Този риск би могъл да се увеличи поради силните агломерационни</w:t>
      </w:r>
      <w:r>
        <w:rPr>
          <w:noProof/>
        </w:rPr>
        <w:t xml:space="preserve"> ефекти, от които често се възползват големите градове, и динамиката на принципа „победителят получава всичко“, която често се среща в областта на цифровите технологии, а това може да допринесе за неравенството и да окаже отрицателно въздействие върху сбли</w:t>
      </w:r>
      <w:r>
        <w:rPr>
          <w:noProof/>
        </w:rPr>
        <w:t xml:space="preserve">жаването. Инвестициите следва да бъдат насочени към осъществяването на научни изследвания и иновации, но също така и към по-широко разпространение на иновациите в цялата икономика. </w:t>
      </w:r>
    </w:p>
    <w:p w:rsidR="00225C9B" w:rsidRDefault="00EB074D">
      <w:pPr>
        <w:pStyle w:val="Point0"/>
        <w:rPr>
          <w:noProof/>
        </w:rPr>
      </w:pPr>
      <w:r>
        <w:rPr>
          <w:noProof/>
        </w:rPr>
        <w:t>(5)</w:t>
      </w:r>
      <w:r>
        <w:rPr>
          <w:noProof/>
        </w:rPr>
        <w:tab/>
        <w:t>Една по-координирана инвестиционна стратегия, съчетана с по-големи уси</w:t>
      </w:r>
      <w:r>
        <w:rPr>
          <w:noProof/>
        </w:rPr>
        <w:t>лия за реформи на равнището на еврозоната, ще бъде от основно значение за подпомагането на растежа и ще отговори на дългосрочните предизвикателства, като например изменението на климата и трансформацията на технологиите. Бюджетният инструмент за сближаване</w:t>
      </w:r>
      <w:r>
        <w:rPr>
          <w:noProof/>
        </w:rPr>
        <w:t xml:space="preserve"> и конкурентоспособност, който ще бъде включен в Програмата за подкрепа на реформите, ще осигури финансова подкрепа за държавите членки от еврозоната при изпълнението на пакетите от реформи и инвестиции. InvestEU, който ще допринесе също за Плана за инвест</w:t>
      </w:r>
      <w:r>
        <w:rPr>
          <w:noProof/>
        </w:rPr>
        <w:t>иции за устойчива Европа, има за цел също така да мобилизира най-малко 650 милиарда евро допълнителни инвестиции за насърчаване на иновациите и създаването на работни места в ЕС, включително чрез финансиране на устойчива инфраструктура. Фондовете на полити</w:t>
      </w:r>
      <w:r>
        <w:rPr>
          <w:noProof/>
        </w:rPr>
        <w:t>ката на сближаване, които са от основно значение за подпомагане на нашите региони и селските райони, също играят роля в климатичния и технологичен преход, като насърчават устойчивото развитие. Европейската инвестиционна банка вече заделя за инвестиции в об</w:t>
      </w:r>
      <w:r>
        <w:rPr>
          <w:noProof/>
        </w:rPr>
        <w:t>ластта на климата 25 % от цялото си финансиране и обяви намерението си да увеличи двойно този дял. За да се постигнат целите на Съюза за устойчивост, от съществено значение ще бъде да се осъществяват инвестиционни проекти на национално и поднационално равн</w:t>
      </w:r>
      <w:r>
        <w:rPr>
          <w:noProof/>
        </w:rPr>
        <w:t>ище, които обхващат приспособяването към изменението на климата и смекчаването на последиците от него, енергийния преход, декарбонизацията или кръговата икономика. Инвестициите в мрежови индустрии и инфраструктури могат да спомогнат за подобряване на конку</w:t>
      </w:r>
      <w:r>
        <w:rPr>
          <w:noProof/>
        </w:rPr>
        <w:t>рентоспособността на еврозоната и за насърчаване на прехода към по-устойчив транспорт. Освен това инвестициите в нематериални активи като научноизследователска и развойна дейност и умения биха били от възлово значение за подготовката на пазара на труда в е</w:t>
      </w:r>
      <w:r>
        <w:rPr>
          <w:noProof/>
        </w:rPr>
        <w:t xml:space="preserve">врозоната за бъдещите предизвикателства. </w:t>
      </w:r>
    </w:p>
    <w:p w:rsidR="00225C9B" w:rsidRDefault="00EB074D">
      <w:pPr>
        <w:pStyle w:val="Point0"/>
        <w:rPr>
          <w:noProof/>
        </w:rPr>
      </w:pPr>
      <w:r>
        <w:rPr>
          <w:noProof/>
        </w:rPr>
        <w:t>(6)</w:t>
      </w:r>
      <w:r>
        <w:rPr>
          <w:noProof/>
        </w:rPr>
        <w:tab/>
        <w:t xml:space="preserve">Последиците от икономическата експанзия през последните години не бяха усетени равномерно в държавите членки и между регионите и отделните </w:t>
      </w:r>
      <w:r>
        <w:rPr>
          <w:noProof/>
        </w:rPr>
        <w:lastRenderedPageBreak/>
        <w:t>държави. Въпреки че равнищата на разполагаемия доход напоследък се пови</w:t>
      </w:r>
      <w:r>
        <w:rPr>
          <w:noProof/>
        </w:rPr>
        <w:t>шиха, те остават под равнищата отпреди кризата в няколко държави членки от еврозоната. Броят на хората, изложени на риск от бедност и социално изключване, намалява в повечето държави членки и понастоящем е с 5 милиона души под върховата си стойност от 2012</w:t>
      </w:r>
      <w:r>
        <w:rPr>
          <w:noProof/>
        </w:rPr>
        <w:t> г., но остава над равнищата от 2008 г. в еврозоната. След период на нарастващи разлики, през последните няколко години някои държави членки се доближиха до тези с най-високи постижения по критерия БВП на глава от населението. Въпреки това делът на най-вис</w:t>
      </w:r>
      <w:r>
        <w:rPr>
          <w:noProof/>
        </w:rPr>
        <w:t>оките доходи бавно се увеличи през последното десетилетие, а между държавите членки продължават да са налице големи различия. За да се насърчи сближаването във възходяща посока в държавите членки и между тях, ще е важно да се насърчават политики, чиято цел</w:t>
      </w:r>
      <w:r>
        <w:rPr>
          <w:noProof/>
        </w:rPr>
        <w:t xml:space="preserve"> е да повишат както ефективността, така и справедливостта, в съответствие с целите за устойчиво развитие. Те водят до по-добри макроикономически резултати с по-равномерно разпределени ползи за обществото като цяло, което също спомага за укрепване на сближа</w:t>
      </w:r>
      <w:r>
        <w:rPr>
          <w:noProof/>
        </w:rPr>
        <w:t>ването в еврозоната.</w:t>
      </w:r>
    </w:p>
    <w:p w:rsidR="00225C9B" w:rsidRDefault="00EB074D">
      <w:pPr>
        <w:pStyle w:val="Point0"/>
        <w:rPr>
          <w:noProof/>
        </w:rPr>
      </w:pPr>
      <w:r>
        <w:rPr>
          <w:noProof/>
        </w:rPr>
        <w:t>(7)</w:t>
      </w:r>
      <w:r>
        <w:rPr>
          <w:noProof/>
        </w:rPr>
        <w:tab/>
        <w:t>Съгласуваността и балансираното съчетание от макроикономически политики на еврозоната, сред които паричната, фискалната и структурната политика, са от решаващо значение, за да се гарантира стабилен, приобщаващ и устойчив икономичес</w:t>
      </w:r>
      <w:r>
        <w:rPr>
          <w:noProof/>
        </w:rPr>
        <w:t xml:space="preserve">ки растеж и да се реагира ефективно на трайната слаба инфлация, неблагоприятните перспективи и рисковете за дългосрочния растеж. Европейската централна банка поддържа гъвкава парична политика, за да подпомогне инфлацията да се приближи до средносрочната ѝ </w:t>
      </w:r>
      <w:r>
        <w:rPr>
          <w:noProof/>
        </w:rPr>
        <w:t xml:space="preserve">цел, като в същото време подкрепя растежа и създаването на работни места. Фискалната политика трябва да допълва паричната политика, както и структурните реформи в различните сектори, включително необходимите за завършване на структурата на Икономическия и </w:t>
      </w:r>
      <w:r>
        <w:rPr>
          <w:noProof/>
        </w:rPr>
        <w:t>паричен съюз (ИПС).</w:t>
      </w:r>
    </w:p>
    <w:p w:rsidR="00225C9B" w:rsidRDefault="00EB074D">
      <w:pPr>
        <w:pStyle w:val="Point0"/>
        <w:rPr>
          <w:noProof/>
        </w:rPr>
      </w:pPr>
      <w:r>
        <w:rPr>
          <w:noProof/>
        </w:rPr>
        <w:t>(8)</w:t>
      </w:r>
      <w:r>
        <w:rPr>
          <w:noProof/>
        </w:rPr>
        <w:tab/>
        <w:t>Координирането на националните фискални политики при пълно зачитане на Пакта за стабилност и растеж, като същевременно се вземат предвид наличното фискално пространство и ефекти в отделните държави, подкрепя правилното функциониране</w:t>
      </w:r>
      <w:r>
        <w:rPr>
          <w:noProof/>
        </w:rPr>
        <w:t xml:space="preserve"> на ИПС. Очаква се фискалната позиция на еврозоната да бъде от неутрална като цяло до леко експанзионистична през 2020 г. и 2021 г. В същото време националните фискални политики продължават да бъдат недостатъчно диференцирани с оглед на наличното фискално </w:t>
      </w:r>
      <w:r>
        <w:rPr>
          <w:noProof/>
        </w:rPr>
        <w:t xml:space="preserve">пространство в държавите членки. Провеждането на разумни фискални политики от държавите членки с високи равнища на публичен дълг ще намали публичния дълг, ще намали уязвимостта им към сътресения и ще даде възможност за пълното задействане на автоматичните </w:t>
      </w:r>
      <w:r>
        <w:rPr>
          <w:noProof/>
        </w:rPr>
        <w:t>стабилизатори в случай на икономически спад. От друга страна, допълнителното стимулиране на инвестициите и на други производствени разходи в държавите членки с благоприятна бюджетна позиция би подкрепило растежа в краткосрочен и средносрочен план, като същ</w:t>
      </w:r>
      <w:r>
        <w:rPr>
          <w:noProof/>
        </w:rPr>
        <w:t>евременно ще допринесе за възстановяването на баланса на икономиката на еврозоната. В случай на влошаващи се перспективи, за да се поддържа растежът в краткосрочен план, е важно постигането на експанзионистична фискална позиция на съвкупно равнище, съсредо</w:t>
      </w:r>
      <w:r>
        <w:rPr>
          <w:noProof/>
        </w:rPr>
        <w:t xml:space="preserve">точена върху производствените разходи, при следване на политики, зачитащи напълно Пакта за стабилност и растеж, отчитащи специфичните за всяка държава обстоятелства и избягващи, доколкото е възможно, процикличността . </w:t>
      </w:r>
    </w:p>
    <w:p w:rsidR="00225C9B" w:rsidRDefault="00EB074D">
      <w:pPr>
        <w:pStyle w:val="Point0"/>
        <w:rPr>
          <w:noProof/>
        </w:rPr>
      </w:pPr>
      <w:r>
        <w:rPr>
          <w:noProof/>
        </w:rPr>
        <w:lastRenderedPageBreak/>
        <w:t>(9)</w:t>
      </w:r>
      <w:r>
        <w:rPr>
          <w:noProof/>
        </w:rPr>
        <w:tab/>
        <w:t>Фискалните структурни реформи про</w:t>
      </w:r>
      <w:r>
        <w:rPr>
          <w:noProof/>
        </w:rPr>
        <w:t xml:space="preserve">дължават да бъдат от решаващо значение за подобряване на фискалната устойчивост, укрепване на потенциала за растеж и създаване на условия за ефективни фискални политики в случай на икономически спад. Добре функциониращите национални фискални рамки, заедно </w:t>
      </w:r>
      <w:r>
        <w:rPr>
          <w:noProof/>
        </w:rPr>
        <w:t>с редовните и задълбочени прегледи на разходите и ефективните и прозрачни обществени поръчки, могат да повишат ефикасността и ефективността на публичните разходи и да подобрят надеждността и качеството на фискалните политики. Подобряването на състава на на</w:t>
      </w:r>
      <w:r>
        <w:rPr>
          <w:noProof/>
        </w:rPr>
        <w:t>ционалните бюджети както по отношение на приходите, така и по отношение на разходите, включително пренасочването на ресурси към инвестициите чрез създаването на стратегии за публични инвестиции, ще увеличи въздействието на публичните бюджети върху растежа,</w:t>
      </w:r>
      <w:r>
        <w:rPr>
          <w:noProof/>
        </w:rPr>
        <w:t xml:space="preserve"> ще повиши производителността и ще започне да посреща дългосрочните предизвикателства на зелената и цифровата икономика. Опростяването и модернизирането на данъчните системи и борбата с данъчните измами, отклонението от данъчно облагане и избягването на да</w:t>
      </w:r>
      <w:r>
        <w:rPr>
          <w:noProof/>
        </w:rPr>
        <w:t>нъци чрез предприемането на мерки срещу агресивното данъчно планиране са от съществено значение за това данъчните системи да станат по-ефикасни и по-справедливи. Лекотата, с която мобилните ресурси могат да се движат в рамките на еврозоната, увеличава възм</w:t>
      </w:r>
      <w:r>
        <w:rPr>
          <w:noProof/>
        </w:rPr>
        <w:t>ожностите за данъчна конкуренция. Поради това координацията между държавите членки е от съществено значение за справяне с прехвърлянето на печалби, прекомерната данъчна конкуренция и цялостната надпревара за достигане на най-ниски равнища по отношение на к</w:t>
      </w:r>
      <w:r>
        <w:rPr>
          <w:noProof/>
        </w:rPr>
        <w:t>орпоративното данъчно облагане. Постигането на споразумение за обща консолидирана основа за облагане с корпоративен данък, както и споразумение за преглед на разпределението на печалбата между държавите и за гарантиране на минимално ефективно данъчно облаг</w:t>
      </w:r>
      <w:r>
        <w:rPr>
          <w:noProof/>
        </w:rPr>
        <w:t>ане ще бъдат от решаващо значение в това начинание. Данъчната тежест в еврозоната е относително висока и е ориентирана към труда, като данъците върху недвижимите имоти или околната среда представляват много малък дял от данъчните приходи. Последните два об</w:t>
      </w:r>
      <w:r>
        <w:rPr>
          <w:noProof/>
        </w:rPr>
        <w:t>аче могат да бъдат по-малко вредни за растежа и за предлагането и търсенето на работна ръка и могат да допринесат за устойчив растеж, като стимулират „по-екологосъобразно“ поведение от страна на потребителите и производителите. При данъчното облагане трябв</w:t>
      </w:r>
      <w:r>
        <w:rPr>
          <w:noProof/>
        </w:rPr>
        <w:t>а да се взема по-добре предвид измерението, свързано с климата, и да се отчитат по по-последователен начин въглеродните емисии и изместването им. По тази причина, за да бъде подпомогнат преходът към зелена икономика, ще бъде предложено да се насърчи разраб</w:t>
      </w:r>
      <w:r>
        <w:rPr>
          <w:noProof/>
        </w:rPr>
        <w:t>отването на бюджетни политики, които водят до ангажименти в областта на околната среда, и да бъде преразгледана Директивата за данъчно облагане на енергийните продукти и електроенергията, както и, при необходимост, да се създаде механизъм за корекция на въ</w:t>
      </w:r>
      <w:r>
        <w:rPr>
          <w:noProof/>
        </w:rPr>
        <w:t xml:space="preserve">глеродните емисии на границите, с цел да бъде избегнато изместването на въглеродни емисии и за да се запазят равнопоставените условия на конкуренция с предприятията от трети държави. </w:t>
      </w:r>
    </w:p>
    <w:p w:rsidR="00225C9B" w:rsidRDefault="00EB074D">
      <w:pPr>
        <w:pStyle w:val="Point0"/>
        <w:rPr>
          <w:noProof/>
        </w:rPr>
      </w:pPr>
      <w:r>
        <w:rPr>
          <w:noProof/>
        </w:rPr>
        <w:t>(10)</w:t>
      </w:r>
      <w:r>
        <w:rPr>
          <w:noProof/>
        </w:rPr>
        <w:tab/>
        <w:t>Структурните и институционалните реформи, които увеличават конкурен</w:t>
      </w:r>
      <w:r>
        <w:rPr>
          <w:noProof/>
        </w:rPr>
        <w:t xml:space="preserve">цията на продуктовите пазари, насърчават ефективното използване на ресурсите, подобряват бизнес средата и качеството на публичните администрации, </w:t>
      </w:r>
      <w:r>
        <w:rPr>
          <w:noProof/>
          <w:color w:val="1F497D"/>
        </w:rPr>
        <w:t>включително ефективността на правораздаването</w:t>
      </w:r>
      <w:r>
        <w:rPr>
          <w:noProof/>
        </w:rPr>
        <w:t>, са важни за устойчивостта на държавите членки от еврозоната. Ус</w:t>
      </w:r>
      <w:r>
        <w:rPr>
          <w:noProof/>
        </w:rPr>
        <w:t xml:space="preserve">тойчивите икономически структури пречат на сътресенията да оказват значително и дълготрайно въздействие върху доходите и предлагането на работна ръка и могат да улеснят </w:t>
      </w:r>
      <w:r>
        <w:rPr>
          <w:noProof/>
        </w:rPr>
        <w:lastRenderedPageBreak/>
        <w:t>функционирането на фискалната и паричната политика и да ограничат различията, особено в</w:t>
      </w:r>
      <w:r>
        <w:rPr>
          <w:noProof/>
        </w:rPr>
        <w:t xml:space="preserve"> периоди на спад, създавайки по-благоприятни условия за устойчив и приобщаващ растеж. По-доброто координиране и изпълнение на структурните реформи, по-специално на тези, които са предвидени в специфичните за всяка държава препоръки, може да предизвика разп</w:t>
      </w:r>
      <w:r>
        <w:rPr>
          <w:noProof/>
        </w:rPr>
        <w:t xml:space="preserve">ространение на положителни ефекти сред държавите членки. В това отношение националните съвети по производителността могат да играят важна роля за увеличаване на ангажираността с реформите и за подобряване на изпълнението им. Необходими са и реформи, за да </w:t>
      </w:r>
      <w:r>
        <w:rPr>
          <w:noProof/>
        </w:rPr>
        <w:t>се посрещнат дългосрочните предизвикателства като климатичния преход и технологичната трансформация. Задълбочаването на интеграцията на единния пазар, която се доказа като основен двигател на растежа и сближаването между държавите членки, също може да допр</w:t>
      </w:r>
      <w:r>
        <w:rPr>
          <w:noProof/>
        </w:rPr>
        <w:t>инесе за повишаване на производителността.</w:t>
      </w:r>
    </w:p>
    <w:p w:rsidR="00225C9B" w:rsidRDefault="00EB074D">
      <w:pPr>
        <w:pStyle w:val="Point0"/>
        <w:rPr>
          <w:noProof/>
        </w:rPr>
      </w:pPr>
      <w:r>
        <w:rPr>
          <w:noProof/>
        </w:rPr>
        <w:t>(11)</w:t>
      </w:r>
      <w:r>
        <w:rPr>
          <w:noProof/>
        </w:rPr>
        <w:tab/>
        <w:t>Европейският стълб на социалните права определя двадесет принципа за насърчаване на равните възможности и достъпа до пазара на труда, справедливите условия на труд и социалната закрила и социалното приобщаван</w:t>
      </w:r>
      <w:r>
        <w:rPr>
          <w:noProof/>
        </w:rPr>
        <w:t>е. Той е замислен като ориентир за насърчаване на сближаването във възходяща посока с цел постигане на по-добри условия на труд и живот. По-силните и по-приобщаващи икономики и общества могат на свой ред да насърчат устойчивостта на Съюза и еврозоната. Реф</w:t>
      </w:r>
      <w:r>
        <w:rPr>
          <w:noProof/>
        </w:rPr>
        <w:t>ормите и инвестициите в умения, преходите от едно работно място към друго и по-ефективната социална закрила също са важни, за да съпътстват справедливия и честен преход към екологична и цифрова икономика. Пълното прилагане на стълба на всички равнища, като</w:t>
      </w:r>
      <w:r>
        <w:rPr>
          <w:noProof/>
        </w:rPr>
        <w:t xml:space="preserve"> се вземат надлежно предвид съответните компетенции, ще бъде от съществено значение за насърчаване на сближаването във възходяща посока. </w:t>
      </w:r>
    </w:p>
    <w:p w:rsidR="00225C9B" w:rsidRDefault="00EB074D">
      <w:pPr>
        <w:pStyle w:val="Point0"/>
        <w:rPr>
          <w:noProof/>
        </w:rPr>
      </w:pPr>
      <w:r>
        <w:rPr>
          <w:noProof/>
        </w:rPr>
        <w:t>(12)</w:t>
      </w:r>
      <w:r>
        <w:rPr>
          <w:noProof/>
        </w:rPr>
        <w:tab/>
        <w:t>Реформите, които увеличават участието на пазара на труда, насърчават създаването на качествени работни места, под</w:t>
      </w:r>
      <w:r>
        <w:rPr>
          <w:noProof/>
        </w:rPr>
        <w:t>крепят успешните преминавания от едно работно място на друго, намаляват сегментирането и насърчават социалния диалог, могат да спомогнат за насърчаване на приобщаващия растеж, подобряване на икономическата устойчивост и автоматичното стабилизиране, намаляв</w:t>
      </w:r>
      <w:r>
        <w:rPr>
          <w:noProof/>
        </w:rPr>
        <w:t>ане на неравенствата и преодоляване на бедността и социалното изключване. Индивидуализираната подкрепа за намиране на работа, обучението и преквалификацията са от възлово значение за насърчаване на навременното реинтегриране на търсещите работа лица. Достъ</w:t>
      </w:r>
      <w:r>
        <w:rPr>
          <w:noProof/>
        </w:rPr>
        <w:t>път до висококачествено образование и обучение през целия жизнен цикъл изисква подходящи инвестиции с цел подобряване на човешкия капитал и уменията, включително с оглед на цифровия и зеления преход. Това допринася за подобряване на пригодността за заетост</w:t>
      </w:r>
      <w:r>
        <w:rPr>
          <w:noProof/>
        </w:rPr>
        <w:t>, производителността, капацитета за иновации и заплатите в средносрочен и дългосрочен план, като по този начин се повишава устойчивостта на еврозоната. Законодателството в областта на защитата на заетостта трябва да предвижда справедливи и достойни условия</w:t>
      </w:r>
      <w:r>
        <w:rPr>
          <w:noProof/>
        </w:rPr>
        <w:t xml:space="preserve"> на труд за всички работници, особено с оглед на възникващите атипични форми на заетост, съпроводени от нови възможности, но също и от предизвикателства, свързани със сигурността на работното място и социалната закрила. Ефективните и устойчиви системи за с</w:t>
      </w:r>
      <w:r>
        <w:rPr>
          <w:noProof/>
        </w:rPr>
        <w:t xml:space="preserve">оциална закрила са от решаващо значение за осигуряването на подходящи доходи и достъп до качествени услуги. Пенсионните реформи и политиките за постигане на равновесие между професионалния и личния живот могат значително да насърчат участието на пазара на </w:t>
      </w:r>
      <w:r>
        <w:rPr>
          <w:noProof/>
        </w:rPr>
        <w:t xml:space="preserve">труда, като запазят дългосрочната устойчивост </w:t>
      </w:r>
      <w:r>
        <w:rPr>
          <w:noProof/>
        </w:rPr>
        <w:lastRenderedPageBreak/>
        <w:t xml:space="preserve">на европейските системи за социална сигурност. Изместването на данъчното облагане от труда би могло уместно да бъде насочено по-специално към ниските доходи и втория работещ член на домакинството. Участието на </w:t>
      </w:r>
      <w:r>
        <w:rPr>
          <w:noProof/>
        </w:rPr>
        <w:t>социалните партньори в заетостта, социалните и икономическите реформи е от решаващо значение за засилване на ангажираността и за подкрепа на изпълнението на реформите.</w:t>
      </w:r>
    </w:p>
    <w:p w:rsidR="00225C9B" w:rsidRDefault="00EB074D">
      <w:pPr>
        <w:pStyle w:val="Point0"/>
        <w:rPr>
          <w:noProof/>
        </w:rPr>
      </w:pPr>
      <w:r>
        <w:rPr>
          <w:noProof/>
        </w:rPr>
        <w:t>(13)</w:t>
      </w:r>
      <w:r>
        <w:rPr>
          <w:noProof/>
        </w:rPr>
        <w:tab/>
        <w:t xml:space="preserve">Устойчивостта на финансовия сектор в еврозоната се увеличи в периода след кризата, </w:t>
      </w:r>
      <w:r>
        <w:rPr>
          <w:noProof/>
        </w:rPr>
        <w:t>но продължават да са налице уязвимости. Дългът на предприятията и домакинствата продължава да бъде голям в няколко държави, като в много случаи националните данъчни системи все още съдържат склонност към задлъжняване. Необходимостта от адаптиране на бизнес</w:t>
      </w:r>
      <w:r>
        <w:rPr>
          <w:noProof/>
        </w:rPr>
        <w:t xml:space="preserve"> моделите на банките, условията на ниски лихвени проценти и увеличаването на конкуренцията от други форми на финансиране продължават да оказват натиск върху конкурентоспособността на банките. Постигнат бе устойчив напредък в намаляването на риска, по-специ</w:t>
      </w:r>
      <w:r>
        <w:rPr>
          <w:noProof/>
        </w:rPr>
        <w:t>ално във връзка с намаляването на необслужваните заеми. Въпреки това, в държавите, в които необслужваните заеми продължават да бъдат доста големи, за тях са необходими по-нататъшни постоянни усилия, и всички държави членки следва да въведат подходящи полит</w:t>
      </w:r>
      <w:r>
        <w:rPr>
          <w:noProof/>
        </w:rPr>
        <w:t>ики, предотвратяващи натрупването на необслужвани заеми. През март 2018 г. Комисията представи пакет от мерки за намаляване на риска, за да бъде улеснено както управлението на наследените необслужвани заеми, така и да се предотврати бъдещото им натрупване.</w:t>
      </w:r>
      <w:r>
        <w:rPr>
          <w:noProof/>
        </w:rPr>
        <w:t xml:space="preserve"> Като част от законодателните мерки относно необслужваните заеми през април 2019 г.</w:t>
      </w:r>
      <w:r>
        <w:rPr>
          <w:rStyle w:val="FootnoteReference"/>
          <w:noProof/>
        </w:rPr>
        <w:footnoteReference w:id="6"/>
      </w:r>
      <w:r>
        <w:rPr>
          <w:noProof/>
        </w:rPr>
        <w:t xml:space="preserve"> беше приет регламент, с който се въвежда „задължителен пруденциален предпазен механизъм“, за да се предотврати рискът от недостиг на провизии за бъдещи необслужвани заеми;</w:t>
      </w:r>
      <w:r>
        <w:rPr>
          <w:noProof/>
        </w:rPr>
        <w:t xml:space="preserve"> трябва да се постигне допълнителен напредък, за да продължи решаването на проблема с необслужваните заеми, по-специално като се напредне по проекта за директива относно вторичните пазари за необслужвани заеми. Както се подчертава в докладите на Комисията </w:t>
      </w:r>
      <w:r>
        <w:rPr>
          <w:noProof/>
        </w:rPr>
        <w:t>относно борбата с изпирането на пари, публикувани през юли 2019 г.</w:t>
      </w:r>
      <w:r>
        <w:rPr>
          <w:rStyle w:val="FootnoteReference"/>
          <w:noProof/>
        </w:rPr>
        <w:footnoteReference w:id="7"/>
      </w:r>
      <w:r>
        <w:rPr>
          <w:noProof/>
        </w:rPr>
        <w:t>, в Съюза е необходим по-всеобхватен подход за борба с изпирането на пари и финансирането на терористични дейности, за да бъдат отстранени установените структурни недостатъци. За тази цел е</w:t>
      </w:r>
      <w:r>
        <w:rPr>
          <w:noProof/>
        </w:rPr>
        <w:t xml:space="preserve"> необходимо, по-специално, по-стриктно правоприлагане и по-добър надзор чрез по-единно действие на ЕС.</w:t>
      </w:r>
    </w:p>
    <w:p w:rsidR="00225C9B" w:rsidRDefault="00EB074D">
      <w:pPr>
        <w:pStyle w:val="Point0"/>
        <w:rPr>
          <w:noProof/>
        </w:rPr>
      </w:pPr>
      <w:r>
        <w:rPr>
          <w:noProof/>
        </w:rPr>
        <w:t>(14)</w:t>
      </w:r>
      <w:r>
        <w:rPr>
          <w:noProof/>
        </w:rPr>
        <w:tab/>
        <w:t>Отбелязан бе напредък в реализирането на банковия съюз, включително чрез неотдавнашното споразумение относно привеждането в действие на общия механи</w:t>
      </w:r>
      <w:r>
        <w:rPr>
          <w:noProof/>
        </w:rPr>
        <w:t>зъм за подкрепа за Единния фонд за преструктуриране, но той все още не е завършен. Беше създадена работна група на високо равнище, която да продължи техническата работа за започване на политическите преговори за създаване на европейска схема за застрахован</w:t>
      </w:r>
      <w:r>
        <w:rPr>
          <w:noProof/>
        </w:rPr>
        <w:t xml:space="preserve">е на депозитите (ЕСЗД). Тази дейност трябва да приключи предвид значението на ЕСЗД за изграждането на стабилен банков съюз, както и в рамките на по-широката структура на ИПС, която налага да бъдат взети предвид всички елементи, които са от значение и </w:t>
      </w:r>
      <w:r>
        <w:rPr>
          <w:noProof/>
        </w:rPr>
        <w:lastRenderedPageBreak/>
        <w:t>благо</w:t>
      </w:r>
      <w:r>
        <w:rPr>
          <w:noProof/>
        </w:rPr>
        <w:t>приятстват стабилността и ефективността на европейския банков сектор. Накрая, Комисията постигна резултати от всички действия, обявени във връзка със съюза на капиталовите пазари. Понякога обаче липсваше конкретна подкрепа за определени законодателни досие</w:t>
      </w:r>
      <w:r>
        <w:rPr>
          <w:noProof/>
        </w:rPr>
        <w:t>та, поради което са необходими подновени усилия за отстраняването на правните, данъчните и регулаторните пречки пред създаването на съюз на капиталовите пазари, по-специално по отношение на правилата за достъп до финансиране, несъстоятелност, надзор и данъ</w:t>
      </w:r>
      <w:r>
        <w:rPr>
          <w:noProof/>
        </w:rPr>
        <w:t>чни различия, както и за постигане на по-ефективен надзор от страна на ЕС. Ролята и функционирането на националните пазари на държавни облигации трябва също да бъде оценена, за да бъде прекъсната така наречената връзка между банките и държавата.</w:t>
      </w:r>
    </w:p>
    <w:p w:rsidR="00225C9B" w:rsidRDefault="00EB074D">
      <w:pPr>
        <w:pStyle w:val="Point0"/>
        <w:rPr>
          <w:noProof/>
        </w:rPr>
      </w:pPr>
      <w:r>
        <w:rPr>
          <w:noProof/>
        </w:rPr>
        <w:t>(15)</w:t>
      </w:r>
      <w:r>
        <w:rPr>
          <w:noProof/>
        </w:rPr>
        <w:tab/>
        <w:t>За ук</w:t>
      </w:r>
      <w:r>
        <w:rPr>
          <w:noProof/>
        </w:rPr>
        <w:t xml:space="preserve">репването на структурата на ИПС е необходимо приоритетно да се изпълнят действията, посочени в изявлението от декември 2019 г. на срещата на върха на държавите от еврозоната, но също предложенията на Комисията, с които се определят допълнителни стъпки към </w:t>
      </w:r>
      <w:r>
        <w:rPr>
          <w:noProof/>
        </w:rPr>
        <w:t>завършването на ИПС. В съобщението от юни 2019 г. относно „Задълбочаване на европейския икономически и паричен съюз: равносметка четири години след доклада на петимата председатели“ се представя актуалното състояние и се очертават областите, в които усилия</w:t>
      </w:r>
      <w:r>
        <w:rPr>
          <w:noProof/>
        </w:rPr>
        <w:t>та за реформи следва да се съсредоточат в краткосрочен и средносрочен план. С политическото споразумение за бюджетния инструмент за сближаване и конкурентоспособност в еврозоната бе постигнат известен напредък в икономическия съюз. Продължават дискусиите з</w:t>
      </w:r>
      <w:r>
        <w:rPr>
          <w:noProof/>
        </w:rPr>
        <w:t>а подобряване на набора от инструменти на Европейския механизъм за стабилност и за преразглеждане на договора за създаването му. В Съвета обаче не се проведоха обсъждания относно функция за фискална стабилизация на еврозоната, нито за реформа на управление</w:t>
      </w:r>
      <w:r>
        <w:rPr>
          <w:noProof/>
        </w:rPr>
        <w:t>то на еврозоната. Комисията възнамерява да предложи европейска презастрахователна схема за обезщетения при безработица с цел гражданите да бъдат защитени по-добре в случай на икономически сътресения.</w:t>
      </w:r>
    </w:p>
    <w:p w:rsidR="00225C9B" w:rsidRDefault="00EB074D">
      <w:pPr>
        <w:pStyle w:val="Point0"/>
        <w:rPr>
          <w:noProof/>
        </w:rPr>
      </w:pPr>
      <w:r>
        <w:rPr>
          <w:noProof/>
        </w:rPr>
        <w:t>(16)</w:t>
      </w:r>
      <w:r>
        <w:rPr>
          <w:noProof/>
        </w:rPr>
        <w:tab/>
        <w:t>Завършването на ИПС ще доведе до по-добри макроикон</w:t>
      </w:r>
      <w:r>
        <w:rPr>
          <w:noProof/>
        </w:rPr>
        <w:t>омически резултати. Ако остане незавършен, ИПС ще възпрепятства финансовата интеграция. Това ограничава възможностите за финансиране на така необходимите инвестиции с цел насърчаване на приобщаваща, продуктивна, устойчива и стабилна икономика. Един незавър</w:t>
      </w:r>
      <w:r>
        <w:rPr>
          <w:noProof/>
        </w:rPr>
        <w:t>шен ИПС възпрепятства също безпроблемното функциониране на трансмисионните механизми на паричната политика в еврозоната и ограничава способността на Европа да определя своята икономическа съдба. Освен това липсата на централна функция за фискална стабилиза</w:t>
      </w:r>
      <w:r>
        <w:rPr>
          <w:noProof/>
        </w:rPr>
        <w:t>ция значително отслабва антицикличния фискален капацитет на еврозоната. Още нещо: преходът към междуправителствени решения не беше съпътстван от подходяща отчетност на равнище ЕС. Поради това подобренията в управлението на органите от еврозоната ще бъдат о</w:t>
      </w:r>
      <w:r>
        <w:rPr>
          <w:noProof/>
        </w:rPr>
        <w:t>т основно значение за повишаване на демократичната отчетност. Укрепването на ИПС е от възлово значение, за да се засили влиянието на Европа в света, да се развие международната роля на еврото и да се допринесе за отворена, многостранна и основана на правил</w:t>
      </w:r>
      <w:r>
        <w:rPr>
          <w:noProof/>
        </w:rPr>
        <w:t>а световна икономика. Важно е обсъжданията да продължат да се провеждат по открит и прозрачен начин спрямо държавите членки извън еврозоната при пълно зачитане на вътрешния пазар на Съюза.</w:t>
      </w:r>
    </w:p>
    <w:p w:rsidR="00225C9B" w:rsidRDefault="00EB074D">
      <w:pPr>
        <w:pStyle w:val="Formuledadoption"/>
        <w:rPr>
          <w:noProof/>
        </w:rPr>
      </w:pPr>
      <w:r>
        <w:rPr>
          <w:noProof/>
        </w:rPr>
        <w:lastRenderedPageBreak/>
        <w:t>ПРЕПОРЪЧВА на държавите членки от еврозоната да предприемат, заедно</w:t>
      </w:r>
      <w:r>
        <w:rPr>
          <w:noProof/>
        </w:rPr>
        <w:t xml:space="preserve"> и поотделно в рамките на Еврогрупата, следните действия за периода 2020—2021 г.:</w:t>
      </w:r>
    </w:p>
    <w:p w:rsidR="00225C9B" w:rsidRDefault="00EB074D">
      <w:pPr>
        <w:pStyle w:val="ManualNumPar1"/>
        <w:rPr>
          <w:noProof/>
          <w:szCs w:val="24"/>
        </w:rPr>
      </w:pPr>
      <w:r>
        <w:rPr>
          <w:noProof/>
        </w:rPr>
        <w:t>1.</w:t>
      </w:r>
      <w:r>
        <w:rPr>
          <w:noProof/>
        </w:rPr>
        <w:tab/>
        <w:t>В държавите членки от еврозоната с дефицит по текущата сметка или с голям външен дълг да продължат реформите за повишаване на конкурентоспособността и намаляване на външни</w:t>
      </w:r>
      <w:r>
        <w:rPr>
          <w:noProof/>
        </w:rPr>
        <w:t>я дълг. В държавите членки от еврозоната с големи излишъци по текущата сметка да укрепят условията за подпомагане на растежа на заплатите при зачитане на ролята на социалните партньори и да изпълняват мерки за насърчаване на публичните и частните инвестици</w:t>
      </w:r>
      <w:r>
        <w:rPr>
          <w:noProof/>
        </w:rPr>
        <w:t xml:space="preserve">и. Всички държави членки да насърчават производителността, като подобряват бизнес средата и качеството на институциите, повишават устойчивостта чрез подобряване на функционирането на пазарите на стоки и услуги, особено чрез задълбочаване на единния пазар. </w:t>
      </w:r>
      <w:r>
        <w:rPr>
          <w:noProof/>
        </w:rPr>
        <w:t xml:space="preserve">Да подкрепят справедливия и приобщаващ преход към конкурентна зелена и цифрова икономика посредством материални и нематериални инвестиции, както публични, така и частни. </w:t>
      </w:r>
    </w:p>
    <w:p w:rsidR="00225C9B" w:rsidRDefault="00EB074D">
      <w:pPr>
        <w:pStyle w:val="ManualNumPar1"/>
        <w:rPr>
          <w:noProof/>
        </w:rPr>
      </w:pPr>
      <w:r>
        <w:rPr>
          <w:noProof/>
        </w:rPr>
        <w:t>2.</w:t>
      </w:r>
      <w:r>
        <w:rPr>
          <w:noProof/>
        </w:rPr>
        <w:tab/>
        <w:t>Държавите членки с високи равнища на задлъжнялост да следват разумни политики, кои</w:t>
      </w:r>
      <w:r>
        <w:rPr>
          <w:noProof/>
        </w:rPr>
        <w:t>то да ориентират по надежден начин публичния дълг към устойчива низходяща тенденция. Държавите членки, които разполагат с благоприятна фискална позиция, да я използват за допълнително насърчаване на висококачествените инвестиции. В случай на влошаващи се п</w:t>
      </w:r>
      <w:r>
        <w:rPr>
          <w:noProof/>
        </w:rPr>
        <w:t>ерспективи, да постигнат експанзионистична фискална позиция на съвкупно равнище, при следване на политики, зачитащи напълно Пакта за стабилност и растеж, вземащи под внимание специфичните за всяка държава обстоятелства, и да избягват, доколкото е възможно,</w:t>
      </w:r>
      <w:r>
        <w:rPr>
          <w:noProof/>
        </w:rPr>
        <w:t xml:space="preserve"> процикличността, както и да имат готовност да координират политиките в еврогрупата. Да подобрят ефективността на националните фискални уредби и качеството на публичните финанси и да приемат благоприятстващи растежа данъчни и бюджетни мерки, които да укреп</w:t>
      </w:r>
      <w:r>
        <w:rPr>
          <w:noProof/>
        </w:rPr>
        <w:t xml:space="preserve">ват устойчивостта на икономиката. Да подкрепят и изпълняват действията на ЕС за борба с агресивното данъчно планиране и да спрат надпреварата за достигане на най-ниски равнища в корпоративното данъчно облагане. </w:t>
      </w:r>
    </w:p>
    <w:p w:rsidR="00225C9B" w:rsidRDefault="00EB074D">
      <w:pPr>
        <w:pStyle w:val="ManualNumPar1"/>
        <w:rPr>
          <w:noProof/>
        </w:rPr>
      </w:pPr>
      <w:r>
        <w:rPr>
          <w:noProof/>
        </w:rPr>
        <w:t>3.</w:t>
      </w:r>
      <w:r>
        <w:rPr>
          <w:noProof/>
        </w:rPr>
        <w:tab/>
        <w:t>Да укрепят системите за образование и обу</w:t>
      </w:r>
      <w:r>
        <w:rPr>
          <w:noProof/>
        </w:rPr>
        <w:t>чение и инвестициите в умения. Да повишат ефективността на активните политики на пазара на труда, които подкрепят интеграцията на пазара на труда и успешното преминаване от едно работно място на друго, включително към повече цифрови и екологосъобразни рабо</w:t>
      </w:r>
      <w:r>
        <w:rPr>
          <w:noProof/>
        </w:rPr>
        <w:t>тни места. Да насърчават участието на пазара на труда, включително на жените, и да изместят данъците от труда, по-специално за лицата с ниски доходи и вторите работещи членове на домакинството. Да насърчават създаването на качествени работни места, справед</w:t>
      </w:r>
      <w:r>
        <w:rPr>
          <w:noProof/>
        </w:rPr>
        <w:t xml:space="preserve">ливи условия на труд и да преодолеят сегментацията на пазара на труда. Да подобрят достъпа до адекватни и устойчиви системи за социална закрила. Да повишат ефективността на социалния диалог и да насърчават колективното договаряне. </w:t>
      </w:r>
    </w:p>
    <w:p w:rsidR="00225C9B" w:rsidRDefault="00EB074D">
      <w:pPr>
        <w:pStyle w:val="ManualNumPar1"/>
        <w:rPr>
          <w:noProof/>
        </w:rPr>
      </w:pPr>
      <w:r>
        <w:rPr>
          <w:noProof/>
        </w:rPr>
        <w:t>4.</w:t>
      </w:r>
      <w:r>
        <w:rPr>
          <w:noProof/>
        </w:rPr>
        <w:tab/>
        <w:t>Да завършват изгражда</w:t>
      </w:r>
      <w:r>
        <w:rPr>
          <w:noProof/>
        </w:rPr>
        <w:t>нето на банковия съюз, като започнат политически преговори за европейската схема за застраховане на депозитите, да предприемат стъпки за подобряване на управлението на кризи и приведат в действие разпоредбите относно ликвидността при режим на преструктурир</w:t>
      </w:r>
      <w:r>
        <w:rPr>
          <w:noProof/>
        </w:rPr>
        <w:t xml:space="preserve">ане и механизма за подкрепа за Единния фонд за преструктуриране. Да укрепят европейската регулаторна и надзорна рамка, включително като засилят надзора и спазването на правилата за борба с изпирането на пари. Да насърчават </w:t>
      </w:r>
      <w:r>
        <w:rPr>
          <w:noProof/>
        </w:rPr>
        <w:lastRenderedPageBreak/>
        <w:t>системното намаляване на задлъжня</w:t>
      </w:r>
      <w:r>
        <w:rPr>
          <w:noProof/>
        </w:rPr>
        <w:t>лостта там, където са налице високи равнища на частен дълг, включително като премахнат склонността към задлъжняване. Да продължат да позволяват бързо понижаване на равнището на необслужваните заеми от банките в еврозоната и да предотвратят тяхното натрупва</w:t>
      </w:r>
      <w:r>
        <w:rPr>
          <w:noProof/>
        </w:rPr>
        <w:t>не. Да подновяват усилията за завършване на съюза на капиталовите пазари.</w:t>
      </w:r>
    </w:p>
    <w:p w:rsidR="00225C9B" w:rsidRDefault="00EB074D">
      <w:pPr>
        <w:pStyle w:val="ManualNumPar1"/>
        <w:rPr>
          <w:noProof/>
        </w:rPr>
      </w:pPr>
      <w:r>
        <w:rPr>
          <w:noProof/>
        </w:rPr>
        <w:t>5.</w:t>
      </w:r>
      <w:r>
        <w:rPr>
          <w:noProof/>
        </w:rPr>
        <w:tab/>
        <w:t>Да осъществят амбициозен напредък в задълбочаването на Икономическия и паричен съюз, като постигнат бързи резултати от действията, посочени в изявлението от срещата на високо равн</w:t>
      </w:r>
      <w:r>
        <w:rPr>
          <w:noProof/>
        </w:rPr>
        <w:t>ище на държавите от еврозоната през декември 2019 г., и да напреднат по всички други аспекти с перспективата за бъде укрепена международната роля на еврото и да бъдат утвърдени европейските икономически интереси в световен план. Да задълбочат Икономическия</w:t>
      </w:r>
      <w:r>
        <w:rPr>
          <w:noProof/>
        </w:rPr>
        <w:t xml:space="preserve"> и паричен съюз и да укрепят неговата демократична отчетност при пълно зачитане на вътрешния пазар на Съюза и по открит и прозрачен начин спрямо държавите членки извън еврозоната.</w:t>
      </w:r>
    </w:p>
    <w:p w:rsidR="00225C9B" w:rsidRDefault="00EB074D" w:rsidP="00EB074D">
      <w:pPr>
        <w:pStyle w:val="Fait"/>
        <w:rPr>
          <w:noProof/>
        </w:rPr>
      </w:pPr>
      <w:r w:rsidRPr="00EB074D">
        <w:t>Съставено в Страсбург на 17.12.2019 година.</w:t>
      </w:r>
    </w:p>
    <w:p w:rsidR="00225C9B" w:rsidRDefault="00EB074D">
      <w:pPr>
        <w:pStyle w:val="Institutionquisigne"/>
        <w:rPr>
          <w:noProof/>
        </w:rPr>
      </w:pPr>
      <w:r>
        <w:rPr>
          <w:noProof/>
        </w:rPr>
        <w:tab/>
      </w:r>
      <w:r>
        <w:rPr>
          <w:noProof/>
        </w:rPr>
        <w:t>За Съвета</w:t>
      </w:r>
    </w:p>
    <w:p w:rsidR="00225C9B" w:rsidRPr="00EB074D" w:rsidRDefault="00EB074D">
      <w:pPr>
        <w:pStyle w:val="Personnequisigne"/>
        <w:rPr>
          <w:noProof/>
        </w:rPr>
      </w:pPr>
      <w:r>
        <w:rPr>
          <w:noProof/>
        </w:rPr>
        <w:tab/>
        <w:t>Председател</w:t>
      </w:r>
    </w:p>
    <w:sectPr w:rsidR="00225C9B" w:rsidRPr="00EB074D" w:rsidSect="00EB074D">
      <w:footerReference w:type="defaul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9B" w:rsidRDefault="00EB074D">
      <w:pPr>
        <w:spacing w:before="0" w:after="0"/>
      </w:pPr>
      <w:r>
        <w:separator/>
      </w:r>
    </w:p>
  </w:endnote>
  <w:endnote w:type="continuationSeparator" w:id="0">
    <w:p w:rsidR="00225C9B" w:rsidRDefault="00EB074D">
      <w:pPr>
        <w:spacing w:before="0" w:after="0"/>
      </w:pPr>
      <w:r>
        <w:continuationSeparator/>
      </w:r>
    </w:p>
  </w:endnote>
  <w:endnote w:type="continuationNotice" w:id="1">
    <w:p w:rsidR="00225C9B" w:rsidRDefault="00225C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C9B" w:rsidRPr="00EB074D" w:rsidRDefault="00EB074D" w:rsidP="00EB074D">
    <w:pPr>
      <w:pStyle w:val="Footer"/>
      <w:rPr>
        <w:rFonts w:ascii="Arial" w:hAnsi="Arial" w:cs="Arial"/>
        <w:b/>
        <w:sz w:val="48"/>
      </w:rPr>
    </w:pPr>
    <w:r w:rsidRPr="00EB074D">
      <w:rPr>
        <w:rFonts w:ascii="Arial" w:hAnsi="Arial" w:cs="Arial"/>
        <w:b/>
        <w:sz w:val="48"/>
      </w:rPr>
      <w:t>BG</w:t>
    </w:r>
    <w:r w:rsidRPr="00EB074D">
      <w:rPr>
        <w:rFonts w:ascii="Arial" w:hAnsi="Arial" w:cs="Arial"/>
        <w:b/>
        <w:sz w:val="48"/>
      </w:rPr>
      <w:tab/>
    </w:r>
    <w:r w:rsidRPr="00EB074D">
      <w:rPr>
        <w:rFonts w:ascii="Arial" w:hAnsi="Arial" w:cs="Arial"/>
        <w:b/>
        <w:sz w:val="48"/>
      </w:rPr>
      <w:tab/>
    </w:r>
    <w:r w:rsidRPr="00EB074D">
      <w:tab/>
    </w:r>
    <w:r w:rsidRPr="00EB074D">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Footer"/>
      <w:rPr>
        <w:rFonts w:ascii="Arial" w:hAnsi="Arial" w:cs="Arial"/>
        <w:b/>
        <w:sz w:val="48"/>
      </w:rPr>
    </w:pPr>
    <w:r w:rsidRPr="00EB074D">
      <w:rPr>
        <w:rFonts w:ascii="Arial" w:hAnsi="Arial" w:cs="Arial"/>
        <w:b/>
        <w:sz w:val="48"/>
      </w:rPr>
      <w:t>BG</w:t>
    </w:r>
    <w:r w:rsidRPr="00EB074D">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rsidRPr="00EB074D">
      <w:tab/>
    </w:r>
    <w:r w:rsidRPr="00EB074D">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9B" w:rsidRDefault="00EB074D">
      <w:pPr>
        <w:spacing w:before="0" w:after="0"/>
      </w:pPr>
      <w:r>
        <w:separator/>
      </w:r>
    </w:p>
  </w:footnote>
  <w:footnote w:type="continuationSeparator" w:id="0">
    <w:p w:rsidR="00225C9B" w:rsidRDefault="00EB074D">
      <w:pPr>
        <w:spacing w:before="0" w:after="0"/>
      </w:pPr>
      <w:r>
        <w:continuationSeparator/>
      </w:r>
    </w:p>
  </w:footnote>
  <w:footnote w:type="continuationNotice" w:id="1">
    <w:p w:rsidR="00225C9B" w:rsidRDefault="00225C9B">
      <w:pPr>
        <w:spacing w:before="0" w:after="0"/>
      </w:pPr>
    </w:p>
  </w:footnote>
  <w:footnote w:id="2">
    <w:p w:rsidR="00225C9B" w:rsidRDefault="00EB074D">
      <w:pPr>
        <w:pStyle w:val="FootnoteText"/>
      </w:pPr>
      <w:r>
        <w:rPr>
          <w:rStyle w:val="FootnoteReference"/>
        </w:rPr>
        <w:footnoteRef/>
      </w:r>
      <w:r>
        <w:tab/>
        <w:t>ОВ L 209, 2.8.1997 ., стр. 1.</w:t>
      </w:r>
    </w:p>
  </w:footnote>
  <w:footnote w:id="3">
    <w:p w:rsidR="00225C9B" w:rsidRDefault="00EB074D">
      <w:pPr>
        <w:pStyle w:val="FootnoteText"/>
      </w:pPr>
      <w:r>
        <w:rPr>
          <w:rStyle w:val="FootnoteReference"/>
        </w:rPr>
        <w:footnoteRef/>
      </w:r>
      <w:r>
        <w:tab/>
        <w:t>ОВ L 306, 23.11.2011 г., стр. 25.</w:t>
      </w:r>
    </w:p>
  </w:footnote>
  <w:footnote w:id="4">
    <w:p w:rsidR="00225C9B" w:rsidRDefault="00EB074D">
      <w:pPr>
        <w:pStyle w:val="FootnoteText"/>
      </w:pPr>
      <w:r>
        <w:rPr>
          <w:rStyle w:val="FootnoteReference"/>
        </w:rPr>
        <w:footnoteRef/>
      </w:r>
      <w:r>
        <w:tab/>
        <w:t>Всички прогнозни данни в този документ са от прогнозата на Европейската комисия от есента на 2019 г.</w:t>
      </w:r>
    </w:p>
  </w:footnote>
  <w:footnote w:id="5">
    <w:p w:rsidR="00225C9B" w:rsidRDefault="00EB074D">
      <w:pPr>
        <w:pStyle w:val="FootnoteText"/>
      </w:pPr>
      <w:r>
        <w:rPr>
          <w:rStyle w:val="FootnoteReference"/>
        </w:rPr>
        <w:footnoteRef/>
      </w:r>
      <w:r>
        <w:tab/>
        <w:t>Европейска комисия (2019 г.), Доклад за меха</w:t>
      </w:r>
      <w:r>
        <w:t>низма за предупреждение за 2020 г., COM(2019) 651 final.</w:t>
      </w:r>
    </w:p>
  </w:footnote>
  <w:footnote w:id="6">
    <w:p w:rsidR="00225C9B" w:rsidRDefault="00EB074D">
      <w:pPr>
        <w:pStyle w:val="FootnoteText"/>
        <w:tabs>
          <w:tab w:val="left" w:pos="284"/>
        </w:tabs>
        <w:ind w:left="142" w:hanging="142"/>
      </w:pPr>
      <w:r>
        <w:rPr>
          <w:rStyle w:val="FootnoteReference"/>
        </w:rPr>
        <w:footnoteRef/>
      </w:r>
      <w:r>
        <w:tab/>
        <w:t xml:space="preserve">Регламент (ЕС) 2019/630 на Европейския парламент и на Съвета от 17 април 2019 г. за изменение на Регламент (ЕС) № 575/2013 по отношение на минималното покритие за загуби за необслужвани експозиции </w:t>
      </w:r>
      <w:r>
        <w:t>(ОВ L 111, 25.4.2019 г., стр.4).</w:t>
      </w:r>
    </w:p>
  </w:footnote>
  <w:footnote w:id="7">
    <w:p w:rsidR="00225C9B" w:rsidRDefault="00EB074D">
      <w:pPr>
        <w:pStyle w:val="FootnoteText"/>
        <w:tabs>
          <w:tab w:val="left" w:pos="284"/>
        </w:tabs>
        <w:ind w:left="142" w:hanging="142"/>
      </w:pPr>
      <w:r>
        <w:rPr>
          <w:rStyle w:val="FootnoteReference"/>
        </w:rPr>
        <w:footnoteRef/>
      </w:r>
      <w:r>
        <w:tab/>
        <w:t xml:space="preserve">Съобщение на Комисията до Европейския парламент и Съвета от 24 юли 2019 г. </w:t>
      </w:r>
      <w:r>
        <w:br/>
        <w:t>Към по-добро прилагане на уредбата на ЕС за борба с изпирането на пари и с финансирането на тероризма, COM (2019) 360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74D" w:rsidRPr="00EB074D" w:rsidRDefault="00EB074D" w:rsidP="00EB0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20 16:01: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8E6CC094-C13D-46C9-ACFA-3F92A2FB81BB"/>
    <w:docVar w:name="LW_COVERPAGE_TYPE" w:val="1"/>
    <w:docVar w:name="LW_CROSSREFERENCE" w:val="{SWD(2019) 631 final}"/>
    <w:docVar w:name="LW_DocType" w:val="COM"/>
    <w:docVar w:name="LW_EMISSION" w:val="17.12.2019"/>
    <w:docVar w:name="LW_EMISSION_ISODATE" w:val="2019-12-17"/>
    <w:docVar w:name="LW_EMISSION_LOCATION" w:val="STR"/>
    <w:docVar w:name="LW_EMISSION_PREFIX" w:val="\u1057?\u1090?\u1088?\u1072?\u1089?\u1073?\u1091?\u1088?\u1075?, "/>
    <w:docVar w:name="LW_EMISSION_SUFFIX" w:val=" \u1075?."/>
    <w:docVar w:name="LW_ID_DOCMODEL" w:val="SG-002"/>
    <w:docVar w:name="LW_ID_DOCSIGNATURE" w:val="SG-002"/>
    <w:docVar w:name="LW_ID_DOCSTRUCTURE" w:val="COM/PL/ORG/NOEEA"/>
    <w:docVar w:name="LW_ID_DOCTYPE" w:val="SG-002"/>
    <w:docVar w:name="LW_ID_EXP.MOTIFS.NEW" w:val="EM_PL_"/>
    <w:docVar w:name="LW_ID_STATUT" w:val="SG-00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86?\u1090?\u1085?\u1086?\u1089?\u1085?\u1086? \u1080?\u1082?\u1086?\u1085?\u1086?\u1084?\u1080?\u1095?\u1077?\u1089?\u1082?\u1072?\u1090?\u1072? \u1087?\u1086?\u1083?\u1080?\u1090?\u1080?\u1082?\u1072? \u1085?\u1072? \u1077?\u1074?\u1088?\u1086?\u1079?\u1086?\u1085?\u1072?\u1090?\u1072?"/>
    <w:docVar w:name="LW_TITRE.OBJ.CP" w:val="\u1086?\u1090?\u1085?\u1086?\u1089?\u1085?\u1086? \u1080?\u1082?\u1086?\u1085?\u1086?\u1084?\u1080?\u1095?\u1077?\u1089?\u1082?\u1072?\u1090?\u1072? \u1087?\u1086?\u1083?\u1080?\u1090?\u1080?\u1082?\u1072? \u1085?\u1072? \u1077?\u1074?\u1088?\u1086?\u1079?\u1086?\u1085?\u1072?\u1090?\u1072?"/>
    <w:docVar w:name="LW_TYPE.DOC" w:val="\u1055?\u1056?\u1045?\u1055?\u1054?\u1056?\u1066?\u1050?\u1040? \u1053?\u1040? \u1057?\u1066?\u1042?\u1045?\u1058?\u1040?"/>
    <w:docVar w:name="LW_TYPE.DOC.CP" w:val="\u1055?\u1056?\u1045?\u1055?\u1054?\u1056?\u1066?\u1050?\u1040? \u1053?\u1040? \u1057?\u1066?\u1042?\u1045?\u1058?\u1040?"/>
  </w:docVars>
  <w:rsids>
    <w:rsidRoot w:val="00225C9B"/>
    <w:rsid w:val="00225C9B"/>
    <w:rsid w:val="00EB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5:docId w15:val="{5E06AC3C-7D09-4BDF-972D-4114768B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EB074D"/>
    <w:pPr>
      <w:tabs>
        <w:tab w:val="center" w:pos="4535"/>
        <w:tab w:val="right" w:pos="9071"/>
      </w:tabs>
      <w:spacing w:before="0"/>
    </w:pPr>
  </w:style>
  <w:style w:type="character" w:customStyle="1" w:styleId="HeaderChar">
    <w:name w:val="Header Char"/>
    <w:basedOn w:val="DefaultParagraphFont"/>
    <w:link w:val="Header"/>
    <w:uiPriority w:val="99"/>
    <w:rsid w:val="00EB074D"/>
    <w:rPr>
      <w:rFonts w:ascii="Times New Roman" w:hAnsi="Times New Roman" w:cs="Times New Roman"/>
      <w:sz w:val="24"/>
      <w:lang w:val="bg-BG"/>
    </w:rPr>
  </w:style>
  <w:style w:type="paragraph" w:styleId="Footer">
    <w:name w:val="footer"/>
    <w:basedOn w:val="Normal"/>
    <w:link w:val="FooterChar"/>
    <w:uiPriority w:val="99"/>
    <w:unhideWhenUsed/>
    <w:rsid w:val="00EB074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B074D"/>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B074D"/>
    <w:pPr>
      <w:tabs>
        <w:tab w:val="center" w:pos="7285"/>
        <w:tab w:val="right" w:pos="14003"/>
      </w:tabs>
      <w:spacing w:before="0"/>
    </w:pPr>
  </w:style>
  <w:style w:type="paragraph" w:customStyle="1" w:styleId="FooterLandscape">
    <w:name w:val="FooterLandscape"/>
    <w:basedOn w:val="Normal"/>
    <w:rsid w:val="00EB074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B074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EB074D"/>
    <w:pPr>
      <w:spacing w:before="0"/>
      <w:jc w:val="right"/>
    </w:pPr>
    <w:rPr>
      <w:sz w:val="28"/>
    </w:rPr>
  </w:style>
  <w:style w:type="paragraph" w:customStyle="1" w:styleId="FooterSensitivity">
    <w:name w:val="Footer Sensitivity"/>
    <w:basedOn w:val="Normal"/>
    <w:rsid w:val="00EB074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48B5C-1B1C-4140-8781-F6C4F42EF9EA}">
  <ds:schemaRefs>
    <ds:schemaRef ds:uri="http://purl.org/dc/terms/"/>
    <ds:schemaRef ds:uri="http://schemas.openxmlformats.org/package/2006/metadata/core-properties"/>
    <ds:schemaRef ds:uri="http://purl.org/dc/elements/1.1/"/>
    <ds:schemaRef ds:uri="http://schemas.microsoft.com/office/infopath/2007/PartnerControls"/>
    <ds:schemaRef ds:uri="f5a38ab0-5677-45ad-9a5b-e7bb653b7b53"/>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4.xml><?xml version="1.0" encoding="utf-8"?>
<ds:datastoreItem xmlns:ds="http://schemas.openxmlformats.org/officeDocument/2006/customXml" ds:itemID="{B4EE01CD-C248-43C4-9431-7DC77A39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11</Pages>
  <Words>3979</Words>
  <Characters>26103</Characters>
  <Application>Microsoft Office Word</Application>
  <DocSecurity>0</DocSecurity>
  <Lines>395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21</cp:revision>
  <dcterms:created xsi:type="dcterms:W3CDTF">2019-12-19T09:11:00Z</dcterms:created>
  <dcterms:modified xsi:type="dcterms:W3CDTF">2019-12-20T16:17:00Z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Yellow (DQC version 03)</vt:lpwstr>
  </property>
</Properties>
</file>