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83" w:rsidRPr="00D80C5B" w:rsidRDefault="00023FF9" w:rsidP="00023FF9">
      <w:pPr>
        <w:pStyle w:val="Pagedecouverture"/>
        <w:rPr>
          <w:lang w:val="en-US"/>
        </w:rPr>
      </w:pPr>
      <w:bookmarkStart w:id="0" w:name="LW_BM_COVERPAGE"/>
      <w:bookmarkStart w:id="1" w:name="_GoBack"/>
      <w:bookmarkEnd w:id="1"/>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F56ED3-0451-48C5-8172-7970829FC31C" style="width:450.85pt;height:402.85pt">
            <v:imagedata r:id="rId8" o:title=""/>
          </v:shape>
        </w:pict>
      </w:r>
    </w:p>
    <w:bookmarkEnd w:id="0"/>
    <w:p w:rsidR="00747683" w:rsidRPr="00D80C5B" w:rsidRDefault="00747683" w:rsidP="00747683">
      <w:pPr>
        <w:rPr>
          <w:lang w:val="en-US"/>
        </w:rPr>
        <w:sectPr w:rsidR="00747683" w:rsidRPr="00D80C5B" w:rsidSect="00023FF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96911" w:rsidRPr="00D80C5B" w:rsidTr="00D4465E">
        <w:tc>
          <w:tcPr>
            <w:tcW w:w="9288" w:type="dxa"/>
            <w:shd w:val="clear" w:color="auto" w:fill="BFBFBF"/>
          </w:tcPr>
          <w:p w:rsidR="00396911" w:rsidRPr="00D80C5B" w:rsidRDefault="00396911" w:rsidP="00D4465E">
            <w:pPr>
              <w:spacing w:before="200" w:after="200"/>
              <w:ind w:left="0"/>
              <w:jc w:val="both"/>
              <w:rPr>
                <w:rFonts w:ascii="Times New Roman" w:hAnsi="Times New Roman" w:cs="Times New Roman"/>
                <w:i/>
              </w:rPr>
            </w:pPr>
            <w:r w:rsidRPr="00D80C5B">
              <w:rPr>
                <w:rFonts w:ascii="Times New Roman" w:hAnsi="Times New Roman" w:cs="Times New Roman"/>
                <w:i/>
              </w:rPr>
              <w:lastRenderedPageBreak/>
              <w:t>The alert mechanism report (AMR) is the starting point of the annual cycle of the macroeconomic imbalance procedure (MIP), which aims to identify and address imbalances that hinder "the proper functioning of the economy of a Member State or of the economic and monetary union, or of the Union as a whole" (Article 2(1) of Regulation (EU) No 1176/2011).</w:t>
            </w:r>
            <w:r w:rsidR="007A0FBD">
              <w:rPr>
                <w:rStyle w:val="FootnoteReference"/>
                <w:rFonts w:ascii="Times New Roman" w:hAnsi="Times New Roman" w:cs="Times New Roman"/>
                <w:i/>
              </w:rPr>
              <w:footnoteReference w:id="2"/>
            </w:r>
            <w:r w:rsidRPr="00D80C5B">
              <w:rPr>
                <w:rFonts w:ascii="Times New Roman" w:hAnsi="Times New Roman" w:cs="Times New Roman"/>
                <w:i/>
              </w:rPr>
              <w:t xml:space="preserve"> </w:t>
            </w:r>
          </w:p>
          <w:p w:rsidR="00396911" w:rsidRPr="00D80C5B" w:rsidRDefault="00396911" w:rsidP="00D4465E">
            <w:pPr>
              <w:spacing w:before="120" w:after="120"/>
              <w:ind w:left="0"/>
              <w:jc w:val="both"/>
              <w:rPr>
                <w:rFonts w:cstheme="minorHAnsi"/>
              </w:rPr>
            </w:pPr>
            <w:r w:rsidRPr="00D80C5B">
              <w:rPr>
                <w:rFonts w:ascii="Times New Roman" w:hAnsi="Times New Roman" w:cs="Times New Roman"/>
                <w:i/>
              </w:rPr>
              <w:t xml:space="preserve">The AMR analysis is based on the economic reading of a scoreboard of selected indicators, complemented by a wider set of auxiliary indicators, assessment tools and additional relevant information, to screen Member States for potential economic imbalances in need of policy action. The AMR identifies Member States for which analysis in an in-depth review (IDR) is needed to assess how macroeconomic risks in the Member States are accumulating or winding down, and to conclude whether imbalances or excessive imbalances exist. Taking into account discussions on the AMR with the European Parliament and within the Council and the Eurogroup, the Commission will then prepare IDRs for the Member States concerned. Following established practice, an IDR is at any event prepared for Member States for which imbalances were identified in the previous round of IDRs. The IDRs will be incorporated in the country reports. IDR findings will feed into the country-specific recommendations (CSRs) under the European Semester </w:t>
            </w:r>
            <w:r w:rsidR="003153E8">
              <w:rPr>
                <w:rFonts w:ascii="Times New Roman" w:hAnsi="Times New Roman" w:cs="Times New Roman"/>
                <w:i/>
              </w:rPr>
              <w:t>for</w:t>
            </w:r>
            <w:r w:rsidRPr="00D80C5B">
              <w:rPr>
                <w:rFonts w:ascii="Times New Roman" w:hAnsi="Times New Roman" w:cs="Times New Roman"/>
                <w:i/>
              </w:rPr>
              <w:t xml:space="preserve"> economic policy coordination. </w:t>
            </w:r>
          </w:p>
        </w:tc>
      </w:tr>
    </w:tbl>
    <w:p w:rsidR="00396911" w:rsidRPr="00D80C5B" w:rsidRDefault="00396911" w:rsidP="00396911">
      <w:pPr>
        <w:jc w:val="both"/>
        <w:rPr>
          <w:rFonts w:cstheme="minorHAnsi"/>
          <w:b/>
          <w:bCs/>
        </w:rPr>
      </w:pPr>
    </w:p>
    <w:p w:rsidR="00396911" w:rsidRPr="00D80C5B" w:rsidRDefault="00396911" w:rsidP="00396911">
      <w:pPr>
        <w:rPr>
          <w:rFonts w:eastAsia="MS Gothic" w:cstheme="minorHAnsi"/>
          <w:b/>
          <w:bCs/>
          <w:smallCaps/>
          <w:lang w:eastAsia="en-GB"/>
        </w:rPr>
      </w:pPr>
    </w:p>
    <w:p w:rsidR="00396911" w:rsidRPr="00D80C5B" w:rsidRDefault="00396911" w:rsidP="00396911">
      <w:pPr>
        <w:pStyle w:val="ListParagraph"/>
        <w:numPr>
          <w:ilvl w:val="0"/>
          <w:numId w:val="42"/>
        </w:numPr>
        <w:ind w:left="426" w:hanging="426"/>
        <w:jc w:val="both"/>
        <w:rPr>
          <w:rFonts w:eastAsia="MS Gothic" w:cstheme="minorHAnsi"/>
          <w:b/>
          <w:bCs/>
          <w:smallCaps/>
          <w:lang w:eastAsia="en-GB"/>
        </w:rPr>
      </w:pPr>
      <w:r w:rsidRPr="00D80C5B">
        <w:rPr>
          <w:rFonts w:eastAsia="MS Gothic" w:cstheme="minorHAnsi"/>
          <w:b/>
          <w:bCs/>
          <w:smallCaps/>
          <w:lang w:eastAsia="en-GB"/>
        </w:rPr>
        <w:t>Executive Summary</w:t>
      </w:r>
    </w:p>
    <w:p w:rsidR="00396911" w:rsidRPr="00D80C5B" w:rsidRDefault="00396911" w:rsidP="00396911">
      <w:pPr>
        <w:jc w:val="both"/>
        <w:rPr>
          <w:rFonts w:cstheme="minorHAnsi"/>
          <w:b/>
        </w:rPr>
      </w:pPr>
    </w:p>
    <w:p w:rsidR="00396911" w:rsidRPr="00D80C5B" w:rsidRDefault="00396911" w:rsidP="00712696">
      <w:pPr>
        <w:spacing w:after="200"/>
        <w:ind w:left="0"/>
        <w:jc w:val="both"/>
        <w:rPr>
          <w:rFonts w:ascii="Times New Roman" w:hAnsi="Times New Roman" w:cs="Times New Roman"/>
        </w:rPr>
      </w:pPr>
      <w:r w:rsidRPr="00D80C5B">
        <w:rPr>
          <w:rFonts w:ascii="Times New Roman" w:hAnsi="Times New Roman" w:cs="Times New Roman"/>
          <w:b/>
        </w:rPr>
        <w:t>This report initiates the ninth annual round of the macroeconomic imbalance procedure (MIP).</w:t>
      </w:r>
      <w:r w:rsidRPr="00D80C5B">
        <w:rPr>
          <w:rFonts w:ascii="Times New Roman" w:hAnsi="Times New Roman" w:cs="Times New Roman"/>
          <w:vertAlign w:val="superscript"/>
        </w:rPr>
        <w:footnoteReference w:id="3"/>
      </w:r>
      <w:r w:rsidRPr="00D80C5B">
        <w:rPr>
          <w:rFonts w:ascii="Times New Roman" w:hAnsi="Times New Roman" w:cs="Times New Roman"/>
        </w:rPr>
        <w:t xml:space="preserve"> The procedure aims at identifying imbalances that hinder the smooth functioning of Member State economies</w:t>
      </w:r>
      <w:r w:rsidR="00097045">
        <w:rPr>
          <w:rFonts w:ascii="Times New Roman" w:hAnsi="Times New Roman" w:cs="Times New Roman"/>
        </w:rPr>
        <w:t>,</w:t>
      </w:r>
      <w:r w:rsidR="008302B9" w:rsidRPr="00712696">
        <w:rPr>
          <w:rFonts w:ascii="Times New Roman" w:hAnsi="Times New Roman" w:cs="Times New Roman"/>
        </w:rPr>
        <w:t xml:space="preserve"> the economic and monetary union or the Union as a whole,</w:t>
      </w:r>
      <w:r w:rsidRPr="00D80C5B">
        <w:rPr>
          <w:rFonts w:ascii="Times New Roman" w:hAnsi="Times New Roman" w:cs="Times New Roman"/>
        </w:rPr>
        <w:t xml:space="preserve"> and spurring appropriate policy responses. The implementation of the MIP is embedded in the European Semester of economic policy coordination to ensure consistency with the analyses and recommendations made under other economic surveillance tools. The annual </w:t>
      </w:r>
      <w:r w:rsidR="007A0FBD">
        <w:rPr>
          <w:rFonts w:ascii="Times New Roman" w:hAnsi="Times New Roman" w:cs="Times New Roman"/>
        </w:rPr>
        <w:t xml:space="preserve">sustainable </w:t>
      </w:r>
      <w:r w:rsidRPr="00D80C5B">
        <w:rPr>
          <w:rFonts w:ascii="Times New Roman" w:hAnsi="Times New Roman" w:cs="Times New Roman"/>
        </w:rPr>
        <w:t>growth s</w:t>
      </w:r>
      <w:r w:rsidR="007A0FBD">
        <w:rPr>
          <w:rFonts w:ascii="Times New Roman" w:hAnsi="Times New Roman" w:cs="Times New Roman"/>
        </w:rPr>
        <w:t>trategy</w:t>
      </w:r>
      <w:r w:rsidRPr="00D80C5B">
        <w:rPr>
          <w:rFonts w:ascii="Times New Roman" w:hAnsi="Times New Roman" w:cs="Times New Roman"/>
        </w:rPr>
        <w:t xml:space="preserve"> (A</w:t>
      </w:r>
      <w:r w:rsidR="007A0FBD">
        <w:rPr>
          <w:rFonts w:ascii="Times New Roman" w:hAnsi="Times New Roman" w:cs="Times New Roman"/>
        </w:rPr>
        <w:t>S</w:t>
      </w:r>
      <w:r w:rsidRPr="00D80C5B">
        <w:rPr>
          <w:rFonts w:ascii="Times New Roman" w:hAnsi="Times New Roman" w:cs="Times New Roman"/>
        </w:rPr>
        <w:t>GS), which is adopted at the same time as this report, takes stock of the economic and social situation in Europe and sets out broad policy priorities for the EU.</w:t>
      </w:r>
    </w:p>
    <w:p w:rsidR="00396911" w:rsidRPr="00D80C5B" w:rsidRDefault="00396911" w:rsidP="00712696">
      <w:pPr>
        <w:spacing w:after="200"/>
        <w:ind w:left="0"/>
        <w:jc w:val="both"/>
        <w:rPr>
          <w:rFonts w:ascii="Times New Roman" w:hAnsi="Times New Roman" w:cs="Times New Roman"/>
        </w:rPr>
      </w:pPr>
      <w:r w:rsidRPr="00D80C5B">
        <w:rPr>
          <w:rFonts w:ascii="Times New Roman" w:hAnsi="Times New Roman" w:cs="Times New Roman"/>
          <w:b/>
        </w:rPr>
        <w:t>This report identifies Member States for which in-depth reviews (IDRs) should be undertaken to assess whether they are affected by imbalances in need of policy action.</w:t>
      </w:r>
      <w:r w:rsidRPr="00D80C5B">
        <w:rPr>
          <w:rFonts w:ascii="Times New Roman" w:hAnsi="Times New Roman" w:cs="Times New Roman"/>
          <w:vertAlign w:val="superscript"/>
        </w:rPr>
        <w:footnoteReference w:id="4"/>
      </w:r>
      <w:r w:rsidRPr="00D80C5B">
        <w:rPr>
          <w:rFonts w:ascii="Times New Roman" w:hAnsi="Times New Roman" w:cs="Times New Roman"/>
        </w:rPr>
        <w:t xml:space="preserve"> The alert mechanism report (AMR) is a screening device for economic imbalances, published at the start of each annual cycle of economic policy coordination. The analysis in the AMR makes use of the economic reading of a scoreboard of indicators with indicative thresholds, alongside a set of auxiliary indicators. The AMR </w:t>
      </w:r>
      <w:r w:rsidR="00E84437" w:rsidRPr="00D80C5B">
        <w:rPr>
          <w:rFonts w:ascii="Times New Roman" w:hAnsi="Times New Roman" w:cs="Times New Roman"/>
        </w:rPr>
        <w:t xml:space="preserve">in section 2 </w:t>
      </w:r>
      <w:r w:rsidRPr="00D80C5B">
        <w:rPr>
          <w:rFonts w:ascii="Times New Roman" w:hAnsi="Times New Roman" w:cs="Times New Roman"/>
        </w:rPr>
        <w:t>includes an analysis of the euro area wide implications of Member Statesʼ imbalances and examines the extent to which a coordinated approach to policy responses is needed in light of interdependencies within the euro area.</w:t>
      </w:r>
      <w:r w:rsidRPr="00D80C5B">
        <w:rPr>
          <w:rFonts w:ascii="Times New Roman" w:hAnsi="Times New Roman" w:cs="Times New Roman"/>
          <w:vertAlign w:val="superscript"/>
        </w:rPr>
        <w:footnoteReference w:id="5"/>
      </w:r>
      <w:r w:rsidRPr="00D80C5B">
        <w:rPr>
          <w:rFonts w:ascii="Times New Roman" w:hAnsi="Times New Roman" w:cs="Times New Roman"/>
        </w:rPr>
        <w:t xml:space="preserve"> In this particular respect, the analysis contained in this report </w:t>
      </w:r>
      <w:r w:rsidR="003153E8">
        <w:rPr>
          <w:rFonts w:ascii="Times New Roman" w:hAnsi="Times New Roman" w:cs="Times New Roman"/>
        </w:rPr>
        <w:t>accompanie</w:t>
      </w:r>
      <w:r w:rsidRPr="00D80C5B">
        <w:rPr>
          <w:rFonts w:ascii="Times New Roman" w:hAnsi="Times New Roman" w:cs="Times New Roman"/>
        </w:rPr>
        <w:t>s the assessment provided in the European Commission Staff Working Document "Analysis of the Euro Area economy", accompanying the Commission Recommendation for a Council Recommendation on the economic policy of the euro area.</w:t>
      </w:r>
    </w:p>
    <w:p w:rsidR="00396911" w:rsidRPr="007F6D2A" w:rsidRDefault="00396911" w:rsidP="00C9020B">
      <w:pPr>
        <w:spacing w:after="200"/>
        <w:ind w:left="0"/>
        <w:jc w:val="both"/>
      </w:pPr>
      <w:r w:rsidRPr="00D80C5B">
        <w:rPr>
          <w:rFonts w:cstheme="minorHAnsi"/>
          <w:b/>
        </w:rPr>
        <w:t xml:space="preserve">The AMR analysis is carried out against the background of a changing economic outlook, where the economic expansion is weakening and inflation expectations have been revised downward. </w:t>
      </w:r>
      <w:r w:rsidRPr="00D80C5B">
        <w:rPr>
          <w:rFonts w:cstheme="minorHAnsi"/>
        </w:rPr>
        <w:t xml:space="preserve">The European Commission autumn 2019 economic forecast estimates real GDP growth to be </w:t>
      </w:r>
      <w:r w:rsidR="00770A24" w:rsidRPr="00D80C5B">
        <w:rPr>
          <w:rFonts w:cstheme="minorHAnsi"/>
        </w:rPr>
        <w:t>1.4% in the EU and 1.1</w:t>
      </w:r>
      <w:r w:rsidRPr="00D80C5B">
        <w:rPr>
          <w:rFonts w:cstheme="minorHAnsi"/>
        </w:rPr>
        <w:t xml:space="preserve">% in the euro area in 2019, implying a deceleration compared with </w:t>
      </w:r>
      <w:r w:rsidR="00373370" w:rsidRPr="00D80C5B">
        <w:rPr>
          <w:rFonts w:cstheme="minorHAnsi"/>
        </w:rPr>
        <w:t>2% and 1.9% in 2018</w:t>
      </w:r>
      <w:r w:rsidR="00770A24" w:rsidRPr="00D80C5B">
        <w:rPr>
          <w:rFonts w:cstheme="minorHAnsi"/>
        </w:rPr>
        <w:t xml:space="preserve"> respectively</w:t>
      </w:r>
      <w:r w:rsidRPr="00D80C5B">
        <w:rPr>
          <w:rFonts w:cstheme="minorHAnsi"/>
        </w:rPr>
        <w:t xml:space="preserve">. For 2020, GDP is forecast to grow </w:t>
      </w:r>
      <w:r w:rsidR="00770A24" w:rsidRPr="00D80C5B">
        <w:rPr>
          <w:rFonts w:cstheme="minorHAnsi"/>
        </w:rPr>
        <w:t>by 1.4% and 1.2</w:t>
      </w:r>
      <w:r w:rsidRPr="00D80C5B">
        <w:rPr>
          <w:rFonts w:cstheme="minorHAnsi"/>
        </w:rPr>
        <w:t xml:space="preserve">% in the EU and the euro area respectively. Data since late 2018 have pointed towards a loss of momentum, notably in net exports and in manufacturing output. The slowdown has been </w:t>
      </w:r>
      <w:r w:rsidR="00ED65F7" w:rsidRPr="00D80C5B">
        <w:rPr>
          <w:rFonts w:cstheme="minorHAnsi"/>
        </w:rPr>
        <w:t xml:space="preserve">particularly </w:t>
      </w:r>
      <w:r w:rsidRPr="00D80C5B">
        <w:rPr>
          <w:rFonts w:cstheme="minorHAnsi"/>
        </w:rPr>
        <w:t>visible in large euro area Member States more exposed to trade, on the back of heightened uncertainty surrounding the trade policy environment.</w:t>
      </w:r>
      <w:r w:rsidRPr="00D80C5B">
        <w:rPr>
          <w:rStyle w:val="FootnoteReference"/>
          <w:rFonts w:cstheme="minorHAnsi"/>
        </w:rPr>
        <w:footnoteReference w:id="6"/>
      </w:r>
      <w:r w:rsidRPr="00D80C5B">
        <w:rPr>
          <w:rFonts w:cstheme="minorHAnsi"/>
        </w:rPr>
        <w:t xml:space="preserve"> Inflation expectations have declined considerably, leading to measures by m</w:t>
      </w:r>
      <w:r w:rsidRPr="00D80C5B">
        <w:rPr>
          <w:rFonts w:ascii="Times New Roman" w:hAnsi="Times New Roman" w:cs="Times New Roman"/>
        </w:rPr>
        <w:t xml:space="preserve">onetary authorities in the second half of 2019 to counter the incipient slowdown in output and prices. Bond yields moved downward, especially for longer maturities. Despite </w:t>
      </w:r>
      <w:r w:rsidR="00290BBE" w:rsidRPr="00D80C5B">
        <w:rPr>
          <w:rFonts w:ascii="Times New Roman" w:hAnsi="Times New Roman" w:cs="Times New Roman"/>
        </w:rPr>
        <w:t>the</w:t>
      </w:r>
      <w:r w:rsidRPr="00D80C5B">
        <w:rPr>
          <w:rFonts w:ascii="Times New Roman" w:hAnsi="Times New Roman" w:cs="Times New Roman"/>
        </w:rPr>
        <w:t xml:space="preserve"> recent reduction in headline inflation</w:t>
      </w:r>
      <w:r w:rsidR="00E51731">
        <w:rPr>
          <w:rFonts w:ascii="Times New Roman" w:hAnsi="Times New Roman" w:cs="Times New Roman"/>
        </w:rPr>
        <w:t xml:space="preserve"> and productivity growth</w:t>
      </w:r>
      <w:r w:rsidRPr="00D80C5B">
        <w:rPr>
          <w:rFonts w:ascii="Times New Roman" w:hAnsi="Times New Roman" w:cs="Times New Roman"/>
        </w:rPr>
        <w:t>, wage growth since 2018 has somewhat strengthened, amid tight</w:t>
      </w:r>
      <w:r w:rsidR="00F8348E">
        <w:rPr>
          <w:rFonts w:ascii="Times New Roman" w:hAnsi="Times New Roman" w:cs="Times New Roman"/>
        </w:rPr>
        <w:t>er</w:t>
      </w:r>
      <w:r w:rsidRPr="00D80C5B">
        <w:rPr>
          <w:rFonts w:ascii="Times New Roman" w:hAnsi="Times New Roman" w:cs="Times New Roman"/>
        </w:rPr>
        <w:t xml:space="preserve"> labour markets.</w:t>
      </w:r>
    </w:p>
    <w:p w:rsidR="00396911" w:rsidRPr="00D80C5B" w:rsidRDefault="00396911" w:rsidP="00712696">
      <w:pPr>
        <w:spacing w:after="200"/>
        <w:ind w:left="0"/>
        <w:jc w:val="both"/>
        <w:rPr>
          <w:rFonts w:ascii="Times New Roman" w:hAnsi="Times New Roman" w:cs="Times New Roman"/>
        </w:rPr>
      </w:pPr>
      <w:r w:rsidRPr="00D80C5B">
        <w:rPr>
          <w:rFonts w:ascii="Times New Roman" w:hAnsi="Times New Roman" w:cs="Times New Roman"/>
          <w:b/>
        </w:rPr>
        <w:t>Existing macroeconomic imbalances have been gradually correcting</w:t>
      </w:r>
      <w:r w:rsidR="00325D9A">
        <w:rPr>
          <w:rFonts w:ascii="Times New Roman" w:hAnsi="Times New Roman" w:cs="Times New Roman"/>
          <w:b/>
        </w:rPr>
        <w:t xml:space="preserve"> amid favourable economic conditions</w:t>
      </w:r>
      <w:r w:rsidRPr="00D80C5B">
        <w:rPr>
          <w:rFonts w:ascii="Times New Roman" w:hAnsi="Times New Roman" w:cs="Times New Roman"/>
          <w:b/>
        </w:rPr>
        <w:t xml:space="preserve">. </w:t>
      </w:r>
      <w:r w:rsidRPr="00D80C5B">
        <w:rPr>
          <w:rFonts w:ascii="Times New Roman" w:hAnsi="Times New Roman" w:cs="Times New Roman"/>
        </w:rPr>
        <w:t>Following a widespread post-crisis deleveraging process, a number of “flow” imbalances and unsustainable trends have been corrected (notably, large current account deficits, excessive credit growth fuelling house prices, strong unit labour costs implying cost competitiveness losses). The correction of vulnerabilities linked to “stock” imbalances (high private, government, and external debt) has started later and progressed more slowly, but debt-to-GDP ratios embarked more firmly on a downward trajectory with the economic expansion and resumed price growth</w:t>
      </w:r>
      <w:r w:rsidR="003C2B08" w:rsidRPr="00D80C5B">
        <w:rPr>
          <w:rFonts w:ascii="Times New Roman" w:hAnsi="Times New Roman" w:cs="Times New Roman"/>
        </w:rPr>
        <w:t xml:space="preserve"> over recent years</w:t>
      </w:r>
      <w:r w:rsidRPr="00D80C5B">
        <w:rPr>
          <w:rFonts w:ascii="Times New Roman" w:hAnsi="Times New Roman" w:cs="Times New Roman"/>
        </w:rPr>
        <w:t xml:space="preserve">. At the same time, the acceleration of economic activity has recently been accompanied by buoyant growth in unit labour costs and house prices in a number of Member States. </w:t>
      </w:r>
    </w:p>
    <w:p w:rsidR="00396911" w:rsidRPr="00D80C5B" w:rsidRDefault="00396911" w:rsidP="00712696">
      <w:pPr>
        <w:spacing w:after="200"/>
        <w:ind w:left="0"/>
        <w:jc w:val="both"/>
        <w:rPr>
          <w:rFonts w:ascii="Times New Roman" w:hAnsi="Times New Roman" w:cs="Times New Roman"/>
        </w:rPr>
      </w:pPr>
      <w:r w:rsidRPr="00D80C5B">
        <w:rPr>
          <w:rFonts w:ascii="Times New Roman" w:hAnsi="Times New Roman" w:cs="Times New Roman"/>
          <w:b/>
        </w:rPr>
        <w:t>The changing outlook may imply a slower adjustment of existing imbalances or the materialisation of new risks, in a context where the room for policy to deal with shocks is narrowing</w:t>
      </w:r>
      <w:r w:rsidRPr="00D80C5B">
        <w:rPr>
          <w:rFonts w:ascii="Times New Roman" w:hAnsi="Times New Roman" w:cs="Times New Roman"/>
        </w:rPr>
        <w:t xml:space="preserve">. Downward risks to the economic outlook relate in particular to </w:t>
      </w:r>
      <w:r w:rsidR="004A64AD" w:rsidRPr="00D80C5B">
        <w:rPr>
          <w:rFonts w:ascii="Times New Roman" w:hAnsi="Times New Roman" w:cs="Times New Roman"/>
        </w:rPr>
        <w:t xml:space="preserve">trade tensions </w:t>
      </w:r>
      <w:r w:rsidRPr="00D80C5B">
        <w:rPr>
          <w:rFonts w:ascii="Times New Roman" w:hAnsi="Times New Roman" w:cs="Times New Roman"/>
        </w:rPr>
        <w:t>and the disruption of global value chains, a stronger than expected slowdown in emerging markets, the aggravation of geo-political tensions.</w:t>
      </w:r>
      <w:r w:rsidRPr="00D80C5B">
        <w:rPr>
          <w:rFonts w:ascii="Times New Roman" w:hAnsi="Times New Roman" w:cs="Times New Roman"/>
          <w:vertAlign w:val="superscript"/>
        </w:rPr>
        <w:footnoteReference w:id="7"/>
      </w:r>
      <w:r w:rsidRPr="00D80C5B">
        <w:rPr>
          <w:rFonts w:ascii="Times New Roman" w:hAnsi="Times New Roman" w:cs="Times New Roman"/>
        </w:rPr>
        <w:t xml:space="preserve"> Nominal growth is expected to weaken, implying a less supportive environment for debt reduction. The considerable reduction in interest rates reduces the cost of debt, but also brings challenges linked, inter-alia, to weaker incentives to deleverage, </w:t>
      </w:r>
      <w:r w:rsidR="00097045">
        <w:rPr>
          <w:rFonts w:ascii="Times New Roman" w:hAnsi="Times New Roman" w:cs="Times New Roman"/>
        </w:rPr>
        <w:t xml:space="preserve">possible </w:t>
      </w:r>
      <w:r w:rsidRPr="00D80C5B">
        <w:rPr>
          <w:rFonts w:ascii="Times New Roman" w:hAnsi="Times New Roman" w:cs="Times New Roman"/>
        </w:rPr>
        <w:t>excessive risk taking induced by search for yield, reduced profitability of financial institutions in a context of flatter yield curves.</w:t>
      </w:r>
      <w:r w:rsidRPr="00D80C5B">
        <w:rPr>
          <w:rStyle w:val="FootnoteReference"/>
          <w:rFonts w:eastAsia="Times New Roman" w:cstheme="minorHAnsi"/>
          <w:lang w:eastAsia="en-GB"/>
        </w:rPr>
        <w:footnoteReference w:id="8"/>
      </w:r>
      <w:r w:rsidRPr="00D80C5B">
        <w:rPr>
          <w:rFonts w:ascii="Times New Roman" w:hAnsi="Times New Roman" w:cs="Times New Roman"/>
        </w:rPr>
        <w:t xml:space="preserve"> The room left for monetary policy to address policy shocks is narrowing, and the possibility of cushioning shocks via private and public savings varies considerably across the EU and is limited by high debt ratios in a relevant number of Member States.</w:t>
      </w:r>
    </w:p>
    <w:p w:rsidR="003425D8" w:rsidRDefault="003425D8">
      <w:pPr>
        <w:rPr>
          <w:rFonts w:cstheme="minorHAnsi"/>
          <w:b/>
        </w:rPr>
      </w:pPr>
      <w:r>
        <w:rPr>
          <w:rFonts w:cstheme="minorHAnsi"/>
          <w:b/>
        </w:rPr>
        <w:br w:type="page"/>
      </w:r>
    </w:p>
    <w:p w:rsidR="00396911" w:rsidRPr="00D80C5B" w:rsidRDefault="00396911" w:rsidP="0047733F">
      <w:pPr>
        <w:spacing w:after="120"/>
        <w:ind w:left="0"/>
        <w:jc w:val="both"/>
        <w:rPr>
          <w:rFonts w:cstheme="minorHAnsi"/>
          <w:b/>
        </w:rPr>
      </w:pPr>
      <w:r w:rsidRPr="00D80C5B">
        <w:rPr>
          <w:rFonts w:cstheme="minorHAnsi"/>
          <w:b/>
        </w:rPr>
        <w:t>The horizontal analysis presented in the AMR leads to a number of conclusions:</w:t>
      </w:r>
    </w:p>
    <w:p w:rsidR="00396911" w:rsidRPr="00D80C5B" w:rsidRDefault="00396911" w:rsidP="0047733F">
      <w:pPr>
        <w:numPr>
          <w:ilvl w:val="0"/>
          <w:numId w:val="6"/>
        </w:numPr>
        <w:tabs>
          <w:tab w:val="left" w:pos="426"/>
        </w:tabs>
        <w:spacing w:after="120"/>
        <w:ind w:left="426" w:hanging="284"/>
        <w:jc w:val="both"/>
        <w:rPr>
          <w:rFonts w:eastAsia="Times New Roman" w:cstheme="minorHAnsi"/>
          <w:bCs/>
          <w:lang w:eastAsia="en-GB"/>
        </w:rPr>
      </w:pPr>
      <w:r w:rsidRPr="00D80C5B">
        <w:rPr>
          <w:rFonts w:eastAsia="Times New Roman" w:cstheme="minorHAnsi"/>
          <w:b/>
          <w:lang w:eastAsia="en-GB"/>
        </w:rPr>
        <w:t xml:space="preserve">Current account balances have slightly </w:t>
      </w:r>
      <w:r w:rsidR="008302B9" w:rsidRPr="00D80C5B">
        <w:rPr>
          <w:rFonts w:eastAsia="Times New Roman" w:cstheme="minorHAnsi"/>
          <w:b/>
          <w:lang w:eastAsia="en-GB"/>
        </w:rPr>
        <w:t xml:space="preserve">moved downward </w:t>
      </w:r>
      <w:r w:rsidRPr="00D80C5B">
        <w:rPr>
          <w:rFonts w:eastAsia="Times New Roman" w:cstheme="minorHAnsi"/>
          <w:b/>
          <w:lang w:eastAsia="en-GB"/>
        </w:rPr>
        <w:t>across the EU in 2018, deficit positions remaining an exception and large surpluses persisting.</w:t>
      </w:r>
      <w:r w:rsidRPr="00D80C5B">
        <w:rPr>
          <w:rFonts w:eastAsia="Times New Roman" w:cstheme="minorHAnsi"/>
          <w:lang w:eastAsia="en-GB"/>
        </w:rPr>
        <w:t xml:space="preserve"> With few exceptions, countries that have previously recorded large current positions are currently displaying broadly balanced current accounts, while some Member States have </w:t>
      </w:r>
      <w:r w:rsidR="004A64AD" w:rsidRPr="00D80C5B">
        <w:rPr>
          <w:rFonts w:eastAsia="Times New Roman" w:cstheme="minorHAnsi"/>
          <w:lang w:eastAsia="en-GB"/>
        </w:rPr>
        <w:t>continue</w:t>
      </w:r>
      <w:r w:rsidR="003C2B08" w:rsidRPr="00D80C5B">
        <w:rPr>
          <w:rFonts w:eastAsia="Times New Roman" w:cstheme="minorHAnsi"/>
          <w:lang w:eastAsia="en-GB"/>
        </w:rPr>
        <w:t>d</w:t>
      </w:r>
      <w:r w:rsidR="004A64AD" w:rsidRPr="00D80C5B">
        <w:rPr>
          <w:rFonts w:eastAsia="Times New Roman" w:cstheme="minorHAnsi"/>
          <w:lang w:eastAsia="en-GB"/>
        </w:rPr>
        <w:t xml:space="preserve"> </w:t>
      </w:r>
      <w:r w:rsidRPr="00D80C5B">
        <w:rPr>
          <w:rFonts w:eastAsia="Times New Roman" w:cstheme="minorHAnsi"/>
          <w:lang w:eastAsia="en-GB"/>
        </w:rPr>
        <w:t xml:space="preserve">running large </w:t>
      </w:r>
      <w:r w:rsidR="004A64AD" w:rsidRPr="00D80C5B">
        <w:rPr>
          <w:rFonts w:eastAsia="Times New Roman" w:cstheme="minorHAnsi"/>
          <w:lang w:eastAsia="en-GB"/>
        </w:rPr>
        <w:t xml:space="preserve">and persistent </w:t>
      </w:r>
      <w:r w:rsidRPr="00D80C5B">
        <w:rPr>
          <w:rFonts w:eastAsia="Times New Roman" w:cstheme="minorHAnsi"/>
          <w:lang w:eastAsia="en-GB"/>
        </w:rPr>
        <w:t xml:space="preserve">surpluses above levels justified by fundamentals. Slowing trade, resilient domestic demand, and rising oil prices detracted from current account balances across the board. </w:t>
      </w:r>
    </w:p>
    <w:p w:rsidR="00411E7C" w:rsidRDefault="00396911" w:rsidP="00411E7C">
      <w:pPr>
        <w:numPr>
          <w:ilvl w:val="0"/>
          <w:numId w:val="6"/>
        </w:numPr>
        <w:tabs>
          <w:tab w:val="left" w:pos="426"/>
        </w:tabs>
        <w:spacing w:after="120"/>
        <w:ind w:left="426" w:hanging="284"/>
        <w:jc w:val="both"/>
        <w:rPr>
          <w:rFonts w:eastAsia="Times New Roman" w:cstheme="minorHAnsi"/>
          <w:bCs/>
          <w:lang w:eastAsia="en-GB"/>
        </w:rPr>
      </w:pPr>
      <w:r w:rsidRPr="00D80C5B">
        <w:rPr>
          <w:rFonts w:eastAsia="Times New Roman" w:cstheme="minorHAnsi"/>
          <w:b/>
          <w:lang w:eastAsia="en-GB"/>
        </w:rPr>
        <w:t>Net international investment positions (NIIPs) have been improving at a higher pace, but large stocks of external liabilities persist in a number of Member States.</w:t>
      </w:r>
      <w:r w:rsidRPr="00D80C5B">
        <w:rPr>
          <w:rFonts w:eastAsia="Times New Roman" w:cstheme="minorHAnsi"/>
          <w:lang w:eastAsia="en-GB"/>
        </w:rPr>
        <w:t xml:space="preserve"> Prudent current account positions and continued nominal growth in recent years have underpinned the reduction in the ratio of external financial liabilities to GDP. The NIIPs of net debtors have improved faster than before also due to positive valuation effects that however may not last. NIIPs remain largely negative in a number of EU countries and some of the latest current account outturns risk being insufficient to ensure improvements of these external stock positions at an appropriate pace. In parallel, large net creditors have been recording increasingly positive NIIPs on the back of large current account surpluses.</w:t>
      </w:r>
    </w:p>
    <w:p w:rsidR="00396911" w:rsidRPr="00411E7C" w:rsidRDefault="00396911" w:rsidP="00676576">
      <w:pPr>
        <w:numPr>
          <w:ilvl w:val="0"/>
          <w:numId w:val="6"/>
        </w:numPr>
        <w:tabs>
          <w:tab w:val="left" w:pos="426"/>
        </w:tabs>
        <w:spacing w:after="120"/>
        <w:ind w:left="426" w:hanging="284"/>
        <w:jc w:val="both"/>
        <w:rPr>
          <w:rFonts w:eastAsia="Times New Roman" w:cstheme="minorHAnsi"/>
          <w:bCs/>
          <w:lang w:eastAsia="en-GB"/>
        </w:rPr>
      </w:pPr>
      <w:r w:rsidRPr="00411E7C">
        <w:rPr>
          <w:rFonts w:eastAsia="Times New Roman" w:cstheme="minorHAnsi"/>
          <w:b/>
          <w:lang w:eastAsia="en-GB"/>
        </w:rPr>
        <w:t xml:space="preserve">Unit labour costs (ULCs) have been growing at a faster pace in many Member States due to both wage acceleration and reduced productivity growth. </w:t>
      </w:r>
      <w:r w:rsidRPr="00411E7C">
        <w:rPr>
          <w:rFonts w:eastAsia="Times New Roman" w:cstheme="minorHAnsi"/>
          <w:lang w:eastAsia="en-GB"/>
        </w:rPr>
        <w:t xml:space="preserve">Stronger wage </w:t>
      </w:r>
      <w:r w:rsidR="00380CF8">
        <w:rPr>
          <w:rFonts w:eastAsia="Times New Roman" w:cstheme="minorHAnsi"/>
          <w:lang w:eastAsia="en-GB"/>
        </w:rPr>
        <w:t xml:space="preserve">growth </w:t>
      </w:r>
      <w:r w:rsidRPr="00411E7C">
        <w:rPr>
          <w:rFonts w:eastAsia="Times New Roman" w:cstheme="minorHAnsi"/>
          <w:lang w:eastAsia="en-GB"/>
        </w:rPr>
        <w:t>is recorded across the EU against the backdrop of tighter labour markets</w:t>
      </w:r>
      <w:r w:rsidR="00136EEF">
        <w:rPr>
          <w:rFonts w:eastAsia="Times New Roman" w:cstheme="minorHAnsi"/>
          <w:lang w:eastAsia="en-GB"/>
        </w:rPr>
        <w:t xml:space="preserve">. </w:t>
      </w:r>
      <w:r w:rsidRPr="00411E7C">
        <w:rPr>
          <w:rFonts w:eastAsia="Times New Roman" w:cstheme="minorHAnsi"/>
          <w:lang w:eastAsia="en-GB"/>
        </w:rPr>
        <w:t xml:space="preserve">The </w:t>
      </w:r>
      <w:r w:rsidR="00735EF5" w:rsidRPr="00411E7C">
        <w:rPr>
          <w:rFonts w:eastAsia="Times New Roman" w:cstheme="minorHAnsi"/>
          <w:lang w:eastAsia="en-GB"/>
        </w:rPr>
        <w:t xml:space="preserve">acceleration </w:t>
      </w:r>
      <w:r w:rsidRPr="00411E7C">
        <w:rPr>
          <w:rFonts w:eastAsia="Times New Roman" w:cstheme="minorHAnsi"/>
          <w:lang w:eastAsia="en-GB"/>
        </w:rPr>
        <w:t xml:space="preserve">in ULC is also </w:t>
      </w:r>
      <w:r w:rsidR="00735EF5" w:rsidRPr="00411E7C">
        <w:rPr>
          <w:rFonts w:eastAsia="Times New Roman" w:cstheme="minorHAnsi"/>
          <w:lang w:eastAsia="en-GB"/>
        </w:rPr>
        <w:t>increasingly</w:t>
      </w:r>
      <w:r w:rsidRPr="00411E7C">
        <w:rPr>
          <w:rFonts w:eastAsia="Times New Roman" w:cstheme="minorHAnsi"/>
          <w:lang w:eastAsia="en-GB"/>
        </w:rPr>
        <w:t xml:space="preserve"> </w:t>
      </w:r>
      <w:r w:rsidR="00735EF5" w:rsidRPr="00411E7C">
        <w:rPr>
          <w:rFonts w:eastAsia="Times New Roman" w:cstheme="minorHAnsi"/>
          <w:lang w:eastAsia="en-GB"/>
        </w:rPr>
        <w:t xml:space="preserve">linked to </w:t>
      </w:r>
      <w:r w:rsidRPr="00411E7C">
        <w:rPr>
          <w:rFonts w:eastAsia="Times New Roman" w:cstheme="minorHAnsi"/>
          <w:lang w:eastAsia="en-GB"/>
        </w:rPr>
        <w:t xml:space="preserve">a moderation in productivity growth. In a few cases, notably </w:t>
      </w:r>
      <w:r w:rsidR="00735EF5" w:rsidRPr="00411E7C">
        <w:rPr>
          <w:rFonts w:eastAsia="Times New Roman" w:cstheme="minorHAnsi"/>
          <w:lang w:eastAsia="en-GB"/>
        </w:rPr>
        <w:t xml:space="preserve">in </w:t>
      </w:r>
      <w:r w:rsidRPr="00411E7C">
        <w:rPr>
          <w:rFonts w:eastAsia="Times New Roman" w:cstheme="minorHAnsi"/>
          <w:lang w:eastAsia="en-GB"/>
        </w:rPr>
        <w:t xml:space="preserve">central and eastern European and Baltic countries, the marked ULC growth is the continuation of a trend started </w:t>
      </w:r>
      <w:r w:rsidR="00735EF5" w:rsidRPr="00411E7C">
        <w:rPr>
          <w:rFonts w:eastAsia="Times New Roman" w:cstheme="minorHAnsi"/>
          <w:lang w:eastAsia="en-GB"/>
        </w:rPr>
        <w:t xml:space="preserve">some </w:t>
      </w:r>
      <w:r w:rsidRPr="00411E7C">
        <w:rPr>
          <w:rFonts w:eastAsia="Times New Roman" w:cstheme="minorHAnsi"/>
          <w:lang w:eastAsia="en-GB"/>
        </w:rPr>
        <w:t xml:space="preserve">years ago, and which is associated with rising labour demand coupled with skill gaps and labour supply bottlenecks in economies with below-average wage levels. To a lesser extent, </w:t>
      </w:r>
      <w:r w:rsidRPr="00411E7C">
        <w:rPr>
          <w:rFonts w:cstheme="minorHAnsi"/>
        </w:rPr>
        <w:t xml:space="preserve">ULC growth edged up more recently also in euro area countries. </w:t>
      </w:r>
      <w:r w:rsidR="00ED211D">
        <w:rPr>
          <w:rFonts w:cstheme="minorHAnsi"/>
        </w:rPr>
        <w:t xml:space="preserve">While </w:t>
      </w:r>
      <w:r w:rsidRPr="00411E7C">
        <w:rPr>
          <w:rFonts w:cstheme="minorHAnsi"/>
        </w:rPr>
        <w:t xml:space="preserve">ULC growth </w:t>
      </w:r>
      <w:r w:rsidR="006C117D">
        <w:rPr>
          <w:rFonts w:cstheme="minorHAnsi"/>
        </w:rPr>
        <w:t xml:space="preserve">has been higher in </w:t>
      </w:r>
      <w:r w:rsidRPr="00411E7C">
        <w:rPr>
          <w:rFonts w:cstheme="minorHAnsi"/>
        </w:rPr>
        <w:t xml:space="preserve">net-creditor </w:t>
      </w:r>
      <w:r w:rsidR="006C117D">
        <w:rPr>
          <w:rFonts w:cstheme="minorHAnsi"/>
        </w:rPr>
        <w:t>countries than in</w:t>
      </w:r>
      <w:r w:rsidRPr="00411E7C">
        <w:rPr>
          <w:rFonts w:cstheme="minorHAnsi"/>
        </w:rPr>
        <w:t xml:space="preserve"> net-debtor </w:t>
      </w:r>
      <w:r w:rsidR="006C117D">
        <w:rPr>
          <w:rFonts w:cstheme="minorHAnsi"/>
        </w:rPr>
        <w:t>ones</w:t>
      </w:r>
      <w:r w:rsidR="00ED211D">
        <w:rPr>
          <w:rFonts w:cstheme="minorHAnsi"/>
        </w:rPr>
        <w:t>,</w:t>
      </w:r>
      <w:r w:rsidR="00EA20C1">
        <w:rPr>
          <w:rFonts w:cstheme="minorHAnsi"/>
        </w:rPr>
        <w:t xml:space="preserve"> this difference is narrowing</w:t>
      </w:r>
      <w:r w:rsidR="00ED211D">
        <w:rPr>
          <w:rFonts w:cstheme="minorHAnsi"/>
        </w:rPr>
        <w:t xml:space="preserve"> as a result of which</w:t>
      </w:r>
      <w:r w:rsidRPr="00411E7C">
        <w:rPr>
          <w:rFonts w:cstheme="minorHAnsi"/>
        </w:rPr>
        <w:t xml:space="preserve"> cost competitiveness </w:t>
      </w:r>
      <w:r w:rsidR="00ED211D">
        <w:rPr>
          <w:rFonts w:cstheme="minorHAnsi"/>
        </w:rPr>
        <w:t xml:space="preserve">developments </w:t>
      </w:r>
      <w:r w:rsidRPr="00411E7C">
        <w:rPr>
          <w:rFonts w:cstheme="minorHAnsi"/>
        </w:rPr>
        <w:t xml:space="preserve">are becoming less supportive of </w:t>
      </w:r>
      <w:r w:rsidR="003C2B08" w:rsidRPr="00411E7C">
        <w:rPr>
          <w:rFonts w:cstheme="minorHAnsi"/>
        </w:rPr>
        <w:t xml:space="preserve">more symmetric </w:t>
      </w:r>
      <w:r w:rsidRPr="00411E7C">
        <w:rPr>
          <w:rFonts w:cstheme="minorHAnsi"/>
        </w:rPr>
        <w:t xml:space="preserve">rebalancing. </w:t>
      </w:r>
    </w:p>
    <w:p w:rsidR="00396911" w:rsidRPr="00D80C5B" w:rsidRDefault="00396911" w:rsidP="0047733F">
      <w:pPr>
        <w:numPr>
          <w:ilvl w:val="0"/>
          <w:numId w:val="6"/>
        </w:numPr>
        <w:tabs>
          <w:tab w:val="left" w:pos="426"/>
        </w:tabs>
        <w:spacing w:after="120"/>
        <w:ind w:left="426" w:hanging="284"/>
        <w:jc w:val="both"/>
        <w:rPr>
          <w:rFonts w:cstheme="minorHAnsi"/>
        </w:rPr>
      </w:pPr>
      <w:r w:rsidRPr="00D80C5B">
        <w:rPr>
          <w:rFonts w:eastAsia="Times New Roman" w:cstheme="minorHAnsi"/>
          <w:b/>
          <w:lang w:eastAsia="en-GB"/>
        </w:rPr>
        <w:t xml:space="preserve">Real effective exchange rates (REERs) have been appreciating. </w:t>
      </w:r>
      <w:r w:rsidRPr="00D80C5B">
        <w:rPr>
          <w:rFonts w:eastAsia="Times New Roman" w:cstheme="minorHAnsi"/>
          <w:lang w:eastAsia="en-GB"/>
        </w:rPr>
        <w:t xml:space="preserve">Since 2016, REERs have been appreciating in a number of countries against the backdrop of accelerating unit labour costs and nominal appreciations. That followed years where relative costs and prices for many EU Member States were falling thanks to nominal exchange rate depreciations and subdued cost and price inflation compared with competitors. The sectoral reallocation from non-tradable to tradable activities, which has been recorded in net-debtor countries for a number of years after the crisis, is decelerating, coming to a halt, or reverting. </w:t>
      </w:r>
    </w:p>
    <w:p w:rsidR="00396911" w:rsidRPr="00D80C5B" w:rsidRDefault="00396911" w:rsidP="0047733F">
      <w:pPr>
        <w:pStyle w:val="ListParagraph"/>
        <w:numPr>
          <w:ilvl w:val="0"/>
          <w:numId w:val="6"/>
        </w:numPr>
        <w:tabs>
          <w:tab w:val="left" w:pos="426"/>
        </w:tabs>
        <w:spacing w:after="120"/>
        <w:ind w:left="426" w:hanging="284"/>
        <w:contextualSpacing w:val="0"/>
        <w:jc w:val="both"/>
        <w:rPr>
          <w:rFonts w:eastAsia="Times New Roman" w:cstheme="minorHAnsi"/>
          <w:lang w:eastAsia="en-GB"/>
        </w:rPr>
      </w:pPr>
      <w:r w:rsidRPr="00D80C5B">
        <w:rPr>
          <w:rFonts w:eastAsia="Times New Roman" w:cstheme="minorHAnsi"/>
          <w:b/>
          <w:lang w:eastAsia="en-GB"/>
        </w:rPr>
        <w:t xml:space="preserve">Private sector deleveraging is proceeding largely on the back of nominal GDP growth, and the pace of deleveraging has fallen for household debt. </w:t>
      </w:r>
      <w:r w:rsidRPr="00D80C5B">
        <w:rPr>
          <w:rFonts w:eastAsia="Times New Roman" w:cstheme="minorHAnsi"/>
          <w:lang w:eastAsia="en-GB"/>
        </w:rPr>
        <w:t xml:space="preserve">Net savings in the private sector have reduced, and falling debt/GDP ratios are increasingly the result of nominal GDP growth. The pace of deleveraging has slowed down, </w:t>
      </w:r>
      <w:r w:rsidRPr="00D80C5B">
        <w:rPr>
          <w:rFonts w:cstheme="minorHAnsi"/>
        </w:rPr>
        <w:t xml:space="preserve">reflecting both </w:t>
      </w:r>
      <w:r w:rsidRPr="00D80C5B">
        <w:rPr>
          <w:rFonts w:eastAsia="Times New Roman" w:cstheme="minorHAnsi"/>
          <w:lang w:eastAsia="en-GB"/>
        </w:rPr>
        <w:t xml:space="preserve">reduced savings and a </w:t>
      </w:r>
      <w:r w:rsidRPr="00D80C5B">
        <w:rPr>
          <w:rFonts w:cstheme="minorHAnsi"/>
          <w:lang w:val="en-IE"/>
        </w:rPr>
        <w:t>slowdown in GDP</w:t>
      </w:r>
      <w:r w:rsidRPr="00D80C5B">
        <w:rPr>
          <w:rFonts w:eastAsia="Times New Roman" w:cstheme="minorHAnsi"/>
          <w:lang w:eastAsia="en-GB"/>
        </w:rPr>
        <w:t xml:space="preserve">. Households in particular have been increasing their borrowing in a growing number of Member States. While deleveraging has taken place in most of the countries with high debt ratios, private debt ratios have nevertheless increased in a few high-debt countries. Government debt has kept declining in most Member States, but in a few high-debt countries reductions were absent or limited. Government bond yields nonetheless declined remarkably in 2019, including for the most indebted sovereign borrowers. </w:t>
      </w:r>
    </w:p>
    <w:p w:rsidR="00396911" w:rsidRPr="00D80C5B" w:rsidRDefault="00396911" w:rsidP="0047733F">
      <w:pPr>
        <w:numPr>
          <w:ilvl w:val="0"/>
          <w:numId w:val="1"/>
        </w:numPr>
        <w:spacing w:after="120"/>
        <w:ind w:left="426" w:hanging="284"/>
        <w:jc w:val="both"/>
        <w:rPr>
          <w:rFonts w:eastAsia="Times New Roman" w:cstheme="minorHAnsi"/>
          <w:lang w:eastAsia="en-GB"/>
        </w:rPr>
      </w:pPr>
      <w:r w:rsidRPr="00D80C5B">
        <w:rPr>
          <w:rFonts w:eastAsia="Times New Roman" w:cstheme="minorHAnsi"/>
          <w:b/>
          <w:lang w:eastAsia="en-GB"/>
        </w:rPr>
        <w:t xml:space="preserve">The </w:t>
      </w:r>
      <w:r w:rsidR="00325D9A">
        <w:rPr>
          <w:rFonts w:eastAsia="Times New Roman" w:cstheme="minorHAnsi"/>
          <w:b/>
          <w:lang w:eastAsia="en-GB"/>
        </w:rPr>
        <w:t xml:space="preserve">resilience of the </w:t>
      </w:r>
      <w:r w:rsidRPr="00D80C5B">
        <w:rPr>
          <w:rFonts w:eastAsia="Times New Roman" w:cstheme="minorHAnsi"/>
          <w:b/>
          <w:lang w:eastAsia="en-GB"/>
        </w:rPr>
        <w:t xml:space="preserve">EU banking sector </w:t>
      </w:r>
      <w:r w:rsidR="001123E7">
        <w:rPr>
          <w:rFonts w:eastAsia="Times New Roman" w:cstheme="minorHAnsi"/>
          <w:b/>
          <w:lang w:eastAsia="en-GB"/>
        </w:rPr>
        <w:t xml:space="preserve">has improved </w:t>
      </w:r>
      <w:r w:rsidR="00F041F0">
        <w:rPr>
          <w:rFonts w:eastAsia="Times New Roman" w:cstheme="minorHAnsi"/>
          <w:b/>
          <w:lang w:eastAsia="en-GB"/>
        </w:rPr>
        <w:t>but</w:t>
      </w:r>
      <w:r w:rsidR="00325D9A">
        <w:rPr>
          <w:rFonts w:eastAsia="Times New Roman" w:cstheme="minorHAnsi"/>
          <w:b/>
          <w:lang w:eastAsia="en-GB"/>
        </w:rPr>
        <w:t xml:space="preserve"> some challenges remain</w:t>
      </w:r>
      <w:r w:rsidR="00ED211D">
        <w:rPr>
          <w:rFonts w:eastAsia="Times New Roman" w:cstheme="minorHAnsi"/>
          <w:b/>
          <w:lang w:eastAsia="en-GB"/>
        </w:rPr>
        <w:t xml:space="preserve">. </w:t>
      </w:r>
      <w:r w:rsidRPr="00D80C5B">
        <w:rPr>
          <w:rFonts w:eastAsia="Times New Roman" w:cstheme="minorHAnsi"/>
          <w:lang w:eastAsia="en-GB"/>
        </w:rPr>
        <w:t xml:space="preserve">Capitalisation ratios have stopped growing from levels above regulatory standards. Returns on equity have also stabilised after having improved over past years. Non-Performing Loans (NPL) ratios have fallen considerably over recent years, and substantial drops in bad loans are currently confined to those countries with high NPL ratios. </w:t>
      </w:r>
      <w:r w:rsidR="00325D9A">
        <w:rPr>
          <w:rFonts w:eastAsia="Times New Roman" w:cstheme="minorHAnsi"/>
          <w:lang w:eastAsia="en-GB"/>
        </w:rPr>
        <w:t>Nonetheless, c</w:t>
      </w:r>
      <w:r w:rsidRPr="00D80C5B">
        <w:rPr>
          <w:rFonts w:eastAsia="Times New Roman" w:cstheme="minorHAnsi"/>
          <w:lang w:eastAsia="en-GB"/>
        </w:rPr>
        <w:t xml:space="preserve">hallenges remain in a number of EU countries still characterised by relatively low capitalisation and profitability and high NPL ratios. </w:t>
      </w:r>
      <w:r w:rsidRPr="00D80C5B">
        <w:rPr>
          <w:rFonts w:ascii="Times New Roman" w:eastAsia="Calibri" w:hAnsi="Times New Roman" w:cs="Times New Roman"/>
        </w:rPr>
        <w:t xml:space="preserve">The changing outlook characterised by low-for-long interest rates and weakening economic growth is adding to those challenges. </w:t>
      </w:r>
    </w:p>
    <w:p w:rsidR="00396911" w:rsidRPr="00D80C5B" w:rsidRDefault="00396911" w:rsidP="0047733F">
      <w:pPr>
        <w:pStyle w:val="ListParagraph"/>
        <w:numPr>
          <w:ilvl w:val="0"/>
          <w:numId w:val="45"/>
        </w:numPr>
        <w:spacing w:after="120"/>
        <w:ind w:left="425" w:hanging="425"/>
        <w:contextualSpacing w:val="0"/>
        <w:jc w:val="both"/>
        <w:rPr>
          <w:rFonts w:ascii="Times New Roman" w:hAnsi="Times New Roman" w:cs="Times New Roman"/>
        </w:rPr>
      </w:pPr>
      <w:r w:rsidRPr="00D80C5B">
        <w:rPr>
          <w:rFonts w:ascii="Times New Roman" w:eastAsia="Times New Roman" w:hAnsi="Times New Roman" w:cs="Times New Roman"/>
          <w:b/>
          <w:lang w:eastAsia="en-GB"/>
        </w:rPr>
        <w:t xml:space="preserve">House prices continued growing quickly during 2018, but price dynamics cooled where evidence of overvaluation is stronger. </w:t>
      </w:r>
      <w:r w:rsidRPr="00D80C5B">
        <w:rPr>
          <w:rFonts w:cstheme="minorHAnsi"/>
        </w:rPr>
        <w:t xml:space="preserve">House prices continued to grow in 2018, and in </w:t>
      </w:r>
      <w:r w:rsidR="00924201" w:rsidRPr="00D80C5B">
        <w:rPr>
          <w:rFonts w:cstheme="minorHAnsi"/>
        </w:rPr>
        <w:t xml:space="preserve">a growing number of </w:t>
      </w:r>
      <w:r w:rsidRPr="00D80C5B">
        <w:rPr>
          <w:rFonts w:cstheme="minorHAnsi"/>
        </w:rPr>
        <w:t>countries house price valuations are above peaks since mid</w:t>
      </w:r>
      <w:r w:rsidR="002D351E">
        <w:rPr>
          <w:rFonts w:cstheme="minorHAnsi"/>
        </w:rPr>
        <w:t>-</w:t>
      </w:r>
      <w:r w:rsidRPr="00D80C5B">
        <w:rPr>
          <w:rFonts w:cstheme="minorHAnsi"/>
        </w:rPr>
        <w:t xml:space="preserve">2000s and likely to be overvalued. </w:t>
      </w:r>
      <w:r w:rsidRPr="00D80C5B">
        <w:rPr>
          <w:rFonts w:ascii="Times New Roman" w:eastAsia="Times New Roman" w:hAnsi="Times New Roman" w:cs="Times New Roman"/>
          <w:lang w:eastAsia="en-GB"/>
        </w:rPr>
        <w:t xml:space="preserve">The strongest growth in house prices was however recorded in various EU countries that so far have shown </w:t>
      </w:r>
      <w:r w:rsidRPr="00D80C5B">
        <w:rPr>
          <w:rFonts w:ascii="Times New Roman" w:hAnsi="Times New Roman" w:cs="Times New Roman"/>
        </w:rPr>
        <w:t>only limited evidence of overvalued house prices.</w:t>
      </w:r>
      <w:r w:rsidR="00924201" w:rsidRPr="00D80C5B">
        <w:rPr>
          <w:rFonts w:ascii="Times New Roman" w:hAnsi="Times New Roman" w:cs="Times New Roman"/>
        </w:rPr>
        <w:t xml:space="preserve"> By contrast</w:t>
      </w:r>
      <w:r w:rsidRPr="00D80C5B">
        <w:rPr>
          <w:rFonts w:ascii="Times New Roman" w:hAnsi="Times New Roman" w:cs="Times New Roman"/>
        </w:rPr>
        <w:t xml:space="preserve">, </w:t>
      </w:r>
      <w:r w:rsidRPr="00D80C5B">
        <w:rPr>
          <w:rFonts w:ascii="Times New Roman" w:eastAsia="Times New Roman" w:hAnsi="Times New Roman" w:cs="Times New Roman"/>
          <w:lang w:eastAsia="en-GB"/>
        </w:rPr>
        <w:t>in those countries where concerns with overvaluation have been stronger and household debt is high, prices often decelerated. In some countries, new mortgage credit appears on the rise, which could lead to further house price accelerations going forward.</w:t>
      </w:r>
    </w:p>
    <w:p w:rsidR="00396911" w:rsidRPr="008961C6" w:rsidRDefault="00396911" w:rsidP="00712696">
      <w:pPr>
        <w:pStyle w:val="ListParagraph"/>
        <w:numPr>
          <w:ilvl w:val="0"/>
          <w:numId w:val="44"/>
        </w:numPr>
        <w:spacing w:after="200"/>
        <w:ind w:left="426" w:hanging="284"/>
        <w:contextualSpacing w:val="0"/>
        <w:jc w:val="both"/>
        <w:rPr>
          <w:rFonts w:cstheme="minorHAnsi"/>
        </w:rPr>
      </w:pPr>
      <w:r w:rsidRPr="00D80C5B">
        <w:rPr>
          <w:rFonts w:eastAsia="Times New Roman" w:cstheme="minorHAnsi"/>
          <w:b/>
          <w:bCs/>
          <w:lang w:eastAsia="en-GB"/>
        </w:rPr>
        <w:t>L</w:t>
      </w:r>
      <w:r w:rsidRPr="00D80C5B">
        <w:rPr>
          <w:rFonts w:eastAsia="Times New Roman" w:cstheme="minorHAnsi"/>
          <w:b/>
          <w:lang w:eastAsia="en-GB"/>
        </w:rPr>
        <w:t>abour markets continued to improve and unemployment has fallen in all EU Member States.</w:t>
      </w:r>
      <w:r w:rsidRPr="00D80C5B">
        <w:rPr>
          <w:rFonts w:eastAsia="Times New Roman" w:cstheme="minorHAnsi"/>
          <w:lang w:eastAsia="en-GB"/>
        </w:rPr>
        <w:t xml:space="preserve"> Unemployment has further dropped across the EU, notably for youth and the long-term unemployed. Labour market tightening was somewhat reflected in stronger wage growth also in euro area countries. </w:t>
      </w:r>
      <w:r w:rsidR="008650F3">
        <w:rPr>
          <w:rFonts w:eastAsia="Times New Roman" w:cstheme="minorHAnsi"/>
          <w:lang w:eastAsia="en-GB"/>
        </w:rPr>
        <w:t>However,</w:t>
      </w:r>
      <w:r w:rsidR="005B4588">
        <w:rPr>
          <w:rFonts w:eastAsia="Times New Roman" w:cstheme="minorHAnsi"/>
          <w:lang w:eastAsia="en-GB"/>
        </w:rPr>
        <w:t xml:space="preserve"> since the recovery,</w:t>
      </w:r>
      <w:r w:rsidR="008650F3">
        <w:rPr>
          <w:rFonts w:eastAsia="Times New Roman" w:cstheme="minorHAnsi"/>
          <w:lang w:eastAsia="en-GB"/>
        </w:rPr>
        <w:t xml:space="preserve"> real wage growth </w:t>
      </w:r>
      <w:r w:rsidR="00E27756">
        <w:rPr>
          <w:rFonts w:eastAsia="Times New Roman" w:cstheme="minorHAnsi"/>
          <w:lang w:eastAsia="en-GB"/>
        </w:rPr>
        <w:t xml:space="preserve">was </w:t>
      </w:r>
      <w:r w:rsidR="008650F3">
        <w:rPr>
          <w:rFonts w:eastAsia="Times New Roman" w:cstheme="minorHAnsi"/>
          <w:lang w:eastAsia="en-GB"/>
        </w:rPr>
        <w:t>below labour productivity growth until 2017</w:t>
      </w:r>
      <w:r w:rsidR="00E27756">
        <w:rPr>
          <w:rFonts w:eastAsia="Times New Roman" w:cstheme="minorHAnsi"/>
          <w:lang w:eastAsia="en-GB"/>
        </w:rPr>
        <w:t>,</w:t>
      </w:r>
      <w:r w:rsidR="005B4588">
        <w:rPr>
          <w:rFonts w:eastAsia="Times New Roman" w:cstheme="minorHAnsi"/>
          <w:lang w:eastAsia="en-GB"/>
        </w:rPr>
        <w:t xml:space="preserve"> with a reversal taking place only since 2018. </w:t>
      </w:r>
      <w:r w:rsidRPr="00D80C5B">
        <w:rPr>
          <w:rFonts w:eastAsia="Times New Roman" w:cstheme="minorHAnsi"/>
          <w:lang w:eastAsia="en-GB"/>
        </w:rPr>
        <w:t xml:space="preserve">While rising labour incomes thanks to employment and wage growth has helped the domestic demand expansion, there is little evidence of a pass through of wage </w:t>
      </w:r>
      <w:r w:rsidR="00E01696">
        <w:rPr>
          <w:rFonts w:eastAsia="Times New Roman" w:cstheme="minorHAnsi"/>
          <w:lang w:eastAsia="en-GB"/>
        </w:rPr>
        <w:t>increases</w:t>
      </w:r>
      <w:r w:rsidR="00E01696" w:rsidRPr="00D80C5B">
        <w:rPr>
          <w:rFonts w:eastAsia="Times New Roman" w:cstheme="minorHAnsi"/>
          <w:lang w:eastAsia="en-GB"/>
        </w:rPr>
        <w:t xml:space="preserve"> </w:t>
      </w:r>
      <w:r w:rsidRPr="00D80C5B">
        <w:rPr>
          <w:rFonts w:eastAsia="Times New Roman" w:cstheme="minorHAnsi"/>
          <w:lang w:eastAsia="en-GB"/>
        </w:rPr>
        <w:t>into price inflation.</w:t>
      </w:r>
      <w:r w:rsidRPr="00D80C5B">
        <w:rPr>
          <w:rStyle w:val="FootnoteReference"/>
          <w:rFonts w:eastAsia="Times New Roman" w:cstheme="minorHAnsi"/>
          <w:lang w:eastAsia="en-GB"/>
        </w:rPr>
        <w:footnoteReference w:id="9"/>
      </w:r>
    </w:p>
    <w:p w:rsidR="00396911" w:rsidRPr="00D80C5B" w:rsidRDefault="00ED211D" w:rsidP="00712696">
      <w:pPr>
        <w:spacing w:after="200"/>
        <w:ind w:left="0"/>
        <w:jc w:val="both"/>
        <w:rPr>
          <w:rFonts w:cstheme="minorHAnsi"/>
        </w:rPr>
      </w:pPr>
      <w:r w:rsidRPr="008961C6">
        <w:rPr>
          <w:rFonts w:ascii="Times New Roman" w:hAnsi="Times New Roman" w:cs="Times New Roman"/>
          <w:b/>
        </w:rPr>
        <w:t>In t</w:t>
      </w:r>
      <w:r w:rsidR="00396911" w:rsidRPr="008961C6">
        <w:rPr>
          <w:rFonts w:ascii="Times New Roman" w:hAnsi="Times New Roman" w:cs="Times New Roman"/>
          <w:b/>
        </w:rPr>
        <w:t>he current economic context</w:t>
      </w:r>
      <w:r w:rsidRPr="008961C6">
        <w:rPr>
          <w:rFonts w:ascii="Times New Roman" w:hAnsi="Times New Roman" w:cs="Times New Roman"/>
          <w:b/>
        </w:rPr>
        <w:t>,</w:t>
      </w:r>
      <w:r w:rsidR="00396911" w:rsidRPr="008961C6">
        <w:rPr>
          <w:rFonts w:ascii="Times New Roman" w:hAnsi="Times New Roman" w:cs="Times New Roman"/>
          <w:b/>
        </w:rPr>
        <w:t xml:space="preserve"> rebalancing in the euro area </w:t>
      </w:r>
      <w:r w:rsidR="004B3CB8">
        <w:rPr>
          <w:rFonts w:ascii="Times New Roman" w:hAnsi="Times New Roman" w:cs="Times New Roman"/>
          <w:b/>
        </w:rPr>
        <w:t xml:space="preserve">of both current account deficits and surpluses </w:t>
      </w:r>
      <w:r w:rsidRPr="008961C6">
        <w:rPr>
          <w:rFonts w:ascii="Times New Roman" w:hAnsi="Times New Roman" w:cs="Times New Roman"/>
          <w:b/>
        </w:rPr>
        <w:t>is</w:t>
      </w:r>
      <w:r w:rsidR="00396911" w:rsidRPr="008961C6">
        <w:rPr>
          <w:rFonts w:ascii="Times New Roman" w:hAnsi="Times New Roman" w:cs="Times New Roman"/>
          <w:b/>
        </w:rPr>
        <w:t xml:space="preserve"> pressing</w:t>
      </w:r>
      <w:r w:rsidRPr="008961C6">
        <w:rPr>
          <w:rFonts w:cstheme="minorHAnsi"/>
        </w:rPr>
        <w:t xml:space="preserve"> </w:t>
      </w:r>
      <w:r w:rsidRPr="008961C6">
        <w:rPr>
          <w:rFonts w:cstheme="minorHAnsi"/>
          <w:b/>
        </w:rPr>
        <w:t>and would be beneficial for all Member States</w:t>
      </w:r>
      <w:r w:rsidR="00396911" w:rsidRPr="008961C6">
        <w:rPr>
          <w:rFonts w:cstheme="minorHAnsi"/>
          <w:b/>
        </w:rPr>
        <w:t xml:space="preserve">. </w:t>
      </w:r>
      <w:r w:rsidR="00396911" w:rsidRPr="00D80C5B">
        <w:rPr>
          <w:rFonts w:cstheme="minorHAnsi"/>
        </w:rPr>
        <w:t>The euro area current account surplus is forecast to edge downward amid slowing export demand, while remaining close to its</w:t>
      </w:r>
      <w:r w:rsidR="00396911" w:rsidRPr="00D80C5B" w:rsidDel="00D42156">
        <w:rPr>
          <w:rFonts w:cstheme="minorHAnsi"/>
        </w:rPr>
        <w:t xml:space="preserve"> </w:t>
      </w:r>
      <w:r w:rsidR="00396911" w:rsidRPr="00D80C5B">
        <w:rPr>
          <w:rFonts w:cstheme="minorHAnsi"/>
        </w:rPr>
        <w:t xml:space="preserve">peak and above levels consistent with economic fundamentals. The euro area surplus grew in light of </w:t>
      </w:r>
      <w:r w:rsidR="006C117D">
        <w:rPr>
          <w:rFonts w:cstheme="minorHAnsi"/>
        </w:rPr>
        <w:t>a strong export performance</w:t>
      </w:r>
      <w:r>
        <w:rPr>
          <w:rFonts w:cstheme="minorHAnsi"/>
        </w:rPr>
        <w:t xml:space="preserve"> and</w:t>
      </w:r>
      <w:r w:rsidR="006C117D" w:rsidRPr="00D80C5B">
        <w:rPr>
          <w:rFonts w:cstheme="minorHAnsi"/>
        </w:rPr>
        <w:t xml:space="preserve"> </w:t>
      </w:r>
      <w:r w:rsidR="00396911" w:rsidRPr="00D80C5B">
        <w:rPr>
          <w:rFonts w:cstheme="minorHAnsi"/>
        </w:rPr>
        <w:t>major deleveraging process</w:t>
      </w:r>
      <w:r w:rsidR="006C117D">
        <w:rPr>
          <w:rFonts w:cstheme="minorHAnsi"/>
        </w:rPr>
        <w:t>es</w:t>
      </w:r>
      <w:r w:rsidR="00396911" w:rsidRPr="00D80C5B">
        <w:rPr>
          <w:rFonts w:cstheme="minorHAnsi"/>
        </w:rPr>
        <w:t xml:space="preserve"> involving various sectors of the economy</w:t>
      </w:r>
      <w:r w:rsidR="006C117D">
        <w:rPr>
          <w:rFonts w:cstheme="minorHAnsi"/>
        </w:rPr>
        <w:t>, including in</w:t>
      </w:r>
      <w:r w:rsidR="00396911" w:rsidRPr="00D80C5B">
        <w:rPr>
          <w:rFonts w:cstheme="minorHAnsi"/>
        </w:rPr>
        <w:t xml:space="preserve"> countries</w:t>
      </w:r>
      <w:r w:rsidR="00325D9A">
        <w:rPr>
          <w:rFonts w:cstheme="minorHAnsi"/>
        </w:rPr>
        <w:t xml:space="preserve"> </w:t>
      </w:r>
      <w:r w:rsidR="00396911" w:rsidRPr="00D80C5B">
        <w:rPr>
          <w:rFonts w:cstheme="minorHAnsi"/>
        </w:rPr>
        <w:t xml:space="preserve">with little or no deleveraging needs. The most recent moderation mainly reflects the weakening of global trade and a higher energy balance deficit. In the current economic context, there is </w:t>
      </w:r>
      <w:r w:rsidR="00611D44">
        <w:rPr>
          <w:rFonts w:cstheme="minorHAnsi"/>
        </w:rPr>
        <w:t>a strong</w:t>
      </w:r>
      <w:r w:rsidR="00EE0619">
        <w:rPr>
          <w:rFonts w:cstheme="minorHAnsi"/>
        </w:rPr>
        <w:t>er</w:t>
      </w:r>
      <w:r w:rsidR="00611D44" w:rsidRPr="00D80C5B">
        <w:rPr>
          <w:rFonts w:cstheme="minorHAnsi"/>
        </w:rPr>
        <w:t xml:space="preserve"> </w:t>
      </w:r>
      <w:r w:rsidR="00396911" w:rsidRPr="00D80C5B">
        <w:rPr>
          <w:rFonts w:cstheme="minorHAnsi"/>
        </w:rPr>
        <w:t>case to progress with rebalancing at the euro area level</w:t>
      </w:r>
      <w:r w:rsidR="004B3CB8" w:rsidRPr="004B3CB8">
        <w:t xml:space="preserve"> </w:t>
      </w:r>
      <w:r w:rsidR="004B3CB8" w:rsidRPr="004B3CB8">
        <w:rPr>
          <w:rFonts w:cstheme="minorHAnsi"/>
        </w:rPr>
        <w:t>of both current account deficits and surpluses</w:t>
      </w:r>
      <w:r w:rsidR="00396911" w:rsidRPr="00D80C5B">
        <w:rPr>
          <w:rFonts w:cstheme="minorHAnsi"/>
        </w:rPr>
        <w:t xml:space="preserve">, to </w:t>
      </w:r>
      <w:r w:rsidR="00611D44">
        <w:rPr>
          <w:rFonts w:cstheme="minorHAnsi"/>
        </w:rPr>
        <w:t xml:space="preserve">help </w:t>
      </w:r>
      <w:r w:rsidR="00396911" w:rsidRPr="00D80C5B">
        <w:rPr>
          <w:rFonts w:cstheme="minorHAnsi"/>
        </w:rPr>
        <w:t>overcom</w:t>
      </w:r>
      <w:r w:rsidR="001826FD">
        <w:rPr>
          <w:rFonts w:cstheme="minorHAnsi"/>
        </w:rPr>
        <w:t>ing</w:t>
      </w:r>
      <w:r w:rsidR="00396911" w:rsidRPr="00D80C5B">
        <w:rPr>
          <w:rFonts w:cstheme="minorHAnsi"/>
        </w:rPr>
        <w:t xml:space="preserve"> the low-inflation, low-interest-rate environment, and to reduce the dependency on foreign demand. </w:t>
      </w:r>
      <w:r w:rsidR="00611D44">
        <w:rPr>
          <w:rFonts w:cstheme="minorHAnsi"/>
        </w:rPr>
        <w:t>Against this backdrop</w:t>
      </w:r>
      <w:r w:rsidR="00396911" w:rsidRPr="00D80C5B">
        <w:rPr>
          <w:rFonts w:cstheme="minorHAnsi"/>
        </w:rPr>
        <w:t xml:space="preserve">, an appropriate combination of policies across euro area members is needed </w:t>
      </w:r>
      <w:r w:rsidR="00C5680B" w:rsidRPr="00D80C5B">
        <w:rPr>
          <w:rFonts w:cstheme="minorHAnsi"/>
        </w:rPr>
        <w:t>t</w:t>
      </w:r>
      <w:r w:rsidR="00C5680B">
        <w:rPr>
          <w:rFonts w:cstheme="minorHAnsi"/>
        </w:rPr>
        <w:t>hat</w:t>
      </w:r>
      <w:r w:rsidR="00C5680B" w:rsidRPr="00D80C5B">
        <w:rPr>
          <w:rFonts w:cstheme="minorHAnsi"/>
        </w:rPr>
        <w:t xml:space="preserve"> </w:t>
      </w:r>
      <w:r w:rsidR="00396911" w:rsidRPr="00D80C5B">
        <w:rPr>
          <w:rFonts w:cstheme="minorHAnsi"/>
        </w:rPr>
        <w:t>take</w:t>
      </w:r>
      <w:r w:rsidR="00C5680B">
        <w:rPr>
          <w:rFonts w:cstheme="minorHAnsi"/>
        </w:rPr>
        <w:t>s</w:t>
      </w:r>
      <w:r w:rsidR="00396911" w:rsidRPr="00D80C5B">
        <w:rPr>
          <w:rFonts w:cstheme="minorHAnsi"/>
        </w:rPr>
        <w:t xml:space="preserve"> into account interdependencies and spillovers. </w:t>
      </w:r>
      <w:r w:rsidR="002D3AF6">
        <w:rPr>
          <w:rFonts w:cstheme="minorHAnsi"/>
        </w:rPr>
        <w:t>While</w:t>
      </w:r>
      <w:r w:rsidR="00EE0619">
        <w:rPr>
          <w:rFonts w:cstheme="minorHAnsi"/>
        </w:rPr>
        <w:t xml:space="preserve"> l</w:t>
      </w:r>
      <w:r w:rsidR="00611D44" w:rsidRPr="00611D44">
        <w:rPr>
          <w:rFonts w:cstheme="minorHAnsi"/>
        </w:rPr>
        <w:t>arge current account deficits in many net-debtor countries have been corrected in the past</w:t>
      </w:r>
      <w:r w:rsidR="00C5680B">
        <w:rPr>
          <w:rFonts w:cstheme="minorHAnsi"/>
        </w:rPr>
        <w:t>,</w:t>
      </w:r>
      <w:r w:rsidR="00C5680B" w:rsidRPr="00611D44">
        <w:rPr>
          <w:rFonts w:cstheme="minorHAnsi"/>
        </w:rPr>
        <w:t xml:space="preserve"> the</w:t>
      </w:r>
      <w:r w:rsidR="00C5680B">
        <w:rPr>
          <w:rFonts w:cstheme="minorHAnsi"/>
        </w:rPr>
        <w:t>ir</w:t>
      </w:r>
      <w:r w:rsidR="00C5680B" w:rsidRPr="00611D44">
        <w:rPr>
          <w:rFonts w:cstheme="minorHAnsi"/>
        </w:rPr>
        <w:t xml:space="preserve"> current account positions are weakening</w:t>
      </w:r>
      <w:r w:rsidR="00C5680B">
        <w:rPr>
          <w:rFonts w:cstheme="minorHAnsi"/>
        </w:rPr>
        <w:t xml:space="preserve"> and the </w:t>
      </w:r>
      <w:r w:rsidR="00396911" w:rsidRPr="00D80C5B">
        <w:rPr>
          <w:rFonts w:cstheme="minorHAnsi"/>
        </w:rPr>
        <w:t xml:space="preserve">large stocks of foreign and domestic debt </w:t>
      </w:r>
      <w:r w:rsidR="00611D44">
        <w:rPr>
          <w:rFonts w:cstheme="minorHAnsi"/>
        </w:rPr>
        <w:t>requir</w:t>
      </w:r>
      <w:r w:rsidR="00C5680B">
        <w:rPr>
          <w:rFonts w:cstheme="minorHAnsi"/>
        </w:rPr>
        <w:t>e</w:t>
      </w:r>
      <w:r w:rsidR="00611D44">
        <w:rPr>
          <w:rFonts w:cstheme="minorHAnsi"/>
        </w:rPr>
        <w:t xml:space="preserve"> continued</w:t>
      </w:r>
      <w:r w:rsidR="00396911" w:rsidRPr="00D80C5B">
        <w:rPr>
          <w:rFonts w:cstheme="minorHAnsi"/>
        </w:rPr>
        <w:t xml:space="preserve"> prudent current account balances and ensuring an appropriate pace of debt reduction while pursuing reforms that raise the GDP growth potential. In net-creditor countries,</w:t>
      </w:r>
      <w:r w:rsidR="00325D9A">
        <w:rPr>
          <w:rFonts w:cstheme="minorHAnsi"/>
        </w:rPr>
        <w:t xml:space="preserve"> </w:t>
      </w:r>
      <w:r w:rsidR="00396911" w:rsidRPr="00D80C5B">
        <w:rPr>
          <w:rFonts w:cstheme="minorHAnsi"/>
        </w:rPr>
        <w:t xml:space="preserve">the window for financing at low interest </w:t>
      </w:r>
      <w:r w:rsidR="00325D9A">
        <w:rPr>
          <w:rFonts w:cstheme="minorHAnsi"/>
        </w:rPr>
        <w:t>rates</w:t>
      </w:r>
      <w:r w:rsidR="00C80253">
        <w:rPr>
          <w:rFonts w:cstheme="minorHAnsi"/>
        </w:rPr>
        <w:t xml:space="preserve">, </w:t>
      </w:r>
      <w:r w:rsidR="00325D9A">
        <w:rPr>
          <w:rFonts w:cstheme="minorHAnsi"/>
        </w:rPr>
        <w:t>should be seized to achieve a</w:t>
      </w:r>
      <w:r w:rsidR="00325D9A" w:rsidRPr="00D80C5B">
        <w:rPr>
          <w:rFonts w:cstheme="minorHAnsi"/>
        </w:rPr>
        <w:t xml:space="preserve"> </w:t>
      </w:r>
      <w:r w:rsidR="00325D9A">
        <w:rPr>
          <w:rFonts w:cstheme="minorHAnsi"/>
        </w:rPr>
        <w:t xml:space="preserve">continued increase in public and </w:t>
      </w:r>
      <w:r w:rsidR="00325D9A" w:rsidRPr="00247690">
        <w:rPr>
          <w:rFonts w:cstheme="minorHAnsi"/>
        </w:rPr>
        <w:t>private</w:t>
      </w:r>
      <w:r w:rsidR="00325D9A">
        <w:rPr>
          <w:rFonts w:cstheme="minorHAnsi"/>
        </w:rPr>
        <w:t xml:space="preserve"> investment</w:t>
      </w:r>
      <w:r w:rsidR="00396911" w:rsidRPr="00D80C5B">
        <w:rPr>
          <w:rFonts w:cstheme="minorHAnsi"/>
        </w:rPr>
        <w:t xml:space="preserve">. The use of </w:t>
      </w:r>
      <w:r w:rsidR="00C80253">
        <w:rPr>
          <w:rFonts w:cstheme="minorHAnsi"/>
        </w:rPr>
        <w:t>the favourable fiscal position</w:t>
      </w:r>
      <w:r w:rsidR="00396911" w:rsidRPr="00D80C5B">
        <w:rPr>
          <w:rFonts w:cstheme="minorHAnsi"/>
        </w:rPr>
        <w:t xml:space="preserve"> to support investment and </w:t>
      </w:r>
      <w:r w:rsidR="002D3AF6">
        <w:rPr>
          <w:rFonts w:cstheme="minorHAnsi"/>
        </w:rPr>
        <w:t xml:space="preserve">other productive spending </w:t>
      </w:r>
      <w:r w:rsidR="002E543B">
        <w:rPr>
          <w:rFonts w:cstheme="minorHAnsi"/>
        </w:rPr>
        <w:t xml:space="preserve">in those countries </w:t>
      </w:r>
      <w:r w:rsidR="00396911" w:rsidRPr="00D80C5B">
        <w:rPr>
          <w:rFonts w:cstheme="minorHAnsi"/>
        </w:rPr>
        <w:t xml:space="preserve">would </w:t>
      </w:r>
      <w:r w:rsidR="00325D9A">
        <w:rPr>
          <w:rFonts w:cstheme="minorHAnsi"/>
        </w:rPr>
        <w:t xml:space="preserve">also help to </w:t>
      </w:r>
      <w:r w:rsidR="00396911" w:rsidRPr="00D80C5B">
        <w:rPr>
          <w:rFonts w:cstheme="minorHAnsi"/>
        </w:rPr>
        <w:t>make growth prospects less dependent on foreign demand</w:t>
      </w:r>
      <w:r w:rsidR="002E543B">
        <w:rPr>
          <w:rFonts w:cstheme="minorHAnsi"/>
        </w:rPr>
        <w:t>, and support rebalancing in the euro area</w:t>
      </w:r>
      <w:r w:rsidR="00396911" w:rsidRPr="00D80C5B">
        <w:rPr>
          <w:rFonts w:cstheme="minorHAnsi"/>
        </w:rPr>
        <w:t xml:space="preserve">. </w:t>
      </w:r>
    </w:p>
    <w:p w:rsidR="00396911" w:rsidRPr="00D80C5B" w:rsidRDefault="00396911" w:rsidP="00712696">
      <w:pPr>
        <w:spacing w:after="200"/>
        <w:ind w:left="0"/>
        <w:jc w:val="both"/>
        <w:rPr>
          <w:rFonts w:ascii="Times New Roman" w:hAnsi="Times New Roman" w:cs="Times New Roman"/>
        </w:rPr>
      </w:pPr>
      <w:r w:rsidRPr="00D80C5B">
        <w:rPr>
          <w:rFonts w:eastAsia="Times New Roman" w:cstheme="minorHAnsi"/>
          <w:b/>
          <w:lang w:eastAsia="en-GB"/>
        </w:rPr>
        <w:t>All in all, s</w:t>
      </w:r>
      <w:r w:rsidRPr="00D80C5B">
        <w:rPr>
          <w:rFonts w:ascii="Times New Roman" w:hAnsi="Times New Roman" w:cs="Times New Roman"/>
          <w:b/>
        </w:rPr>
        <w:t>ources of potential imbalances are broadly the same as those identified in the AMR 2019, but prospects appear to be worsening in a number of respects.</w:t>
      </w:r>
      <w:r w:rsidRPr="00D80C5B">
        <w:rPr>
          <w:rFonts w:ascii="Times New Roman" w:hAnsi="Times New Roman" w:cs="Times New Roman"/>
        </w:rPr>
        <w:t xml:space="preserve"> External stock positions have been improving at faster pace</w:t>
      </w:r>
      <w:r w:rsidR="00325D9A" w:rsidRPr="00325D9A">
        <w:rPr>
          <w:rFonts w:ascii="Times New Roman" w:hAnsi="Times New Roman" w:cs="Times New Roman"/>
        </w:rPr>
        <w:t xml:space="preserve"> </w:t>
      </w:r>
      <w:r w:rsidR="00325D9A">
        <w:rPr>
          <w:rFonts w:ascii="Times New Roman" w:hAnsi="Times New Roman" w:cs="Times New Roman"/>
        </w:rPr>
        <w:t>amid favourable economic conditions</w:t>
      </w:r>
      <w:r w:rsidRPr="00D80C5B">
        <w:rPr>
          <w:rFonts w:ascii="Times New Roman" w:hAnsi="Times New Roman" w:cs="Times New Roman"/>
        </w:rPr>
        <w:t xml:space="preserve">, but further improvements are clouded by </w:t>
      </w:r>
      <w:r w:rsidR="00924201" w:rsidRPr="00D80C5B">
        <w:rPr>
          <w:rFonts w:ascii="Times New Roman" w:hAnsi="Times New Roman" w:cs="Times New Roman"/>
        </w:rPr>
        <w:t xml:space="preserve">weakening </w:t>
      </w:r>
      <w:r w:rsidRPr="00D80C5B">
        <w:rPr>
          <w:rFonts w:ascii="Times New Roman" w:hAnsi="Times New Roman" w:cs="Times New Roman"/>
        </w:rPr>
        <w:t xml:space="preserve">current account balances and </w:t>
      </w:r>
      <w:r w:rsidR="00924201" w:rsidRPr="00D80C5B">
        <w:rPr>
          <w:rFonts w:ascii="Times New Roman" w:hAnsi="Times New Roman" w:cs="Times New Roman"/>
        </w:rPr>
        <w:t xml:space="preserve">lower </w:t>
      </w:r>
      <w:r w:rsidRPr="00D80C5B">
        <w:rPr>
          <w:rFonts w:ascii="Times New Roman" w:hAnsi="Times New Roman" w:cs="Times New Roman"/>
        </w:rPr>
        <w:t xml:space="preserve">nominal </w:t>
      </w:r>
      <w:r w:rsidR="00924201" w:rsidRPr="00D80C5B">
        <w:rPr>
          <w:rFonts w:ascii="Times New Roman" w:hAnsi="Times New Roman" w:cs="Times New Roman"/>
        </w:rPr>
        <w:t xml:space="preserve">GDP </w:t>
      </w:r>
      <w:r w:rsidRPr="00D80C5B">
        <w:rPr>
          <w:rFonts w:ascii="Times New Roman" w:hAnsi="Times New Roman" w:cs="Times New Roman"/>
        </w:rPr>
        <w:t xml:space="preserve">growth. Large current account surpluses persist, while competitiveness developments have become less supportive of rebalancing and real effective appreciations are becoming more widespread. Private sector deleveraging is taking place at slower pace, even in some cases where debt is already high, and has been relying increasingly on nominal GDP growth. The weakening prospects for nominal growth raises the question whether deleveraging in high-debt countries can continue without increased private or government savings or enhanced GDP growth potential. After years of considerable improvements, the situation of the financial sector has stabilised but new challenges may emerge going forward linked to the low interest rate environment. House price growth remains strong, bringing house price valuations to peak levels in a growing number of EU countries. Decelerations are taking place in overvalued markets, but resuming mortgage credit in some countries may make strong house price growth self-sustaining. </w:t>
      </w:r>
    </w:p>
    <w:p w:rsidR="00396911" w:rsidRPr="00D80C5B" w:rsidRDefault="00396911" w:rsidP="00712696">
      <w:pPr>
        <w:spacing w:after="200"/>
        <w:ind w:left="0"/>
        <w:jc w:val="both"/>
        <w:rPr>
          <w:rFonts w:ascii="Times New Roman" w:hAnsi="Times New Roman" w:cs="Times New Roman"/>
        </w:rPr>
      </w:pPr>
      <w:r w:rsidRPr="00D80C5B">
        <w:rPr>
          <w:rFonts w:ascii="Times New Roman" w:hAnsi="Times New Roman" w:cs="Times New Roman"/>
          <w:b/>
        </w:rPr>
        <w:t xml:space="preserve">Potential sources of imbalances combine according </w:t>
      </w:r>
      <w:r w:rsidR="00DB135F" w:rsidRPr="00D80C5B">
        <w:rPr>
          <w:rFonts w:ascii="Times New Roman" w:hAnsi="Times New Roman" w:cs="Times New Roman"/>
          <w:b/>
        </w:rPr>
        <w:t xml:space="preserve">to </w:t>
      </w:r>
      <w:r w:rsidRPr="00D80C5B">
        <w:rPr>
          <w:rFonts w:ascii="Times New Roman" w:hAnsi="Times New Roman" w:cs="Times New Roman"/>
          <w:b/>
        </w:rPr>
        <w:t>a number of typologies</w:t>
      </w:r>
      <w:r w:rsidRPr="00D80C5B">
        <w:rPr>
          <w:rFonts w:ascii="Times New Roman" w:hAnsi="Times New Roman" w:cs="Times New Roman"/>
        </w:rPr>
        <w:t xml:space="preserve">. A number of Member States are affected by multiple and interconnected debt vulnerabilities possibly reflecting to some extent the conditions of the financial sector. In </w:t>
      </w:r>
      <w:r w:rsidR="00A35949" w:rsidRPr="00D80C5B">
        <w:rPr>
          <w:rFonts w:ascii="Times New Roman" w:hAnsi="Times New Roman" w:cs="Times New Roman"/>
        </w:rPr>
        <w:t xml:space="preserve">a </w:t>
      </w:r>
      <w:r w:rsidRPr="00D80C5B">
        <w:rPr>
          <w:rFonts w:ascii="Times New Roman" w:hAnsi="Times New Roman" w:cs="Times New Roman"/>
        </w:rPr>
        <w:t>few Member States</w:t>
      </w:r>
      <w:r w:rsidR="00DB135F" w:rsidRPr="00D80C5B">
        <w:rPr>
          <w:rFonts w:ascii="Times New Roman" w:hAnsi="Times New Roman" w:cs="Times New Roman"/>
        </w:rPr>
        <w:t>,</w:t>
      </w:r>
      <w:r w:rsidRPr="00D80C5B">
        <w:rPr>
          <w:rFonts w:ascii="Times New Roman" w:hAnsi="Times New Roman" w:cs="Times New Roman"/>
        </w:rPr>
        <w:t xml:space="preserve"> vulnerabilities are mainly linked to large and persistent public debt coupled with lacklustre productivity and competitiveness impinging on the growth potential. </w:t>
      </w:r>
      <w:r w:rsidR="00A35949" w:rsidRPr="00D80C5B">
        <w:rPr>
          <w:rFonts w:ascii="Times New Roman" w:hAnsi="Times New Roman" w:cs="Times New Roman"/>
        </w:rPr>
        <w:t xml:space="preserve">Some </w:t>
      </w:r>
      <w:r w:rsidRPr="00D80C5B">
        <w:rPr>
          <w:rFonts w:ascii="Times New Roman" w:hAnsi="Times New Roman" w:cs="Times New Roman"/>
        </w:rPr>
        <w:t>Member States are characterised by large and persistent current account surpluses. For some Member States</w:t>
      </w:r>
      <w:r w:rsidR="00DB135F" w:rsidRPr="00D80C5B">
        <w:rPr>
          <w:rFonts w:ascii="Times New Roman" w:hAnsi="Times New Roman" w:cs="Times New Roman"/>
        </w:rPr>
        <w:t>,</w:t>
      </w:r>
      <w:r w:rsidRPr="00D80C5B">
        <w:rPr>
          <w:rFonts w:ascii="Times New Roman" w:hAnsi="Times New Roman" w:cs="Times New Roman"/>
        </w:rPr>
        <w:t xml:space="preserve"> concerns are linked to trends in cost competitiveness possibly coupled with deteriorating external balance positions. Finally, in </w:t>
      </w:r>
      <w:r w:rsidR="00A35949" w:rsidRPr="00D80C5B">
        <w:rPr>
          <w:rFonts w:ascii="Times New Roman" w:hAnsi="Times New Roman" w:cs="Times New Roman"/>
        </w:rPr>
        <w:t xml:space="preserve">a </w:t>
      </w:r>
      <w:r w:rsidRPr="00D80C5B">
        <w:rPr>
          <w:rFonts w:ascii="Times New Roman" w:hAnsi="Times New Roman" w:cs="Times New Roman"/>
        </w:rPr>
        <w:t>few Members the main challenges come from trends in house prices in some cases coupled with large household debt.</w:t>
      </w:r>
    </w:p>
    <w:p w:rsidR="00396911" w:rsidRPr="00D80C5B" w:rsidRDefault="00396911" w:rsidP="00712696">
      <w:pPr>
        <w:spacing w:after="200"/>
        <w:ind w:left="0"/>
        <w:jc w:val="both"/>
        <w:rPr>
          <w:color w:val="000000" w:themeColor="text1"/>
        </w:rPr>
      </w:pPr>
      <w:r w:rsidRPr="00D80C5B">
        <w:rPr>
          <w:rFonts w:ascii="Times New Roman" w:hAnsi="Times New Roman" w:cs="Times New Roman"/>
          <w:b/>
        </w:rPr>
        <w:t>The upcoming challenges call for a forward-looking orientation of MIP surveillance</w:t>
      </w:r>
      <w:r w:rsidRPr="00D80C5B">
        <w:rPr>
          <w:rFonts w:ascii="Times New Roman" w:hAnsi="Times New Roman" w:cs="Times New Roman"/>
        </w:rPr>
        <w:t xml:space="preserve">. In light of the correction of most flow imbalances and the gradual reduction of stock imbalances, the MIP surveillance is gradually </w:t>
      </w:r>
      <w:r w:rsidR="00325D9A">
        <w:rPr>
          <w:rFonts w:ascii="Times New Roman" w:hAnsi="Times New Roman" w:cs="Times New Roman"/>
        </w:rPr>
        <w:t>focusing</w:t>
      </w:r>
      <w:r w:rsidR="00325D9A" w:rsidRPr="00D80C5B">
        <w:rPr>
          <w:rFonts w:ascii="Times New Roman" w:hAnsi="Times New Roman" w:cs="Times New Roman"/>
        </w:rPr>
        <w:t xml:space="preserve"> </w:t>
      </w:r>
      <w:r w:rsidRPr="00D80C5B">
        <w:rPr>
          <w:rFonts w:ascii="Times New Roman" w:hAnsi="Times New Roman" w:cs="Times New Roman"/>
        </w:rPr>
        <w:t xml:space="preserve">more </w:t>
      </w:r>
      <w:r w:rsidR="00325D9A">
        <w:rPr>
          <w:rFonts w:ascii="Times New Roman" w:hAnsi="Times New Roman" w:cs="Times New Roman"/>
        </w:rPr>
        <w:t>on</w:t>
      </w:r>
      <w:r w:rsidRPr="00D80C5B">
        <w:rPr>
          <w:rFonts w:ascii="Times New Roman" w:hAnsi="Times New Roman" w:cs="Times New Roman"/>
        </w:rPr>
        <w:t xml:space="preserve"> the monitoring of possibly unsustainable trends that could crystallise over the medium term. At the same time, the changing </w:t>
      </w:r>
      <w:r w:rsidRPr="00D80C5B">
        <w:rPr>
          <w:rFonts w:ascii="Times New Roman" w:hAnsi="Times New Roman" w:cs="Times New Roman"/>
          <w:color w:val="000000" w:themeColor="text1"/>
        </w:rPr>
        <w:t xml:space="preserve">economic </w:t>
      </w:r>
      <w:r w:rsidR="00325D9A">
        <w:rPr>
          <w:rFonts w:ascii="Times New Roman" w:hAnsi="Times New Roman" w:cs="Times New Roman"/>
          <w:color w:val="000000" w:themeColor="text1"/>
        </w:rPr>
        <w:t>situation</w:t>
      </w:r>
      <w:r w:rsidRPr="00D80C5B">
        <w:rPr>
          <w:rFonts w:ascii="Times New Roman" w:hAnsi="Times New Roman" w:cs="Times New Roman"/>
          <w:color w:val="000000" w:themeColor="text1"/>
        </w:rPr>
        <w:t xml:space="preserve">, including the risks that emanate mainly from the economic environment external to the euro area and the EU, </w:t>
      </w:r>
      <w:r w:rsidR="00325D9A">
        <w:rPr>
          <w:rFonts w:ascii="Times New Roman" w:hAnsi="Times New Roman" w:cs="Times New Roman"/>
          <w:color w:val="000000" w:themeColor="text1"/>
        </w:rPr>
        <w:t>make it important to also</w:t>
      </w:r>
      <w:r w:rsidRPr="00D80C5B">
        <w:rPr>
          <w:rFonts w:ascii="Times New Roman" w:hAnsi="Times New Roman" w:cs="Times New Roman"/>
          <w:color w:val="000000" w:themeColor="text1"/>
        </w:rPr>
        <w:t xml:space="preserve"> </w:t>
      </w:r>
      <w:r w:rsidRPr="00D80C5B">
        <w:rPr>
          <w:color w:val="000000" w:themeColor="text1"/>
        </w:rPr>
        <w:t>assess imbalances from the euro area and EU perspectives.</w:t>
      </w:r>
    </w:p>
    <w:p w:rsidR="00396911" w:rsidRPr="00D80C5B" w:rsidRDefault="00396911" w:rsidP="00712696">
      <w:pPr>
        <w:spacing w:after="200"/>
        <w:ind w:left="0"/>
        <w:jc w:val="both"/>
        <w:rPr>
          <w:rFonts w:cstheme="minorHAnsi"/>
        </w:rPr>
      </w:pPr>
      <w:r w:rsidRPr="00D80C5B">
        <w:rPr>
          <w:rFonts w:cstheme="minorHAnsi"/>
          <w:b/>
        </w:rPr>
        <w:t>For a number of Member States identified in the AMR, more detailed and encompassing analyses will be contained in the IDRs</w:t>
      </w:r>
      <w:r w:rsidRPr="00D80C5B">
        <w:rPr>
          <w:rFonts w:cstheme="minorHAnsi"/>
        </w:rPr>
        <w:t>. As in recent annual cycles, IDRs will be embedded in the country reports. To prepare the IDRs, the Commission will base its analysis on a rich set of data and relevant information and assessment frameworks developed by the Commission in cooperation with Council committees and working groups. The analysis contained in the IDRs will provide the basis for the identification of imbalances or excessive imbalances in Member States, and for possible updates in the country-specific recommendations (CSRs).</w:t>
      </w:r>
      <w:r w:rsidRPr="00D80C5B">
        <w:rPr>
          <w:rFonts w:cstheme="minorHAnsi"/>
          <w:vertAlign w:val="superscript"/>
        </w:rPr>
        <w:footnoteReference w:id="10"/>
      </w:r>
      <w:r w:rsidRPr="00D80C5B">
        <w:rPr>
          <w:rFonts w:cstheme="minorHAnsi"/>
        </w:rPr>
        <w:t xml:space="preserve"> Countries for which imbalances or excessive imbalances have been identified are, and will continue to be, subject to specific monitoring to ensure the continuous surveillance of the policies undertaken under the MIP.</w:t>
      </w:r>
    </w:p>
    <w:p w:rsidR="00396911" w:rsidRPr="00D80C5B" w:rsidRDefault="00396911" w:rsidP="00712696">
      <w:pPr>
        <w:spacing w:after="200"/>
        <w:ind w:left="0"/>
        <w:jc w:val="both"/>
        <w:rPr>
          <w:rFonts w:cstheme="minorHAnsi"/>
        </w:rPr>
      </w:pPr>
      <w:r w:rsidRPr="00D80C5B">
        <w:rPr>
          <w:rFonts w:cstheme="minorHAnsi"/>
          <w:b/>
        </w:rPr>
        <w:t xml:space="preserve">IDRs will be prepared for the Member States already identified with imbalances or excessive imbalances. </w:t>
      </w:r>
      <w:r w:rsidRPr="00D80C5B">
        <w:rPr>
          <w:rFonts w:cstheme="minorHAnsi"/>
        </w:rPr>
        <w:t>In line with established prudential practice, IDRs will be issued to assess whether existing imbalances are unwinding, persisting or aggravating, while taking stock of corrective policies implemented. The preparation of IDRs is therefore foreseen for the 13 Member States identified with imbalances and excessive imbalances in light of the findings of the February 2019 IDRs.</w:t>
      </w:r>
      <w:r w:rsidRPr="00D80C5B">
        <w:rPr>
          <w:rFonts w:cstheme="minorHAnsi"/>
          <w:vertAlign w:val="superscript"/>
        </w:rPr>
        <w:footnoteReference w:id="11"/>
      </w:r>
      <w:r w:rsidRPr="00D80C5B">
        <w:rPr>
          <w:rFonts w:cstheme="minorHAnsi"/>
        </w:rPr>
        <w:t xml:space="preserve"> Ten Member States are currently identified with imbalances (</w:t>
      </w:r>
      <w:r w:rsidRPr="00D80C5B">
        <w:rPr>
          <w:rFonts w:cstheme="minorHAnsi"/>
          <w:b/>
        </w:rPr>
        <w:t>Bulgaria, Croatia, France, Germany, Ireland, the Netherlands, Portugal, Romania, Spain</w:t>
      </w:r>
      <w:r w:rsidRPr="00D80C5B">
        <w:rPr>
          <w:rFonts w:cstheme="minorHAnsi"/>
        </w:rPr>
        <w:t>,</w:t>
      </w:r>
      <w:r w:rsidRPr="00D80C5B">
        <w:rPr>
          <w:rFonts w:cstheme="minorHAnsi"/>
          <w:b/>
        </w:rPr>
        <w:t xml:space="preserve"> </w:t>
      </w:r>
      <w:r w:rsidRPr="00D80C5B">
        <w:rPr>
          <w:rFonts w:cstheme="minorHAnsi"/>
        </w:rPr>
        <w:t>and</w:t>
      </w:r>
      <w:r w:rsidRPr="00D80C5B">
        <w:rPr>
          <w:rFonts w:cstheme="minorHAnsi"/>
          <w:b/>
        </w:rPr>
        <w:t xml:space="preserve"> Sweden</w:t>
      </w:r>
      <w:r w:rsidRPr="00D80C5B">
        <w:rPr>
          <w:rFonts w:cstheme="minorHAnsi"/>
        </w:rPr>
        <w:t xml:space="preserve">), while </w:t>
      </w:r>
      <w:r w:rsidRPr="00D80C5B">
        <w:rPr>
          <w:rFonts w:cstheme="minorHAnsi"/>
          <w:b/>
        </w:rPr>
        <w:t>Cyprus, Greece</w:t>
      </w:r>
      <w:r w:rsidRPr="00D80C5B">
        <w:rPr>
          <w:rFonts w:cstheme="minorHAnsi"/>
        </w:rPr>
        <w:t>,</w:t>
      </w:r>
      <w:r w:rsidRPr="00D80C5B">
        <w:rPr>
          <w:rFonts w:cstheme="minorHAnsi"/>
          <w:b/>
        </w:rPr>
        <w:t xml:space="preserve"> </w:t>
      </w:r>
      <w:r w:rsidRPr="00D80C5B">
        <w:rPr>
          <w:rFonts w:cstheme="minorHAnsi"/>
        </w:rPr>
        <w:t>and</w:t>
      </w:r>
      <w:r w:rsidRPr="00D80C5B">
        <w:rPr>
          <w:rFonts w:cstheme="minorHAnsi"/>
          <w:b/>
        </w:rPr>
        <w:t xml:space="preserve"> Italy </w:t>
      </w:r>
      <w:r w:rsidRPr="00D80C5B">
        <w:rPr>
          <w:rFonts w:cstheme="minorHAnsi"/>
        </w:rPr>
        <w:t>are identified with excessive imbalances.</w:t>
      </w:r>
    </w:p>
    <w:p w:rsidR="00396911" w:rsidRPr="00D80C5B" w:rsidRDefault="00396911" w:rsidP="008961C6">
      <w:pPr>
        <w:ind w:left="0"/>
        <w:jc w:val="both"/>
        <w:rPr>
          <w:rFonts w:ascii="Times New Roman" w:hAnsi="Times New Roman" w:cs="Times New Roman"/>
        </w:rPr>
      </w:pPr>
      <w:r w:rsidRPr="00D80C5B">
        <w:rPr>
          <w:rFonts w:ascii="Times New Roman" w:hAnsi="Times New Roman" w:cs="Times New Roman"/>
          <w:b/>
        </w:rPr>
        <w:t xml:space="preserve">On the basis of the analysis carried out in this AMR, the Commission does not deem necessary to prepare IDRs for other Member States. </w:t>
      </w:r>
      <w:r w:rsidRPr="00D80C5B">
        <w:rPr>
          <w:rFonts w:ascii="Times New Roman" w:hAnsi="Times New Roman" w:cs="Times New Roman"/>
        </w:rPr>
        <w:t>The AMR assessment does not point to significant additional risks that would justify a new IDR for any of the Member States that were not identified with imbalances or excessive imbalances in the latest annual cycle of MIP implementation. However, t</w:t>
      </w:r>
      <w:r w:rsidRPr="00D80C5B">
        <w:rPr>
          <w:rFonts w:ascii="Times New Roman" w:eastAsia="Times New Roman" w:hAnsi="Times New Roman" w:cs="Times New Roman"/>
          <w:lang w:eastAsia="en-GB"/>
        </w:rPr>
        <w:t xml:space="preserve">his AMR points to the need of </w:t>
      </w:r>
      <w:r w:rsidRPr="00D80C5B">
        <w:rPr>
          <w:rFonts w:ascii="Times New Roman" w:eastAsia="Times New Roman" w:hAnsi="Times New Roman" w:cs="Times New Roman"/>
          <w:b/>
          <w:lang w:eastAsia="en-GB"/>
        </w:rPr>
        <w:t>close monitoring in the upcoming country reports</w:t>
      </w:r>
      <w:r w:rsidRPr="00D80C5B">
        <w:rPr>
          <w:rFonts w:ascii="Times New Roman" w:eastAsia="Times New Roman" w:hAnsi="Times New Roman" w:cs="Times New Roman"/>
          <w:lang w:eastAsia="en-GB"/>
        </w:rPr>
        <w:t xml:space="preserve"> of a number of developments that could imply macroeconomic risks if protracted. Those developments relate to unit labour costs and implications for external competitiveness </w:t>
      </w:r>
      <w:r w:rsidRPr="00D80C5B">
        <w:rPr>
          <w:rFonts w:ascii="Times New Roman" w:hAnsi="Times New Roman" w:cs="Times New Roman"/>
        </w:rPr>
        <w:t>in a number of Member States</w:t>
      </w:r>
      <w:r w:rsidRPr="00D80C5B">
        <w:rPr>
          <w:rFonts w:ascii="Times New Roman" w:eastAsia="Times New Roman" w:hAnsi="Times New Roman" w:cs="Times New Roman"/>
          <w:lang w:eastAsia="en-GB"/>
        </w:rPr>
        <w:t xml:space="preserve"> (</w:t>
      </w:r>
      <w:r w:rsidRPr="00D80C5B">
        <w:rPr>
          <w:rFonts w:ascii="Times New Roman" w:hAnsi="Times New Roman" w:cs="Times New Roman"/>
        </w:rPr>
        <w:t xml:space="preserve">Czechia, Estonia, Hungary, Latvia, Lithuania, and Slovakia) </w:t>
      </w:r>
      <w:r w:rsidRPr="00D80C5B">
        <w:rPr>
          <w:rFonts w:ascii="Times New Roman" w:eastAsia="Times New Roman" w:hAnsi="Times New Roman" w:cs="Times New Roman"/>
          <w:lang w:eastAsia="en-GB"/>
        </w:rPr>
        <w:t>and to housing markets and household debt (Austria, Belgium, Czechia, Denmark, Finland, Hungary, Luxembourg, Slovakia, Slovenia, and United Kingdom).</w:t>
      </w:r>
      <w:r w:rsidRPr="00D80C5B">
        <w:rPr>
          <w:rStyle w:val="FootnoteReference"/>
          <w:rFonts w:ascii="Times New Roman" w:hAnsi="Times New Roman" w:cs="Times New Roman"/>
        </w:rPr>
        <w:footnoteReference w:id="12"/>
      </w:r>
    </w:p>
    <w:p w:rsidR="00E925EA" w:rsidRDefault="00E925EA" w:rsidP="00850EA8">
      <w:pPr>
        <w:ind w:left="0"/>
        <w:rPr>
          <w:rFonts w:eastAsia="MS Gothic" w:cstheme="minorHAnsi"/>
          <w:b/>
          <w:bCs/>
          <w:smallCaps/>
          <w:lang w:eastAsia="en-GB"/>
        </w:rPr>
      </w:pPr>
    </w:p>
    <w:p w:rsidR="008961C6" w:rsidRPr="00D80C5B" w:rsidRDefault="008961C6" w:rsidP="00850EA8">
      <w:pPr>
        <w:ind w:left="0"/>
        <w:rPr>
          <w:rFonts w:eastAsia="MS Gothic" w:cstheme="minorHAnsi"/>
          <w:b/>
          <w:bCs/>
          <w:smallCaps/>
          <w:lang w:eastAsia="en-GB"/>
        </w:rPr>
      </w:pPr>
    </w:p>
    <w:p w:rsidR="001419AE" w:rsidRPr="00D80C5B" w:rsidRDefault="001419AE" w:rsidP="001419AE">
      <w:pPr>
        <w:ind w:left="0"/>
        <w:rPr>
          <w:rFonts w:eastAsia="MS Gothic" w:cstheme="minorHAnsi"/>
          <w:b/>
          <w:bCs/>
          <w:smallCaps/>
          <w:lang w:eastAsia="en-GB"/>
        </w:rPr>
      </w:pPr>
      <w:r w:rsidRPr="00D80C5B">
        <w:rPr>
          <w:rFonts w:eastAsia="MS Gothic" w:cstheme="minorHAnsi"/>
          <w:b/>
          <w:bCs/>
          <w:smallCaps/>
          <w:lang w:eastAsia="en-GB"/>
        </w:rPr>
        <w:t>2.</w:t>
      </w:r>
      <w:r w:rsidRPr="00D80C5B">
        <w:rPr>
          <w:rFonts w:eastAsia="MS Gothic" w:cstheme="minorHAnsi"/>
          <w:b/>
          <w:bCs/>
          <w:smallCaps/>
          <w:lang w:eastAsia="en-GB"/>
        </w:rPr>
        <w:tab/>
        <w:t>The euro area dimension of macroeconomic imbalances</w:t>
      </w:r>
    </w:p>
    <w:p w:rsidR="00FB6095" w:rsidRPr="00D80C5B" w:rsidRDefault="00FB6095" w:rsidP="00850EA8">
      <w:pPr>
        <w:ind w:left="0"/>
        <w:rPr>
          <w:rFonts w:eastAsia="MS Gothic" w:cstheme="minorHAnsi"/>
          <w:b/>
          <w:bCs/>
          <w:smallCaps/>
          <w:lang w:eastAsia="en-GB"/>
        </w:rPr>
      </w:pPr>
    </w:p>
    <w:p w:rsidR="00E925EA" w:rsidRPr="00D80C5B" w:rsidRDefault="001419AE" w:rsidP="003425D8">
      <w:pPr>
        <w:spacing w:after="120"/>
        <w:ind w:left="0"/>
        <w:jc w:val="both"/>
        <w:rPr>
          <w:rFonts w:ascii="Times New Roman" w:hAnsi="Times New Roman" w:cs="Times New Roman"/>
        </w:rPr>
      </w:pPr>
      <w:r w:rsidRPr="00D80C5B">
        <w:rPr>
          <w:rFonts w:ascii="Times New Roman" w:hAnsi="Times New Roman" w:cs="Times New Roman"/>
          <w:b/>
        </w:rPr>
        <w:t xml:space="preserve">The euro area current account balance has peaked, but still records very elevated levels. </w:t>
      </w:r>
      <w:r w:rsidRPr="00D80C5B">
        <w:rPr>
          <w:rFonts w:ascii="Times New Roman" w:hAnsi="Times New Roman" w:cs="Times New Roman"/>
        </w:rPr>
        <w:t>The current account balance of the euro area has moved from a broadly-balanced pre-crisis position to a peak of 3.2 % of GDP in 2016. Since then, its value has come down very slightly, reachi</w:t>
      </w:r>
      <w:r w:rsidR="00631902" w:rsidRPr="00D80C5B">
        <w:rPr>
          <w:rFonts w:ascii="Times New Roman" w:hAnsi="Times New Roman" w:cs="Times New Roman"/>
        </w:rPr>
        <w:t xml:space="preserve">ng 3.1% of GDP in 2018 (Graph </w:t>
      </w:r>
      <w:r w:rsidRPr="00D80C5B">
        <w:rPr>
          <w:rFonts w:ascii="Times New Roman" w:hAnsi="Times New Roman" w:cs="Times New Roman"/>
        </w:rPr>
        <w:t>1).</w:t>
      </w:r>
      <w:bookmarkStart w:id="2" w:name="_Ref24022562"/>
      <w:r w:rsidRPr="00D80C5B">
        <w:rPr>
          <w:rFonts w:ascii="Times New Roman" w:hAnsi="Times New Roman" w:cs="Times New Roman"/>
          <w:vertAlign w:val="superscript"/>
        </w:rPr>
        <w:footnoteReference w:id="13"/>
      </w:r>
      <w:bookmarkEnd w:id="2"/>
      <w:r w:rsidRPr="00D80C5B">
        <w:rPr>
          <w:rFonts w:ascii="Times New Roman" w:hAnsi="Times New Roman" w:cs="Times New Roman"/>
        </w:rPr>
        <w:t xml:space="preserve"> The euro area current account surplus remains the largest worldwide, and is estimated to be above the level suggested by economic fundamentals (about 1.7% of euro area GDP in 2018).</w:t>
      </w:r>
      <w:r w:rsidRPr="00D80C5B">
        <w:rPr>
          <w:rFonts w:ascii="Times New Roman" w:hAnsi="Times New Roman" w:cs="Times New Roman"/>
          <w:vertAlign w:val="superscript"/>
        </w:rPr>
        <w:footnoteReference w:id="14"/>
      </w:r>
      <w:r w:rsidRPr="00D80C5B">
        <w:rPr>
          <w:rFonts w:ascii="Times New Roman" w:hAnsi="Times New Roman" w:cs="Times New Roman"/>
        </w:rPr>
        <w:t xml:space="preserve"> It mainly reflects the large surpluses recorded in Germany and the Netherlands, whose combined external balances accounted for 2.8% of euro area GDP in 2018. At unchanged policies, the euro area adjusted current account surplus is expected to fall in 2019 according to the European Commission autumn 2019 forecast, reaching 2.7% of GDP, and to further decline to 2.5% of GDP by 2020.</w:t>
      </w:r>
    </w:p>
    <w:p w:rsidR="00E925EA" w:rsidRPr="00D80C5B" w:rsidRDefault="00E925EA" w:rsidP="003425D8">
      <w:pPr>
        <w:spacing w:after="120"/>
        <w:ind w:left="0"/>
        <w:jc w:val="both"/>
        <w:rPr>
          <w:rFonts w:ascii="Times New Roman" w:hAnsi="Times New Roman" w:cs="Times New Roman"/>
        </w:rPr>
      </w:pPr>
      <w:r w:rsidRPr="00D80C5B">
        <w:rPr>
          <w:rFonts w:ascii="Times New Roman" w:hAnsi="Times New Roman" w:cs="Times New Roman"/>
          <w:b/>
        </w:rPr>
        <w:t>The ongoing reduction in the euro area surplus is mainly the result of a weakening trade balance.</w:t>
      </w:r>
      <w:r w:rsidRPr="00D80C5B">
        <w:rPr>
          <w:rFonts w:ascii="Times New Roman" w:hAnsi="Times New Roman" w:cs="Times New Roman"/>
        </w:rPr>
        <w:t xml:space="preserve"> The energy balance is the main contributor to the reduction of the current account balance between 2016 and 2018, on the back of rising oil prices. The energy balance recorded a deficit of </w:t>
      </w:r>
      <w:r w:rsidR="003425D8">
        <w:rPr>
          <w:rFonts w:ascii="Times New Roman" w:hAnsi="Times New Roman" w:cs="Times New Roman"/>
        </w:rPr>
        <w:t>-</w:t>
      </w:r>
      <w:r w:rsidRPr="00D80C5B">
        <w:rPr>
          <w:rFonts w:ascii="Times New Roman" w:hAnsi="Times New Roman" w:cs="Times New Roman"/>
        </w:rPr>
        <w:t xml:space="preserve">1.7% of GDP in 2017, which expanded to </w:t>
      </w:r>
      <w:r w:rsidR="003425D8">
        <w:rPr>
          <w:rFonts w:ascii="Times New Roman" w:hAnsi="Times New Roman" w:cs="Times New Roman"/>
        </w:rPr>
        <w:t>-</w:t>
      </w:r>
      <w:r w:rsidRPr="00D80C5B">
        <w:rPr>
          <w:rFonts w:ascii="Times New Roman" w:hAnsi="Times New Roman" w:cs="Times New Roman"/>
        </w:rPr>
        <w:t>2.1% of GDP in 2018, while the balance on remaining goods trade has remained roughly stable as a share of GDP at 4.6%. A global growth and trade slowdown since mid</w:t>
      </w:r>
      <w:r w:rsidR="002D351E">
        <w:rPr>
          <w:rFonts w:ascii="Times New Roman" w:hAnsi="Times New Roman" w:cs="Times New Roman"/>
        </w:rPr>
        <w:noBreakHyphen/>
      </w:r>
      <w:r w:rsidRPr="00D80C5B">
        <w:rPr>
          <w:rFonts w:ascii="Times New Roman" w:hAnsi="Times New Roman" w:cs="Times New Roman"/>
        </w:rPr>
        <w:t>2018, persistent heightened uncertainty surrounding the trade policy environment, and the appreciation of the euro in effective terms in 2018 are at the basis of a reduced growth rate in both euro area imports and exports. Monthly data reveal an ongoing further reduction in goods exports and imports of the euro area with the rest of the world in the course of 2019 (Graph 2). A number of factors could contribute to a further deterioration of the euro area current account going forward, including a relative weakening of cyclical conditions in other areas of the world economy, the unfolding of the effects from restrictive trade policies, or higher oil prices resulting from geopolitical tensions.</w:t>
      </w:r>
    </w:p>
    <w:p w:rsidR="001419AE" w:rsidRPr="00D80C5B" w:rsidRDefault="001419AE" w:rsidP="001419AE">
      <w:pPr>
        <w:spacing w:after="120"/>
        <w:ind w:left="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1"/>
        <w:gridCol w:w="4661"/>
      </w:tblGrid>
      <w:tr w:rsidR="001419AE" w:rsidRPr="00D80C5B" w:rsidTr="0047733F">
        <w:tc>
          <w:tcPr>
            <w:tcW w:w="4661" w:type="dxa"/>
            <w:tcBorders>
              <w:top w:val="nil"/>
              <w:left w:val="nil"/>
              <w:bottom w:val="nil"/>
              <w:right w:val="nil"/>
            </w:tcBorders>
            <w:shd w:val="clear" w:color="auto" w:fill="auto"/>
          </w:tcPr>
          <w:p w:rsidR="001419AE" w:rsidRPr="00D80C5B" w:rsidRDefault="00631902" w:rsidP="00FA3187">
            <w:pPr>
              <w:spacing w:line="240" w:lineRule="auto"/>
              <w:ind w:left="0"/>
              <w:jc w:val="both"/>
              <w:rPr>
                <w:rFonts w:ascii="Times New Roman" w:hAnsi="Times New Roman" w:cs="Times New Roman"/>
                <w:b/>
              </w:rPr>
            </w:pPr>
            <w:r w:rsidRPr="00D80C5B">
              <w:rPr>
                <w:rFonts w:ascii="Times New Roman" w:hAnsi="Times New Roman" w:cs="Times New Roman"/>
                <w:b/>
              </w:rPr>
              <w:t xml:space="preserve">Graph </w:t>
            </w:r>
            <w:r w:rsidR="001419AE" w:rsidRPr="00D80C5B">
              <w:rPr>
                <w:rFonts w:ascii="Times New Roman" w:hAnsi="Times New Roman" w:cs="Times New Roman"/>
                <w:b/>
              </w:rPr>
              <w:t xml:space="preserve">1: Euro area current account evolution: breakdown by country </w:t>
            </w:r>
          </w:p>
        </w:tc>
        <w:tc>
          <w:tcPr>
            <w:tcW w:w="4661" w:type="dxa"/>
            <w:tcBorders>
              <w:top w:val="nil"/>
              <w:left w:val="nil"/>
              <w:bottom w:val="nil"/>
              <w:right w:val="nil"/>
            </w:tcBorders>
            <w:shd w:val="clear" w:color="auto" w:fill="auto"/>
          </w:tcPr>
          <w:p w:rsidR="001419AE" w:rsidRPr="00D80C5B" w:rsidRDefault="00631902" w:rsidP="00FA3187">
            <w:pPr>
              <w:spacing w:line="240" w:lineRule="auto"/>
              <w:ind w:left="0"/>
              <w:jc w:val="both"/>
              <w:rPr>
                <w:rFonts w:ascii="Times New Roman" w:hAnsi="Times New Roman" w:cs="Times New Roman"/>
                <w:b/>
              </w:rPr>
            </w:pPr>
            <w:r w:rsidRPr="00D80C5B">
              <w:rPr>
                <w:rFonts w:ascii="Times New Roman" w:hAnsi="Times New Roman" w:cs="Times New Roman"/>
                <w:b/>
              </w:rPr>
              <w:t xml:space="preserve">Graph </w:t>
            </w:r>
            <w:r w:rsidR="001419AE" w:rsidRPr="00D80C5B">
              <w:rPr>
                <w:rFonts w:ascii="Times New Roman" w:hAnsi="Times New Roman" w:cs="Times New Roman"/>
                <w:b/>
              </w:rPr>
              <w:t xml:space="preserve">2: Evolution of euro area trade with the rest of the world </w:t>
            </w:r>
          </w:p>
        </w:tc>
      </w:tr>
      <w:tr w:rsidR="001419AE" w:rsidRPr="00D80C5B" w:rsidTr="0047733F">
        <w:tblPrEx>
          <w:tblCellMar>
            <w:left w:w="70" w:type="dxa"/>
            <w:right w:w="70" w:type="dxa"/>
          </w:tblCellMar>
        </w:tblPrEx>
        <w:trPr>
          <w:trHeight w:val="3346"/>
        </w:trPr>
        <w:tc>
          <w:tcPr>
            <w:tcW w:w="4661" w:type="dxa"/>
            <w:tcBorders>
              <w:top w:val="nil"/>
              <w:left w:val="nil"/>
              <w:bottom w:val="nil"/>
              <w:right w:val="nil"/>
            </w:tcBorders>
            <w:shd w:val="clear" w:color="auto" w:fill="auto"/>
          </w:tcPr>
          <w:p w:rsidR="001419AE" w:rsidRPr="00D80C5B" w:rsidRDefault="003425D8" w:rsidP="00FA3187">
            <w:pPr>
              <w:spacing w:line="240" w:lineRule="auto"/>
              <w:ind w:left="0"/>
              <w:jc w:val="both"/>
              <w:rPr>
                <w:rFonts w:ascii="Times New Roman" w:hAnsi="Times New Roman" w:cs="Times New Roman"/>
              </w:rPr>
            </w:pPr>
            <w:r w:rsidRPr="003425D8">
              <w:rPr>
                <w:noProof/>
                <w:lang w:eastAsia="en-GB"/>
              </w:rPr>
              <w:drawing>
                <wp:inline distT="0" distB="0" distL="0" distR="0" wp14:anchorId="568FC2EF" wp14:editId="643631D9">
                  <wp:extent cx="2844000" cy="284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c>
          <w:tcPr>
            <w:tcW w:w="4661" w:type="dxa"/>
            <w:tcBorders>
              <w:top w:val="nil"/>
              <w:left w:val="nil"/>
              <w:bottom w:val="nil"/>
              <w:right w:val="nil"/>
            </w:tcBorders>
            <w:shd w:val="clear" w:color="auto" w:fill="auto"/>
          </w:tcPr>
          <w:p w:rsidR="001419AE" w:rsidRPr="00D80C5B" w:rsidRDefault="001419AE" w:rsidP="00FA3187">
            <w:pPr>
              <w:spacing w:line="240" w:lineRule="auto"/>
              <w:ind w:left="0"/>
              <w:jc w:val="both"/>
              <w:rPr>
                <w:rFonts w:ascii="Times New Roman" w:hAnsi="Times New Roman" w:cs="Times New Roman"/>
              </w:rPr>
            </w:pPr>
            <w:r w:rsidRPr="00D80C5B">
              <w:rPr>
                <w:noProof/>
                <w:lang w:eastAsia="en-GB"/>
              </w:rPr>
              <w:drawing>
                <wp:inline distT="0" distB="0" distL="0" distR="0" wp14:anchorId="0E2348AC" wp14:editId="7AA7A51B">
                  <wp:extent cx="2844000" cy="284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r>
      <w:tr w:rsidR="001419AE" w:rsidRPr="00D80C5B" w:rsidTr="0047733F">
        <w:tc>
          <w:tcPr>
            <w:tcW w:w="4661" w:type="dxa"/>
            <w:tcBorders>
              <w:top w:val="nil"/>
              <w:left w:val="nil"/>
              <w:bottom w:val="nil"/>
              <w:right w:val="nil"/>
            </w:tcBorders>
            <w:shd w:val="clear" w:color="auto" w:fill="auto"/>
          </w:tcPr>
          <w:p w:rsidR="001419AE" w:rsidRPr="00D80C5B" w:rsidRDefault="001419AE" w:rsidP="00E60A1F">
            <w:pPr>
              <w:spacing w:line="240" w:lineRule="auto"/>
              <w:ind w:left="0"/>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Eurostat Balance of </w:t>
            </w:r>
            <w:r w:rsidR="007F052F" w:rsidRPr="00D80C5B">
              <w:rPr>
                <w:rFonts w:ascii="Times New Roman" w:hAnsi="Times New Roman" w:cs="Times New Roman"/>
                <w:sz w:val="20"/>
              </w:rPr>
              <w:t>P</w:t>
            </w:r>
            <w:r w:rsidRPr="00D80C5B">
              <w:rPr>
                <w:rFonts w:ascii="Times New Roman" w:hAnsi="Times New Roman" w:cs="Times New Roman"/>
                <w:sz w:val="20"/>
              </w:rPr>
              <w:t>ayments</w:t>
            </w:r>
            <w:r w:rsidR="00474D7F" w:rsidRPr="00D80C5B">
              <w:rPr>
                <w:rFonts w:ascii="Times New Roman" w:hAnsi="Times New Roman" w:cs="Times New Roman"/>
                <w:sz w:val="20"/>
              </w:rPr>
              <w:t>,</w:t>
            </w:r>
            <w:r w:rsidRPr="00D80C5B">
              <w:rPr>
                <w:rFonts w:ascii="Times New Roman" w:hAnsi="Times New Roman" w:cs="Times New Roman"/>
                <w:sz w:val="20"/>
              </w:rPr>
              <w:t xml:space="preserve"> </w:t>
            </w:r>
            <w:r w:rsidR="007F052F" w:rsidRPr="00D80C5B">
              <w:rPr>
                <w:rFonts w:eastAsia="Times New Roman" w:cstheme="minorHAnsi"/>
                <w:sz w:val="20"/>
                <w:szCs w:val="20"/>
                <w:lang w:eastAsia="en-GB"/>
              </w:rPr>
              <w:t>European Commission autumn 2019 economic forecast</w:t>
            </w:r>
            <w:r w:rsidRPr="00D80C5B">
              <w:rPr>
                <w:rFonts w:ascii="Times New Roman" w:hAnsi="Times New Roman" w:cs="Times New Roman"/>
                <w:sz w:val="20"/>
              </w:rPr>
              <w:t xml:space="preserve">. </w:t>
            </w:r>
          </w:p>
        </w:tc>
        <w:tc>
          <w:tcPr>
            <w:tcW w:w="4661" w:type="dxa"/>
            <w:tcBorders>
              <w:top w:val="nil"/>
              <w:left w:val="nil"/>
              <w:bottom w:val="nil"/>
              <w:right w:val="nil"/>
            </w:tcBorders>
            <w:shd w:val="clear" w:color="auto" w:fill="auto"/>
          </w:tcPr>
          <w:p w:rsidR="001419AE" w:rsidRPr="00D80C5B" w:rsidRDefault="001419AE" w:rsidP="00FA3187">
            <w:pPr>
              <w:spacing w:line="240" w:lineRule="auto"/>
              <w:ind w:left="0"/>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Eurostat Foreign Trade Statistics</w:t>
            </w:r>
          </w:p>
          <w:p w:rsidR="001419AE" w:rsidRPr="00D80C5B" w:rsidRDefault="007F052F" w:rsidP="00FA3187">
            <w:pPr>
              <w:spacing w:line="240" w:lineRule="auto"/>
              <w:ind w:left="0"/>
              <w:jc w:val="both"/>
              <w:rPr>
                <w:rFonts w:ascii="Times New Roman" w:hAnsi="Times New Roman" w:cs="Times New Roman"/>
                <w:sz w:val="20"/>
              </w:rPr>
            </w:pPr>
            <w:r w:rsidRPr="00D80C5B">
              <w:rPr>
                <w:rFonts w:ascii="Times New Roman" w:hAnsi="Times New Roman" w:cs="Times New Roman"/>
                <w:sz w:val="20"/>
              </w:rPr>
              <w:t xml:space="preserve">Note: </w:t>
            </w:r>
            <w:r w:rsidR="001419AE" w:rsidRPr="00D80C5B">
              <w:rPr>
                <w:rFonts w:ascii="Times New Roman" w:hAnsi="Times New Roman" w:cs="Times New Roman"/>
                <w:sz w:val="20"/>
              </w:rPr>
              <w:t xml:space="preserve">Seasonally-adjusted data, current prices. </w:t>
            </w:r>
          </w:p>
        </w:tc>
      </w:tr>
    </w:tbl>
    <w:p w:rsidR="009836C4" w:rsidRPr="00D80C5B" w:rsidRDefault="009836C4" w:rsidP="001419AE">
      <w:pPr>
        <w:spacing w:before="120" w:after="120"/>
        <w:ind w:left="0"/>
        <w:jc w:val="both"/>
        <w:rPr>
          <w:rFonts w:ascii="Times New Roman" w:hAnsi="Times New Roman" w:cs="Times New Roman"/>
          <w:b/>
        </w:rPr>
      </w:pPr>
    </w:p>
    <w:p w:rsidR="00E925EA" w:rsidRPr="00D80C5B" w:rsidRDefault="001419AE" w:rsidP="0047733F">
      <w:pPr>
        <w:spacing w:after="120"/>
        <w:ind w:left="0"/>
        <w:jc w:val="both"/>
      </w:pPr>
      <w:r w:rsidRPr="00D80C5B">
        <w:rPr>
          <w:rFonts w:ascii="Times New Roman" w:hAnsi="Times New Roman" w:cs="Times New Roman"/>
          <w:b/>
        </w:rPr>
        <w:t xml:space="preserve">The factors underpinning the recent slight reduction in the euro area current account surplus differ from those at the root of its earlier widening. </w:t>
      </w:r>
      <w:r w:rsidRPr="00D80C5B">
        <w:rPr>
          <w:rFonts w:ascii="Times New Roman" w:hAnsi="Times New Roman" w:cs="Times New Roman"/>
        </w:rPr>
        <w:t>The euro area current account position moved into surplus after the 2008 financial crisis because of the sharp correction of large deficits following a reversal in cross-border financial flows, and further increased with the spreading of the debt crisis to Spain and Italy, which resulted in a compression in domestic demand of these countries. In parallel, there was also a gradual increase in the large current account surplus of Germany amid domestic demand growing at a weaker pace than output, and deleveraging across all sectors of the economy. Overall, the widening of the euro area surplus between the financial crisis and 2016 mainly reflected a widespread deleveraging process, which involved the private sector, joined by the government sector after the aggravation of the debt crisis in 2011. The contraction in the euro area surplus since 2017 is mainly accounted for by a narrowing surplus in Germany and, to a latter extent, Italy and Spain, which are comparatively large manufacturing exporters and depend on imported hydrocarbon energy. The recent dynamics in the euro area current account do not appear to be linked to a major re-leveraging process, but rather to declining net exports on the back of the global trade slowdown and a more expensive energy bill. The reduction of the euro area surplus between 2017 and 2018 is mainly reflected in a declining net lending position of non-financial corporations, which had been recording positive values since 2013. The recent moderation of corporate net savings compensated for the improving net borrowing position of the government secto</w:t>
      </w:r>
      <w:r w:rsidR="00631902" w:rsidRPr="00D80C5B">
        <w:rPr>
          <w:rFonts w:ascii="Times New Roman" w:hAnsi="Times New Roman" w:cs="Times New Roman"/>
        </w:rPr>
        <w:t xml:space="preserve">r over the same period (Graph </w:t>
      </w:r>
      <w:r w:rsidRPr="00D80C5B">
        <w:rPr>
          <w:rFonts w:ascii="Times New Roman" w:hAnsi="Times New Roman" w:cs="Times New Roman"/>
        </w:rPr>
        <w:t>4</w:t>
      </w:r>
      <w:r w:rsidRPr="003425D8">
        <w:rPr>
          <w:rFonts w:ascii="Times New Roman" w:hAnsi="Times New Roman" w:cs="Times New Roman"/>
        </w:rPr>
        <w:t>).</w:t>
      </w:r>
      <w:r w:rsidR="00DA5AF2" w:rsidRPr="00D80C5B">
        <w:rPr>
          <w:rFonts w:ascii="Times New Roman" w:hAnsi="Times New Roman" w:cs="Times New Roman"/>
        </w:rPr>
        <w:t xml:space="preserve"> </w:t>
      </w:r>
    </w:p>
    <w:p w:rsidR="003425D8" w:rsidRDefault="003425D8">
      <w:r>
        <w:br w:type="page"/>
      </w:r>
    </w:p>
    <w:tbl>
      <w:tblPr>
        <w:tblW w:w="0" w:type="auto"/>
        <w:tblLayout w:type="fixed"/>
        <w:tblLook w:val="04A0" w:firstRow="1" w:lastRow="0" w:firstColumn="1" w:lastColumn="0" w:noHBand="0" w:noVBand="1"/>
      </w:tblPr>
      <w:tblGrid>
        <w:gridCol w:w="4661"/>
        <w:gridCol w:w="4661"/>
      </w:tblGrid>
      <w:tr w:rsidR="001419AE" w:rsidRPr="00D80C5B" w:rsidTr="00246E26">
        <w:tc>
          <w:tcPr>
            <w:tcW w:w="4661" w:type="dxa"/>
            <w:shd w:val="clear" w:color="auto" w:fill="auto"/>
          </w:tcPr>
          <w:p w:rsidR="001419AE" w:rsidRPr="00D80C5B" w:rsidRDefault="00631902" w:rsidP="00FA3187">
            <w:pPr>
              <w:spacing w:line="240" w:lineRule="auto"/>
              <w:ind w:left="0"/>
              <w:jc w:val="both"/>
              <w:rPr>
                <w:rFonts w:ascii="Times New Roman" w:hAnsi="Times New Roman" w:cs="Times New Roman"/>
                <w:b/>
              </w:rPr>
            </w:pPr>
            <w:r w:rsidRPr="00D80C5B">
              <w:rPr>
                <w:rFonts w:ascii="Times New Roman" w:hAnsi="Times New Roman" w:cs="Times New Roman"/>
                <w:b/>
              </w:rPr>
              <w:t xml:space="preserve">Graph </w:t>
            </w:r>
            <w:r w:rsidR="001419AE" w:rsidRPr="00D80C5B">
              <w:rPr>
                <w:rFonts w:ascii="Times New Roman" w:hAnsi="Times New Roman" w:cs="Times New Roman"/>
                <w:b/>
              </w:rPr>
              <w:t>3: Euro area output, domestic demand, net exports and core inflation</w:t>
            </w:r>
          </w:p>
        </w:tc>
        <w:tc>
          <w:tcPr>
            <w:tcW w:w="4661" w:type="dxa"/>
            <w:shd w:val="clear" w:color="auto" w:fill="auto"/>
          </w:tcPr>
          <w:p w:rsidR="001419AE" w:rsidRPr="00D80C5B" w:rsidRDefault="00631902" w:rsidP="00FA3187">
            <w:pPr>
              <w:spacing w:line="240" w:lineRule="auto"/>
              <w:ind w:left="0"/>
              <w:jc w:val="both"/>
              <w:rPr>
                <w:rFonts w:ascii="Times New Roman" w:hAnsi="Times New Roman" w:cs="Times New Roman"/>
                <w:b/>
              </w:rPr>
            </w:pPr>
            <w:r w:rsidRPr="00D80C5B">
              <w:rPr>
                <w:rFonts w:ascii="Times New Roman" w:hAnsi="Times New Roman" w:cs="Times New Roman"/>
                <w:b/>
              </w:rPr>
              <w:t xml:space="preserve">Graph </w:t>
            </w:r>
            <w:r w:rsidR="001419AE" w:rsidRPr="00D80C5B">
              <w:rPr>
                <w:rFonts w:ascii="Times New Roman" w:hAnsi="Times New Roman" w:cs="Times New Roman"/>
                <w:b/>
              </w:rPr>
              <w:t xml:space="preserve">4: Euro area net lending/borrowing by sector </w:t>
            </w:r>
          </w:p>
        </w:tc>
      </w:tr>
      <w:tr w:rsidR="001419AE" w:rsidRPr="00D80C5B" w:rsidTr="00246E26">
        <w:trPr>
          <w:trHeight w:val="3406"/>
        </w:trPr>
        <w:tc>
          <w:tcPr>
            <w:tcW w:w="4661" w:type="dxa"/>
            <w:shd w:val="clear" w:color="auto" w:fill="auto"/>
          </w:tcPr>
          <w:p w:rsidR="001419AE" w:rsidRPr="00D80C5B" w:rsidRDefault="001419AE" w:rsidP="00FA3187">
            <w:pPr>
              <w:spacing w:line="240" w:lineRule="auto"/>
              <w:ind w:left="0"/>
              <w:jc w:val="both"/>
              <w:rPr>
                <w:rFonts w:ascii="Times New Roman" w:hAnsi="Times New Roman" w:cs="Times New Roman"/>
              </w:rPr>
            </w:pPr>
            <w:r w:rsidRPr="00D80C5B">
              <w:rPr>
                <w:noProof/>
                <w:lang w:eastAsia="en-GB"/>
              </w:rPr>
              <w:drawing>
                <wp:inline distT="0" distB="0" distL="0" distR="0" wp14:anchorId="0C75E69C" wp14:editId="221CB46F">
                  <wp:extent cx="2844000" cy="284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c>
          <w:tcPr>
            <w:tcW w:w="4661" w:type="dxa"/>
            <w:shd w:val="clear" w:color="auto" w:fill="auto"/>
          </w:tcPr>
          <w:p w:rsidR="001419AE" w:rsidRPr="00D80C5B" w:rsidRDefault="003425D8" w:rsidP="00FA3187">
            <w:pPr>
              <w:spacing w:line="240" w:lineRule="auto"/>
              <w:ind w:left="0"/>
              <w:jc w:val="both"/>
              <w:rPr>
                <w:rFonts w:ascii="Times New Roman" w:hAnsi="Times New Roman" w:cs="Times New Roman"/>
              </w:rPr>
            </w:pPr>
            <w:r w:rsidRPr="003425D8">
              <w:rPr>
                <w:rFonts w:ascii="Times New Roman" w:hAnsi="Times New Roman" w:cs="Times New Roman"/>
                <w:noProof/>
                <w:lang w:eastAsia="en-GB"/>
              </w:rPr>
              <w:drawing>
                <wp:inline distT="0" distB="0" distL="0" distR="0" wp14:anchorId="4242BDEC" wp14:editId="157CD809">
                  <wp:extent cx="2844000" cy="284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r>
      <w:tr w:rsidR="001419AE" w:rsidRPr="00D80C5B" w:rsidTr="00246E26">
        <w:trPr>
          <w:trHeight w:val="224"/>
        </w:trPr>
        <w:tc>
          <w:tcPr>
            <w:tcW w:w="4661" w:type="dxa"/>
            <w:shd w:val="clear" w:color="auto" w:fill="auto"/>
          </w:tcPr>
          <w:p w:rsidR="001419AE" w:rsidRPr="00D80C5B" w:rsidRDefault="001419AE" w:rsidP="00FA3187">
            <w:pPr>
              <w:spacing w:line="240" w:lineRule="auto"/>
              <w:ind w:left="0"/>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AMECO</w:t>
            </w:r>
            <w:r w:rsidRPr="00D80C5B">
              <w:rPr>
                <w:rFonts w:ascii="Times New Roman" w:hAnsi="Times New Roman" w:cs="Times New Roman"/>
                <w:sz w:val="20"/>
                <w:vertAlign w:val="superscript"/>
              </w:rPr>
              <w:footnoteReference w:id="15"/>
            </w:r>
          </w:p>
        </w:tc>
        <w:tc>
          <w:tcPr>
            <w:tcW w:w="4661" w:type="dxa"/>
            <w:shd w:val="clear" w:color="auto" w:fill="auto"/>
          </w:tcPr>
          <w:p w:rsidR="001419AE" w:rsidRPr="00D80C5B" w:rsidRDefault="001419AE" w:rsidP="00FA3187">
            <w:pPr>
              <w:spacing w:line="240" w:lineRule="auto"/>
              <w:ind w:left="0"/>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Eurostat </w:t>
            </w:r>
          </w:p>
        </w:tc>
      </w:tr>
    </w:tbl>
    <w:p w:rsidR="009836C4" w:rsidRPr="00D80C5B" w:rsidRDefault="009836C4" w:rsidP="001419AE">
      <w:pPr>
        <w:spacing w:after="120"/>
        <w:ind w:left="0"/>
        <w:jc w:val="both"/>
        <w:rPr>
          <w:rFonts w:ascii="Times New Roman" w:hAnsi="Times New Roman" w:cs="Times New Roman"/>
          <w:b/>
        </w:rPr>
      </w:pPr>
    </w:p>
    <w:p w:rsidR="00A00F23" w:rsidRDefault="001419AE" w:rsidP="00A00F23">
      <w:pPr>
        <w:spacing w:after="120"/>
        <w:ind w:left="0"/>
        <w:jc w:val="both"/>
        <w:rPr>
          <w:rFonts w:ascii="Times New Roman" w:hAnsi="Times New Roman" w:cs="Times New Roman"/>
        </w:rPr>
      </w:pPr>
      <w:r w:rsidRPr="00D80C5B">
        <w:rPr>
          <w:rFonts w:ascii="Times New Roman" w:hAnsi="Times New Roman" w:cs="Times New Roman"/>
          <w:b/>
        </w:rPr>
        <w:t xml:space="preserve">The low-inflation, low-interest-rate environment poses a number of challenges. </w:t>
      </w:r>
      <w:r w:rsidRPr="00D80C5B">
        <w:rPr>
          <w:rFonts w:ascii="Times New Roman" w:hAnsi="Times New Roman" w:cs="Times New Roman"/>
        </w:rPr>
        <w:t>Monetary authorities both in the euro area and other major world regions have taken measures to counter the incipient slowdown in output and the downward shift in inflation expectations in 2019, thus reversing the previously communicated path towards tighter conditions. Bond yields have shifted to negative levels, with falling returns especially on the long end of yield curves, and narrowing interest rate spreads on riskier bonds. Core inflation remains below the target of monetary authorities; the euro area output gap is estimated to be edging down after turning positive in 2017 following a protracted period of subdued demand and negative output gaps</w:t>
      </w:r>
      <w:r w:rsidR="00631902" w:rsidRPr="00D80C5B">
        <w:rPr>
          <w:rFonts w:ascii="Times New Roman" w:hAnsi="Times New Roman" w:cs="Times New Roman"/>
        </w:rPr>
        <w:t xml:space="preserve"> (Graph </w:t>
      </w:r>
      <w:r w:rsidRPr="00D80C5B">
        <w:rPr>
          <w:rFonts w:ascii="Times New Roman" w:hAnsi="Times New Roman" w:cs="Times New Roman"/>
        </w:rPr>
        <w:t>3). Going forward, while reduced nominal growth makes deleveraging less easy, the low interest rate environment would reduce the cost of debt. However, long-term interest rates at historically very low levels bring also a number of potential challenges: incentives to circumvent regulatory constraints and search for yield in risky investment; underestimation of credit risk and weakened incentives to reduce high debt induced by compressed spreads; and reduced profitability in regulated financial institutions, notably banking and insurance, in view of flat yield curves.</w:t>
      </w:r>
      <w:r w:rsidRPr="00D80C5B">
        <w:rPr>
          <w:rFonts w:ascii="Times New Roman" w:hAnsi="Times New Roman" w:cs="Times New Roman"/>
          <w:vertAlign w:val="superscript"/>
        </w:rPr>
        <w:footnoteReference w:id="16"/>
      </w:r>
      <w:r w:rsidRPr="00D80C5B">
        <w:rPr>
          <w:rFonts w:ascii="Times New Roman" w:hAnsi="Times New Roman" w:cs="Times New Roman"/>
        </w:rPr>
        <w:t xml:space="preserve"> </w:t>
      </w:r>
    </w:p>
    <w:p w:rsidR="001419AE" w:rsidRPr="00D80C5B" w:rsidRDefault="001419AE" w:rsidP="00A00F23">
      <w:pPr>
        <w:spacing w:after="120"/>
        <w:ind w:left="0"/>
        <w:jc w:val="both"/>
        <w:rPr>
          <w:rFonts w:ascii="Times New Roman" w:hAnsi="Times New Roman" w:cs="Times New Roman"/>
        </w:rPr>
      </w:pPr>
      <w:r w:rsidRPr="00D80C5B">
        <w:rPr>
          <w:rFonts w:ascii="Times New Roman" w:hAnsi="Times New Roman" w:cs="Times New Roman"/>
          <w:b/>
        </w:rPr>
        <w:t>Rebalancing within the euro area is still incomplete and competitiveness developments are becoming less supportive of intra euro area rebalancing.</w:t>
      </w:r>
      <w:r w:rsidRPr="00D80C5B">
        <w:rPr>
          <w:rFonts w:ascii="Times New Roman" w:hAnsi="Times New Roman" w:cs="Times New Roman"/>
        </w:rPr>
        <w:t xml:space="preserve"> </w:t>
      </w:r>
      <w:r w:rsidRPr="00ED211D">
        <w:rPr>
          <w:rFonts w:ascii="Times New Roman" w:hAnsi="Times New Roman" w:cs="Times New Roman"/>
        </w:rPr>
        <w:t>While most large current account deficits have corrected, large surpluses persist in a number of euro area countries. Countries with a past of large deficits remain characterised by large negative net international investment positions, and are generally coupled with large stocks of private or government debt that</w:t>
      </w:r>
      <w:r w:rsidRPr="00D80C5B">
        <w:rPr>
          <w:rFonts w:ascii="Times New Roman" w:hAnsi="Times New Roman" w:cs="Times New Roman"/>
        </w:rPr>
        <w:t xml:space="preserve"> represent vulnerabilities. After the financial crisis, an adjustment process in relative costs and prices has been supportive of rebalancing. Unit labour costs have been growing at a faster pace in net-creditor countries compared to net-debtor countries, thus reversing the trend predating the financial crisis</w:t>
      </w:r>
      <w:r w:rsidR="000E17D8">
        <w:rPr>
          <w:rFonts w:ascii="Times New Roman" w:hAnsi="Times New Roman" w:cs="Times New Roman"/>
        </w:rPr>
        <w:t>.</w:t>
      </w:r>
      <w:r w:rsidRPr="00D80C5B">
        <w:rPr>
          <w:rFonts w:ascii="Times New Roman" w:hAnsi="Times New Roman" w:cs="Times New Roman"/>
        </w:rPr>
        <w:t xml:space="preserve"> </w:t>
      </w:r>
      <w:r w:rsidR="00A00F23" w:rsidRPr="00D80C5B">
        <w:rPr>
          <w:rFonts w:ascii="Times New Roman" w:hAnsi="Times New Roman" w:cs="Times New Roman"/>
        </w:rPr>
        <w:t xml:space="preserve">This trend persists, but with differences that appear less marked across relevant country groups (Graph </w:t>
      </w:r>
      <w:r w:rsidR="00A00F23">
        <w:rPr>
          <w:rFonts w:ascii="Times New Roman" w:hAnsi="Times New Roman" w:cs="Times New Roman"/>
        </w:rPr>
        <w:t>5</w:t>
      </w:r>
      <w:r w:rsidR="00A00F23" w:rsidRPr="00D80C5B">
        <w:rPr>
          <w:rFonts w:ascii="Times New Roman" w:hAnsi="Times New Roman" w:cs="Times New Roman"/>
        </w:rPr>
        <w:t>).</w:t>
      </w:r>
      <w:r w:rsidR="00E85D77">
        <w:rPr>
          <w:rStyle w:val="FootnoteReference"/>
          <w:rFonts w:ascii="Times New Roman" w:hAnsi="Times New Roman" w:cs="Times New Roman"/>
        </w:rPr>
        <w:footnoteReference w:id="17"/>
      </w:r>
      <w:r w:rsidRPr="00D80C5B">
        <w:rPr>
          <w:rFonts w:ascii="Times New Roman" w:hAnsi="Times New Roman" w:cs="Times New Roman"/>
        </w:rPr>
        <w:t xml:space="preserve"> The tightening of labour markets also in net-debtor countries imply accelerating wage growth</w:t>
      </w:r>
      <w:r w:rsidR="00F92674">
        <w:rPr>
          <w:rFonts w:ascii="Times New Roman" w:hAnsi="Times New Roman" w:cs="Times New Roman"/>
        </w:rPr>
        <w:t xml:space="preserve"> </w:t>
      </w:r>
      <w:r w:rsidR="00B9260A">
        <w:rPr>
          <w:rFonts w:ascii="Times New Roman" w:hAnsi="Times New Roman" w:cs="Times New Roman"/>
        </w:rPr>
        <w:t xml:space="preserve">and </w:t>
      </w:r>
      <w:r w:rsidR="00F92674">
        <w:rPr>
          <w:rFonts w:ascii="Times New Roman" w:hAnsi="Times New Roman" w:cs="Times New Roman"/>
        </w:rPr>
        <w:t xml:space="preserve">with cost competitiveness further dampened by </w:t>
      </w:r>
      <w:r w:rsidRPr="00D80C5B">
        <w:rPr>
          <w:rFonts w:ascii="Times New Roman" w:hAnsi="Times New Roman" w:cs="Times New Roman"/>
        </w:rPr>
        <w:t xml:space="preserve">reduced productivity growth </w:t>
      </w:r>
      <w:r w:rsidR="000E17D8">
        <w:rPr>
          <w:rFonts w:ascii="Times New Roman" w:hAnsi="Times New Roman" w:cs="Times New Roman"/>
        </w:rPr>
        <w:t xml:space="preserve">associated with </w:t>
      </w:r>
      <w:r w:rsidRPr="00D80C5B">
        <w:rPr>
          <w:rFonts w:ascii="Times New Roman" w:hAnsi="Times New Roman" w:cs="Times New Roman"/>
        </w:rPr>
        <w:t xml:space="preserve">a slowdown or decline </w:t>
      </w:r>
      <w:r w:rsidR="000E17D8">
        <w:rPr>
          <w:rFonts w:ascii="Times New Roman" w:hAnsi="Times New Roman" w:cs="Times New Roman"/>
        </w:rPr>
        <w:t xml:space="preserve">in </w:t>
      </w:r>
      <w:r w:rsidRPr="00D80C5B">
        <w:rPr>
          <w:rFonts w:ascii="Times New Roman" w:hAnsi="Times New Roman" w:cs="Times New Roman"/>
        </w:rPr>
        <w:t xml:space="preserve">capital-labour ratios. Competitiveness levels, as measured by GDP deflators expressed in purchasing power parities with respect </w:t>
      </w:r>
      <w:r w:rsidR="00631902" w:rsidRPr="00D80C5B">
        <w:rPr>
          <w:rFonts w:ascii="Times New Roman" w:hAnsi="Times New Roman" w:cs="Times New Roman"/>
        </w:rPr>
        <w:t xml:space="preserve">to that of competitors (Graph </w:t>
      </w:r>
      <w:r w:rsidR="003425D8">
        <w:rPr>
          <w:rFonts w:ascii="Times New Roman" w:hAnsi="Times New Roman" w:cs="Times New Roman"/>
        </w:rPr>
        <w:t>6</w:t>
      </w:r>
      <w:r w:rsidRPr="00D80C5B">
        <w:rPr>
          <w:rFonts w:ascii="Times New Roman" w:hAnsi="Times New Roman" w:cs="Times New Roman"/>
        </w:rPr>
        <w:t>), exhibit a loose relation to external balances and rebalancing needs.</w:t>
      </w:r>
      <w:r w:rsidRPr="00D80C5B">
        <w:rPr>
          <w:rFonts w:ascii="Times New Roman" w:hAnsi="Times New Roman" w:cs="Times New Roman"/>
          <w:vertAlign w:val="superscript"/>
        </w:rPr>
        <w:footnoteReference w:id="18"/>
      </w:r>
      <w:r w:rsidRPr="00D80C5B">
        <w:rPr>
          <w:rFonts w:ascii="Times New Roman" w:hAnsi="Times New Roman" w:cs="Times New Roman"/>
        </w:rPr>
        <w:t xml:space="preserve"> The share of tradable goods on total value added has matched the adjustment in relative prices: its share has been growing after the crisis in countries formerly with high deficits, but this process is decelerating or reversing.</w:t>
      </w:r>
      <w:r w:rsidRPr="00D80C5B">
        <w:rPr>
          <w:rFonts w:ascii="Times New Roman" w:hAnsi="Times New Roman" w:cs="Times New Roman"/>
          <w:vertAlign w:val="superscript"/>
        </w:rPr>
        <w:footnoteReference w:id="19"/>
      </w:r>
    </w:p>
    <w:p w:rsidR="00631902" w:rsidRDefault="00325D9A" w:rsidP="001419AE">
      <w:pPr>
        <w:spacing w:after="120"/>
        <w:ind w:left="0"/>
        <w:jc w:val="both"/>
        <w:rPr>
          <w:rFonts w:ascii="Times New Roman" w:hAnsi="Times New Roman" w:cs="Times New Roman"/>
        </w:rPr>
      </w:pPr>
      <w:r>
        <w:rPr>
          <w:rFonts w:ascii="Times New Roman" w:hAnsi="Times New Roman" w:cs="Times New Roman"/>
          <w:b/>
        </w:rPr>
        <w:t>In t</w:t>
      </w:r>
      <w:r w:rsidR="001419AE" w:rsidRPr="00D80C5B">
        <w:rPr>
          <w:rFonts w:ascii="Times New Roman" w:hAnsi="Times New Roman" w:cs="Times New Roman"/>
          <w:b/>
        </w:rPr>
        <w:t>he current economic context</w:t>
      </w:r>
      <w:r>
        <w:rPr>
          <w:rFonts w:ascii="Times New Roman" w:hAnsi="Times New Roman" w:cs="Times New Roman"/>
          <w:b/>
        </w:rPr>
        <w:t xml:space="preserve">, </w:t>
      </w:r>
      <w:r w:rsidR="001419AE" w:rsidRPr="00D80C5B">
        <w:rPr>
          <w:rFonts w:ascii="Times New Roman" w:hAnsi="Times New Roman" w:cs="Times New Roman"/>
          <w:b/>
        </w:rPr>
        <w:t>rebalancing in the euro area</w:t>
      </w:r>
      <w:r w:rsidR="004B3CB8">
        <w:rPr>
          <w:rFonts w:ascii="Times New Roman" w:hAnsi="Times New Roman" w:cs="Times New Roman"/>
          <w:b/>
        </w:rPr>
        <w:t xml:space="preserve"> of both current account deficits and surpluses</w:t>
      </w:r>
      <w:r w:rsidR="001419AE" w:rsidRPr="00D80C5B">
        <w:rPr>
          <w:rFonts w:ascii="Times New Roman" w:hAnsi="Times New Roman" w:cs="Times New Roman"/>
          <w:b/>
        </w:rPr>
        <w:t xml:space="preserve"> </w:t>
      </w:r>
      <w:r w:rsidR="002D3AF6">
        <w:rPr>
          <w:rFonts w:ascii="Times New Roman" w:hAnsi="Times New Roman" w:cs="Times New Roman"/>
          <w:b/>
        </w:rPr>
        <w:t xml:space="preserve">is </w:t>
      </w:r>
      <w:r w:rsidR="001419AE" w:rsidRPr="00D80C5B">
        <w:rPr>
          <w:rFonts w:ascii="Times New Roman" w:hAnsi="Times New Roman" w:cs="Times New Roman"/>
          <w:b/>
        </w:rPr>
        <w:t>pressing</w:t>
      </w:r>
      <w:r w:rsidR="002D3AF6">
        <w:rPr>
          <w:rFonts w:ascii="Times New Roman" w:hAnsi="Times New Roman" w:cs="Times New Roman"/>
          <w:b/>
        </w:rPr>
        <w:t xml:space="preserve"> and would be</w:t>
      </w:r>
      <w:r>
        <w:rPr>
          <w:rFonts w:ascii="Times New Roman" w:hAnsi="Times New Roman" w:cs="Times New Roman"/>
          <w:b/>
        </w:rPr>
        <w:t xml:space="preserve"> beneficial for all Member States</w:t>
      </w:r>
      <w:r w:rsidR="001419AE" w:rsidRPr="00D80C5B">
        <w:rPr>
          <w:rFonts w:ascii="Times New Roman" w:hAnsi="Times New Roman" w:cs="Times New Roman"/>
        </w:rPr>
        <w:t xml:space="preserve">. In net-debtor countries, running down large stocks of foreign and domestic debt requires maintaining prudent current account balances and ensuring an appropriate pace of debt reduction while pursuing the objective of raising the growth potential. Enhancing productivity prospects, notably via targeted investment and reforms supporting total factor productivity is needed at the overall euro area level but particularly in net-debtor countries as this is key both for the sustainability of debt stocks and to make relative competitiveness developments more supportive of rebalancing. Conversely, in net-creditor countries </w:t>
      </w:r>
      <w:r w:rsidR="00616DEA">
        <w:rPr>
          <w:rFonts w:ascii="Times New Roman" w:hAnsi="Times New Roman" w:cs="Times New Roman"/>
        </w:rPr>
        <w:t>a further increase in</w:t>
      </w:r>
      <w:r w:rsidR="00ED211D" w:rsidRPr="00ED211D">
        <w:rPr>
          <w:rFonts w:cstheme="minorHAnsi"/>
        </w:rPr>
        <w:t xml:space="preserve"> </w:t>
      </w:r>
      <w:r w:rsidR="00ED211D" w:rsidRPr="00616DEA">
        <w:rPr>
          <w:rFonts w:cstheme="minorHAnsi"/>
        </w:rPr>
        <w:t>public and private</w:t>
      </w:r>
      <w:r w:rsidR="001419AE" w:rsidRPr="00D80C5B">
        <w:rPr>
          <w:rFonts w:ascii="Times New Roman" w:hAnsi="Times New Roman" w:cs="Times New Roman"/>
        </w:rPr>
        <w:t xml:space="preserve"> investment would </w:t>
      </w:r>
      <w:r w:rsidRPr="00D80C5B">
        <w:rPr>
          <w:rFonts w:ascii="Times New Roman" w:hAnsi="Times New Roman" w:cs="Times New Roman"/>
        </w:rPr>
        <w:t>enhance potential growth</w:t>
      </w:r>
      <w:r>
        <w:rPr>
          <w:rFonts w:ascii="Times New Roman" w:hAnsi="Times New Roman" w:cs="Times New Roman"/>
        </w:rPr>
        <w:t>,</w:t>
      </w:r>
      <w:r w:rsidRPr="00D80C5B">
        <w:rPr>
          <w:rFonts w:ascii="Times New Roman" w:hAnsi="Times New Roman" w:cs="Times New Roman"/>
        </w:rPr>
        <w:t xml:space="preserve"> make growth prospects in these countries les</w:t>
      </w:r>
      <w:r>
        <w:rPr>
          <w:rFonts w:ascii="Times New Roman" w:hAnsi="Times New Roman" w:cs="Times New Roman"/>
        </w:rPr>
        <w:t>s dependent upon foreign demand</w:t>
      </w:r>
      <w:r w:rsidRPr="00D80C5B">
        <w:rPr>
          <w:rFonts w:ascii="Times New Roman" w:hAnsi="Times New Roman" w:cs="Times New Roman"/>
        </w:rPr>
        <w:t xml:space="preserve"> </w:t>
      </w:r>
      <w:r w:rsidR="001419AE" w:rsidRPr="00D80C5B">
        <w:rPr>
          <w:rFonts w:ascii="Times New Roman" w:hAnsi="Times New Roman" w:cs="Times New Roman"/>
        </w:rPr>
        <w:t xml:space="preserve">and </w:t>
      </w:r>
      <w:r w:rsidRPr="00D80C5B">
        <w:rPr>
          <w:rFonts w:ascii="Times New Roman" w:hAnsi="Times New Roman" w:cs="Times New Roman"/>
        </w:rPr>
        <w:t xml:space="preserve">support domestic demand, </w:t>
      </w:r>
      <w:r w:rsidR="001419AE" w:rsidRPr="00D80C5B">
        <w:rPr>
          <w:rFonts w:ascii="Times New Roman" w:hAnsi="Times New Roman" w:cs="Times New Roman"/>
        </w:rPr>
        <w:t xml:space="preserve">thus </w:t>
      </w:r>
      <w:r>
        <w:rPr>
          <w:rFonts w:ascii="Times New Roman" w:hAnsi="Times New Roman" w:cs="Times New Roman"/>
        </w:rPr>
        <w:t>supporting the rebalancing of the euro area</w:t>
      </w:r>
      <w:r w:rsidR="001419AE" w:rsidRPr="00D80C5B">
        <w:rPr>
          <w:rFonts w:ascii="Times New Roman" w:hAnsi="Times New Roman" w:cs="Times New Roman"/>
        </w:rPr>
        <w:t xml:space="preserve">. In the current economic context, fiscal impulses in countries with large surpluses and </w:t>
      </w:r>
      <w:r w:rsidR="00C80253">
        <w:rPr>
          <w:rFonts w:ascii="Times New Roman" w:hAnsi="Times New Roman" w:cs="Times New Roman"/>
        </w:rPr>
        <w:t>a favourable fiscal position</w:t>
      </w:r>
      <w:r w:rsidR="001419AE" w:rsidRPr="00D80C5B">
        <w:rPr>
          <w:rFonts w:ascii="Times New Roman" w:hAnsi="Times New Roman" w:cs="Times New Roman"/>
        </w:rPr>
        <w:t xml:space="preserve"> </w:t>
      </w:r>
      <w:r w:rsidR="001419AE" w:rsidRPr="00ED211D">
        <w:rPr>
          <w:rFonts w:ascii="Times New Roman" w:hAnsi="Times New Roman" w:cs="Times New Roman"/>
        </w:rPr>
        <w:t>would also help</w:t>
      </w:r>
      <w:r w:rsidR="001419AE" w:rsidRPr="00D80C5B">
        <w:rPr>
          <w:rFonts w:ascii="Times New Roman" w:hAnsi="Times New Roman" w:cs="Times New Roman"/>
        </w:rPr>
        <w:t xml:space="preserve"> overcoming the low-inflation, low-interest-rate environment and support nominal growth, thereby favouring deleveraging and the rebalancing of net-debtor positions.  </w:t>
      </w:r>
    </w:p>
    <w:p w:rsidR="008961C6" w:rsidRPr="00D80C5B" w:rsidRDefault="008961C6" w:rsidP="001419AE">
      <w:pPr>
        <w:spacing w:after="120"/>
        <w:ind w:left="0"/>
        <w:jc w:val="both"/>
        <w:rPr>
          <w:rFonts w:ascii="Times New Roman" w:hAnsi="Times New Roman" w:cs="Times New Roman"/>
          <w:b/>
        </w:rPr>
      </w:pPr>
    </w:p>
    <w:tbl>
      <w:tblPr>
        <w:tblStyle w:val="TableGrid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rsidR="00246E26" w:rsidRPr="00D80C5B" w:rsidTr="0028135C">
        <w:tc>
          <w:tcPr>
            <w:tcW w:w="4661" w:type="dxa"/>
          </w:tcPr>
          <w:p w:rsidR="00246E26" w:rsidRPr="00D80C5B" w:rsidRDefault="00246E26" w:rsidP="00FA3187">
            <w:pPr>
              <w:jc w:val="both"/>
              <w:rPr>
                <w:rFonts w:ascii="Times New Roman" w:hAnsi="Times New Roman" w:cs="Times New Roman"/>
                <w:b/>
              </w:rPr>
            </w:pPr>
            <w:r w:rsidRPr="00D80C5B">
              <w:rPr>
                <w:rFonts w:ascii="Times New Roman" w:hAnsi="Times New Roman" w:cs="Times New Roman"/>
                <w:b/>
              </w:rPr>
              <w:t xml:space="preserve">Graph </w:t>
            </w:r>
            <w:r>
              <w:rPr>
                <w:rFonts w:ascii="Times New Roman" w:hAnsi="Times New Roman" w:cs="Times New Roman"/>
                <w:b/>
              </w:rPr>
              <w:t>5</w:t>
            </w:r>
            <w:r w:rsidRPr="00D80C5B">
              <w:rPr>
                <w:rFonts w:ascii="Times New Roman" w:hAnsi="Times New Roman" w:cs="Times New Roman"/>
                <w:b/>
              </w:rPr>
              <w:t>: Unit labour cost growth across the euro area</w:t>
            </w:r>
          </w:p>
        </w:tc>
        <w:tc>
          <w:tcPr>
            <w:tcW w:w="4661" w:type="dxa"/>
          </w:tcPr>
          <w:p w:rsidR="00246E26" w:rsidRPr="00D80C5B" w:rsidRDefault="00246E26" w:rsidP="00FA3187">
            <w:pPr>
              <w:jc w:val="both"/>
              <w:rPr>
                <w:rFonts w:ascii="Times New Roman" w:hAnsi="Times New Roman" w:cs="Times New Roman"/>
                <w:b/>
              </w:rPr>
            </w:pPr>
            <w:r w:rsidRPr="00D80C5B">
              <w:rPr>
                <w:rFonts w:ascii="Times New Roman" w:hAnsi="Times New Roman" w:cs="Times New Roman"/>
                <w:b/>
              </w:rPr>
              <w:t xml:space="preserve">Graph </w:t>
            </w:r>
            <w:r>
              <w:rPr>
                <w:rFonts w:ascii="Times New Roman" w:hAnsi="Times New Roman" w:cs="Times New Roman"/>
                <w:b/>
              </w:rPr>
              <w:t>6</w:t>
            </w:r>
            <w:r w:rsidRPr="00D80C5B">
              <w:rPr>
                <w:rFonts w:ascii="Times New Roman" w:hAnsi="Times New Roman" w:cs="Times New Roman"/>
                <w:b/>
              </w:rPr>
              <w:t xml:space="preserve">: Real effective exchange rates levels, based on GDP deflators </w:t>
            </w:r>
          </w:p>
        </w:tc>
      </w:tr>
      <w:tr w:rsidR="00246E26" w:rsidRPr="00D80C5B" w:rsidTr="0028135C">
        <w:trPr>
          <w:trHeight w:val="4479"/>
        </w:trPr>
        <w:tc>
          <w:tcPr>
            <w:tcW w:w="4661" w:type="dxa"/>
          </w:tcPr>
          <w:tbl>
            <w:tblPr>
              <w:tblStyle w:val="TableGrid2"/>
              <w:tblW w:w="4479" w:type="dxa"/>
              <w:tblLayout w:type="fixed"/>
              <w:tblLook w:val="04A0" w:firstRow="1" w:lastRow="0" w:firstColumn="1" w:lastColumn="0" w:noHBand="0" w:noVBand="1"/>
            </w:tblPr>
            <w:tblGrid>
              <w:gridCol w:w="4479"/>
            </w:tblGrid>
            <w:tr w:rsidR="00246E26" w:rsidRPr="00D80C5B" w:rsidTr="0047733F">
              <w:trPr>
                <w:trHeight w:val="4479"/>
              </w:trPr>
              <w:tc>
                <w:tcPr>
                  <w:tcW w:w="4479" w:type="dxa"/>
                  <w:tcBorders>
                    <w:top w:val="nil"/>
                    <w:left w:val="nil"/>
                    <w:bottom w:val="nil"/>
                    <w:right w:val="nil"/>
                  </w:tcBorders>
                </w:tcPr>
                <w:p w:rsidR="00246E26" w:rsidRPr="00D80C5B" w:rsidRDefault="0028135C" w:rsidP="0028135C">
                  <w:pPr>
                    <w:ind w:left="-100" w:right="113"/>
                  </w:pPr>
                  <w:r w:rsidRPr="0028135C">
                    <w:rPr>
                      <w:noProof/>
                      <w:lang w:eastAsia="en-GB"/>
                    </w:rPr>
                    <w:drawing>
                      <wp:inline distT="0" distB="0" distL="0" distR="0" wp14:anchorId="717887D1" wp14:editId="37FF3FC2">
                        <wp:extent cx="2844000" cy="284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r>
          </w:tbl>
          <w:p w:rsidR="00246E26" w:rsidRPr="00D80C5B" w:rsidRDefault="00246E26" w:rsidP="00FA3187">
            <w:pPr>
              <w:jc w:val="both"/>
              <w:rPr>
                <w:rFonts w:ascii="Times New Roman" w:hAnsi="Times New Roman" w:cs="Times New Roman"/>
              </w:rPr>
            </w:pPr>
          </w:p>
        </w:tc>
        <w:tc>
          <w:tcPr>
            <w:tcW w:w="4661" w:type="dxa"/>
          </w:tcPr>
          <w:p w:rsidR="00246E26" w:rsidRPr="00D80C5B" w:rsidRDefault="00246E26" w:rsidP="00FA3187">
            <w:pPr>
              <w:jc w:val="both"/>
              <w:rPr>
                <w:rFonts w:ascii="Times New Roman" w:hAnsi="Times New Roman" w:cs="Times New Roman"/>
              </w:rPr>
            </w:pPr>
            <w:r w:rsidRPr="00D80C5B">
              <w:rPr>
                <w:rFonts w:ascii="Times New Roman" w:hAnsi="Times New Roman" w:cs="Times New Roman"/>
                <w:noProof/>
                <w:lang w:eastAsia="en-GB"/>
              </w:rPr>
              <w:drawing>
                <wp:inline distT="0" distB="0" distL="0" distR="0" wp14:anchorId="563DBF6E" wp14:editId="19E5C384">
                  <wp:extent cx="2844000" cy="2843530"/>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4000" cy="2843530"/>
                          </a:xfrm>
                          <a:prstGeom prst="rect">
                            <a:avLst/>
                          </a:prstGeom>
                          <a:noFill/>
                          <a:ln>
                            <a:noFill/>
                          </a:ln>
                        </pic:spPr>
                      </pic:pic>
                    </a:graphicData>
                  </a:graphic>
                </wp:inline>
              </w:drawing>
            </w:r>
          </w:p>
        </w:tc>
      </w:tr>
      <w:tr w:rsidR="001419AE" w:rsidRPr="00D80C5B" w:rsidTr="0028135C">
        <w:tc>
          <w:tcPr>
            <w:tcW w:w="4661" w:type="dxa"/>
          </w:tcPr>
          <w:p w:rsidR="001419AE" w:rsidRPr="00D80C5B" w:rsidRDefault="001419AE" w:rsidP="00FA3187">
            <w:pPr>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AMECO</w:t>
            </w:r>
          </w:p>
          <w:p w:rsidR="001419AE" w:rsidRPr="00D80C5B" w:rsidRDefault="001419AE" w:rsidP="00E60A1F">
            <w:pPr>
              <w:jc w:val="both"/>
              <w:rPr>
                <w:rFonts w:ascii="Times New Roman" w:hAnsi="Times New Roman" w:cs="Times New Roman"/>
                <w:sz w:val="20"/>
              </w:rPr>
            </w:pPr>
            <w:r w:rsidRPr="00D80C5B">
              <w:rPr>
                <w:rFonts w:ascii="Times New Roman" w:hAnsi="Times New Roman" w:cs="Times New Roman"/>
                <w:i/>
                <w:sz w:val="20"/>
              </w:rPr>
              <w:t>Note:</w:t>
            </w:r>
            <w:r w:rsidRPr="00D80C5B">
              <w:rPr>
                <w:rFonts w:ascii="Times New Roman" w:hAnsi="Times New Roman" w:cs="Times New Roman"/>
                <w:sz w:val="20"/>
              </w:rPr>
              <w:t xml:space="preserve"> </w:t>
            </w:r>
            <w:r w:rsidR="005E40D9" w:rsidRPr="00D80C5B">
              <w:rPr>
                <w:rFonts w:ascii="Times New Roman" w:hAnsi="Times New Roman" w:cs="Times New Roman"/>
                <w:sz w:val="20"/>
              </w:rPr>
              <w:t>C</w:t>
            </w:r>
            <w:r w:rsidRPr="00D80C5B">
              <w:rPr>
                <w:rFonts w:ascii="Times New Roman" w:hAnsi="Times New Roman" w:cs="Times New Roman"/>
                <w:sz w:val="20"/>
              </w:rPr>
              <w:t xml:space="preserve">ountries </w:t>
            </w:r>
            <w:r w:rsidR="005E40D9" w:rsidRPr="00D80C5B">
              <w:rPr>
                <w:rFonts w:ascii="Times New Roman" w:hAnsi="Times New Roman" w:cs="Times New Roman"/>
                <w:sz w:val="20"/>
              </w:rPr>
              <w:t xml:space="preserve">with NIIP &gt; +35% of GDP </w:t>
            </w:r>
            <w:r w:rsidRPr="00D80C5B">
              <w:rPr>
                <w:rFonts w:ascii="Times New Roman" w:hAnsi="Times New Roman" w:cs="Times New Roman"/>
                <w:sz w:val="20"/>
              </w:rPr>
              <w:t xml:space="preserve">are DE, LU, NL, BE, MT. Countries with NIIP between 35% and -35% of GDP are FI, EE, IT, LT, FR, SI, AT. Remaining countries are </w:t>
            </w:r>
            <w:r w:rsidR="00474D7F" w:rsidRPr="00D80C5B">
              <w:rPr>
                <w:rFonts w:ascii="Times New Roman" w:hAnsi="Times New Roman" w:cs="Times New Roman"/>
                <w:sz w:val="20"/>
              </w:rPr>
              <w:t xml:space="preserve">in </w:t>
            </w:r>
            <w:r w:rsidRPr="00D80C5B">
              <w:rPr>
                <w:rFonts w:ascii="Times New Roman" w:hAnsi="Times New Roman" w:cs="Times New Roman"/>
                <w:sz w:val="20"/>
              </w:rPr>
              <w:t>the NIIP</w:t>
            </w:r>
            <w:r w:rsidR="005E40D9" w:rsidRPr="00D80C5B">
              <w:rPr>
                <w:rFonts w:ascii="Times New Roman" w:hAnsi="Times New Roman" w:cs="Times New Roman"/>
                <w:sz w:val="20"/>
              </w:rPr>
              <w:t xml:space="preserve"> </w:t>
            </w:r>
            <w:r w:rsidRPr="00D80C5B">
              <w:rPr>
                <w:rFonts w:ascii="Times New Roman" w:hAnsi="Times New Roman" w:cs="Times New Roman"/>
                <w:sz w:val="20"/>
              </w:rPr>
              <w:t>&lt;</w:t>
            </w:r>
            <w:r w:rsidR="005E40D9" w:rsidRPr="00D80C5B">
              <w:rPr>
                <w:rFonts w:ascii="Times New Roman" w:hAnsi="Times New Roman" w:cs="Times New Roman"/>
                <w:sz w:val="20"/>
              </w:rPr>
              <w:t xml:space="preserve"> </w:t>
            </w:r>
            <w:r w:rsidRPr="00D80C5B">
              <w:rPr>
                <w:rFonts w:ascii="Times New Roman" w:hAnsi="Times New Roman" w:cs="Times New Roman"/>
                <w:sz w:val="20"/>
              </w:rPr>
              <w:t>-35% of GDP group. The country split is based on NIIP average values in the 2016-2018 period. Net-creditor countries recorded an average current account surplus over the same period. Figures concern GDP-weighted averages for the three groups of countries.</w:t>
            </w:r>
          </w:p>
        </w:tc>
        <w:tc>
          <w:tcPr>
            <w:tcW w:w="4661" w:type="dxa"/>
          </w:tcPr>
          <w:p w:rsidR="001419AE" w:rsidRPr="00D80C5B" w:rsidRDefault="001419AE" w:rsidP="00FA3187">
            <w:pPr>
              <w:jc w:val="both"/>
              <w:rPr>
                <w:rFonts w:ascii="Times New Roman" w:hAnsi="Times New Roman" w:cs="Times New Roman"/>
                <w:sz w:val="20"/>
              </w:rPr>
            </w:pPr>
            <w:r w:rsidRPr="00D80C5B">
              <w:rPr>
                <w:rFonts w:ascii="Times New Roman" w:hAnsi="Times New Roman" w:cs="Times New Roman"/>
                <w:i/>
                <w:sz w:val="20"/>
              </w:rPr>
              <w:t>Source:</w:t>
            </w:r>
            <w:r w:rsidRPr="00D80C5B">
              <w:rPr>
                <w:rFonts w:ascii="Times New Roman" w:hAnsi="Times New Roman" w:cs="Times New Roman"/>
                <w:sz w:val="20"/>
              </w:rPr>
              <w:t xml:space="preserve"> Commission services calculations on Eurostat and IMF data. </w:t>
            </w:r>
          </w:p>
          <w:p w:rsidR="001419AE" w:rsidRPr="00D80C5B" w:rsidRDefault="001419AE" w:rsidP="00FA3187">
            <w:pPr>
              <w:jc w:val="both"/>
              <w:rPr>
                <w:rFonts w:ascii="Times New Roman" w:hAnsi="Times New Roman" w:cs="Times New Roman"/>
                <w:sz w:val="20"/>
              </w:rPr>
            </w:pPr>
            <w:r w:rsidRPr="00D80C5B">
              <w:rPr>
                <w:rFonts w:ascii="Times New Roman" w:hAnsi="Times New Roman" w:cs="Times New Roman"/>
                <w:i/>
                <w:sz w:val="20"/>
              </w:rPr>
              <w:t>Note:</w:t>
            </w:r>
            <w:r w:rsidRPr="00D80C5B">
              <w:rPr>
                <w:rFonts w:ascii="Times New Roman" w:hAnsi="Times New Roman" w:cs="Times New Roman"/>
                <w:sz w:val="20"/>
              </w:rPr>
              <w:t xml:space="preserve"> The REER in levels is computed based on the ratio of GDP deflator on that of competitors, expressed in purchasing power parities (and assuming US=100). Country weights are the same as those used to construct REER indexes (42 competitors’ group). </w:t>
            </w:r>
          </w:p>
        </w:tc>
      </w:tr>
    </w:tbl>
    <w:p w:rsidR="00D6461F" w:rsidRPr="00D80C5B" w:rsidRDefault="00D6461F" w:rsidP="00850EA8">
      <w:pPr>
        <w:ind w:left="0"/>
        <w:rPr>
          <w:rFonts w:eastAsia="MS Gothic" w:cstheme="minorHAnsi"/>
          <w:b/>
          <w:bCs/>
          <w:smallCaps/>
          <w:lang w:eastAsia="en-GB"/>
        </w:rPr>
      </w:pPr>
    </w:p>
    <w:p w:rsidR="001419AE" w:rsidRPr="00D80C5B" w:rsidRDefault="001419AE" w:rsidP="00850EA8">
      <w:pPr>
        <w:ind w:left="0"/>
        <w:rPr>
          <w:rFonts w:eastAsia="MS Gothic" w:cstheme="minorHAnsi"/>
          <w:b/>
          <w:bCs/>
          <w:smallCaps/>
          <w:lang w:eastAsia="en-GB"/>
        </w:rPr>
      </w:pPr>
    </w:p>
    <w:p w:rsidR="00513BC0" w:rsidRPr="00D80C5B" w:rsidRDefault="001419AE" w:rsidP="00850EA8">
      <w:pPr>
        <w:ind w:left="0"/>
        <w:rPr>
          <w:rFonts w:eastAsia="MS Gothic" w:cstheme="minorHAnsi"/>
          <w:b/>
          <w:bCs/>
          <w:smallCaps/>
          <w:lang w:eastAsia="en-GB"/>
        </w:rPr>
      </w:pPr>
      <w:r w:rsidRPr="00D80C5B">
        <w:rPr>
          <w:rFonts w:eastAsia="MS Gothic" w:cstheme="minorHAnsi"/>
          <w:b/>
          <w:bCs/>
          <w:smallCaps/>
          <w:lang w:eastAsia="en-GB"/>
        </w:rPr>
        <w:t>3</w:t>
      </w:r>
      <w:r w:rsidR="00513BC0" w:rsidRPr="00D80C5B">
        <w:rPr>
          <w:rFonts w:eastAsia="MS Gothic" w:cstheme="minorHAnsi"/>
          <w:b/>
          <w:bCs/>
          <w:smallCaps/>
          <w:lang w:eastAsia="en-GB"/>
        </w:rPr>
        <w:t>.</w:t>
      </w:r>
      <w:r w:rsidR="00513BC0" w:rsidRPr="00D80C5B">
        <w:rPr>
          <w:rFonts w:eastAsia="MS Gothic" w:cstheme="minorHAnsi"/>
          <w:b/>
          <w:bCs/>
          <w:smallCaps/>
          <w:lang w:eastAsia="en-GB"/>
        </w:rPr>
        <w:tab/>
        <w:t>Imbalances, Risks and Adjustment: main developments across countries</w:t>
      </w:r>
    </w:p>
    <w:p w:rsidR="00850EA8" w:rsidRPr="00D80C5B" w:rsidRDefault="00850EA8" w:rsidP="00850EA8">
      <w:pPr>
        <w:ind w:left="0"/>
        <w:jc w:val="both"/>
        <w:rPr>
          <w:rFonts w:eastAsia="Times New Roman" w:cstheme="minorHAnsi"/>
          <w:b/>
          <w:lang w:eastAsia="en-GB"/>
        </w:rPr>
      </w:pPr>
    </w:p>
    <w:p w:rsidR="00CD6B21" w:rsidRPr="00D80C5B" w:rsidRDefault="00513BC0" w:rsidP="00C83E45">
      <w:pPr>
        <w:spacing w:after="120"/>
        <w:ind w:left="0"/>
        <w:jc w:val="both"/>
        <w:rPr>
          <w:rFonts w:eastAsia="Times New Roman" w:cstheme="minorHAnsi"/>
          <w:lang w:eastAsia="en-GB"/>
        </w:rPr>
      </w:pPr>
      <w:r w:rsidRPr="00D80C5B">
        <w:rPr>
          <w:rFonts w:eastAsia="Times New Roman" w:cstheme="minorHAnsi"/>
          <w:b/>
          <w:lang w:eastAsia="en-GB"/>
        </w:rPr>
        <w:t>The AMR builds on an economic reading of the MIP scoreboard of indicators</w:t>
      </w:r>
      <w:r w:rsidRPr="00D80C5B">
        <w:rPr>
          <w:rFonts w:eastAsia="Times New Roman" w:cstheme="minorHAnsi"/>
          <w:lang w:eastAsia="en-GB"/>
        </w:rPr>
        <w:t xml:space="preserve">, </w:t>
      </w:r>
      <w:r w:rsidRPr="00D80C5B">
        <w:rPr>
          <w:rFonts w:eastAsia="Times New Roman" w:cstheme="minorHAnsi"/>
          <w:b/>
          <w:lang w:eastAsia="en-GB"/>
        </w:rPr>
        <w:t>which provides a filtering device for detecting prima-facie evidence of possible risks and vulnerabilities</w:t>
      </w:r>
      <w:r w:rsidRPr="00D80C5B">
        <w:rPr>
          <w:rFonts w:eastAsia="Times New Roman" w:cstheme="minorHAnsi"/>
          <w:lang w:eastAsia="en-GB"/>
        </w:rPr>
        <w:t xml:space="preserve">. The scoreboard includes 14 indicators </w:t>
      </w:r>
      <w:r w:rsidR="000E3858" w:rsidRPr="00D80C5B">
        <w:rPr>
          <w:rFonts w:eastAsia="Times New Roman" w:cstheme="minorHAnsi"/>
          <w:lang w:eastAsia="en-GB"/>
        </w:rPr>
        <w:t>with</w:t>
      </w:r>
      <w:r w:rsidRPr="00D80C5B">
        <w:rPr>
          <w:rFonts w:eastAsia="Times New Roman" w:cstheme="minorHAnsi"/>
          <w:lang w:eastAsia="en-GB"/>
        </w:rPr>
        <w:t xml:space="preserve"> indicative thresholds </w:t>
      </w:r>
      <w:r w:rsidR="001547B2" w:rsidRPr="00D80C5B">
        <w:rPr>
          <w:rFonts w:eastAsia="Times New Roman" w:cstheme="minorHAnsi"/>
          <w:lang w:eastAsia="en-GB"/>
        </w:rPr>
        <w:t>in the following areas:</w:t>
      </w:r>
      <w:r w:rsidRPr="00D80C5B">
        <w:rPr>
          <w:rFonts w:eastAsia="Times New Roman" w:cstheme="minorHAnsi"/>
          <w:lang w:eastAsia="en-GB"/>
        </w:rPr>
        <w:t xml:space="preserve"> external positions, competitiveness, private debt, housing markets, the banking sector, and employment. It relies on actual data of good statistical quality to ensure data stability and cross-country consistency. Hence, the scoreboard used for this report reflects data up to 201</w:t>
      </w:r>
      <w:r w:rsidR="003E2E40" w:rsidRPr="00D80C5B">
        <w:rPr>
          <w:rFonts w:eastAsia="Times New Roman" w:cstheme="minorHAnsi"/>
          <w:lang w:eastAsia="en-GB"/>
        </w:rPr>
        <w:t>8</w:t>
      </w:r>
      <w:r w:rsidRPr="00D80C5B">
        <w:rPr>
          <w:rFonts w:eastAsia="Times New Roman" w:cstheme="minorHAnsi"/>
          <w:lang w:eastAsia="en-GB"/>
        </w:rPr>
        <w:t xml:space="preserve">. </w:t>
      </w:r>
      <w:r w:rsidR="006773B3" w:rsidRPr="00D80C5B">
        <w:rPr>
          <w:rFonts w:eastAsia="Times New Roman" w:cstheme="minorHAnsi"/>
          <w:lang w:eastAsia="en-GB"/>
        </w:rPr>
        <w:t xml:space="preserve">In accordance with </w:t>
      </w:r>
      <w:r w:rsidRPr="00D80C5B">
        <w:rPr>
          <w:rFonts w:eastAsia="Times New Roman" w:cstheme="minorHAnsi"/>
          <w:lang w:eastAsia="en-GB"/>
        </w:rPr>
        <w:t xml:space="preserve">the MIP regulation (Regulation (EU) </w:t>
      </w:r>
      <w:r w:rsidR="002C0CDE" w:rsidRPr="00D80C5B">
        <w:rPr>
          <w:rFonts w:eastAsia="Times New Roman" w:cstheme="minorHAnsi"/>
          <w:lang w:eastAsia="en-GB"/>
        </w:rPr>
        <w:t xml:space="preserve">No </w:t>
      </w:r>
      <w:r w:rsidRPr="00D80C5B">
        <w:rPr>
          <w:rFonts w:eastAsia="Times New Roman" w:cstheme="minorHAnsi"/>
          <w:lang w:eastAsia="en-GB"/>
        </w:rPr>
        <w:t>1176/2011),</w:t>
      </w:r>
      <w:r w:rsidR="006773B3" w:rsidRPr="00D80C5B">
        <w:rPr>
          <w:rFonts w:eastAsia="Times New Roman" w:cstheme="minorHAnsi"/>
          <w:lang w:eastAsia="en-GB"/>
        </w:rPr>
        <w:t xml:space="preserve"> scoreboard values are not read mechani</w:t>
      </w:r>
      <w:r w:rsidR="003631A5" w:rsidRPr="00D80C5B">
        <w:rPr>
          <w:rFonts w:eastAsia="Times New Roman" w:cstheme="minorHAnsi"/>
          <w:lang w:eastAsia="en-GB"/>
        </w:rPr>
        <w:t>cally</w:t>
      </w:r>
      <w:r w:rsidR="006773B3" w:rsidRPr="00D80C5B">
        <w:rPr>
          <w:rFonts w:eastAsia="Times New Roman" w:cstheme="minorHAnsi"/>
          <w:lang w:eastAsia="en-GB"/>
        </w:rPr>
        <w:t xml:space="preserve"> in the assessments included in the AMR, </w:t>
      </w:r>
      <w:r w:rsidRPr="00D80C5B">
        <w:rPr>
          <w:rFonts w:eastAsia="Times New Roman" w:cstheme="minorHAnsi"/>
          <w:lang w:eastAsia="en-GB"/>
        </w:rPr>
        <w:t>but</w:t>
      </w:r>
      <w:r w:rsidR="00735BE6" w:rsidRPr="00D80C5B">
        <w:rPr>
          <w:rFonts w:eastAsia="Times New Roman" w:cstheme="minorHAnsi"/>
          <w:lang w:eastAsia="en-GB"/>
        </w:rPr>
        <w:t xml:space="preserve"> are</w:t>
      </w:r>
      <w:r w:rsidRPr="00D80C5B">
        <w:rPr>
          <w:rFonts w:eastAsia="Times New Roman" w:cstheme="minorHAnsi"/>
          <w:lang w:eastAsia="en-GB"/>
        </w:rPr>
        <w:t xml:space="preserve"> instead subject to an economic reading that enables </w:t>
      </w:r>
      <w:r w:rsidR="00735BE6" w:rsidRPr="00D80C5B">
        <w:rPr>
          <w:rFonts w:eastAsia="Times New Roman" w:cstheme="minorHAnsi"/>
          <w:lang w:eastAsia="en-GB"/>
        </w:rPr>
        <w:t xml:space="preserve">a deeper understanding of the overall economic context and taking into account </w:t>
      </w:r>
      <w:r w:rsidRPr="00D80C5B">
        <w:rPr>
          <w:rFonts w:eastAsia="Times New Roman" w:cstheme="minorHAnsi"/>
          <w:lang w:eastAsia="en-GB"/>
        </w:rPr>
        <w:t>country-specific considerations.</w:t>
      </w:r>
      <w:r w:rsidRPr="00D80C5B">
        <w:rPr>
          <w:rFonts w:eastAsia="Times New Roman" w:cstheme="minorHAnsi"/>
          <w:vertAlign w:val="superscript"/>
          <w:lang w:eastAsia="en-GB"/>
        </w:rPr>
        <w:footnoteReference w:id="20"/>
      </w:r>
      <w:r w:rsidR="00735BE6" w:rsidRPr="00D80C5B">
        <w:rPr>
          <w:rFonts w:eastAsia="Times New Roman" w:cstheme="minorHAnsi"/>
          <w:lang w:eastAsia="en-GB"/>
        </w:rPr>
        <w:t xml:space="preserve"> A set of auxiliary indicators complements the reading of the scoreboard. More recent data and additional information, insights from assessment frameworks, as well as findings in existing IDRs and relevant analyses, </w:t>
      </w:r>
      <w:r w:rsidR="004911DA" w:rsidRPr="00D80C5B">
        <w:rPr>
          <w:rFonts w:eastAsia="Times New Roman" w:cstheme="minorHAnsi"/>
          <w:lang w:eastAsia="en-GB"/>
        </w:rPr>
        <w:t xml:space="preserve">as well as </w:t>
      </w:r>
      <w:r w:rsidR="009A634B" w:rsidRPr="00D80C5B">
        <w:rPr>
          <w:rFonts w:eastAsia="Times New Roman" w:cstheme="minorHAnsi"/>
          <w:lang w:eastAsia="en-GB"/>
        </w:rPr>
        <w:t>the Commission autumn 201</w:t>
      </w:r>
      <w:r w:rsidR="003E2E40" w:rsidRPr="00D80C5B">
        <w:rPr>
          <w:rFonts w:eastAsia="Times New Roman" w:cstheme="minorHAnsi"/>
          <w:lang w:eastAsia="en-GB"/>
        </w:rPr>
        <w:t>9</w:t>
      </w:r>
      <w:r w:rsidR="009A634B" w:rsidRPr="00D80C5B">
        <w:rPr>
          <w:rFonts w:eastAsia="Times New Roman" w:cstheme="minorHAnsi"/>
          <w:lang w:eastAsia="en-GB"/>
        </w:rPr>
        <w:t xml:space="preserve"> forecast, </w:t>
      </w:r>
      <w:r w:rsidR="00735BE6" w:rsidRPr="00D80C5B">
        <w:rPr>
          <w:rFonts w:eastAsia="Times New Roman" w:cstheme="minorHAnsi"/>
          <w:lang w:eastAsia="en-GB"/>
        </w:rPr>
        <w:t>are also taken into consideration in the AMR assessment.</w:t>
      </w:r>
    </w:p>
    <w:p w:rsidR="00513BC0" w:rsidRPr="00D80C5B" w:rsidRDefault="00E67DEC" w:rsidP="00C83E45">
      <w:pPr>
        <w:spacing w:after="120"/>
        <w:ind w:left="0"/>
        <w:jc w:val="both"/>
        <w:rPr>
          <w:rFonts w:eastAsia="Times New Roman" w:cstheme="minorHAnsi"/>
          <w:lang w:eastAsia="en-GB"/>
        </w:rPr>
      </w:pPr>
      <w:r w:rsidRPr="00D80C5B">
        <w:rPr>
          <w:rFonts w:eastAsia="Times New Roman" w:cstheme="minorHAnsi"/>
          <w:b/>
          <w:lang w:eastAsia="en-GB"/>
        </w:rPr>
        <w:t xml:space="preserve">Scoreboard </w:t>
      </w:r>
      <w:r w:rsidR="00CD1ACF" w:rsidRPr="00D80C5B">
        <w:rPr>
          <w:rFonts w:eastAsia="Times New Roman" w:cstheme="minorHAnsi"/>
          <w:b/>
          <w:lang w:eastAsia="en-GB"/>
        </w:rPr>
        <w:t xml:space="preserve">data </w:t>
      </w:r>
      <w:r w:rsidR="00E817D7" w:rsidRPr="00D80C5B">
        <w:rPr>
          <w:rFonts w:eastAsia="Times New Roman" w:cstheme="minorHAnsi"/>
          <w:b/>
          <w:lang w:eastAsia="en-GB"/>
        </w:rPr>
        <w:t xml:space="preserve">point to the </w:t>
      </w:r>
      <w:r w:rsidR="00CD1ACF" w:rsidRPr="00D80C5B">
        <w:rPr>
          <w:rFonts w:eastAsia="Times New Roman" w:cstheme="minorHAnsi"/>
          <w:b/>
          <w:lang w:eastAsia="en-GB"/>
        </w:rPr>
        <w:t>emergence of</w:t>
      </w:r>
      <w:r w:rsidR="005F6E2F" w:rsidRPr="00D80C5B">
        <w:rPr>
          <w:rFonts w:eastAsia="Times New Roman" w:cstheme="minorHAnsi"/>
          <w:b/>
          <w:lang w:eastAsia="en-GB"/>
        </w:rPr>
        <w:t xml:space="preserve"> possible</w:t>
      </w:r>
      <w:r w:rsidR="00CD1ACF" w:rsidRPr="00D80C5B">
        <w:rPr>
          <w:rFonts w:eastAsia="Times New Roman" w:cstheme="minorHAnsi"/>
          <w:b/>
          <w:lang w:eastAsia="en-GB"/>
        </w:rPr>
        <w:t xml:space="preserve"> issues relat</w:t>
      </w:r>
      <w:r w:rsidR="005F6E2F" w:rsidRPr="00D80C5B">
        <w:rPr>
          <w:rFonts w:eastAsia="Times New Roman" w:cstheme="minorHAnsi"/>
          <w:b/>
          <w:lang w:eastAsia="en-GB"/>
        </w:rPr>
        <w:t>ing</w:t>
      </w:r>
      <w:r w:rsidR="00CD1ACF" w:rsidRPr="00D80C5B">
        <w:rPr>
          <w:rFonts w:eastAsia="Times New Roman" w:cstheme="minorHAnsi"/>
          <w:b/>
          <w:lang w:eastAsia="en-GB"/>
        </w:rPr>
        <w:t xml:space="preserve"> to </w:t>
      </w:r>
      <w:r w:rsidR="005F6E2F" w:rsidRPr="00D80C5B">
        <w:rPr>
          <w:rFonts w:eastAsia="Times New Roman" w:cstheme="minorHAnsi"/>
          <w:b/>
          <w:lang w:eastAsia="en-GB"/>
        </w:rPr>
        <w:t xml:space="preserve">cost </w:t>
      </w:r>
      <w:r w:rsidR="00CD1ACF" w:rsidRPr="00D80C5B">
        <w:rPr>
          <w:rFonts w:eastAsia="Times New Roman" w:cstheme="minorHAnsi"/>
          <w:b/>
          <w:lang w:eastAsia="en-GB"/>
        </w:rPr>
        <w:t>competitiveness</w:t>
      </w:r>
      <w:r w:rsidR="00AA6919" w:rsidRPr="00D80C5B">
        <w:rPr>
          <w:rFonts w:eastAsia="Times New Roman" w:cstheme="minorHAnsi"/>
          <w:b/>
          <w:lang w:eastAsia="en-GB"/>
        </w:rPr>
        <w:t xml:space="preserve"> and house price</w:t>
      </w:r>
      <w:r w:rsidR="005F6E2F" w:rsidRPr="00D80C5B">
        <w:rPr>
          <w:rFonts w:eastAsia="Times New Roman" w:cstheme="minorHAnsi"/>
          <w:b/>
          <w:lang w:eastAsia="en-GB"/>
        </w:rPr>
        <w:t xml:space="preserve"> dynamics</w:t>
      </w:r>
      <w:r w:rsidR="00AA6919" w:rsidRPr="00D80C5B">
        <w:rPr>
          <w:rFonts w:eastAsia="Times New Roman" w:cstheme="minorHAnsi"/>
          <w:b/>
          <w:lang w:eastAsia="en-GB"/>
        </w:rPr>
        <w:t>,</w:t>
      </w:r>
      <w:r w:rsidR="00CD1ACF" w:rsidRPr="00D80C5B">
        <w:rPr>
          <w:rFonts w:eastAsia="Times New Roman" w:cstheme="minorHAnsi"/>
          <w:b/>
          <w:lang w:eastAsia="en-GB"/>
        </w:rPr>
        <w:t xml:space="preserve"> on top of persisten</w:t>
      </w:r>
      <w:r w:rsidR="0053732C" w:rsidRPr="00D80C5B">
        <w:rPr>
          <w:rFonts w:eastAsia="Times New Roman" w:cstheme="minorHAnsi"/>
          <w:b/>
          <w:lang w:eastAsia="en-GB"/>
        </w:rPr>
        <w:t>t</w:t>
      </w:r>
      <w:r w:rsidR="00CD1ACF" w:rsidRPr="00D80C5B">
        <w:rPr>
          <w:rFonts w:eastAsia="Times New Roman" w:cstheme="minorHAnsi"/>
          <w:b/>
          <w:lang w:eastAsia="en-GB"/>
        </w:rPr>
        <w:t xml:space="preserve"> high debt levels</w:t>
      </w:r>
      <w:r w:rsidR="0051278E" w:rsidRPr="00D80C5B">
        <w:rPr>
          <w:rFonts w:eastAsia="Times New Roman" w:cstheme="minorHAnsi"/>
          <w:b/>
          <w:lang w:eastAsia="en-GB"/>
        </w:rPr>
        <w:t xml:space="preserve"> </w:t>
      </w:r>
      <w:r w:rsidR="00C83E45" w:rsidRPr="00D80C5B">
        <w:rPr>
          <w:rFonts w:eastAsia="Times New Roman" w:cstheme="minorHAnsi"/>
          <w:b/>
          <w:lang w:eastAsia="en-GB"/>
        </w:rPr>
        <w:t>that</w:t>
      </w:r>
      <w:r w:rsidR="0051278E" w:rsidRPr="00D80C5B">
        <w:rPr>
          <w:rFonts w:eastAsia="Times New Roman" w:cstheme="minorHAnsi"/>
          <w:b/>
          <w:lang w:eastAsia="en-GB"/>
        </w:rPr>
        <w:t xml:space="preserve"> are only gradually adjusting</w:t>
      </w:r>
      <w:r w:rsidR="00CD1ACF" w:rsidRPr="00D80C5B">
        <w:rPr>
          <w:rFonts w:eastAsia="Times New Roman" w:cstheme="minorHAnsi"/>
          <w:b/>
          <w:lang w:eastAsia="en-GB"/>
        </w:rPr>
        <w:t>.</w:t>
      </w:r>
      <w:r w:rsidRPr="00D80C5B">
        <w:rPr>
          <w:rFonts w:eastAsia="Times New Roman" w:cstheme="minorHAnsi"/>
          <w:b/>
          <w:lang w:eastAsia="en-GB"/>
        </w:rPr>
        <w:t xml:space="preserve"> </w:t>
      </w:r>
      <w:r w:rsidR="005F6E2F" w:rsidRPr="00D80C5B">
        <w:rPr>
          <w:rFonts w:ascii="Times New Roman" w:eastAsia="Times New Roman" w:hAnsi="Times New Roman" w:cs="Times New Roman"/>
          <w:lang w:eastAsia="en-GB"/>
        </w:rPr>
        <w:t>Values in excess of threshold in the AMR scoreboard continue to be recorded with the highest frequenc</w:t>
      </w:r>
      <w:r w:rsidR="00C83E45" w:rsidRPr="00D80C5B">
        <w:rPr>
          <w:rFonts w:ascii="Times New Roman" w:eastAsia="Times New Roman" w:hAnsi="Times New Roman" w:cs="Times New Roman"/>
          <w:lang w:eastAsia="en-GB"/>
        </w:rPr>
        <w:t>y</w:t>
      </w:r>
      <w:r w:rsidR="005F6E2F" w:rsidRPr="00D80C5B">
        <w:rPr>
          <w:rFonts w:ascii="Times New Roman" w:eastAsia="Times New Roman" w:hAnsi="Times New Roman" w:cs="Times New Roman"/>
          <w:lang w:eastAsia="en-GB"/>
        </w:rPr>
        <w:t xml:space="preserve"> in the case of government debt, net international investment positions, and private debt </w:t>
      </w:r>
      <w:r w:rsidR="005F6E2F" w:rsidRPr="00D80C5B">
        <w:rPr>
          <w:rFonts w:eastAsia="Times New Roman" w:cstheme="minorHAnsi"/>
          <w:lang w:eastAsia="en-GB"/>
        </w:rPr>
        <w:t xml:space="preserve">(Graph </w:t>
      </w:r>
      <w:r w:rsidR="003425D8">
        <w:rPr>
          <w:rFonts w:eastAsia="Times New Roman" w:cstheme="minorHAnsi"/>
          <w:lang w:eastAsia="en-GB"/>
        </w:rPr>
        <w:t>7</w:t>
      </w:r>
      <w:r w:rsidR="005F6E2F" w:rsidRPr="00D80C5B">
        <w:rPr>
          <w:rFonts w:eastAsia="Times New Roman" w:cstheme="minorHAnsi"/>
          <w:lang w:eastAsia="en-GB"/>
        </w:rPr>
        <w:t>).</w:t>
      </w:r>
      <w:r w:rsidR="005F6E2F" w:rsidRPr="00D80C5B">
        <w:rPr>
          <w:rFonts w:eastAsia="Times New Roman" w:cstheme="minorHAnsi"/>
          <w:vertAlign w:val="superscript"/>
          <w:lang w:eastAsia="en-GB"/>
        </w:rPr>
        <w:footnoteReference w:id="21"/>
      </w:r>
      <w:r w:rsidR="005F6E2F" w:rsidRPr="00D80C5B">
        <w:rPr>
          <w:rFonts w:eastAsia="Times New Roman" w:cstheme="minorHAnsi"/>
          <w:lang w:eastAsia="en-GB"/>
        </w:rPr>
        <w:t xml:space="preserve"> The economic expansion and improved current account and fiscal balance positions have </w:t>
      </w:r>
      <w:r w:rsidR="0004793C" w:rsidRPr="00D80C5B">
        <w:rPr>
          <w:rFonts w:eastAsia="Times New Roman" w:cstheme="minorHAnsi"/>
          <w:lang w:eastAsia="en-GB"/>
        </w:rPr>
        <w:t xml:space="preserve">nevertheless </w:t>
      </w:r>
      <w:r w:rsidR="005F6E2F" w:rsidRPr="00D80C5B">
        <w:rPr>
          <w:rFonts w:eastAsia="Times New Roman" w:cstheme="minorHAnsi"/>
          <w:lang w:eastAsia="en-GB"/>
        </w:rPr>
        <w:t xml:space="preserve">helped </w:t>
      </w:r>
      <w:r w:rsidR="00E04C72" w:rsidRPr="00D80C5B">
        <w:rPr>
          <w:rFonts w:eastAsia="Times New Roman" w:cstheme="minorHAnsi"/>
          <w:lang w:eastAsia="en-GB"/>
        </w:rPr>
        <w:t>to reduce</w:t>
      </w:r>
      <w:r w:rsidR="005F6E2F" w:rsidRPr="00D80C5B">
        <w:rPr>
          <w:rFonts w:eastAsia="Times New Roman" w:cstheme="minorHAnsi"/>
          <w:lang w:eastAsia="en-GB"/>
        </w:rPr>
        <w:t xml:space="preserve"> net foreign liabilities and government debt as </w:t>
      </w:r>
      <w:r w:rsidR="00D95914" w:rsidRPr="00D80C5B">
        <w:rPr>
          <w:rFonts w:eastAsia="Times New Roman" w:cstheme="minorHAnsi"/>
          <w:lang w:eastAsia="en-GB"/>
        </w:rPr>
        <w:t xml:space="preserve">shares of </w:t>
      </w:r>
      <w:r w:rsidR="005F6E2F" w:rsidRPr="00D80C5B">
        <w:rPr>
          <w:rFonts w:eastAsia="Times New Roman" w:cstheme="minorHAnsi"/>
          <w:lang w:eastAsia="en-GB"/>
        </w:rPr>
        <w:t xml:space="preserve">GDP, </w:t>
      </w:r>
      <w:r w:rsidR="000231D3" w:rsidRPr="00D80C5B">
        <w:rPr>
          <w:rFonts w:eastAsia="Times New Roman" w:cstheme="minorHAnsi"/>
          <w:lang w:eastAsia="en-GB"/>
        </w:rPr>
        <w:t xml:space="preserve">implying a reduction in the number of </w:t>
      </w:r>
      <w:r w:rsidR="0029295D" w:rsidRPr="00D80C5B">
        <w:rPr>
          <w:rFonts w:eastAsia="Times New Roman" w:cstheme="minorHAnsi"/>
          <w:lang w:eastAsia="en-GB"/>
        </w:rPr>
        <w:t xml:space="preserve">Member States </w:t>
      </w:r>
      <w:r w:rsidR="0039781B" w:rsidRPr="00D80C5B">
        <w:rPr>
          <w:rFonts w:eastAsia="Times New Roman" w:cstheme="minorHAnsi"/>
          <w:lang w:eastAsia="en-GB"/>
        </w:rPr>
        <w:t xml:space="preserve">crossing the </w:t>
      </w:r>
      <w:r w:rsidR="00190322" w:rsidRPr="00D80C5B">
        <w:rPr>
          <w:rFonts w:eastAsia="Times New Roman" w:cstheme="minorHAnsi"/>
          <w:lang w:eastAsia="en-GB"/>
        </w:rPr>
        <w:t xml:space="preserve">related </w:t>
      </w:r>
      <w:r w:rsidR="0039781B" w:rsidRPr="00D80C5B">
        <w:rPr>
          <w:rFonts w:eastAsia="Times New Roman" w:cstheme="minorHAnsi"/>
          <w:lang w:eastAsia="en-GB"/>
        </w:rPr>
        <w:t>scoreboard threshold</w:t>
      </w:r>
      <w:r w:rsidR="00190322" w:rsidRPr="00D80C5B">
        <w:rPr>
          <w:rFonts w:eastAsia="Times New Roman" w:cstheme="minorHAnsi"/>
          <w:lang w:eastAsia="en-GB"/>
        </w:rPr>
        <w:t>s</w:t>
      </w:r>
      <w:r w:rsidR="0039781B" w:rsidRPr="00D80C5B">
        <w:rPr>
          <w:rFonts w:eastAsia="Times New Roman" w:cstheme="minorHAnsi"/>
          <w:lang w:eastAsia="en-GB"/>
        </w:rPr>
        <w:t xml:space="preserve">. Conversely, </w:t>
      </w:r>
      <w:r w:rsidR="00190322" w:rsidRPr="00D80C5B">
        <w:rPr>
          <w:rFonts w:eastAsia="Times New Roman" w:cstheme="minorHAnsi"/>
          <w:lang w:eastAsia="en-GB"/>
        </w:rPr>
        <w:t xml:space="preserve">the </w:t>
      </w:r>
      <w:r w:rsidR="0039781B" w:rsidRPr="00D80C5B">
        <w:rPr>
          <w:rFonts w:eastAsia="Times New Roman" w:cstheme="minorHAnsi"/>
          <w:lang w:eastAsia="en-GB"/>
        </w:rPr>
        <w:t xml:space="preserve">number of cases </w:t>
      </w:r>
      <w:r w:rsidR="0029295D" w:rsidRPr="00D80C5B">
        <w:rPr>
          <w:rFonts w:eastAsia="Times New Roman" w:cstheme="minorHAnsi"/>
          <w:lang w:eastAsia="en-GB"/>
        </w:rPr>
        <w:t xml:space="preserve">beyond the </w:t>
      </w:r>
      <w:r w:rsidR="0039781B" w:rsidRPr="00D80C5B">
        <w:rPr>
          <w:rFonts w:eastAsia="Times New Roman" w:cstheme="minorHAnsi"/>
          <w:lang w:eastAsia="en-GB"/>
        </w:rPr>
        <w:t xml:space="preserve">threshold is </w:t>
      </w:r>
      <w:r w:rsidR="00190322" w:rsidRPr="00D80C5B">
        <w:rPr>
          <w:rFonts w:eastAsia="Times New Roman" w:cstheme="minorHAnsi"/>
          <w:lang w:eastAsia="en-GB"/>
        </w:rPr>
        <w:t>unchanged</w:t>
      </w:r>
      <w:r w:rsidR="0039781B" w:rsidRPr="00D80C5B">
        <w:rPr>
          <w:rFonts w:eastAsia="Times New Roman" w:cstheme="minorHAnsi"/>
          <w:lang w:eastAsia="en-GB"/>
        </w:rPr>
        <w:t xml:space="preserve"> for private debt, in light of loosened net saving positions </w:t>
      </w:r>
      <w:r w:rsidR="0053732C" w:rsidRPr="00D80C5B">
        <w:rPr>
          <w:rFonts w:eastAsia="Times New Roman" w:cstheme="minorHAnsi"/>
          <w:lang w:eastAsia="en-GB"/>
        </w:rPr>
        <w:t xml:space="preserve">offsetting </w:t>
      </w:r>
      <w:r w:rsidR="0039781B" w:rsidRPr="00D80C5B">
        <w:rPr>
          <w:rFonts w:eastAsia="Times New Roman" w:cstheme="minorHAnsi"/>
          <w:lang w:eastAsia="en-GB"/>
        </w:rPr>
        <w:t>the impact of growth on debt</w:t>
      </w:r>
      <w:r w:rsidR="00C83E45" w:rsidRPr="00D80C5B">
        <w:rPr>
          <w:rFonts w:eastAsia="Times New Roman" w:cstheme="minorHAnsi"/>
          <w:lang w:eastAsia="en-GB"/>
        </w:rPr>
        <w:t>-to-</w:t>
      </w:r>
      <w:r w:rsidR="0039781B" w:rsidRPr="00D80C5B">
        <w:rPr>
          <w:rFonts w:eastAsia="Times New Roman" w:cstheme="minorHAnsi"/>
          <w:lang w:eastAsia="en-GB"/>
        </w:rPr>
        <w:t>GDP</w:t>
      </w:r>
      <w:r w:rsidR="008B032B" w:rsidRPr="00D80C5B">
        <w:rPr>
          <w:rFonts w:eastAsia="Times New Roman" w:cstheme="minorHAnsi"/>
          <w:lang w:eastAsia="en-GB"/>
        </w:rPr>
        <w:t xml:space="preserve"> ratios. The economic</w:t>
      </w:r>
      <w:r w:rsidR="0039781B" w:rsidRPr="00D80C5B">
        <w:rPr>
          <w:rFonts w:eastAsia="Times New Roman" w:cstheme="minorHAnsi"/>
          <w:lang w:eastAsia="en-GB"/>
        </w:rPr>
        <w:t xml:space="preserve"> expansion</w:t>
      </w:r>
      <w:r w:rsidR="000231D3" w:rsidRPr="00D80C5B">
        <w:rPr>
          <w:rFonts w:eastAsia="Times New Roman" w:cstheme="minorHAnsi"/>
          <w:lang w:eastAsia="en-GB"/>
        </w:rPr>
        <w:t xml:space="preserve"> in some countries</w:t>
      </w:r>
      <w:r w:rsidR="0039781B" w:rsidRPr="00D80C5B">
        <w:rPr>
          <w:rFonts w:eastAsia="Times New Roman" w:cstheme="minorHAnsi"/>
          <w:lang w:eastAsia="en-GB"/>
        </w:rPr>
        <w:t xml:space="preserve"> </w:t>
      </w:r>
      <w:r w:rsidR="000231D3" w:rsidRPr="00D80C5B">
        <w:rPr>
          <w:rFonts w:eastAsia="Times New Roman" w:cstheme="minorHAnsi"/>
          <w:lang w:eastAsia="en-GB"/>
        </w:rPr>
        <w:t xml:space="preserve">manifests itself also with </w:t>
      </w:r>
      <w:r w:rsidR="008B032B" w:rsidRPr="00D80C5B">
        <w:rPr>
          <w:rFonts w:eastAsia="Times New Roman" w:cstheme="minorHAnsi"/>
          <w:lang w:eastAsia="en-GB"/>
        </w:rPr>
        <w:t>fast-growing</w:t>
      </w:r>
      <w:r w:rsidR="000231D3" w:rsidRPr="00D80C5B">
        <w:rPr>
          <w:rFonts w:eastAsia="Times New Roman" w:cstheme="minorHAnsi"/>
          <w:lang w:eastAsia="en-GB"/>
        </w:rPr>
        <w:t xml:space="preserve"> labour</w:t>
      </w:r>
      <w:r w:rsidR="008B032B" w:rsidRPr="00D80C5B">
        <w:rPr>
          <w:rFonts w:eastAsia="Times New Roman" w:cstheme="minorHAnsi"/>
          <w:lang w:eastAsia="en-GB"/>
        </w:rPr>
        <w:t xml:space="preserve"> costs and </w:t>
      </w:r>
      <w:r w:rsidR="000231D3" w:rsidRPr="00D80C5B">
        <w:rPr>
          <w:rFonts w:eastAsia="Times New Roman" w:cstheme="minorHAnsi"/>
          <w:lang w:eastAsia="en-GB"/>
        </w:rPr>
        <w:t xml:space="preserve">house </w:t>
      </w:r>
      <w:r w:rsidR="008B032B" w:rsidRPr="00D80C5B">
        <w:rPr>
          <w:rFonts w:eastAsia="Times New Roman" w:cstheme="minorHAnsi"/>
          <w:lang w:eastAsia="en-GB"/>
        </w:rPr>
        <w:t xml:space="preserve">prices. The </w:t>
      </w:r>
      <w:r w:rsidR="00182704" w:rsidRPr="00D80C5B">
        <w:rPr>
          <w:rFonts w:eastAsia="Times New Roman" w:cstheme="minorHAnsi"/>
          <w:lang w:eastAsia="en-GB"/>
        </w:rPr>
        <w:t xml:space="preserve">number </w:t>
      </w:r>
      <w:r w:rsidR="00022FCA" w:rsidRPr="00D80C5B">
        <w:rPr>
          <w:rFonts w:eastAsia="Times New Roman" w:cstheme="minorHAnsi"/>
          <w:lang w:eastAsia="en-GB"/>
        </w:rPr>
        <w:t xml:space="preserve">of Member States </w:t>
      </w:r>
      <w:r w:rsidR="00182704" w:rsidRPr="00D80C5B">
        <w:rPr>
          <w:rFonts w:eastAsia="Times New Roman" w:cstheme="minorHAnsi"/>
          <w:lang w:eastAsia="en-GB"/>
        </w:rPr>
        <w:t xml:space="preserve">with unit labour cost growth above </w:t>
      </w:r>
      <w:r w:rsidR="00D31545" w:rsidRPr="00D80C5B">
        <w:rPr>
          <w:rFonts w:eastAsia="Times New Roman" w:cstheme="minorHAnsi"/>
          <w:lang w:eastAsia="en-GB"/>
        </w:rPr>
        <w:t xml:space="preserve">the </w:t>
      </w:r>
      <w:r w:rsidR="00182704" w:rsidRPr="00D80C5B">
        <w:rPr>
          <w:rFonts w:eastAsia="Times New Roman" w:cstheme="minorHAnsi"/>
          <w:lang w:eastAsia="en-GB"/>
        </w:rPr>
        <w:t xml:space="preserve">threshold more than doubled compared with previous </w:t>
      </w:r>
      <w:r w:rsidR="00443D03" w:rsidRPr="00D80C5B">
        <w:rPr>
          <w:rFonts w:eastAsia="Times New Roman" w:cstheme="minorHAnsi"/>
          <w:lang w:eastAsia="en-GB"/>
        </w:rPr>
        <w:t>scoreboard vintages</w:t>
      </w:r>
      <w:r w:rsidR="008B032B" w:rsidRPr="00D80C5B">
        <w:rPr>
          <w:rFonts w:eastAsia="Times New Roman" w:cstheme="minorHAnsi"/>
          <w:lang w:eastAsia="en-GB"/>
        </w:rPr>
        <w:t xml:space="preserve">, and </w:t>
      </w:r>
      <w:r w:rsidR="00FD0CCD" w:rsidRPr="00D80C5B">
        <w:rPr>
          <w:rFonts w:eastAsia="Times New Roman" w:cstheme="minorHAnsi"/>
          <w:lang w:eastAsia="en-GB"/>
        </w:rPr>
        <w:t xml:space="preserve">more </w:t>
      </w:r>
      <w:r w:rsidR="00182704" w:rsidRPr="00D80C5B">
        <w:rPr>
          <w:rFonts w:eastAsia="Times New Roman" w:cstheme="minorHAnsi"/>
          <w:lang w:eastAsia="en-GB"/>
        </w:rPr>
        <w:t>countries surpass the thresholds for the real effective exchange rate</w:t>
      </w:r>
      <w:r w:rsidR="0039781B" w:rsidRPr="00D80C5B">
        <w:rPr>
          <w:rFonts w:eastAsia="Times New Roman" w:cstheme="minorHAnsi"/>
          <w:lang w:eastAsia="en-GB"/>
        </w:rPr>
        <w:t xml:space="preserve"> </w:t>
      </w:r>
      <w:r w:rsidR="000231D3" w:rsidRPr="00D80C5B">
        <w:rPr>
          <w:rFonts w:eastAsia="Times New Roman" w:cstheme="minorHAnsi"/>
          <w:lang w:eastAsia="en-GB"/>
        </w:rPr>
        <w:t xml:space="preserve">due to </w:t>
      </w:r>
      <w:r w:rsidR="00AE5888" w:rsidRPr="00D80C5B">
        <w:rPr>
          <w:rFonts w:eastAsia="Times New Roman" w:cstheme="minorHAnsi"/>
          <w:lang w:eastAsia="en-GB"/>
        </w:rPr>
        <w:t>appreciation</w:t>
      </w:r>
      <w:r w:rsidR="00474D17" w:rsidRPr="00D80C5B">
        <w:rPr>
          <w:rFonts w:eastAsia="Times New Roman" w:cstheme="minorHAnsi"/>
          <w:lang w:eastAsia="en-GB"/>
        </w:rPr>
        <w:t>s</w:t>
      </w:r>
      <w:r w:rsidR="00182704" w:rsidRPr="00D80C5B">
        <w:rPr>
          <w:rFonts w:eastAsia="Times New Roman" w:cstheme="minorHAnsi"/>
          <w:lang w:eastAsia="en-GB"/>
        </w:rPr>
        <w:t xml:space="preserve">. </w:t>
      </w:r>
      <w:r w:rsidR="001D0171" w:rsidRPr="00D80C5B">
        <w:rPr>
          <w:rFonts w:eastAsia="Times New Roman" w:cstheme="minorHAnsi"/>
          <w:lang w:eastAsia="en-GB"/>
        </w:rPr>
        <w:t>H</w:t>
      </w:r>
      <w:r w:rsidR="005F6E2F" w:rsidRPr="00D80C5B">
        <w:rPr>
          <w:rFonts w:eastAsia="Times New Roman" w:cstheme="minorHAnsi"/>
          <w:lang w:eastAsia="en-GB"/>
        </w:rPr>
        <w:t xml:space="preserve">ouse price dynamism of recent years is reflected in the marginal increase of the number of </w:t>
      </w:r>
      <w:r w:rsidR="0029295D" w:rsidRPr="00D80C5B">
        <w:rPr>
          <w:rFonts w:eastAsia="Times New Roman" w:cstheme="minorHAnsi"/>
          <w:lang w:eastAsia="en-GB"/>
        </w:rPr>
        <w:t xml:space="preserve">countries </w:t>
      </w:r>
      <w:r w:rsidR="00781A99" w:rsidRPr="00D80C5B">
        <w:rPr>
          <w:rFonts w:eastAsia="Times New Roman" w:cstheme="minorHAnsi"/>
          <w:lang w:eastAsia="en-GB"/>
        </w:rPr>
        <w:t xml:space="preserve">exceeding </w:t>
      </w:r>
      <w:r w:rsidR="005F6E2F" w:rsidRPr="00D80C5B">
        <w:rPr>
          <w:rFonts w:eastAsia="Times New Roman" w:cstheme="minorHAnsi"/>
          <w:lang w:eastAsia="en-GB"/>
        </w:rPr>
        <w:t xml:space="preserve">the relevant threshold recently. </w:t>
      </w:r>
      <w:r w:rsidR="00E817D7" w:rsidRPr="00D80C5B">
        <w:rPr>
          <w:rFonts w:eastAsia="Times New Roman" w:cstheme="minorHAnsi"/>
          <w:lang w:eastAsia="en-GB"/>
        </w:rPr>
        <w:t xml:space="preserve">The cases of current account balances beyond the thresholds </w:t>
      </w:r>
      <w:r w:rsidR="005F6E2F" w:rsidRPr="00D80C5B">
        <w:rPr>
          <w:rFonts w:eastAsia="Times New Roman" w:cstheme="minorHAnsi"/>
          <w:lang w:eastAsia="en-GB"/>
        </w:rPr>
        <w:t xml:space="preserve">continue to mostly </w:t>
      </w:r>
      <w:r w:rsidR="00E817D7" w:rsidRPr="00D80C5B">
        <w:rPr>
          <w:rFonts w:eastAsia="Times New Roman" w:cstheme="minorHAnsi"/>
          <w:lang w:eastAsia="en-GB"/>
        </w:rPr>
        <w:t xml:space="preserve">reflect surpluses. </w:t>
      </w:r>
      <w:r w:rsidR="00480233" w:rsidRPr="00D80C5B">
        <w:rPr>
          <w:rFonts w:eastAsia="Times New Roman" w:cstheme="minorHAnsi"/>
          <w:lang w:eastAsia="en-GB"/>
        </w:rPr>
        <w:t xml:space="preserve">The </w:t>
      </w:r>
      <w:r w:rsidR="00AA6919" w:rsidRPr="00D80C5B">
        <w:rPr>
          <w:rFonts w:eastAsia="Times New Roman" w:cstheme="minorHAnsi"/>
          <w:lang w:eastAsia="en-GB"/>
        </w:rPr>
        <w:t xml:space="preserve">continued </w:t>
      </w:r>
      <w:r w:rsidR="00DE34C4" w:rsidRPr="00D80C5B">
        <w:rPr>
          <w:rFonts w:eastAsia="Times New Roman" w:cstheme="minorHAnsi"/>
          <w:lang w:eastAsia="en-GB"/>
        </w:rPr>
        <w:t xml:space="preserve">job-rich </w:t>
      </w:r>
      <w:r w:rsidR="00AA6919" w:rsidRPr="00D80C5B">
        <w:rPr>
          <w:rFonts w:eastAsia="Times New Roman" w:cstheme="minorHAnsi"/>
          <w:lang w:eastAsia="en-GB"/>
        </w:rPr>
        <w:t>ec</w:t>
      </w:r>
      <w:r w:rsidR="00DE34C4" w:rsidRPr="00D80C5B">
        <w:rPr>
          <w:rFonts w:eastAsia="Times New Roman" w:cstheme="minorHAnsi"/>
          <w:lang w:eastAsia="en-GB"/>
        </w:rPr>
        <w:t xml:space="preserve">onomic expansion </w:t>
      </w:r>
      <w:r w:rsidR="00480233" w:rsidRPr="00D80C5B">
        <w:rPr>
          <w:rFonts w:eastAsia="Times New Roman" w:cstheme="minorHAnsi"/>
          <w:lang w:eastAsia="en-GB"/>
        </w:rPr>
        <w:t xml:space="preserve">is </w:t>
      </w:r>
      <w:r w:rsidR="00C33313" w:rsidRPr="00D80C5B">
        <w:rPr>
          <w:rFonts w:eastAsia="Times New Roman" w:cstheme="minorHAnsi"/>
          <w:lang w:eastAsia="en-GB"/>
        </w:rPr>
        <w:t xml:space="preserve">reflected in </w:t>
      </w:r>
      <w:r w:rsidR="00AA6919" w:rsidRPr="00D80C5B">
        <w:rPr>
          <w:rFonts w:eastAsia="Times New Roman" w:cstheme="minorHAnsi"/>
          <w:lang w:eastAsia="en-GB"/>
        </w:rPr>
        <w:t xml:space="preserve">fewer </w:t>
      </w:r>
      <w:r w:rsidR="00513BC0" w:rsidRPr="00D80C5B">
        <w:rPr>
          <w:rFonts w:eastAsia="Times New Roman" w:cstheme="minorHAnsi"/>
          <w:lang w:eastAsia="en-GB"/>
        </w:rPr>
        <w:t xml:space="preserve">EU countries with </w:t>
      </w:r>
      <w:r w:rsidR="00E817D7" w:rsidRPr="00D80C5B">
        <w:rPr>
          <w:rFonts w:eastAsia="Times New Roman" w:cstheme="minorHAnsi"/>
          <w:lang w:eastAsia="en-GB"/>
        </w:rPr>
        <w:t xml:space="preserve">high </w:t>
      </w:r>
      <w:r w:rsidR="00513BC0" w:rsidRPr="00D80C5B">
        <w:rPr>
          <w:rFonts w:eastAsia="Times New Roman" w:cstheme="minorHAnsi"/>
          <w:lang w:eastAsia="en-GB"/>
        </w:rPr>
        <w:t xml:space="preserve">unemployment and </w:t>
      </w:r>
      <w:r w:rsidR="00C33313" w:rsidRPr="00D80C5B">
        <w:rPr>
          <w:rFonts w:eastAsia="Times New Roman" w:cstheme="minorHAnsi"/>
          <w:lang w:eastAsia="en-GB"/>
        </w:rPr>
        <w:t xml:space="preserve">in </w:t>
      </w:r>
      <w:r w:rsidR="002D351E">
        <w:rPr>
          <w:rFonts w:eastAsia="Times New Roman" w:cstheme="minorHAnsi"/>
          <w:lang w:eastAsia="en-GB"/>
        </w:rPr>
        <w:t>fewer</w:t>
      </w:r>
      <w:r w:rsidR="00FD0CCD" w:rsidRPr="00D80C5B">
        <w:rPr>
          <w:rFonts w:eastAsia="Times New Roman" w:cstheme="minorHAnsi"/>
          <w:lang w:eastAsia="en-GB"/>
        </w:rPr>
        <w:t xml:space="preserve"> </w:t>
      </w:r>
      <w:r w:rsidR="00474D17" w:rsidRPr="00D80C5B">
        <w:rPr>
          <w:rFonts w:eastAsia="Times New Roman" w:cstheme="minorHAnsi"/>
          <w:lang w:eastAsia="en-GB"/>
        </w:rPr>
        <w:t xml:space="preserve">concerns with </w:t>
      </w:r>
      <w:r w:rsidR="00DE34C4" w:rsidRPr="00D80C5B">
        <w:rPr>
          <w:rFonts w:eastAsia="Times New Roman" w:cstheme="minorHAnsi"/>
          <w:lang w:eastAsia="en-GB"/>
        </w:rPr>
        <w:t>youth and long-term unemployment</w:t>
      </w:r>
      <w:r w:rsidR="00474D17" w:rsidRPr="00D80C5B">
        <w:rPr>
          <w:rFonts w:eastAsia="Times New Roman" w:cstheme="minorHAnsi"/>
          <w:lang w:eastAsia="en-GB"/>
        </w:rPr>
        <w:t xml:space="preserve"> and activity rates</w:t>
      </w:r>
      <w:r w:rsidR="00DE34C4" w:rsidRPr="00D80C5B">
        <w:rPr>
          <w:rFonts w:eastAsia="Times New Roman" w:cstheme="minorHAnsi"/>
          <w:lang w:eastAsia="en-GB"/>
        </w:rPr>
        <w:t>.</w:t>
      </w:r>
    </w:p>
    <w:p w:rsidR="003E2E40" w:rsidRPr="00D80C5B" w:rsidRDefault="003E2E40" w:rsidP="008C4249">
      <w:pPr>
        <w:spacing w:after="120"/>
        <w:rPr>
          <w:rFonts w:eastAsia="MS Mincho" w:cstheme="minorHAnsi"/>
          <w:b/>
          <w:bCs/>
          <w:sz w:val="24"/>
          <w:szCs w:val="20"/>
          <w:lang w:eastAsia="ja-JP"/>
        </w:rPr>
      </w:pPr>
      <w:bookmarkStart w:id="3" w:name="_Ref525655404"/>
    </w:p>
    <w:p w:rsidR="00513BC0" w:rsidRPr="00D80C5B" w:rsidRDefault="00513BC0" w:rsidP="00850EA8">
      <w:pPr>
        <w:keepNext/>
        <w:ind w:left="0"/>
        <w:jc w:val="center"/>
        <w:rPr>
          <w:rFonts w:eastAsia="MS Mincho" w:cstheme="minorHAnsi"/>
          <w:b/>
          <w:bCs/>
          <w:sz w:val="24"/>
          <w:szCs w:val="20"/>
          <w:lang w:eastAsia="ja-JP"/>
        </w:rPr>
      </w:pPr>
      <w:r w:rsidRPr="00D80C5B">
        <w:rPr>
          <w:rFonts w:eastAsia="MS Mincho" w:cstheme="minorHAnsi"/>
          <w:b/>
          <w:bCs/>
          <w:sz w:val="24"/>
          <w:szCs w:val="20"/>
          <w:lang w:eastAsia="ja-JP"/>
        </w:rPr>
        <w:t xml:space="preserve">Graph </w:t>
      </w:r>
      <w:bookmarkEnd w:id="3"/>
      <w:r w:rsidR="003425D8">
        <w:rPr>
          <w:rFonts w:eastAsia="MS Mincho" w:cstheme="minorHAnsi"/>
          <w:b/>
          <w:bCs/>
          <w:sz w:val="24"/>
          <w:szCs w:val="20"/>
          <w:lang w:eastAsia="ja-JP"/>
        </w:rPr>
        <w:t>7</w:t>
      </w:r>
      <w:r w:rsidRPr="00D80C5B">
        <w:rPr>
          <w:rFonts w:eastAsia="MS Mincho" w:cstheme="minorHAnsi"/>
          <w:b/>
          <w:bCs/>
          <w:sz w:val="24"/>
          <w:szCs w:val="20"/>
          <w:lang w:eastAsia="ja-JP"/>
        </w:rPr>
        <w:t>: Number of countries recording scoreboard variables beyond threshold</w:t>
      </w:r>
    </w:p>
    <w:p w:rsidR="00E34DB7" w:rsidRPr="00D80C5B" w:rsidRDefault="00E064D3" w:rsidP="00850EA8">
      <w:pPr>
        <w:keepNext/>
        <w:ind w:left="0"/>
        <w:jc w:val="center"/>
        <w:rPr>
          <w:rFonts w:eastAsia="MS Mincho" w:cstheme="minorHAnsi"/>
          <w:b/>
          <w:bCs/>
          <w:sz w:val="24"/>
          <w:szCs w:val="20"/>
          <w:lang w:eastAsia="ja-JP"/>
        </w:rPr>
      </w:pPr>
      <w:bookmarkStart w:id="4" w:name="scoreboard"/>
      <w:r w:rsidRPr="00D80C5B">
        <w:rPr>
          <w:rFonts w:eastAsia="MS Mincho" w:cstheme="minorHAnsi"/>
          <w:b/>
          <w:bCs/>
          <w:noProof/>
          <w:sz w:val="24"/>
          <w:szCs w:val="20"/>
          <w:lang w:eastAsia="en-GB"/>
        </w:rPr>
        <w:drawing>
          <wp:inline distT="0" distB="0" distL="0" distR="0" wp14:anchorId="1E8A6FA7" wp14:editId="3FEA2532">
            <wp:extent cx="5760000" cy="284400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r w:rsidRPr="00D80C5B" w:rsidDel="00E064D3">
        <w:rPr>
          <w:rFonts w:eastAsia="MS Mincho" w:cstheme="minorHAnsi"/>
          <w:b/>
          <w:bCs/>
          <w:noProof/>
          <w:sz w:val="24"/>
          <w:szCs w:val="20"/>
          <w:lang w:val="en-US" w:eastAsia="fr-BE"/>
        </w:rPr>
        <w:t xml:space="preserve"> </w:t>
      </w:r>
      <w:bookmarkEnd w:id="4"/>
    </w:p>
    <w:p w:rsidR="00513BC0" w:rsidRPr="00D80C5B" w:rsidRDefault="00513BC0" w:rsidP="00850EA8">
      <w:pPr>
        <w:ind w:left="0"/>
        <w:jc w:val="both"/>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Eurostat.</w:t>
      </w:r>
    </w:p>
    <w:p w:rsidR="00513BC0" w:rsidRPr="00D80C5B" w:rsidRDefault="00513BC0" w:rsidP="00850EA8">
      <w:pPr>
        <w:ind w:left="0"/>
        <w:jc w:val="both"/>
        <w:rPr>
          <w:rFonts w:eastAsia="Times New Roman" w:cstheme="minorHAnsi"/>
          <w:sz w:val="20"/>
          <w:szCs w:val="20"/>
          <w:lang w:eastAsia="en-GB"/>
        </w:rPr>
      </w:pPr>
      <w:r w:rsidRPr="00D80C5B">
        <w:rPr>
          <w:rFonts w:eastAsia="Times New Roman" w:cstheme="minorHAnsi"/>
          <w:i/>
          <w:sz w:val="20"/>
          <w:szCs w:val="20"/>
          <w:lang w:eastAsia="en-GB"/>
        </w:rPr>
        <w:t xml:space="preserve">Note: </w:t>
      </w:r>
      <w:r w:rsidRPr="00D80C5B">
        <w:rPr>
          <w:rFonts w:eastAsia="Times New Roman" w:cstheme="minorHAnsi"/>
          <w:sz w:val="20"/>
          <w:szCs w:val="20"/>
          <w:lang w:eastAsia="en-GB"/>
        </w:rPr>
        <w:t xml:space="preserve">the number of countries recording scoreboard variables beyond threshold is based on the vintage of the scoreboard published with the respective annual AMR. Possible ex-post data revisions may imply a difference in the number of </w:t>
      </w:r>
      <w:r w:rsidR="009D29FB" w:rsidRPr="00D80C5B">
        <w:rPr>
          <w:rFonts w:eastAsia="Times New Roman" w:cstheme="minorHAnsi"/>
          <w:sz w:val="20"/>
          <w:szCs w:val="20"/>
          <w:lang w:eastAsia="en-GB"/>
        </w:rPr>
        <w:t xml:space="preserve">values </w:t>
      </w:r>
      <w:r w:rsidRPr="00D80C5B">
        <w:rPr>
          <w:rFonts w:eastAsia="Times New Roman" w:cstheme="minorHAnsi"/>
          <w:sz w:val="20"/>
          <w:szCs w:val="20"/>
          <w:lang w:eastAsia="en-GB"/>
        </w:rPr>
        <w:t>beyond threshold computed using the latest figures for the scoreboard variables compared with th</w:t>
      </w:r>
      <w:r w:rsidR="00BE2937" w:rsidRPr="00D80C5B">
        <w:rPr>
          <w:rFonts w:eastAsia="Times New Roman" w:cstheme="minorHAnsi"/>
          <w:sz w:val="20"/>
          <w:szCs w:val="20"/>
          <w:lang w:eastAsia="en-GB"/>
        </w:rPr>
        <w:t>e number</w:t>
      </w:r>
      <w:r w:rsidRPr="00D80C5B">
        <w:rPr>
          <w:rFonts w:eastAsia="Times New Roman" w:cstheme="minorHAnsi"/>
          <w:sz w:val="20"/>
          <w:szCs w:val="20"/>
          <w:lang w:eastAsia="en-GB"/>
        </w:rPr>
        <w:t xml:space="preserve"> reported in the graph above.</w:t>
      </w:r>
    </w:p>
    <w:p w:rsidR="00E925EA" w:rsidRPr="00D80C5B" w:rsidRDefault="00E925EA" w:rsidP="00850EA8">
      <w:pPr>
        <w:rPr>
          <w:rFonts w:eastAsia="Times New Roman" w:cstheme="minorHAnsi"/>
          <w:szCs w:val="24"/>
          <w:lang w:eastAsia="en-GB"/>
        </w:rPr>
      </w:pPr>
    </w:p>
    <w:p w:rsidR="00513BC0" w:rsidRPr="00D80C5B" w:rsidRDefault="0039781B" w:rsidP="003E34B7">
      <w:pPr>
        <w:spacing w:after="120"/>
        <w:ind w:left="0"/>
        <w:jc w:val="both"/>
        <w:rPr>
          <w:rFonts w:eastAsia="Times New Roman" w:cstheme="minorHAnsi"/>
          <w:lang w:eastAsia="en-GB"/>
        </w:rPr>
      </w:pPr>
      <w:r w:rsidRPr="00D80C5B">
        <w:rPr>
          <w:rFonts w:eastAsia="Times New Roman" w:cstheme="minorHAnsi"/>
          <w:b/>
          <w:lang w:eastAsia="en-GB"/>
        </w:rPr>
        <w:t>Current account positions</w:t>
      </w:r>
      <w:r w:rsidR="008302B9" w:rsidRPr="00D80C5B">
        <w:rPr>
          <w:rFonts w:eastAsia="Times New Roman" w:cstheme="minorHAnsi"/>
          <w:b/>
          <w:lang w:eastAsia="en-GB"/>
        </w:rPr>
        <w:t xml:space="preserve"> in most EU Member States</w:t>
      </w:r>
      <w:r w:rsidRPr="00D80C5B">
        <w:rPr>
          <w:rFonts w:eastAsia="Times New Roman" w:cstheme="minorHAnsi"/>
          <w:b/>
          <w:lang w:eastAsia="en-GB"/>
        </w:rPr>
        <w:t xml:space="preserve"> slightly </w:t>
      </w:r>
      <w:r w:rsidR="00474D7F" w:rsidRPr="00D80C5B">
        <w:rPr>
          <w:rFonts w:eastAsia="Times New Roman" w:cstheme="minorHAnsi"/>
          <w:b/>
          <w:lang w:eastAsia="en-GB"/>
        </w:rPr>
        <w:t xml:space="preserve">moved downwards </w:t>
      </w:r>
      <w:r w:rsidRPr="00D80C5B">
        <w:rPr>
          <w:rFonts w:eastAsia="Times New Roman" w:cstheme="minorHAnsi"/>
          <w:b/>
          <w:lang w:eastAsia="en-GB"/>
        </w:rPr>
        <w:t>in 2018</w:t>
      </w:r>
      <w:r w:rsidR="00A91CB2" w:rsidRPr="00D80C5B">
        <w:rPr>
          <w:rFonts w:eastAsia="Times New Roman" w:cstheme="minorHAnsi"/>
          <w:b/>
          <w:lang w:eastAsia="en-GB"/>
        </w:rPr>
        <w:t>.</w:t>
      </w:r>
      <w:r w:rsidR="00513BC0" w:rsidRPr="00D80C5B">
        <w:rPr>
          <w:rFonts w:eastAsia="Times New Roman" w:cstheme="minorHAnsi"/>
          <w:lang w:eastAsia="en-GB"/>
        </w:rPr>
        <w:t xml:space="preserve"> </w:t>
      </w:r>
      <w:r w:rsidR="00AE53E4" w:rsidRPr="00D80C5B">
        <w:rPr>
          <w:rFonts w:eastAsia="Times New Roman" w:cstheme="minorHAnsi"/>
          <w:lang w:eastAsia="en-GB"/>
        </w:rPr>
        <w:t>S</w:t>
      </w:r>
      <w:r w:rsidR="00093CCA" w:rsidRPr="00D80C5B">
        <w:rPr>
          <w:rFonts w:eastAsia="Times New Roman" w:cstheme="minorHAnsi"/>
          <w:lang w:eastAsia="en-GB"/>
        </w:rPr>
        <w:t>lowing trade</w:t>
      </w:r>
      <w:r w:rsidR="00AE53E4" w:rsidRPr="00D80C5B">
        <w:rPr>
          <w:rFonts w:eastAsia="Times New Roman" w:cstheme="minorHAnsi"/>
          <w:lang w:eastAsia="en-GB"/>
        </w:rPr>
        <w:t xml:space="preserve">, </w:t>
      </w:r>
      <w:r w:rsidR="0096131C" w:rsidRPr="00D80C5B">
        <w:rPr>
          <w:rFonts w:eastAsia="Times New Roman" w:cstheme="minorHAnsi"/>
          <w:lang w:eastAsia="en-GB"/>
        </w:rPr>
        <w:t>resilient domestic demand</w:t>
      </w:r>
      <w:r w:rsidR="00F33EFA" w:rsidRPr="00D80C5B">
        <w:rPr>
          <w:rFonts w:eastAsia="Times New Roman" w:cstheme="minorHAnsi"/>
          <w:lang w:eastAsia="en-GB"/>
        </w:rPr>
        <w:t>,</w:t>
      </w:r>
      <w:r w:rsidR="00AE53E4" w:rsidRPr="00D80C5B">
        <w:rPr>
          <w:rFonts w:eastAsia="Times New Roman" w:cstheme="minorHAnsi"/>
          <w:lang w:eastAsia="en-GB"/>
        </w:rPr>
        <w:t xml:space="preserve"> and rising oil prices </w:t>
      </w:r>
      <w:r w:rsidR="00EE675B" w:rsidRPr="00D80C5B">
        <w:rPr>
          <w:rFonts w:eastAsia="Times New Roman" w:cstheme="minorHAnsi"/>
          <w:lang w:eastAsia="en-GB"/>
        </w:rPr>
        <w:t xml:space="preserve">detracted </w:t>
      </w:r>
      <w:r w:rsidR="0096131C" w:rsidRPr="00D80C5B">
        <w:rPr>
          <w:rFonts w:eastAsia="Times New Roman" w:cstheme="minorHAnsi"/>
          <w:lang w:eastAsia="en-GB"/>
        </w:rPr>
        <w:t>from th</w:t>
      </w:r>
      <w:r w:rsidR="00EE675B" w:rsidRPr="00D80C5B">
        <w:rPr>
          <w:rFonts w:eastAsia="Times New Roman" w:cstheme="minorHAnsi"/>
          <w:lang w:eastAsia="en-GB"/>
        </w:rPr>
        <w:t xml:space="preserve">e </w:t>
      </w:r>
      <w:r w:rsidR="0096131C" w:rsidRPr="00D80C5B">
        <w:rPr>
          <w:rFonts w:eastAsia="Times New Roman" w:cstheme="minorHAnsi"/>
          <w:lang w:eastAsia="en-GB"/>
        </w:rPr>
        <w:t>current accoun</w:t>
      </w:r>
      <w:r w:rsidRPr="00D80C5B">
        <w:rPr>
          <w:rFonts w:eastAsia="Times New Roman" w:cstheme="minorHAnsi"/>
          <w:lang w:eastAsia="en-GB"/>
        </w:rPr>
        <w:t xml:space="preserve">t balances of a majority of Member States. </w:t>
      </w:r>
      <w:r w:rsidR="00684D26" w:rsidRPr="00D80C5B">
        <w:rPr>
          <w:rFonts w:eastAsia="Times New Roman" w:cstheme="minorHAnsi"/>
          <w:lang w:eastAsia="en-GB"/>
        </w:rPr>
        <w:t>I</w:t>
      </w:r>
      <w:r w:rsidR="00E23B43" w:rsidRPr="00D80C5B">
        <w:rPr>
          <w:rFonts w:eastAsia="Times New Roman" w:cstheme="minorHAnsi"/>
          <w:lang w:eastAsia="en-GB"/>
        </w:rPr>
        <w:t xml:space="preserve">n </w:t>
      </w:r>
      <w:r w:rsidR="000C7146" w:rsidRPr="00D80C5B">
        <w:rPr>
          <w:rFonts w:eastAsia="Times New Roman" w:cstheme="minorHAnsi"/>
          <w:lang w:eastAsia="en-GB"/>
        </w:rPr>
        <w:t xml:space="preserve">most </w:t>
      </w:r>
      <w:r w:rsidR="00E23B43" w:rsidRPr="00D80C5B">
        <w:rPr>
          <w:rFonts w:eastAsia="Times New Roman" w:cstheme="minorHAnsi"/>
          <w:lang w:eastAsia="en-GB"/>
        </w:rPr>
        <w:t>case</w:t>
      </w:r>
      <w:r w:rsidR="00684D26" w:rsidRPr="00D80C5B">
        <w:rPr>
          <w:rFonts w:eastAsia="Times New Roman" w:cstheme="minorHAnsi"/>
          <w:lang w:eastAsia="en-GB"/>
        </w:rPr>
        <w:t>s</w:t>
      </w:r>
      <w:r w:rsidR="00E23B43" w:rsidRPr="00D80C5B">
        <w:rPr>
          <w:rFonts w:eastAsia="Times New Roman" w:cstheme="minorHAnsi"/>
          <w:lang w:eastAsia="en-GB"/>
        </w:rPr>
        <w:t xml:space="preserve">, </w:t>
      </w:r>
      <w:r w:rsidR="00AE53E4" w:rsidRPr="00D80C5B">
        <w:rPr>
          <w:rFonts w:eastAsia="Times New Roman" w:cstheme="minorHAnsi"/>
          <w:lang w:eastAsia="en-GB"/>
        </w:rPr>
        <w:t>current account</w:t>
      </w:r>
      <w:r w:rsidR="008302B9" w:rsidRPr="00D80C5B">
        <w:rPr>
          <w:rFonts w:eastAsia="Times New Roman" w:cstheme="minorHAnsi"/>
          <w:lang w:eastAsia="en-GB"/>
        </w:rPr>
        <w:t xml:space="preserve"> balances</w:t>
      </w:r>
      <w:r w:rsidR="00AE53E4" w:rsidRPr="00D80C5B">
        <w:rPr>
          <w:rFonts w:eastAsia="Times New Roman" w:cstheme="minorHAnsi"/>
          <w:lang w:eastAsia="en-GB"/>
        </w:rPr>
        <w:t xml:space="preserve"> </w:t>
      </w:r>
      <w:r w:rsidR="00E23B43" w:rsidRPr="00D80C5B">
        <w:rPr>
          <w:rFonts w:eastAsia="Times New Roman" w:cstheme="minorHAnsi"/>
          <w:lang w:eastAsia="en-GB"/>
        </w:rPr>
        <w:t xml:space="preserve">remain above </w:t>
      </w:r>
      <w:r w:rsidR="00AA7A79" w:rsidRPr="00D80C5B">
        <w:rPr>
          <w:rFonts w:eastAsia="Times New Roman" w:cstheme="minorHAnsi"/>
          <w:lang w:eastAsia="en-GB"/>
        </w:rPr>
        <w:t xml:space="preserve">the levels that could be </w:t>
      </w:r>
      <w:r w:rsidR="00B92BAB" w:rsidRPr="00D80C5B">
        <w:rPr>
          <w:rFonts w:eastAsia="Times New Roman" w:cstheme="minorHAnsi"/>
          <w:lang w:eastAsia="en-GB"/>
        </w:rPr>
        <w:t>expected o</w:t>
      </w:r>
      <w:r w:rsidR="00E177DE" w:rsidRPr="00D80C5B">
        <w:rPr>
          <w:rFonts w:eastAsia="Times New Roman" w:cstheme="minorHAnsi"/>
          <w:lang w:eastAsia="en-GB"/>
        </w:rPr>
        <w:t xml:space="preserve">n the basis of </w:t>
      </w:r>
      <w:r w:rsidR="00072CFE" w:rsidRPr="00D80C5B">
        <w:rPr>
          <w:rFonts w:eastAsia="Times New Roman" w:cstheme="minorHAnsi"/>
          <w:lang w:eastAsia="en-GB"/>
        </w:rPr>
        <w:t>country-specific</w:t>
      </w:r>
      <w:r w:rsidR="000C7146" w:rsidRPr="00D80C5B">
        <w:rPr>
          <w:rFonts w:eastAsia="Times New Roman" w:cstheme="minorHAnsi"/>
          <w:lang w:eastAsia="en-GB"/>
        </w:rPr>
        <w:t xml:space="preserve"> economic</w:t>
      </w:r>
      <w:r w:rsidR="00072CFE" w:rsidRPr="00D80C5B">
        <w:rPr>
          <w:rFonts w:eastAsia="Times New Roman" w:cstheme="minorHAnsi"/>
          <w:lang w:eastAsia="en-GB"/>
        </w:rPr>
        <w:t xml:space="preserve"> fundamentals ("</w:t>
      </w:r>
      <w:r w:rsidR="00A4724A" w:rsidRPr="00D80C5B">
        <w:rPr>
          <w:rFonts w:eastAsia="Times New Roman" w:cstheme="minorHAnsi"/>
          <w:lang w:eastAsia="en-GB"/>
        </w:rPr>
        <w:t>c</w:t>
      </w:r>
      <w:r w:rsidR="00E177DE" w:rsidRPr="00D80C5B">
        <w:rPr>
          <w:rFonts w:eastAsia="Times New Roman" w:cstheme="minorHAnsi"/>
          <w:lang w:eastAsia="en-GB"/>
        </w:rPr>
        <w:t>urrent account norms</w:t>
      </w:r>
      <w:r w:rsidR="00072CFE" w:rsidRPr="00D80C5B">
        <w:rPr>
          <w:rFonts w:eastAsia="Times New Roman" w:cstheme="minorHAnsi"/>
          <w:lang w:eastAsia="en-GB"/>
        </w:rPr>
        <w:t>"</w:t>
      </w:r>
      <w:r w:rsidR="00E177DE" w:rsidRPr="00D80C5B">
        <w:rPr>
          <w:rFonts w:eastAsia="Times New Roman" w:cstheme="minorHAnsi"/>
          <w:lang w:eastAsia="en-GB"/>
        </w:rPr>
        <w:t>)</w:t>
      </w:r>
      <w:r w:rsidR="00AE53E4" w:rsidRPr="00D80C5B">
        <w:rPr>
          <w:rFonts w:eastAsia="Times New Roman" w:cstheme="minorHAnsi"/>
          <w:lang w:eastAsia="en-GB"/>
        </w:rPr>
        <w:t xml:space="preserve"> and </w:t>
      </w:r>
      <w:r w:rsidR="000C7146" w:rsidRPr="00D80C5B">
        <w:rPr>
          <w:rFonts w:eastAsia="Times New Roman" w:cstheme="minorHAnsi"/>
          <w:lang w:eastAsia="en-GB"/>
        </w:rPr>
        <w:t xml:space="preserve">above </w:t>
      </w:r>
      <w:r w:rsidR="00AE53E4" w:rsidRPr="00D80C5B">
        <w:rPr>
          <w:rFonts w:eastAsia="Times New Roman" w:cstheme="minorHAnsi"/>
          <w:lang w:eastAsia="en-GB"/>
        </w:rPr>
        <w:t xml:space="preserve">what </w:t>
      </w:r>
      <w:r w:rsidR="00190322" w:rsidRPr="00D80C5B">
        <w:rPr>
          <w:rFonts w:eastAsia="Times New Roman" w:cstheme="minorHAnsi"/>
          <w:lang w:eastAsia="en-GB"/>
        </w:rPr>
        <w:t xml:space="preserve">is </w:t>
      </w:r>
      <w:r w:rsidR="00AE53E4" w:rsidRPr="00D80C5B">
        <w:rPr>
          <w:rFonts w:eastAsia="Times New Roman" w:cstheme="minorHAnsi"/>
          <w:lang w:eastAsia="en-GB"/>
        </w:rPr>
        <w:t>needed to correct large foreign liability positions</w:t>
      </w:r>
      <w:r w:rsidR="004952D0" w:rsidRPr="00D80C5B">
        <w:rPr>
          <w:rFonts w:eastAsia="Times New Roman" w:cstheme="minorHAnsi"/>
          <w:lang w:eastAsia="en-GB"/>
        </w:rPr>
        <w:t xml:space="preserve"> </w:t>
      </w:r>
      <w:r w:rsidR="005E40D9" w:rsidRPr="00D80C5B">
        <w:rPr>
          <w:rFonts w:eastAsia="Times New Roman" w:cstheme="minorHAnsi"/>
          <w:lang w:eastAsia="en-GB"/>
        </w:rPr>
        <w:t xml:space="preserve">(Graph </w:t>
      </w:r>
      <w:r w:rsidR="003425D8">
        <w:rPr>
          <w:rFonts w:eastAsia="Times New Roman" w:cstheme="minorHAnsi"/>
          <w:lang w:eastAsia="en-GB"/>
        </w:rPr>
        <w:t>8</w:t>
      </w:r>
      <w:r w:rsidR="004952D0" w:rsidRPr="00D80C5B">
        <w:rPr>
          <w:rFonts w:eastAsia="Times New Roman" w:cstheme="minorHAnsi"/>
          <w:lang w:eastAsia="en-GB"/>
        </w:rPr>
        <w:t>)</w:t>
      </w:r>
      <w:r w:rsidR="00B92BAB" w:rsidRPr="00D80C5B">
        <w:rPr>
          <w:rFonts w:eastAsia="Times New Roman" w:cstheme="minorHAnsi"/>
          <w:lang w:eastAsia="en-GB"/>
        </w:rPr>
        <w:t>.</w:t>
      </w:r>
      <w:bookmarkStart w:id="5" w:name="_Ref20488444"/>
      <w:r w:rsidR="00B92BAB" w:rsidRPr="00D80C5B">
        <w:rPr>
          <w:rFonts w:eastAsia="Times New Roman" w:cstheme="minorHAnsi"/>
          <w:vertAlign w:val="superscript"/>
          <w:lang w:eastAsia="en-GB"/>
        </w:rPr>
        <w:footnoteReference w:id="22"/>
      </w:r>
      <w:bookmarkEnd w:id="5"/>
      <w:r w:rsidR="00B92BAB" w:rsidRPr="00D80C5B">
        <w:rPr>
          <w:rFonts w:eastAsia="Times New Roman" w:cstheme="minorHAnsi"/>
          <w:lang w:eastAsia="en-GB"/>
        </w:rPr>
        <w:t xml:space="preserve"> </w:t>
      </w:r>
      <w:r w:rsidR="00474D7F" w:rsidRPr="00D80C5B">
        <w:rPr>
          <w:rFonts w:eastAsia="Times New Roman" w:cstheme="minorHAnsi"/>
          <w:lang w:eastAsia="en-GB"/>
        </w:rPr>
        <w:t xml:space="preserve">While </w:t>
      </w:r>
      <w:r w:rsidR="00111899" w:rsidRPr="00D80C5B">
        <w:rPr>
          <w:rFonts w:cstheme="minorHAnsi"/>
        </w:rPr>
        <w:t xml:space="preserve">the </w:t>
      </w:r>
      <w:r w:rsidR="000C7146" w:rsidRPr="00D80C5B">
        <w:rPr>
          <w:rFonts w:cstheme="minorHAnsi"/>
        </w:rPr>
        <w:t>current account deteriorations that took place between 201</w:t>
      </w:r>
      <w:r w:rsidR="004814DF" w:rsidRPr="00D80C5B">
        <w:rPr>
          <w:rFonts w:cstheme="minorHAnsi"/>
        </w:rPr>
        <w:t>7</w:t>
      </w:r>
      <w:r w:rsidR="000C7146" w:rsidRPr="00D80C5B">
        <w:rPr>
          <w:rFonts w:cstheme="minorHAnsi"/>
        </w:rPr>
        <w:t xml:space="preserve"> and 201</w:t>
      </w:r>
      <w:r w:rsidR="004814DF" w:rsidRPr="00D80C5B">
        <w:rPr>
          <w:rFonts w:cstheme="minorHAnsi"/>
        </w:rPr>
        <w:t>8</w:t>
      </w:r>
      <w:r w:rsidR="000C7146" w:rsidRPr="00D80C5B">
        <w:rPr>
          <w:rFonts w:cstheme="minorHAnsi"/>
        </w:rPr>
        <w:t xml:space="preserve"> are </w:t>
      </w:r>
      <w:r w:rsidR="00E60A1F" w:rsidRPr="00D80C5B">
        <w:rPr>
          <w:rFonts w:cstheme="minorHAnsi"/>
        </w:rPr>
        <w:t xml:space="preserve">often beyond </w:t>
      </w:r>
      <w:r w:rsidR="000C7146" w:rsidRPr="00D80C5B">
        <w:rPr>
          <w:rFonts w:cstheme="minorHAnsi"/>
        </w:rPr>
        <w:t xml:space="preserve">what </w:t>
      </w:r>
      <w:r w:rsidR="003E34B7" w:rsidRPr="00D80C5B">
        <w:rPr>
          <w:rFonts w:cstheme="minorHAnsi"/>
        </w:rPr>
        <w:t xml:space="preserve">was </w:t>
      </w:r>
      <w:r w:rsidR="0096131C" w:rsidRPr="00D80C5B">
        <w:rPr>
          <w:rFonts w:cstheme="minorHAnsi"/>
        </w:rPr>
        <w:t xml:space="preserve">implied </w:t>
      </w:r>
      <w:r w:rsidR="004814DF" w:rsidRPr="00D80C5B">
        <w:rPr>
          <w:rFonts w:cstheme="minorHAnsi"/>
        </w:rPr>
        <w:t xml:space="preserve">only </w:t>
      </w:r>
      <w:r w:rsidR="0096131C" w:rsidRPr="00D80C5B">
        <w:rPr>
          <w:rFonts w:cstheme="minorHAnsi"/>
        </w:rPr>
        <w:t xml:space="preserve">by </w:t>
      </w:r>
      <w:r w:rsidR="00111899" w:rsidRPr="00D80C5B">
        <w:rPr>
          <w:rFonts w:cstheme="minorHAnsi"/>
        </w:rPr>
        <w:t>cyclical</w:t>
      </w:r>
      <w:r w:rsidR="0096131C" w:rsidRPr="00D80C5B">
        <w:rPr>
          <w:rFonts w:cstheme="minorHAnsi"/>
        </w:rPr>
        <w:t xml:space="preserve"> factors </w:t>
      </w:r>
      <w:r w:rsidR="00111899" w:rsidRPr="00D80C5B">
        <w:rPr>
          <w:rFonts w:cstheme="minorHAnsi"/>
        </w:rPr>
        <w:t xml:space="preserve">(Graph </w:t>
      </w:r>
      <w:r w:rsidR="003425D8">
        <w:rPr>
          <w:rFonts w:cstheme="minorHAnsi"/>
        </w:rPr>
        <w:t>9</w:t>
      </w:r>
      <w:r w:rsidR="00111899" w:rsidRPr="00D80C5B">
        <w:rPr>
          <w:rFonts w:cstheme="minorHAnsi"/>
        </w:rPr>
        <w:t>)</w:t>
      </w:r>
      <w:r w:rsidR="00474D7F" w:rsidRPr="00D80C5B">
        <w:rPr>
          <w:rFonts w:cstheme="minorHAnsi"/>
        </w:rPr>
        <w:t xml:space="preserve">, </w:t>
      </w:r>
      <w:r w:rsidR="00474D7F" w:rsidRPr="00D80C5B">
        <w:rPr>
          <w:rFonts w:eastAsia="Times New Roman" w:cstheme="minorHAnsi"/>
          <w:lang w:eastAsia="en-GB"/>
        </w:rPr>
        <w:t xml:space="preserve">cyclical-adjusted current accounts generally suggest that external positions are stronger than the headline figures as output gaps </w:t>
      </w:r>
      <w:r w:rsidR="00B6618E" w:rsidRPr="00D80C5B">
        <w:rPr>
          <w:rFonts w:eastAsia="Times New Roman" w:cstheme="minorHAnsi"/>
          <w:lang w:eastAsia="en-GB"/>
        </w:rPr>
        <w:t xml:space="preserve">are </w:t>
      </w:r>
      <w:r w:rsidR="00474D7F" w:rsidRPr="00D80C5B">
        <w:rPr>
          <w:rFonts w:eastAsia="Times New Roman" w:cstheme="minorHAnsi"/>
          <w:lang w:eastAsia="en-GB"/>
        </w:rPr>
        <w:t>positive almost everywhere</w:t>
      </w:r>
      <w:r w:rsidR="00111899" w:rsidRPr="00D80C5B">
        <w:rPr>
          <w:rFonts w:cstheme="minorHAnsi"/>
        </w:rPr>
        <w:t>.</w:t>
      </w:r>
      <w:bookmarkStart w:id="6" w:name="_Ref20488451"/>
      <w:r w:rsidR="009674AB" w:rsidRPr="00D80C5B">
        <w:rPr>
          <w:rStyle w:val="FootnoteReference"/>
          <w:rFonts w:cstheme="minorHAnsi"/>
        </w:rPr>
        <w:footnoteReference w:id="23"/>
      </w:r>
      <w:bookmarkEnd w:id="6"/>
      <w:r w:rsidR="00111899" w:rsidRPr="00D80C5B">
        <w:rPr>
          <w:rFonts w:cstheme="minorHAnsi"/>
        </w:rPr>
        <w:t xml:space="preserve"> </w:t>
      </w:r>
    </w:p>
    <w:p w:rsidR="006B4AE0" w:rsidRPr="00D80C5B" w:rsidRDefault="002F00DE">
      <w:pPr>
        <w:numPr>
          <w:ilvl w:val="0"/>
          <w:numId w:val="8"/>
        </w:numPr>
        <w:spacing w:after="120"/>
        <w:ind w:left="426" w:hanging="284"/>
        <w:jc w:val="both"/>
        <w:rPr>
          <w:rFonts w:eastAsia="Times New Roman" w:cstheme="minorHAnsi"/>
          <w:b/>
          <w:lang w:eastAsia="en-GB"/>
        </w:rPr>
      </w:pPr>
      <w:r w:rsidRPr="00D80C5B">
        <w:rPr>
          <w:rFonts w:eastAsia="Times New Roman" w:cstheme="minorHAnsi"/>
          <w:b/>
          <w:lang w:eastAsia="en-GB"/>
        </w:rPr>
        <w:t xml:space="preserve">Only two Member States record current account deficits beyond the MIP scoreboard lower threshold. </w:t>
      </w:r>
      <w:r w:rsidR="006B4AE0" w:rsidRPr="003425D8">
        <w:rPr>
          <w:rFonts w:eastAsia="Times New Roman" w:cstheme="minorHAnsi"/>
          <w:lang w:eastAsia="en-GB"/>
        </w:rPr>
        <w:t>Cyprus records the largest current account deficit in the EU</w:t>
      </w:r>
      <w:r w:rsidR="002533B2" w:rsidRPr="003425D8">
        <w:rPr>
          <w:rFonts w:eastAsia="Times New Roman" w:cstheme="minorHAnsi"/>
          <w:lang w:eastAsia="en-GB"/>
        </w:rPr>
        <w:t xml:space="preserve"> </w:t>
      </w:r>
      <w:r w:rsidR="003B357D" w:rsidRPr="003425D8">
        <w:rPr>
          <w:rFonts w:eastAsia="Times New Roman" w:cstheme="minorHAnsi"/>
          <w:lang w:eastAsia="en-GB"/>
        </w:rPr>
        <w:t xml:space="preserve">according to </w:t>
      </w:r>
      <w:r w:rsidR="00DA2EF6" w:rsidRPr="00D80C5B">
        <w:rPr>
          <w:rFonts w:eastAsia="Times New Roman" w:cstheme="minorHAnsi"/>
          <w:lang w:eastAsia="en-GB"/>
        </w:rPr>
        <w:t xml:space="preserve">3-year average </w:t>
      </w:r>
      <w:r w:rsidR="003B357D" w:rsidRPr="003425D8">
        <w:rPr>
          <w:rFonts w:eastAsia="Times New Roman" w:cstheme="minorHAnsi"/>
          <w:lang w:eastAsia="en-GB"/>
        </w:rPr>
        <w:t>scoreboard data</w:t>
      </w:r>
      <w:r w:rsidR="009A2FF5" w:rsidRPr="00D80C5B">
        <w:rPr>
          <w:rFonts w:eastAsia="Times New Roman" w:cstheme="minorHAnsi"/>
          <w:lang w:eastAsia="en-GB"/>
        </w:rPr>
        <w:t>, which</w:t>
      </w:r>
      <w:r w:rsidR="006B4AE0" w:rsidRPr="00D80C5B">
        <w:rPr>
          <w:rFonts w:eastAsia="Times New Roman" w:cstheme="minorHAnsi"/>
          <w:lang w:eastAsia="en-GB"/>
        </w:rPr>
        <w:t xml:space="preserve"> </w:t>
      </w:r>
      <w:r w:rsidR="00BB582D" w:rsidRPr="00D80C5B">
        <w:rPr>
          <w:rFonts w:eastAsia="Times New Roman" w:cstheme="minorHAnsi"/>
          <w:lang w:eastAsia="en-GB"/>
        </w:rPr>
        <w:t>improved</w:t>
      </w:r>
      <w:r w:rsidR="00F1254F" w:rsidRPr="00D80C5B">
        <w:rPr>
          <w:rFonts w:eastAsia="Times New Roman" w:cstheme="minorHAnsi"/>
          <w:lang w:eastAsia="en-GB"/>
        </w:rPr>
        <w:t xml:space="preserve"> in 2018</w:t>
      </w:r>
      <w:r w:rsidR="00BB582D" w:rsidRPr="00D80C5B">
        <w:rPr>
          <w:rFonts w:eastAsia="Times New Roman" w:cstheme="minorHAnsi"/>
          <w:lang w:eastAsia="en-GB"/>
        </w:rPr>
        <w:t xml:space="preserve">, although not </w:t>
      </w:r>
      <w:r w:rsidR="00F1254F" w:rsidRPr="00D80C5B">
        <w:rPr>
          <w:rFonts w:eastAsia="Times New Roman" w:cstheme="minorHAnsi"/>
          <w:lang w:eastAsia="en-GB"/>
        </w:rPr>
        <w:t xml:space="preserve">to level that would ensure </w:t>
      </w:r>
      <w:r w:rsidR="006B4AE0" w:rsidRPr="00D80C5B">
        <w:rPr>
          <w:rFonts w:eastAsia="Times New Roman" w:cstheme="minorHAnsi"/>
          <w:lang w:eastAsia="en-GB"/>
        </w:rPr>
        <w:t>improve</w:t>
      </w:r>
      <w:r w:rsidR="00F1254F" w:rsidRPr="003425D8">
        <w:rPr>
          <w:rFonts w:eastAsia="Times New Roman" w:cstheme="minorHAnsi"/>
          <w:lang w:eastAsia="en-GB"/>
        </w:rPr>
        <w:t>ments in</w:t>
      </w:r>
      <w:r w:rsidR="006B4AE0" w:rsidRPr="00D80C5B">
        <w:rPr>
          <w:rFonts w:eastAsia="Times New Roman" w:cstheme="minorHAnsi"/>
          <w:lang w:eastAsia="en-GB"/>
        </w:rPr>
        <w:t xml:space="preserve"> the NIIP at an appropriate pace.</w:t>
      </w:r>
      <w:r w:rsidR="004814DF" w:rsidRPr="00D80C5B">
        <w:rPr>
          <w:rStyle w:val="FootnoteReference"/>
          <w:rFonts w:eastAsia="Times New Roman" w:cstheme="minorHAnsi"/>
          <w:lang w:eastAsia="en-GB"/>
        </w:rPr>
        <w:footnoteReference w:id="24"/>
      </w:r>
      <w:r w:rsidR="00883969" w:rsidRPr="00D80C5B">
        <w:rPr>
          <w:rFonts w:eastAsia="Times New Roman" w:cstheme="minorHAnsi"/>
          <w:lang w:eastAsia="en-GB"/>
        </w:rPr>
        <w:t xml:space="preserve"> </w:t>
      </w:r>
      <w:r w:rsidR="00A50CD5" w:rsidRPr="00D80C5B">
        <w:rPr>
          <w:rFonts w:eastAsia="Times New Roman" w:cstheme="minorHAnsi"/>
          <w:lang w:eastAsia="en-GB"/>
        </w:rPr>
        <w:t>T</w:t>
      </w:r>
      <w:r w:rsidR="006B4AE0" w:rsidRPr="003425D8">
        <w:rPr>
          <w:rFonts w:eastAsia="Times New Roman" w:cstheme="minorHAnsi"/>
          <w:lang w:eastAsia="en-GB"/>
        </w:rPr>
        <w:t xml:space="preserve">he current account deficit of the United Kingdom is </w:t>
      </w:r>
      <w:r w:rsidR="00A50CD5" w:rsidRPr="00D80C5B">
        <w:rPr>
          <w:rFonts w:eastAsia="Times New Roman" w:cstheme="minorHAnsi"/>
          <w:lang w:eastAsia="en-GB"/>
        </w:rPr>
        <w:t xml:space="preserve">also </w:t>
      </w:r>
      <w:r w:rsidR="00F133C6" w:rsidRPr="003425D8">
        <w:rPr>
          <w:rFonts w:eastAsia="Times New Roman" w:cstheme="minorHAnsi"/>
          <w:lang w:eastAsia="en-GB"/>
        </w:rPr>
        <w:t xml:space="preserve">beyond </w:t>
      </w:r>
      <w:r w:rsidR="006B4AE0" w:rsidRPr="003425D8">
        <w:rPr>
          <w:rFonts w:eastAsia="Times New Roman" w:cstheme="minorHAnsi"/>
          <w:lang w:eastAsia="en-GB"/>
        </w:rPr>
        <w:t xml:space="preserve">the scoreboard threshold. </w:t>
      </w:r>
      <w:r w:rsidR="006B4AE0" w:rsidRPr="00D80C5B">
        <w:rPr>
          <w:rFonts w:eastAsia="Times New Roman" w:cstheme="minorHAnsi"/>
          <w:lang w:eastAsia="en-GB"/>
        </w:rPr>
        <w:t xml:space="preserve">Romania recorded a </w:t>
      </w:r>
      <w:r w:rsidR="000E6B4C" w:rsidRPr="00D80C5B">
        <w:rPr>
          <w:rFonts w:eastAsia="Times New Roman" w:cstheme="minorHAnsi"/>
          <w:lang w:eastAsia="en-GB"/>
        </w:rPr>
        <w:t xml:space="preserve">visible </w:t>
      </w:r>
      <w:r w:rsidR="006B4AE0" w:rsidRPr="00D80C5B">
        <w:rPr>
          <w:rFonts w:eastAsia="Times New Roman" w:cstheme="minorHAnsi"/>
          <w:lang w:eastAsia="en-GB"/>
        </w:rPr>
        <w:t>current account deficit</w:t>
      </w:r>
      <w:r w:rsidR="00E27CD7" w:rsidRPr="00D80C5B">
        <w:rPr>
          <w:rFonts w:eastAsia="Times New Roman" w:cstheme="minorHAnsi"/>
          <w:lang w:eastAsia="en-GB"/>
        </w:rPr>
        <w:t xml:space="preserve"> in 2018 alone</w:t>
      </w:r>
      <w:r w:rsidR="00410F3A" w:rsidRPr="00D80C5B">
        <w:rPr>
          <w:rFonts w:eastAsia="Times New Roman" w:cstheme="minorHAnsi"/>
          <w:lang w:eastAsia="en-GB"/>
        </w:rPr>
        <w:t>, at</w:t>
      </w:r>
      <w:r w:rsidR="002004E4" w:rsidRPr="00D80C5B">
        <w:rPr>
          <w:rFonts w:eastAsia="Times New Roman" w:cstheme="minorHAnsi"/>
          <w:lang w:eastAsia="en-GB"/>
        </w:rPr>
        <w:t xml:space="preserve"> </w:t>
      </w:r>
      <w:r w:rsidR="0016417C">
        <w:rPr>
          <w:rFonts w:eastAsia="Times New Roman" w:cstheme="minorHAnsi"/>
          <w:lang w:eastAsia="en-GB"/>
        </w:rPr>
        <w:noBreakHyphen/>
      </w:r>
      <w:r w:rsidR="006B4AE0" w:rsidRPr="00D80C5B">
        <w:rPr>
          <w:rFonts w:eastAsia="Times New Roman" w:cstheme="minorHAnsi"/>
          <w:lang w:eastAsia="en-GB"/>
        </w:rPr>
        <w:t>4</w:t>
      </w:r>
      <w:r w:rsidR="00883969" w:rsidRPr="00D80C5B">
        <w:rPr>
          <w:rFonts w:eastAsia="Times New Roman" w:cstheme="minorHAnsi"/>
          <w:lang w:eastAsia="en-GB"/>
        </w:rPr>
        <w:t>.6</w:t>
      </w:r>
      <w:r w:rsidR="006B4AE0" w:rsidRPr="00D80C5B">
        <w:rPr>
          <w:rFonts w:eastAsia="Times New Roman" w:cstheme="minorHAnsi"/>
          <w:lang w:eastAsia="en-GB"/>
        </w:rPr>
        <w:t xml:space="preserve">% of GDP, </w:t>
      </w:r>
      <w:r w:rsidR="00D25519" w:rsidRPr="00D80C5B">
        <w:rPr>
          <w:rFonts w:eastAsia="Times New Roman" w:cstheme="minorHAnsi"/>
          <w:lang w:eastAsia="en-GB"/>
        </w:rPr>
        <w:t xml:space="preserve">in </w:t>
      </w:r>
      <w:r w:rsidR="006B4AE0" w:rsidRPr="00D80C5B">
        <w:rPr>
          <w:rFonts w:eastAsia="Times New Roman" w:cstheme="minorHAnsi"/>
          <w:lang w:eastAsia="en-GB"/>
        </w:rPr>
        <w:t xml:space="preserve">a </w:t>
      </w:r>
      <w:r w:rsidR="002A7DAF" w:rsidRPr="00D80C5B">
        <w:rPr>
          <w:rFonts w:eastAsia="Times New Roman" w:cstheme="minorHAnsi"/>
          <w:lang w:eastAsia="en-GB"/>
        </w:rPr>
        <w:t xml:space="preserve">marked </w:t>
      </w:r>
      <w:r w:rsidR="006B4AE0" w:rsidRPr="00D80C5B">
        <w:rPr>
          <w:rFonts w:eastAsia="Times New Roman" w:cstheme="minorHAnsi"/>
          <w:lang w:eastAsia="en-GB"/>
        </w:rPr>
        <w:t>deterioration from earlier years</w:t>
      </w:r>
      <w:r w:rsidR="00883969" w:rsidRPr="00D80C5B">
        <w:rPr>
          <w:rFonts w:eastAsia="Times New Roman" w:cstheme="minorHAnsi"/>
          <w:lang w:eastAsia="en-GB"/>
        </w:rPr>
        <w:t>; such a reading</w:t>
      </w:r>
      <w:r w:rsidR="00BB582D" w:rsidRPr="00D80C5B">
        <w:rPr>
          <w:rFonts w:eastAsia="Times New Roman" w:cstheme="minorHAnsi"/>
          <w:lang w:eastAsia="en-GB"/>
        </w:rPr>
        <w:t xml:space="preserve"> is </w:t>
      </w:r>
      <w:r w:rsidR="006B4AE0" w:rsidRPr="00D80C5B">
        <w:rPr>
          <w:rFonts w:eastAsia="Times New Roman" w:cstheme="minorHAnsi"/>
          <w:lang w:eastAsia="en-GB"/>
        </w:rPr>
        <w:t xml:space="preserve">below norm and a good part of the deterioration </w:t>
      </w:r>
      <w:r w:rsidR="00D25519" w:rsidRPr="00D80C5B">
        <w:rPr>
          <w:rFonts w:eastAsia="Times New Roman" w:cstheme="minorHAnsi"/>
          <w:lang w:eastAsia="en-GB"/>
        </w:rPr>
        <w:t xml:space="preserve">is not warranted by </w:t>
      </w:r>
      <w:r w:rsidR="006B4AE0" w:rsidRPr="00D80C5B">
        <w:rPr>
          <w:rFonts w:eastAsia="Times New Roman" w:cstheme="minorHAnsi"/>
          <w:lang w:eastAsia="en-GB"/>
        </w:rPr>
        <w:t xml:space="preserve">the </w:t>
      </w:r>
      <w:r w:rsidR="005D7325" w:rsidRPr="00D80C5B">
        <w:rPr>
          <w:rFonts w:eastAsia="Times New Roman" w:cstheme="minorHAnsi"/>
          <w:lang w:eastAsia="en-GB"/>
        </w:rPr>
        <w:t xml:space="preserve">economic </w:t>
      </w:r>
      <w:r w:rsidR="006B4AE0" w:rsidRPr="00D80C5B">
        <w:rPr>
          <w:rFonts w:eastAsia="Times New Roman" w:cstheme="minorHAnsi"/>
          <w:lang w:eastAsia="en-GB"/>
        </w:rPr>
        <w:t>cycle.</w:t>
      </w:r>
    </w:p>
    <w:p w:rsidR="005F5F3B" w:rsidRPr="00D80C5B" w:rsidRDefault="006B4AE0" w:rsidP="003E34B7">
      <w:pPr>
        <w:numPr>
          <w:ilvl w:val="0"/>
          <w:numId w:val="8"/>
        </w:numPr>
        <w:spacing w:after="120"/>
        <w:ind w:left="426" w:hanging="284"/>
        <w:jc w:val="both"/>
        <w:rPr>
          <w:rFonts w:eastAsia="Times New Roman" w:cstheme="minorHAnsi"/>
          <w:lang w:eastAsia="en-GB"/>
        </w:rPr>
      </w:pPr>
      <w:r w:rsidRPr="00D80C5B">
        <w:rPr>
          <w:rFonts w:eastAsia="Times New Roman" w:cstheme="minorHAnsi"/>
          <w:b/>
          <w:lang w:eastAsia="en-GB"/>
        </w:rPr>
        <w:t xml:space="preserve">Current accounts </w:t>
      </w:r>
      <w:r w:rsidR="00DA2EF6" w:rsidRPr="00D80C5B">
        <w:rPr>
          <w:rFonts w:eastAsia="Times New Roman" w:cstheme="minorHAnsi"/>
          <w:b/>
          <w:lang w:eastAsia="en-GB"/>
        </w:rPr>
        <w:t xml:space="preserve">moved downward </w:t>
      </w:r>
      <w:r w:rsidRPr="00D80C5B">
        <w:rPr>
          <w:rFonts w:eastAsia="Times New Roman" w:cstheme="minorHAnsi"/>
          <w:b/>
          <w:lang w:eastAsia="en-GB"/>
        </w:rPr>
        <w:t>in</w:t>
      </w:r>
      <w:r w:rsidR="005F5F3B" w:rsidRPr="00D80C5B">
        <w:rPr>
          <w:rFonts w:eastAsia="Times New Roman" w:cstheme="minorHAnsi"/>
          <w:b/>
          <w:lang w:eastAsia="en-GB"/>
        </w:rPr>
        <w:t xml:space="preserve"> a number of</w:t>
      </w:r>
      <w:r w:rsidRPr="00D80C5B">
        <w:rPr>
          <w:rFonts w:eastAsia="Times New Roman" w:cstheme="minorHAnsi"/>
          <w:b/>
          <w:lang w:eastAsia="en-GB"/>
        </w:rPr>
        <w:t xml:space="preserve"> large net</w:t>
      </w:r>
      <w:r w:rsidR="00943557" w:rsidRPr="00D80C5B">
        <w:rPr>
          <w:rFonts w:eastAsia="Times New Roman" w:cstheme="minorHAnsi"/>
          <w:b/>
          <w:lang w:eastAsia="en-GB"/>
        </w:rPr>
        <w:t>-</w:t>
      </w:r>
      <w:r w:rsidRPr="00D80C5B">
        <w:rPr>
          <w:rFonts w:eastAsia="Times New Roman" w:cstheme="minorHAnsi"/>
          <w:b/>
          <w:lang w:eastAsia="en-GB"/>
        </w:rPr>
        <w:t xml:space="preserve">debtor </w:t>
      </w:r>
      <w:r w:rsidR="002D4474" w:rsidRPr="00D80C5B">
        <w:rPr>
          <w:rFonts w:eastAsia="Times New Roman" w:cstheme="minorHAnsi"/>
          <w:b/>
          <w:lang w:eastAsia="en-GB"/>
        </w:rPr>
        <w:t>countries</w:t>
      </w:r>
      <w:r w:rsidRPr="00D80C5B">
        <w:rPr>
          <w:rFonts w:eastAsia="Times New Roman" w:cstheme="minorHAnsi"/>
          <w:b/>
          <w:lang w:eastAsia="en-GB"/>
        </w:rPr>
        <w:t>.</w:t>
      </w:r>
      <w:r w:rsidRPr="00D80C5B">
        <w:rPr>
          <w:rFonts w:eastAsia="Times New Roman" w:cstheme="minorHAnsi"/>
          <w:lang w:eastAsia="en-GB"/>
        </w:rPr>
        <w:t xml:space="preserve"> Current account outcomes </w:t>
      </w:r>
      <w:r w:rsidR="00DA2EF6" w:rsidRPr="00D80C5B">
        <w:rPr>
          <w:rFonts w:eastAsia="Times New Roman" w:cstheme="minorHAnsi"/>
          <w:lang w:eastAsia="en-GB"/>
        </w:rPr>
        <w:t xml:space="preserve">narrowed </w:t>
      </w:r>
      <w:r w:rsidRPr="00D80C5B">
        <w:rPr>
          <w:rFonts w:eastAsia="Times New Roman" w:cstheme="minorHAnsi"/>
          <w:lang w:eastAsia="en-GB"/>
        </w:rPr>
        <w:t xml:space="preserve">in Greece, Portugal, and Spain, in 2018. </w:t>
      </w:r>
      <w:r w:rsidR="000A34DB" w:rsidRPr="00D80C5B">
        <w:rPr>
          <w:rFonts w:eastAsia="Times New Roman" w:cstheme="minorHAnsi"/>
          <w:lang w:eastAsia="en-GB"/>
        </w:rPr>
        <w:t>Greece</w:t>
      </w:r>
      <w:r w:rsidR="00710572" w:rsidRPr="00D80C5B">
        <w:rPr>
          <w:rFonts w:eastAsia="Times New Roman" w:cstheme="minorHAnsi"/>
          <w:lang w:eastAsia="en-GB"/>
        </w:rPr>
        <w:t>'s</w:t>
      </w:r>
      <w:r w:rsidR="000E7AB9" w:rsidRPr="00D80C5B">
        <w:rPr>
          <w:rFonts w:eastAsia="Times New Roman" w:cstheme="minorHAnsi"/>
          <w:lang w:eastAsia="en-GB"/>
        </w:rPr>
        <w:t xml:space="preserve"> </w:t>
      </w:r>
      <w:r w:rsidR="000A34DB" w:rsidRPr="00D80C5B">
        <w:rPr>
          <w:rFonts w:eastAsia="Times New Roman" w:cstheme="minorHAnsi"/>
          <w:lang w:eastAsia="en-GB"/>
        </w:rPr>
        <w:t xml:space="preserve">current account </w:t>
      </w:r>
      <w:r w:rsidR="00DA2EF6" w:rsidRPr="00D80C5B">
        <w:rPr>
          <w:rFonts w:eastAsia="Times New Roman" w:cstheme="minorHAnsi"/>
          <w:lang w:eastAsia="en-GB"/>
        </w:rPr>
        <w:t xml:space="preserve">deficit </w:t>
      </w:r>
      <w:r w:rsidR="000E7AB9" w:rsidRPr="00D80C5B">
        <w:rPr>
          <w:rFonts w:eastAsia="Times New Roman" w:cstheme="minorHAnsi"/>
          <w:lang w:eastAsia="en-GB"/>
        </w:rPr>
        <w:t>is beyond</w:t>
      </w:r>
      <w:r w:rsidR="003B357D" w:rsidRPr="00D80C5B">
        <w:rPr>
          <w:rFonts w:eastAsia="Times New Roman" w:cstheme="minorHAnsi"/>
          <w:lang w:eastAsia="en-GB"/>
        </w:rPr>
        <w:t xml:space="preserve"> what can be explained by</w:t>
      </w:r>
      <w:r w:rsidR="000E7AB9" w:rsidRPr="00D80C5B">
        <w:rPr>
          <w:rFonts w:eastAsia="Times New Roman" w:cstheme="minorHAnsi"/>
          <w:lang w:eastAsia="en-GB"/>
        </w:rPr>
        <w:t xml:space="preserve"> fundamentals and </w:t>
      </w:r>
      <w:r w:rsidRPr="00D80C5B">
        <w:rPr>
          <w:rFonts w:eastAsia="Times New Roman" w:cstheme="minorHAnsi"/>
          <w:lang w:eastAsia="en-GB"/>
        </w:rPr>
        <w:t xml:space="preserve">insufficient </w:t>
      </w:r>
      <w:r w:rsidR="004911DA" w:rsidRPr="00D80C5B">
        <w:rPr>
          <w:rFonts w:eastAsia="Times New Roman" w:cstheme="minorHAnsi"/>
          <w:lang w:eastAsia="en-GB"/>
        </w:rPr>
        <w:t xml:space="preserve">to </w:t>
      </w:r>
      <w:r w:rsidR="000A34DB" w:rsidRPr="00D80C5B">
        <w:rPr>
          <w:rFonts w:eastAsia="Times New Roman" w:cstheme="minorHAnsi"/>
          <w:lang w:eastAsia="en-GB"/>
        </w:rPr>
        <w:t xml:space="preserve">correct </w:t>
      </w:r>
      <w:r w:rsidR="000E7AB9" w:rsidRPr="00D80C5B">
        <w:rPr>
          <w:rFonts w:eastAsia="Times New Roman" w:cstheme="minorHAnsi"/>
          <w:lang w:eastAsia="en-GB"/>
        </w:rPr>
        <w:t xml:space="preserve">the very </w:t>
      </w:r>
      <w:r w:rsidR="000A34DB" w:rsidRPr="00D80C5B">
        <w:rPr>
          <w:rFonts w:eastAsia="Times New Roman" w:cstheme="minorHAnsi"/>
          <w:lang w:eastAsia="en-GB"/>
        </w:rPr>
        <w:t>negative</w:t>
      </w:r>
      <w:r w:rsidRPr="00D80C5B">
        <w:rPr>
          <w:rFonts w:eastAsia="Times New Roman" w:cstheme="minorHAnsi"/>
          <w:lang w:eastAsia="en-GB"/>
        </w:rPr>
        <w:t xml:space="preserve"> NIIP</w:t>
      </w:r>
      <w:r w:rsidR="008302B9" w:rsidRPr="00D80C5B">
        <w:rPr>
          <w:rFonts w:eastAsia="Times New Roman" w:cstheme="minorHAnsi"/>
          <w:lang w:eastAsia="en-GB"/>
        </w:rPr>
        <w:t xml:space="preserve"> towards prudent levels over a 10-year horizon</w:t>
      </w:r>
      <w:r w:rsidRPr="00D80C5B">
        <w:rPr>
          <w:rFonts w:eastAsia="Times New Roman" w:cstheme="minorHAnsi"/>
          <w:lang w:eastAsia="en-GB"/>
        </w:rPr>
        <w:t>.</w:t>
      </w:r>
      <w:bookmarkStart w:id="7" w:name="_Ref27067038"/>
      <w:r w:rsidR="00A50CD5" w:rsidRPr="00D80C5B">
        <w:rPr>
          <w:rStyle w:val="FootnoteReference"/>
          <w:rFonts w:eastAsia="Times New Roman" w:cstheme="minorHAnsi"/>
          <w:lang w:eastAsia="en-GB"/>
        </w:rPr>
        <w:footnoteReference w:id="25"/>
      </w:r>
      <w:bookmarkEnd w:id="7"/>
      <w:r w:rsidR="004911DA" w:rsidRPr="00D80C5B">
        <w:rPr>
          <w:rFonts w:eastAsia="Times New Roman" w:cstheme="minorHAnsi"/>
          <w:lang w:eastAsia="en-GB"/>
        </w:rPr>
        <w:t xml:space="preserve"> </w:t>
      </w:r>
      <w:r w:rsidR="000E7AB9" w:rsidRPr="00D80C5B">
        <w:rPr>
          <w:rFonts w:eastAsia="Times New Roman" w:cstheme="minorHAnsi"/>
          <w:lang w:eastAsia="en-GB"/>
        </w:rPr>
        <w:t xml:space="preserve">In Portugal, the latest readings </w:t>
      </w:r>
      <w:r w:rsidR="007F2D33" w:rsidRPr="00D80C5B">
        <w:rPr>
          <w:rFonts w:eastAsia="Times New Roman" w:cstheme="minorHAnsi"/>
          <w:lang w:eastAsia="en-GB"/>
        </w:rPr>
        <w:t xml:space="preserve">are below the level that would </w:t>
      </w:r>
      <w:r w:rsidR="000E7AB9" w:rsidRPr="00D80C5B">
        <w:rPr>
          <w:rFonts w:eastAsia="Times New Roman" w:cstheme="minorHAnsi"/>
          <w:lang w:eastAsia="en-GB"/>
        </w:rPr>
        <w:t xml:space="preserve">ensure a correction of the negative NIIP at </w:t>
      </w:r>
      <w:r w:rsidR="00F133C6" w:rsidRPr="00D80C5B">
        <w:rPr>
          <w:rFonts w:eastAsia="Times New Roman" w:cstheme="minorHAnsi"/>
          <w:lang w:eastAsia="en-GB"/>
        </w:rPr>
        <w:t xml:space="preserve">an </w:t>
      </w:r>
      <w:r w:rsidR="000E7AB9" w:rsidRPr="00D80C5B">
        <w:rPr>
          <w:rFonts w:eastAsia="Times New Roman" w:cstheme="minorHAnsi"/>
          <w:lang w:eastAsia="en-GB"/>
        </w:rPr>
        <w:t xml:space="preserve">appropriate pace. </w:t>
      </w:r>
      <w:r w:rsidR="000A34DB" w:rsidRPr="00D80C5B">
        <w:rPr>
          <w:rFonts w:eastAsia="Times New Roman" w:cstheme="minorHAnsi"/>
          <w:lang w:eastAsia="en-GB"/>
        </w:rPr>
        <w:t>I</w:t>
      </w:r>
      <w:r w:rsidR="002D4474" w:rsidRPr="00D80C5B">
        <w:rPr>
          <w:rFonts w:eastAsia="Times New Roman" w:cstheme="minorHAnsi"/>
          <w:lang w:eastAsia="en-GB"/>
        </w:rPr>
        <w:t>n</w:t>
      </w:r>
      <w:r w:rsidR="000A34DB" w:rsidRPr="00D80C5B">
        <w:rPr>
          <w:rFonts w:eastAsia="Times New Roman" w:cstheme="minorHAnsi"/>
          <w:lang w:eastAsia="en-GB"/>
        </w:rPr>
        <w:t xml:space="preserve"> contrast</w:t>
      </w:r>
      <w:r w:rsidRPr="00D80C5B">
        <w:rPr>
          <w:rFonts w:eastAsia="Times New Roman" w:cstheme="minorHAnsi"/>
          <w:lang w:eastAsia="en-GB"/>
        </w:rPr>
        <w:t xml:space="preserve">, </w:t>
      </w:r>
      <w:r w:rsidR="000A34DB" w:rsidRPr="00D80C5B">
        <w:rPr>
          <w:rFonts w:eastAsia="Times New Roman" w:cstheme="minorHAnsi"/>
          <w:lang w:eastAsia="en-GB"/>
        </w:rPr>
        <w:t>current account developments in</w:t>
      </w:r>
      <w:r w:rsidRPr="00D80C5B">
        <w:rPr>
          <w:rFonts w:eastAsia="Times New Roman" w:cstheme="minorHAnsi"/>
          <w:lang w:eastAsia="en-GB"/>
        </w:rPr>
        <w:t xml:space="preserve"> Spa</w:t>
      </w:r>
      <w:r w:rsidR="00B04B16" w:rsidRPr="00D80C5B">
        <w:rPr>
          <w:rFonts w:eastAsia="Times New Roman" w:cstheme="minorHAnsi"/>
          <w:lang w:eastAsia="en-GB"/>
        </w:rPr>
        <w:t>in</w:t>
      </w:r>
      <w:r w:rsidRPr="00D80C5B">
        <w:rPr>
          <w:rFonts w:eastAsia="Times New Roman" w:cstheme="minorHAnsi"/>
          <w:lang w:eastAsia="en-GB"/>
        </w:rPr>
        <w:t xml:space="preserve"> remain consistent with improv</w:t>
      </w:r>
      <w:r w:rsidR="001479CC" w:rsidRPr="00D80C5B">
        <w:rPr>
          <w:rFonts w:eastAsia="Times New Roman" w:cstheme="minorHAnsi"/>
          <w:lang w:eastAsia="en-GB"/>
        </w:rPr>
        <w:t xml:space="preserve">ing </w:t>
      </w:r>
      <w:r w:rsidRPr="00D80C5B">
        <w:rPr>
          <w:rFonts w:eastAsia="Times New Roman" w:cstheme="minorHAnsi"/>
          <w:lang w:eastAsia="en-GB"/>
        </w:rPr>
        <w:t xml:space="preserve">the NIIP </w:t>
      </w:r>
      <w:r w:rsidR="002D4474" w:rsidRPr="00D80C5B">
        <w:rPr>
          <w:rFonts w:eastAsia="Times New Roman" w:cstheme="minorHAnsi"/>
          <w:lang w:eastAsia="en-GB"/>
        </w:rPr>
        <w:t>at appropriate pace</w:t>
      </w:r>
      <w:r w:rsidRPr="00D80C5B">
        <w:rPr>
          <w:rFonts w:eastAsia="Times New Roman" w:cstheme="minorHAnsi"/>
          <w:lang w:eastAsia="en-GB"/>
        </w:rPr>
        <w:t xml:space="preserve">. Ireland's current account </w:t>
      </w:r>
      <w:r w:rsidR="000A34DB" w:rsidRPr="00D80C5B">
        <w:rPr>
          <w:rFonts w:eastAsia="Times New Roman" w:cstheme="minorHAnsi"/>
          <w:lang w:eastAsia="en-GB"/>
        </w:rPr>
        <w:t xml:space="preserve">improved </w:t>
      </w:r>
      <w:r w:rsidR="009A2FF5" w:rsidRPr="00D80C5B">
        <w:rPr>
          <w:rFonts w:eastAsia="Times New Roman" w:cstheme="minorHAnsi"/>
          <w:lang w:eastAsia="en-GB"/>
        </w:rPr>
        <w:t>sharp</w:t>
      </w:r>
      <w:r w:rsidR="000A34DB" w:rsidRPr="00D80C5B">
        <w:rPr>
          <w:rFonts w:eastAsia="Times New Roman" w:cstheme="minorHAnsi"/>
          <w:lang w:eastAsia="en-GB"/>
        </w:rPr>
        <w:t xml:space="preserve">ly </w:t>
      </w:r>
      <w:r w:rsidRPr="00D80C5B">
        <w:rPr>
          <w:rFonts w:eastAsia="Times New Roman" w:cstheme="minorHAnsi"/>
          <w:lang w:eastAsia="en-GB"/>
        </w:rPr>
        <w:t>in 2018</w:t>
      </w:r>
      <w:r w:rsidR="00BB582D" w:rsidRPr="00D80C5B">
        <w:rPr>
          <w:rFonts w:eastAsia="Times New Roman" w:cstheme="minorHAnsi"/>
          <w:lang w:eastAsia="en-GB"/>
        </w:rPr>
        <w:t xml:space="preserve">, </w:t>
      </w:r>
      <w:r w:rsidR="009A2FF5" w:rsidRPr="00D80C5B">
        <w:rPr>
          <w:rFonts w:eastAsia="Times New Roman" w:cstheme="minorHAnsi"/>
          <w:lang w:eastAsia="en-GB"/>
        </w:rPr>
        <w:t>large</w:t>
      </w:r>
      <w:r w:rsidR="00BB582D" w:rsidRPr="00D80C5B">
        <w:rPr>
          <w:rFonts w:eastAsia="Times New Roman" w:cstheme="minorHAnsi"/>
          <w:lang w:eastAsia="en-GB"/>
        </w:rPr>
        <w:t xml:space="preserve">ly reflecting </w:t>
      </w:r>
      <w:r w:rsidRPr="00D80C5B">
        <w:rPr>
          <w:rFonts w:eastAsia="Times New Roman" w:cstheme="minorHAnsi"/>
          <w:lang w:eastAsia="en-GB"/>
        </w:rPr>
        <w:t xml:space="preserve">cross-border transactions </w:t>
      </w:r>
      <w:r w:rsidR="002223AA" w:rsidRPr="00D80C5B">
        <w:rPr>
          <w:rFonts w:eastAsia="Times New Roman" w:cstheme="minorHAnsi"/>
          <w:lang w:eastAsia="en-GB"/>
        </w:rPr>
        <w:t xml:space="preserve">by </w:t>
      </w:r>
      <w:r w:rsidRPr="00D80C5B">
        <w:rPr>
          <w:rFonts w:eastAsia="Times New Roman" w:cstheme="minorHAnsi"/>
          <w:lang w:eastAsia="en-GB"/>
        </w:rPr>
        <w:t>multinational corporations.</w:t>
      </w:r>
      <w:r w:rsidR="005F5F3B" w:rsidRPr="00D80C5B">
        <w:rPr>
          <w:rFonts w:cstheme="minorHAnsi"/>
        </w:rPr>
        <w:t xml:space="preserve"> </w:t>
      </w:r>
    </w:p>
    <w:p w:rsidR="009A2FF5" w:rsidRPr="00D80C5B" w:rsidRDefault="006B4AE0" w:rsidP="003E34B7">
      <w:pPr>
        <w:numPr>
          <w:ilvl w:val="0"/>
          <w:numId w:val="8"/>
        </w:numPr>
        <w:spacing w:after="120"/>
        <w:ind w:left="426" w:hanging="284"/>
        <w:jc w:val="both"/>
        <w:rPr>
          <w:rFonts w:eastAsia="Times New Roman" w:cstheme="minorHAnsi"/>
          <w:lang w:eastAsia="en-GB"/>
        </w:rPr>
      </w:pPr>
      <w:r w:rsidRPr="00D80C5B" w:rsidDel="002F00DE">
        <w:rPr>
          <w:rFonts w:eastAsia="Times New Roman" w:cstheme="minorHAnsi"/>
          <w:b/>
          <w:lang w:eastAsia="en-GB"/>
        </w:rPr>
        <w:t xml:space="preserve">Four EU countries </w:t>
      </w:r>
      <w:r w:rsidR="004E3B6D" w:rsidRPr="00D80C5B" w:rsidDel="002F00DE">
        <w:rPr>
          <w:rFonts w:eastAsia="Times New Roman" w:cstheme="minorHAnsi"/>
          <w:b/>
          <w:lang w:eastAsia="en-GB"/>
        </w:rPr>
        <w:t xml:space="preserve">continued </w:t>
      </w:r>
      <w:r w:rsidR="004B3B9D" w:rsidRPr="00D80C5B" w:rsidDel="002F00DE">
        <w:rPr>
          <w:rFonts w:eastAsia="Times New Roman" w:cstheme="minorHAnsi"/>
          <w:b/>
          <w:lang w:eastAsia="en-GB"/>
        </w:rPr>
        <w:t>record</w:t>
      </w:r>
      <w:r w:rsidR="004E3B6D" w:rsidRPr="00D80C5B" w:rsidDel="002F00DE">
        <w:rPr>
          <w:rFonts w:eastAsia="Times New Roman" w:cstheme="minorHAnsi"/>
          <w:b/>
          <w:lang w:eastAsia="en-GB"/>
        </w:rPr>
        <w:t>ing</w:t>
      </w:r>
      <w:r w:rsidR="004B3B9D" w:rsidRPr="00D80C5B" w:rsidDel="002F00DE">
        <w:rPr>
          <w:rFonts w:eastAsia="Times New Roman" w:cstheme="minorHAnsi"/>
          <w:b/>
          <w:lang w:eastAsia="en-GB"/>
        </w:rPr>
        <w:t xml:space="preserve"> current account surpluses that exceeded </w:t>
      </w:r>
      <w:r w:rsidRPr="00D80C5B" w:rsidDel="002F00DE">
        <w:rPr>
          <w:rFonts w:eastAsia="Times New Roman" w:cstheme="minorHAnsi"/>
          <w:b/>
          <w:lang w:eastAsia="en-GB"/>
        </w:rPr>
        <w:t>the MIP scoreboard upper threshold</w:t>
      </w:r>
      <w:r w:rsidR="004E3B6D" w:rsidRPr="00D80C5B" w:rsidDel="002F00DE">
        <w:rPr>
          <w:rFonts w:eastAsia="Times New Roman" w:cstheme="minorHAnsi"/>
          <w:lang w:eastAsia="en-GB"/>
        </w:rPr>
        <w:t xml:space="preserve">. That </w:t>
      </w:r>
      <w:r w:rsidR="00D33713" w:rsidRPr="00D80C5B" w:rsidDel="002F00DE">
        <w:rPr>
          <w:rFonts w:eastAsia="Times New Roman" w:cstheme="minorHAnsi"/>
          <w:lang w:eastAsia="en-GB"/>
        </w:rPr>
        <w:t xml:space="preserve">has been </w:t>
      </w:r>
      <w:r w:rsidR="004E3B6D" w:rsidRPr="00D80C5B" w:rsidDel="002F00DE">
        <w:rPr>
          <w:rFonts w:eastAsia="Times New Roman" w:cstheme="minorHAnsi"/>
          <w:lang w:eastAsia="en-GB"/>
        </w:rPr>
        <w:t>the case</w:t>
      </w:r>
      <w:r w:rsidR="004B3B9D" w:rsidRPr="00D80C5B" w:rsidDel="002F00DE">
        <w:rPr>
          <w:rFonts w:eastAsia="Times New Roman" w:cstheme="minorHAnsi"/>
          <w:lang w:eastAsia="en-GB"/>
        </w:rPr>
        <w:t xml:space="preserve"> </w:t>
      </w:r>
      <w:r w:rsidR="003C1278" w:rsidRPr="00D80C5B" w:rsidDel="002F00DE">
        <w:rPr>
          <w:rFonts w:eastAsia="Times New Roman" w:cstheme="minorHAnsi"/>
          <w:lang w:eastAsia="en-GB"/>
        </w:rPr>
        <w:t xml:space="preserve">for </w:t>
      </w:r>
      <w:r w:rsidRPr="00D80C5B" w:rsidDel="002F00DE">
        <w:rPr>
          <w:rFonts w:eastAsia="Times New Roman" w:cstheme="minorHAnsi"/>
          <w:lang w:eastAsia="en-GB"/>
        </w:rPr>
        <w:t>Denmark, Germany, the Netherlands</w:t>
      </w:r>
      <w:r w:rsidR="00D33713" w:rsidRPr="00D80C5B" w:rsidDel="002F00DE">
        <w:rPr>
          <w:rFonts w:eastAsia="Times New Roman" w:cstheme="minorHAnsi"/>
          <w:lang w:eastAsia="en-GB"/>
        </w:rPr>
        <w:t xml:space="preserve"> </w:t>
      </w:r>
      <w:r w:rsidR="009A2FF5" w:rsidRPr="00D80C5B">
        <w:rPr>
          <w:rFonts w:eastAsia="Times New Roman" w:cstheme="minorHAnsi"/>
          <w:lang w:eastAsia="en-GB"/>
        </w:rPr>
        <w:t xml:space="preserve">since the </w:t>
      </w:r>
      <w:r w:rsidR="008302B9" w:rsidRPr="00D80C5B">
        <w:rPr>
          <w:rFonts w:eastAsia="Times New Roman" w:cstheme="minorHAnsi"/>
          <w:lang w:eastAsia="en-GB"/>
        </w:rPr>
        <w:t xml:space="preserve">beginning of </w:t>
      </w:r>
      <w:r w:rsidR="009A2FF5" w:rsidRPr="00D80C5B">
        <w:rPr>
          <w:rFonts w:eastAsia="Times New Roman" w:cstheme="minorHAnsi"/>
          <w:lang w:eastAsia="en-GB"/>
        </w:rPr>
        <w:t>this decade</w:t>
      </w:r>
      <w:r w:rsidR="00D33713" w:rsidRPr="00D80C5B" w:rsidDel="002F00DE">
        <w:rPr>
          <w:rFonts w:eastAsia="Times New Roman" w:cstheme="minorHAnsi"/>
          <w:lang w:eastAsia="en-GB"/>
        </w:rPr>
        <w:t xml:space="preserve">, </w:t>
      </w:r>
      <w:r w:rsidR="009A2FF5" w:rsidRPr="00D80C5B">
        <w:rPr>
          <w:rFonts w:eastAsia="Times New Roman" w:cstheme="minorHAnsi"/>
          <w:lang w:eastAsia="en-GB"/>
        </w:rPr>
        <w:t xml:space="preserve">and </w:t>
      </w:r>
      <w:r w:rsidR="008302B9" w:rsidRPr="00D80C5B">
        <w:rPr>
          <w:rFonts w:eastAsia="Times New Roman" w:cstheme="minorHAnsi"/>
          <w:lang w:eastAsia="en-GB"/>
        </w:rPr>
        <w:t>for</w:t>
      </w:r>
      <w:r w:rsidR="009A2FF5" w:rsidRPr="00D80C5B">
        <w:rPr>
          <w:rFonts w:eastAsia="Times New Roman" w:cstheme="minorHAnsi"/>
          <w:lang w:eastAsia="en-GB"/>
        </w:rPr>
        <w:t xml:space="preserve"> </w:t>
      </w:r>
      <w:r w:rsidR="00D33713" w:rsidRPr="00D80C5B" w:rsidDel="002F00DE">
        <w:rPr>
          <w:rFonts w:eastAsia="Times New Roman" w:cstheme="minorHAnsi"/>
          <w:lang w:eastAsia="en-GB"/>
        </w:rPr>
        <w:t>Malta</w:t>
      </w:r>
      <w:r w:rsidR="009A2FF5" w:rsidRPr="00D80C5B">
        <w:rPr>
          <w:rFonts w:eastAsia="Times New Roman" w:cstheme="minorHAnsi"/>
          <w:lang w:eastAsia="en-GB"/>
        </w:rPr>
        <w:t xml:space="preserve"> more recently</w:t>
      </w:r>
      <w:r w:rsidRPr="00D80C5B" w:rsidDel="002F00DE">
        <w:rPr>
          <w:rFonts w:eastAsia="Times New Roman" w:cstheme="minorHAnsi"/>
          <w:lang w:eastAsia="en-GB"/>
        </w:rPr>
        <w:t xml:space="preserve">. </w:t>
      </w:r>
      <w:r w:rsidR="00E001EF" w:rsidRPr="00D80C5B" w:rsidDel="002F00DE">
        <w:rPr>
          <w:rFonts w:eastAsia="Times New Roman" w:cstheme="minorHAnsi"/>
          <w:lang w:eastAsia="en-GB"/>
        </w:rPr>
        <w:t xml:space="preserve">In 2018, surpluses declined in Germany by </w:t>
      </w:r>
      <w:r w:rsidR="00E001EF" w:rsidRPr="00D80C5B">
        <w:rPr>
          <w:rFonts w:eastAsia="Times New Roman" w:cstheme="minorHAnsi"/>
          <w:lang w:eastAsia="en-GB"/>
        </w:rPr>
        <w:t xml:space="preserve">0.7 </w:t>
      </w:r>
      <w:r w:rsidR="00E001EF" w:rsidRPr="00D80C5B" w:rsidDel="002F00DE">
        <w:rPr>
          <w:rFonts w:eastAsia="Times New Roman" w:cstheme="minorHAnsi"/>
          <w:lang w:eastAsia="en-GB"/>
        </w:rPr>
        <w:t>of a percentage point of GDP</w:t>
      </w:r>
      <w:r w:rsidR="00E001EF" w:rsidRPr="00D80C5B">
        <w:rPr>
          <w:rFonts w:eastAsia="Times New Roman" w:cstheme="minorHAnsi"/>
          <w:lang w:eastAsia="en-GB"/>
        </w:rPr>
        <w:t xml:space="preserve"> and marginally less in </w:t>
      </w:r>
      <w:r w:rsidR="00E001EF" w:rsidRPr="00D80C5B" w:rsidDel="002F00DE">
        <w:rPr>
          <w:rFonts w:eastAsia="Times New Roman" w:cstheme="minorHAnsi"/>
          <w:lang w:eastAsia="en-GB"/>
        </w:rPr>
        <w:t>Denmark</w:t>
      </w:r>
      <w:r w:rsidR="00A50CD5" w:rsidRPr="00D80C5B">
        <w:rPr>
          <w:rFonts w:eastAsia="Times New Roman" w:cstheme="minorHAnsi"/>
          <w:lang w:eastAsia="en-GB"/>
        </w:rPr>
        <w:t>,</w:t>
      </w:r>
      <w:r w:rsidR="00E001EF" w:rsidRPr="00D80C5B" w:rsidDel="002F00DE">
        <w:rPr>
          <w:rFonts w:eastAsia="Times New Roman" w:cstheme="minorHAnsi"/>
          <w:lang w:eastAsia="en-GB"/>
        </w:rPr>
        <w:t xml:space="preserve"> </w:t>
      </w:r>
      <w:r w:rsidR="00E001EF" w:rsidRPr="00D80C5B">
        <w:rPr>
          <w:rFonts w:eastAsia="Times New Roman" w:cstheme="minorHAnsi"/>
          <w:lang w:eastAsia="en-GB"/>
        </w:rPr>
        <w:t>while they</w:t>
      </w:r>
      <w:r w:rsidR="00E001EF" w:rsidRPr="00D80C5B" w:rsidDel="002F00DE">
        <w:rPr>
          <w:rFonts w:eastAsia="Times New Roman" w:cstheme="minorHAnsi"/>
          <w:lang w:eastAsia="en-GB"/>
        </w:rPr>
        <w:t xml:space="preserve"> were largely unchanged in Malta and the Netherlands.</w:t>
      </w:r>
      <w:r w:rsidR="00A50CD5" w:rsidRPr="00D80C5B">
        <w:rPr>
          <w:rFonts w:eastAsia="Times New Roman" w:cstheme="minorHAnsi"/>
          <w:lang w:eastAsia="en-GB"/>
        </w:rPr>
        <w:t xml:space="preserve"> </w:t>
      </w:r>
      <w:r w:rsidR="00A50CD5" w:rsidRPr="00D80C5B">
        <w:rPr>
          <w:rFonts w:ascii="Times New Roman" w:eastAsia="Times New Roman" w:hAnsi="Times New Roman" w:cs="Times New Roman"/>
          <w:lang w:eastAsia="en-GB"/>
        </w:rPr>
        <w:t xml:space="preserve">In the latter two countries, </w:t>
      </w:r>
      <w:r w:rsidR="001479CC" w:rsidRPr="00D80C5B">
        <w:rPr>
          <w:rFonts w:ascii="Times New Roman" w:eastAsia="Times New Roman" w:hAnsi="Times New Roman" w:cs="Times New Roman"/>
          <w:lang w:eastAsia="en-GB"/>
        </w:rPr>
        <w:t xml:space="preserve">the </w:t>
      </w:r>
      <w:r w:rsidR="00A50CD5" w:rsidRPr="00D80C5B">
        <w:rPr>
          <w:rFonts w:ascii="Times New Roman" w:eastAsia="Times New Roman" w:hAnsi="Times New Roman" w:cs="Times New Roman"/>
          <w:lang w:eastAsia="en-GB"/>
        </w:rPr>
        <w:t xml:space="preserve">dynamics of the current account are also driven by cross-border transactions linked to the activities of multinational corporations and </w:t>
      </w:r>
      <w:r w:rsidR="00A50CD5" w:rsidRPr="00D80C5B">
        <w:rPr>
          <w:rFonts w:ascii="Times New Roman" w:hAnsi="Times New Roman" w:cs="Times New Roman"/>
        </w:rPr>
        <w:t>of internationally-oriented service sectors that affect both the trade and income balances.</w:t>
      </w:r>
    </w:p>
    <w:p w:rsidR="006B4AE0" w:rsidRPr="00D80C5B" w:rsidDel="002F00DE" w:rsidRDefault="008302B9" w:rsidP="0047733F">
      <w:pPr>
        <w:numPr>
          <w:ilvl w:val="0"/>
          <w:numId w:val="8"/>
        </w:numPr>
        <w:ind w:left="426" w:hanging="284"/>
        <w:jc w:val="both"/>
        <w:rPr>
          <w:rFonts w:eastAsia="Times New Roman" w:cstheme="minorHAnsi"/>
          <w:lang w:eastAsia="en-GB"/>
        </w:rPr>
      </w:pPr>
      <w:r w:rsidRPr="00D80C5B">
        <w:rPr>
          <w:rFonts w:eastAsia="Times New Roman" w:cstheme="minorHAnsi"/>
          <w:b/>
          <w:lang w:eastAsia="en-GB"/>
        </w:rPr>
        <w:t xml:space="preserve">Large surpluses </w:t>
      </w:r>
      <w:r w:rsidR="004B3B9D" w:rsidRPr="003425D8" w:rsidDel="002F00DE">
        <w:rPr>
          <w:rFonts w:eastAsia="Times New Roman" w:cstheme="minorHAnsi"/>
          <w:b/>
          <w:lang w:eastAsia="en-GB"/>
        </w:rPr>
        <w:t xml:space="preserve">keep </w:t>
      </w:r>
      <w:r w:rsidR="0092520B">
        <w:rPr>
          <w:rFonts w:eastAsia="Times New Roman" w:cstheme="minorHAnsi"/>
          <w:b/>
          <w:lang w:eastAsia="en-GB"/>
        </w:rPr>
        <w:t>contributing</w:t>
      </w:r>
      <w:r w:rsidR="0092520B" w:rsidRPr="003425D8" w:rsidDel="002F00DE">
        <w:rPr>
          <w:rFonts w:eastAsia="Times New Roman" w:cstheme="minorHAnsi"/>
          <w:b/>
          <w:lang w:eastAsia="en-GB"/>
        </w:rPr>
        <w:t xml:space="preserve"> </w:t>
      </w:r>
      <w:r w:rsidR="004B3B9D" w:rsidRPr="003425D8" w:rsidDel="002F00DE">
        <w:rPr>
          <w:rFonts w:eastAsia="Times New Roman" w:cstheme="minorHAnsi"/>
          <w:b/>
          <w:lang w:eastAsia="en-GB"/>
        </w:rPr>
        <w:t xml:space="preserve">to </w:t>
      </w:r>
      <w:r w:rsidR="0092520B">
        <w:rPr>
          <w:rFonts w:eastAsia="Times New Roman" w:cstheme="minorHAnsi"/>
          <w:b/>
          <w:lang w:eastAsia="en-GB"/>
        </w:rPr>
        <w:t>large</w:t>
      </w:r>
      <w:r w:rsidR="00F669F2">
        <w:rPr>
          <w:rFonts w:eastAsia="Times New Roman" w:cstheme="minorHAnsi"/>
          <w:b/>
          <w:lang w:eastAsia="en-GB"/>
        </w:rPr>
        <w:t xml:space="preserve"> </w:t>
      </w:r>
      <w:r w:rsidR="004B3B9D" w:rsidRPr="003425D8" w:rsidDel="002F00DE">
        <w:rPr>
          <w:rFonts w:eastAsia="Times New Roman" w:cstheme="minorHAnsi"/>
          <w:b/>
          <w:lang w:eastAsia="en-GB"/>
        </w:rPr>
        <w:t>positive NIIPs.</w:t>
      </w:r>
      <w:r w:rsidR="004B3B9D" w:rsidRPr="00D80C5B" w:rsidDel="002F00DE">
        <w:rPr>
          <w:rFonts w:eastAsia="Times New Roman" w:cstheme="minorHAnsi"/>
          <w:lang w:eastAsia="en-GB"/>
        </w:rPr>
        <w:t xml:space="preserve"> </w:t>
      </w:r>
      <w:r w:rsidRPr="00D80C5B">
        <w:rPr>
          <w:rFonts w:eastAsia="Times New Roman" w:cstheme="minorHAnsi"/>
          <w:lang w:eastAsia="en-GB"/>
        </w:rPr>
        <w:t>E</w:t>
      </w:r>
      <w:r w:rsidR="00A50CD5" w:rsidRPr="00D80C5B">
        <w:rPr>
          <w:rFonts w:eastAsia="Times New Roman" w:cstheme="minorHAnsi"/>
          <w:lang w:eastAsia="en-GB"/>
        </w:rPr>
        <w:t>xcept for Malta,</w:t>
      </w:r>
      <w:r w:rsidRPr="00D80C5B">
        <w:rPr>
          <w:rFonts w:eastAsia="Times New Roman" w:cstheme="minorHAnsi"/>
          <w:lang w:eastAsia="en-GB"/>
        </w:rPr>
        <w:t xml:space="preserve"> current account surpluses above scoreboard threshold are also above levels justified by </w:t>
      </w:r>
      <w:r w:rsidR="00A50CD5" w:rsidRPr="00D80C5B">
        <w:rPr>
          <w:rFonts w:eastAsia="Times New Roman" w:cstheme="minorHAnsi"/>
          <w:lang w:eastAsia="en-GB"/>
        </w:rPr>
        <w:t>fundamentals (Graph</w:t>
      </w:r>
      <w:r w:rsidR="005E40D9" w:rsidRPr="00D80C5B">
        <w:rPr>
          <w:rFonts w:eastAsia="Times New Roman" w:cstheme="minorHAnsi"/>
          <w:lang w:eastAsia="en-GB"/>
        </w:rPr>
        <w:t xml:space="preserve"> </w:t>
      </w:r>
      <w:r w:rsidR="003425D8">
        <w:rPr>
          <w:rFonts w:eastAsia="Times New Roman" w:cstheme="minorHAnsi"/>
          <w:lang w:eastAsia="en-GB"/>
        </w:rPr>
        <w:t>8</w:t>
      </w:r>
      <w:r w:rsidR="00A50CD5" w:rsidRPr="00D80C5B">
        <w:rPr>
          <w:rFonts w:eastAsia="Times New Roman" w:cstheme="minorHAnsi"/>
          <w:lang w:eastAsia="en-GB"/>
        </w:rPr>
        <w:t xml:space="preserve">). </w:t>
      </w:r>
      <w:r w:rsidRPr="00D80C5B">
        <w:rPr>
          <w:rFonts w:eastAsia="Times New Roman" w:cstheme="minorHAnsi"/>
          <w:lang w:eastAsia="en-GB"/>
        </w:rPr>
        <w:t>In all cases, surpluses above scoreboard threshold are also above levels that would permit a stabilisation of the already largely NIIP at the current level over a 10-year horizon</w:t>
      </w:r>
      <w:r w:rsidR="00A50CD5" w:rsidRPr="00D80C5B">
        <w:rPr>
          <w:rFonts w:eastAsia="Times New Roman" w:cstheme="minorHAnsi"/>
          <w:lang w:eastAsia="en-GB"/>
        </w:rPr>
        <w:t>.</w:t>
      </w:r>
    </w:p>
    <w:p w:rsidR="006B4AE0" w:rsidRPr="00D80C5B" w:rsidRDefault="006B4AE0" w:rsidP="00850EA8">
      <w:pPr>
        <w:rPr>
          <w:rFonts w:eastAsia="MS Mincho" w:cstheme="minorHAnsi"/>
          <w:b/>
          <w:bCs/>
          <w:lang w:eastAsia="ja-JP"/>
        </w:rPr>
      </w:pPr>
    </w:p>
    <w:p w:rsidR="006B4AE0" w:rsidRPr="00D80C5B" w:rsidRDefault="006B4AE0" w:rsidP="00CC749B">
      <w:pPr>
        <w:keepNext/>
        <w:ind w:left="0"/>
        <w:jc w:val="center"/>
        <w:rPr>
          <w:rFonts w:eastAsia="MS Mincho" w:cstheme="minorHAnsi"/>
          <w:b/>
          <w:bCs/>
          <w:lang w:eastAsia="ja-JP"/>
        </w:rPr>
      </w:pPr>
      <w:r w:rsidRPr="00D80C5B">
        <w:rPr>
          <w:rFonts w:eastAsia="MS Mincho" w:cstheme="minorHAnsi"/>
          <w:b/>
          <w:bCs/>
          <w:lang w:eastAsia="ja-JP"/>
        </w:rPr>
        <w:t xml:space="preserve">Graph </w:t>
      </w:r>
      <w:r w:rsidR="003425D8">
        <w:rPr>
          <w:rFonts w:eastAsia="MS Mincho" w:cstheme="minorHAnsi"/>
          <w:b/>
          <w:bCs/>
          <w:lang w:eastAsia="ja-JP"/>
        </w:rPr>
        <w:t>8</w:t>
      </w:r>
      <w:r w:rsidRPr="00D80C5B">
        <w:rPr>
          <w:rFonts w:eastAsia="MS Mincho" w:cstheme="minorHAnsi"/>
          <w:b/>
          <w:bCs/>
          <w:lang w:eastAsia="ja-JP"/>
        </w:rPr>
        <w:t>: Current account balances and benchmarks in 2018</w:t>
      </w:r>
    </w:p>
    <w:p w:rsidR="00EB68DB" w:rsidRPr="00D80C5B" w:rsidRDefault="00770A24" w:rsidP="00CC749B">
      <w:pPr>
        <w:keepNext/>
        <w:ind w:left="0"/>
        <w:jc w:val="center"/>
        <w:rPr>
          <w:rFonts w:eastAsia="MS Mincho" w:cstheme="minorHAnsi"/>
          <w:b/>
          <w:bCs/>
          <w:lang w:eastAsia="ja-JP"/>
        </w:rPr>
      </w:pPr>
      <w:bookmarkStart w:id="8" w:name="cabb"/>
      <w:r w:rsidRPr="00D80C5B">
        <w:rPr>
          <w:rFonts w:eastAsia="MS Mincho" w:cstheme="minorHAnsi"/>
          <w:b/>
          <w:bCs/>
          <w:noProof/>
          <w:lang w:eastAsia="en-GB"/>
        </w:rPr>
        <w:drawing>
          <wp:inline distT="0" distB="0" distL="0" distR="0" wp14:anchorId="14A1CC9A" wp14:editId="1E32F6D4">
            <wp:extent cx="5760000" cy="2844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bookmarkEnd w:id="8"/>
    </w:p>
    <w:p w:rsidR="006B4AE0" w:rsidRPr="00D80C5B" w:rsidRDefault="006B4AE0" w:rsidP="00FB1CF4">
      <w:pPr>
        <w:ind w:left="0"/>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Eurostat (BPM6 data) and Commission services calculations.</w:t>
      </w:r>
    </w:p>
    <w:p w:rsidR="006B4AE0" w:rsidRPr="00D80C5B" w:rsidRDefault="006B4AE0" w:rsidP="00FB1CF4">
      <w:pPr>
        <w:ind w:left="0"/>
        <w:jc w:val="both"/>
        <w:rPr>
          <w:rFonts w:cstheme="minorHAnsi"/>
          <w:sz w:val="20"/>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Countries are ranked by current account balance in 2018. </w:t>
      </w:r>
      <w:r w:rsidRPr="00D80C5B">
        <w:rPr>
          <w:rFonts w:cstheme="minorHAnsi"/>
          <w:i/>
          <w:sz w:val="20"/>
        </w:rPr>
        <w:t>Cyclically-adjusted current account balances</w:t>
      </w:r>
      <w:r w:rsidRPr="00D80C5B">
        <w:rPr>
          <w:rFonts w:cstheme="minorHAnsi"/>
          <w:sz w:val="20"/>
        </w:rPr>
        <w:t xml:space="preserve">: see footnote </w:t>
      </w:r>
      <w:r w:rsidR="005F1129" w:rsidRPr="00D80C5B">
        <w:rPr>
          <w:rFonts w:cstheme="minorHAnsi"/>
          <w:sz w:val="20"/>
        </w:rPr>
        <w:fldChar w:fldCharType="begin"/>
      </w:r>
      <w:r w:rsidR="005F1129" w:rsidRPr="00D80C5B">
        <w:rPr>
          <w:rFonts w:cstheme="minorHAnsi"/>
          <w:sz w:val="20"/>
        </w:rPr>
        <w:instrText xml:space="preserve"> NOTEREF _Ref20488451 \h </w:instrText>
      </w:r>
      <w:r w:rsidR="00D80C5B">
        <w:rPr>
          <w:rFonts w:cstheme="minorHAnsi"/>
          <w:sz w:val="20"/>
        </w:rPr>
        <w:instrText xml:space="preserve"> \* MERGEFORMAT </w:instrText>
      </w:r>
      <w:r w:rsidR="005F1129" w:rsidRPr="00D80C5B">
        <w:rPr>
          <w:rFonts w:cstheme="minorHAnsi"/>
          <w:sz w:val="20"/>
        </w:rPr>
      </w:r>
      <w:r w:rsidR="005F1129" w:rsidRPr="00D80C5B">
        <w:rPr>
          <w:rFonts w:cstheme="minorHAnsi"/>
          <w:sz w:val="20"/>
        </w:rPr>
        <w:fldChar w:fldCharType="separate"/>
      </w:r>
      <w:r w:rsidR="008D55C0">
        <w:rPr>
          <w:rFonts w:cstheme="minorHAnsi"/>
          <w:sz w:val="20"/>
        </w:rPr>
        <w:t>22</w:t>
      </w:r>
      <w:r w:rsidR="005F1129" w:rsidRPr="00D80C5B">
        <w:rPr>
          <w:rFonts w:cstheme="minorHAnsi"/>
          <w:sz w:val="20"/>
        </w:rPr>
        <w:fldChar w:fldCharType="end"/>
      </w:r>
      <w:r w:rsidRPr="00D80C5B">
        <w:rPr>
          <w:rFonts w:cstheme="minorHAnsi"/>
          <w:sz w:val="20"/>
        </w:rPr>
        <w:t xml:space="preserve">. </w:t>
      </w:r>
      <w:r w:rsidRPr="00D80C5B">
        <w:rPr>
          <w:rFonts w:cstheme="minorHAnsi"/>
          <w:i/>
          <w:sz w:val="20"/>
        </w:rPr>
        <w:t>Current account norms</w:t>
      </w:r>
      <w:r w:rsidRPr="00D80C5B">
        <w:rPr>
          <w:rFonts w:cstheme="minorHAnsi"/>
          <w:sz w:val="20"/>
        </w:rPr>
        <w:t xml:space="preserve">: see footnote </w:t>
      </w:r>
      <w:r w:rsidR="005F1129" w:rsidRPr="00D80C5B">
        <w:rPr>
          <w:rFonts w:cstheme="minorHAnsi"/>
          <w:sz w:val="20"/>
        </w:rPr>
        <w:fldChar w:fldCharType="begin"/>
      </w:r>
      <w:r w:rsidR="005F1129" w:rsidRPr="00D80C5B">
        <w:rPr>
          <w:rFonts w:cstheme="minorHAnsi"/>
          <w:sz w:val="20"/>
        </w:rPr>
        <w:instrText xml:space="preserve"> NOTEREF _Ref20488444 \h </w:instrText>
      </w:r>
      <w:r w:rsidR="00D80C5B">
        <w:rPr>
          <w:rFonts w:cstheme="minorHAnsi"/>
          <w:sz w:val="20"/>
        </w:rPr>
        <w:instrText xml:space="preserve"> \* MERGEFORMAT </w:instrText>
      </w:r>
      <w:r w:rsidR="005F1129" w:rsidRPr="00D80C5B">
        <w:rPr>
          <w:rFonts w:cstheme="minorHAnsi"/>
          <w:sz w:val="20"/>
        </w:rPr>
      </w:r>
      <w:r w:rsidR="005F1129" w:rsidRPr="00D80C5B">
        <w:rPr>
          <w:rFonts w:cstheme="minorHAnsi"/>
          <w:sz w:val="20"/>
        </w:rPr>
        <w:fldChar w:fldCharType="separate"/>
      </w:r>
      <w:r w:rsidR="008D55C0">
        <w:rPr>
          <w:rFonts w:cstheme="minorHAnsi"/>
          <w:sz w:val="20"/>
        </w:rPr>
        <w:t>21</w:t>
      </w:r>
      <w:r w:rsidR="005F1129" w:rsidRPr="00D80C5B">
        <w:rPr>
          <w:rFonts w:cstheme="minorHAnsi"/>
          <w:sz w:val="20"/>
        </w:rPr>
        <w:fldChar w:fldCharType="end"/>
      </w:r>
      <w:r w:rsidRPr="00D80C5B">
        <w:rPr>
          <w:rFonts w:cstheme="minorHAnsi"/>
          <w:sz w:val="20"/>
        </w:rPr>
        <w:t xml:space="preserve">. The </w:t>
      </w:r>
      <w:r w:rsidRPr="00D80C5B">
        <w:rPr>
          <w:rFonts w:cstheme="minorHAnsi"/>
          <w:i/>
          <w:sz w:val="20"/>
        </w:rPr>
        <w:t>NIIP-stabilising current account</w:t>
      </w:r>
      <w:r w:rsidRPr="00D80C5B">
        <w:rPr>
          <w:rFonts w:cstheme="minorHAnsi"/>
          <w:sz w:val="20"/>
        </w:rPr>
        <w:t xml:space="preserve"> benchmark is defined as the current account required to stabilise the NIIP at the current level over the next 10 years or, if the current NIIP is below its country-specific prudential threshold, </w:t>
      </w:r>
      <w:r w:rsidR="005F1129" w:rsidRPr="00D80C5B">
        <w:rPr>
          <w:rFonts w:cstheme="minorHAnsi"/>
          <w:sz w:val="20"/>
        </w:rPr>
        <w:t xml:space="preserve">is </w:t>
      </w:r>
      <w:r w:rsidRPr="00D80C5B">
        <w:rPr>
          <w:rFonts w:cstheme="minorHAnsi"/>
          <w:sz w:val="20"/>
        </w:rPr>
        <w:t>the current account required to reach th</w:t>
      </w:r>
      <w:r w:rsidR="005F1129" w:rsidRPr="00D80C5B">
        <w:rPr>
          <w:rFonts w:cstheme="minorHAnsi"/>
          <w:sz w:val="20"/>
        </w:rPr>
        <w:t>at</w:t>
      </w:r>
      <w:r w:rsidRPr="00D80C5B">
        <w:rPr>
          <w:rFonts w:cstheme="minorHAnsi"/>
          <w:sz w:val="20"/>
        </w:rPr>
        <w:t xml:space="preserve"> NIIP prudential threshold over the next 10 years</w:t>
      </w:r>
      <w:r w:rsidR="00E655CE">
        <w:rPr>
          <w:rFonts w:cstheme="minorHAnsi"/>
          <w:sz w:val="20"/>
        </w:rPr>
        <w:t xml:space="preserve"> (see footnote </w:t>
      </w:r>
      <w:r w:rsidR="00E655CE">
        <w:rPr>
          <w:rFonts w:cstheme="minorHAnsi"/>
          <w:sz w:val="20"/>
        </w:rPr>
        <w:fldChar w:fldCharType="begin"/>
      </w:r>
      <w:r w:rsidR="00E655CE">
        <w:rPr>
          <w:rFonts w:cstheme="minorHAnsi"/>
          <w:sz w:val="20"/>
        </w:rPr>
        <w:instrText xml:space="preserve"> NOTEREF _Ref21014141 \h </w:instrText>
      </w:r>
      <w:r w:rsidR="00E655CE">
        <w:rPr>
          <w:rFonts w:cstheme="minorHAnsi"/>
          <w:sz w:val="20"/>
        </w:rPr>
      </w:r>
      <w:r w:rsidR="00E655CE">
        <w:rPr>
          <w:rFonts w:cstheme="minorHAnsi"/>
          <w:sz w:val="20"/>
        </w:rPr>
        <w:fldChar w:fldCharType="separate"/>
      </w:r>
      <w:r w:rsidR="008D55C0">
        <w:rPr>
          <w:rFonts w:cstheme="minorHAnsi"/>
          <w:sz w:val="20"/>
        </w:rPr>
        <w:t>25</w:t>
      </w:r>
      <w:r w:rsidR="00E655CE">
        <w:rPr>
          <w:rFonts w:cstheme="minorHAnsi"/>
          <w:sz w:val="20"/>
        </w:rPr>
        <w:fldChar w:fldCharType="end"/>
      </w:r>
      <w:r w:rsidR="00E655CE">
        <w:rPr>
          <w:rFonts w:cstheme="minorHAnsi"/>
          <w:sz w:val="20"/>
        </w:rPr>
        <w:t>)</w:t>
      </w:r>
      <w:r w:rsidRPr="00D80C5B">
        <w:rPr>
          <w:rFonts w:cstheme="minorHAnsi"/>
          <w:sz w:val="20"/>
        </w:rPr>
        <w:t xml:space="preserve">. </w:t>
      </w:r>
    </w:p>
    <w:p w:rsidR="006B4AE0" w:rsidRPr="00D80C5B" w:rsidRDefault="006B4AE0" w:rsidP="00850EA8">
      <w:pPr>
        <w:jc w:val="both"/>
        <w:rPr>
          <w:rFonts w:eastAsia="Times New Roman" w:cstheme="minorHAnsi"/>
          <w:szCs w:val="24"/>
          <w:lang w:eastAsia="en-GB"/>
        </w:rPr>
      </w:pPr>
    </w:p>
    <w:p w:rsidR="006B4AE0" w:rsidRPr="00D80C5B" w:rsidRDefault="006B4AE0" w:rsidP="00CC749B">
      <w:pPr>
        <w:keepNext/>
        <w:ind w:left="0"/>
        <w:jc w:val="center"/>
        <w:rPr>
          <w:rFonts w:eastAsia="MS Mincho" w:cstheme="minorHAnsi"/>
          <w:b/>
          <w:bCs/>
          <w:lang w:eastAsia="ja-JP"/>
        </w:rPr>
      </w:pPr>
      <w:r w:rsidRPr="00D80C5B">
        <w:rPr>
          <w:rFonts w:eastAsia="MS Mincho" w:cstheme="minorHAnsi"/>
          <w:b/>
          <w:bCs/>
          <w:lang w:eastAsia="ja-JP"/>
        </w:rPr>
        <w:t xml:space="preserve">Graph </w:t>
      </w:r>
      <w:r w:rsidR="003425D8">
        <w:rPr>
          <w:rFonts w:eastAsia="MS Mincho" w:cstheme="minorHAnsi"/>
          <w:b/>
          <w:bCs/>
          <w:lang w:eastAsia="ja-JP"/>
        </w:rPr>
        <w:t>9</w:t>
      </w:r>
      <w:r w:rsidRPr="00D80C5B">
        <w:rPr>
          <w:rFonts w:eastAsia="MS Mincho" w:cstheme="minorHAnsi"/>
          <w:b/>
          <w:bCs/>
          <w:lang w:eastAsia="ja-JP"/>
        </w:rPr>
        <w:t>: Evolution of current account balances</w:t>
      </w:r>
      <w:r w:rsidR="00862096" w:rsidRPr="00D80C5B">
        <w:rPr>
          <w:rFonts w:eastAsia="MS Mincho" w:cstheme="minorHAnsi"/>
          <w:b/>
          <w:bCs/>
          <w:lang w:eastAsia="ja-JP"/>
        </w:rPr>
        <w:t xml:space="preserve"> </w:t>
      </w:r>
    </w:p>
    <w:p w:rsidR="00CD6418" w:rsidRPr="00D80C5B" w:rsidRDefault="00862096" w:rsidP="00CC749B">
      <w:pPr>
        <w:keepNext/>
        <w:ind w:left="0"/>
        <w:jc w:val="center"/>
        <w:rPr>
          <w:rFonts w:eastAsia="MS Mincho" w:cstheme="minorHAnsi"/>
          <w:b/>
          <w:bCs/>
          <w:lang w:eastAsia="ja-JP"/>
        </w:rPr>
      </w:pPr>
      <w:bookmarkStart w:id="9" w:name="caevol"/>
      <w:r w:rsidRPr="00D80C5B">
        <w:rPr>
          <w:rFonts w:eastAsia="MS Mincho" w:cstheme="minorHAnsi"/>
          <w:b/>
          <w:bCs/>
          <w:noProof/>
          <w:lang w:eastAsia="en-GB"/>
        </w:rPr>
        <w:drawing>
          <wp:inline distT="0" distB="0" distL="0" distR="0" wp14:anchorId="2433F66A" wp14:editId="7880FA59">
            <wp:extent cx="5760000" cy="2844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r w:rsidRPr="003425D8" w:rsidDel="00862096">
        <w:rPr>
          <w:rFonts w:eastAsia="MS Mincho" w:cstheme="minorHAnsi"/>
          <w:b/>
          <w:bCs/>
          <w:noProof/>
          <w:lang w:val="en-US" w:eastAsia="fr-BE"/>
        </w:rPr>
        <w:t xml:space="preserve"> </w:t>
      </w:r>
      <w:bookmarkEnd w:id="9"/>
    </w:p>
    <w:p w:rsidR="006B4AE0" w:rsidRPr="00D80C5B" w:rsidRDefault="006B4AE0" w:rsidP="00FB1CF4">
      <w:pPr>
        <w:ind w:left="0"/>
        <w:jc w:val="both"/>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Eurostat and Commission services calculations.</w:t>
      </w:r>
    </w:p>
    <w:p w:rsidR="006B4AE0" w:rsidRPr="00D80C5B" w:rsidRDefault="006B4AE0" w:rsidP="00FB1CF4">
      <w:pPr>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Countries are ranked in increasing order of the variation in the current account in terms of GDP between 2007 and 2018. The </w:t>
      </w:r>
      <w:r w:rsidRPr="00D80C5B">
        <w:rPr>
          <w:rFonts w:eastAsia="Times New Roman" w:cstheme="minorHAnsi"/>
          <w:i/>
          <w:sz w:val="20"/>
          <w:szCs w:val="20"/>
          <w:lang w:eastAsia="en-GB"/>
        </w:rPr>
        <w:t>variation owed to the cycle</w:t>
      </w:r>
      <w:r w:rsidRPr="00D80C5B">
        <w:rPr>
          <w:rFonts w:eastAsia="Times New Roman" w:cstheme="minorHAnsi"/>
          <w:sz w:val="20"/>
          <w:szCs w:val="20"/>
          <w:lang w:eastAsia="en-GB"/>
        </w:rPr>
        <w:t xml:space="preserve"> is computed as the variation of the current account that is not accounted for by the variation of the cyclically-adjusted current account balance.</w:t>
      </w:r>
    </w:p>
    <w:p w:rsidR="006B4AE0" w:rsidRPr="00D80C5B" w:rsidRDefault="006B4AE0" w:rsidP="00FB1CF4">
      <w:pPr>
        <w:spacing w:after="120"/>
        <w:jc w:val="both"/>
        <w:rPr>
          <w:rFonts w:eastAsia="Times New Roman" w:cstheme="minorHAnsi"/>
          <w:b/>
          <w:lang w:eastAsia="en-GB"/>
        </w:rPr>
      </w:pPr>
    </w:p>
    <w:p w:rsidR="006B4AE0" w:rsidRPr="00D80C5B" w:rsidRDefault="006B4AE0" w:rsidP="00FB1CF4">
      <w:pPr>
        <w:spacing w:after="120"/>
        <w:ind w:left="0"/>
        <w:jc w:val="both"/>
        <w:rPr>
          <w:rFonts w:eastAsia="Times New Roman" w:cstheme="minorHAnsi"/>
          <w:lang w:eastAsia="en-GB"/>
        </w:rPr>
      </w:pPr>
      <w:r w:rsidRPr="00D80C5B">
        <w:rPr>
          <w:rFonts w:eastAsia="Times New Roman" w:cstheme="minorHAnsi"/>
          <w:b/>
          <w:lang w:eastAsia="en-GB"/>
        </w:rPr>
        <w:t xml:space="preserve">In 2018, NIIPs improved </w:t>
      </w:r>
      <w:r w:rsidR="005F5F3B" w:rsidRPr="00D80C5B">
        <w:rPr>
          <w:rFonts w:eastAsia="Times New Roman" w:cstheme="minorHAnsi"/>
          <w:b/>
          <w:lang w:eastAsia="en-GB"/>
        </w:rPr>
        <w:t>a</w:t>
      </w:r>
      <w:r w:rsidR="00B7088C" w:rsidRPr="00D80C5B">
        <w:rPr>
          <w:rFonts w:eastAsia="Times New Roman" w:cstheme="minorHAnsi"/>
          <w:b/>
          <w:lang w:eastAsia="en-GB"/>
        </w:rPr>
        <w:t>t</w:t>
      </w:r>
      <w:r w:rsidR="005F5F3B" w:rsidRPr="00D80C5B">
        <w:rPr>
          <w:rFonts w:eastAsia="Times New Roman" w:cstheme="minorHAnsi"/>
          <w:b/>
          <w:lang w:eastAsia="en-GB"/>
        </w:rPr>
        <w:t xml:space="preserve"> </w:t>
      </w:r>
      <w:r w:rsidRPr="00D80C5B">
        <w:rPr>
          <w:rFonts w:eastAsia="Times New Roman" w:cstheme="minorHAnsi"/>
          <w:b/>
          <w:lang w:eastAsia="en-GB"/>
        </w:rPr>
        <w:t>faster</w:t>
      </w:r>
      <w:r w:rsidR="005F5F3B" w:rsidRPr="00D80C5B">
        <w:rPr>
          <w:rFonts w:eastAsia="Times New Roman" w:cstheme="minorHAnsi"/>
          <w:b/>
          <w:lang w:eastAsia="en-GB"/>
        </w:rPr>
        <w:t xml:space="preserve"> </w:t>
      </w:r>
      <w:r w:rsidR="00B7088C" w:rsidRPr="00D80C5B">
        <w:rPr>
          <w:rFonts w:eastAsia="Times New Roman" w:cstheme="minorHAnsi"/>
          <w:b/>
          <w:lang w:eastAsia="en-GB"/>
        </w:rPr>
        <w:t xml:space="preserve">pace </w:t>
      </w:r>
      <w:r w:rsidR="00FB1CF4" w:rsidRPr="00D80C5B">
        <w:rPr>
          <w:rFonts w:eastAsia="Times New Roman" w:cstheme="minorHAnsi"/>
          <w:b/>
          <w:lang w:eastAsia="en-GB"/>
        </w:rPr>
        <w:t xml:space="preserve">in </w:t>
      </w:r>
      <w:r w:rsidR="005F5F3B" w:rsidRPr="00D80C5B">
        <w:rPr>
          <w:rFonts w:eastAsia="Times New Roman" w:cstheme="minorHAnsi"/>
          <w:b/>
          <w:lang w:eastAsia="en-GB"/>
        </w:rPr>
        <w:t xml:space="preserve">most </w:t>
      </w:r>
      <w:r w:rsidRPr="00D80C5B">
        <w:rPr>
          <w:rFonts w:eastAsia="Times New Roman" w:cstheme="minorHAnsi"/>
          <w:b/>
          <w:lang w:eastAsia="en-GB"/>
        </w:rPr>
        <w:t xml:space="preserve">Member States, </w:t>
      </w:r>
      <w:r w:rsidR="00293381" w:rsidRPr="00D80C5B">
        <w:rPr>
          <w:rFonts w:eastAsia="Times New Roman" w:cstheme="minorHAnsi"/>
          <w:b/>
          <w:lang w:eastAsia="en-GB"/>
        </w:rPr>
        <w:t>but</w:t>
      </w:r>
      <w:r w:rsidRPr="00D80C5B">
        <w:rPr>
          <w:rFonts w:eastAsia="Times New Roman" w:cstheme="minorHAnsi"/>
          <w:b/>
          <w:lang w:eastAsia="en-GB"/>
        </w:rPr>
        <w:t xml:space="preserve"> </w:t>
      </w:r>
      <w:r w:rsidR="005F5F3B" w:rsidRPr="00D80C5B">
        <w:rPr>
          <w:rFonts w:eastAsia="Times New Roman" w:cstheme="minorHAnsi"/>
          <w:b/>
          <w:lang w:eastAsia="en-GB"/>
        </w:rPr>
        <w:t xml:space="preserve">large stocks of negative external liabilities persist </w:t>
      </w:r>
      <w:r w:rsidR="00293381" w:rsidRPr="00D80C5B">
        <w:rPr>
          <w:rFonts w:eastAsia="Times New Roman" w:cstheme="minorHAnsi"/>
          <w:b/>
          <w:lang w:eastAsia="en-GB"/>
        </w:rPr>
        <w:t>in</w:t>
      </w:r>
      <w:r w:rsidR="005F5F3B" w:rsidRPr="00D80C5B">
        <w:rPr>
          <w:rFonts w:eastAsia="Times New Roman" w:cstheme="minorHAnsi"/>
          <w:b/>
          <w:lang w:eastAsia="en-GB"/>
        </w:rPr>
        <w:t xml:space="preserve"> a number of them</w:t>
      </w:r>
      <w:r w:rsidRPr="00D80C5B">
        <w:rPr>
          <w:rFonts w:eastAsia="Times New Roman" w:cstheme="minorHAnsi"/>
          <w:b/>
          <w:lang w:eastAsia="en-GB"/>
        </w:rPr>
        <w:t>.</w:t>
      </w:r>
      <w:r w:rsidRPr="00D80C5B">
        <w:rPr>
          <w:rFonts w:eastAsia="Times New Roman" w:cstheme="minorHAnsi"/>
          <w:lang w:eastAsia="en-GB"/>
        </w:rPr>
        <w:t xml:space="preserve"> NIIP improvements continued in 2018 thanks to</w:t>
      </w:r>
      <w:r w:rsidR="002456CC" w:rsidRPr="00D80C5B">
        <w:rPr>
          <w:rFonts w:eastAsia="Times New Roman" w:cstheme="minorHAnsi"/>
          <w:lang w:eastAsia="en-GB"/>
        </w:rPr>
        <w:t xml:space="preserve"> prudent current account positions</w:t>
      </w:r>
      <w:r w:rsidR="00E63900" w:rsidRPr="00D80C5B">
        <w:rPr>
          <w:rFonts w:eastAsia="Times New Roman" w:cstheme="minorHAnsi"/>
          <w:lang w:eastAsia="en-GB"/>
        </w:rPr>
        <w:t>,</w:t>
      </w:r>
      <w:r w:rsidR="002456CC" w:rsidRPr="00D80C5B">
        <w:rPr>
          <w:rFonts w:eastAsia="Times New Roman" w:cstheme="minorHAnsi"/>
          <w:lang w:eastAsia="en-GB"/>
        </w:rPr>
        <w:t xml:space="preserve"> </w:t>
      </w:r>
      <w:r w:rsidRPr="00D80C5B">
        <w:rPr>
          <w:rFonts w:eastAsia="Times New Roman" w:cstheme="minorHAnsi"/>
          <w:lang w:eastAsia="en-GB"/>
        </w:rPr>
        <w:t>GDP growth</w:t>
      </w:r>
      <w:r w:rsidR="00E63900" w:rsidRPr="00D80C5B">
        <w:rPr>
          <w:rFonts w:eastAsia="Times New Roman" w:cstheme="minorHAnsi"/>
          <w:lang w:eastAsia="en-GB"/>
        </w:rPr>
        <w:t xml:space="preserve"> and large positive valuation effects in a number of countries</w:t>
      </w:r>
      <w:r w:rsidRPr="00D80C5B">
        <w:rPr>
          <w:rFonts w:eastAsia="Times New Roman" w:cstheme="minorHAnsi"/>
          <w:lang w:eastAsia="en-GB"/>
        </w:rPr>
        <w:t xml:space="preserve"> </w:t>
      </w:r>
      <w:r w:rsidR="00507856" w:rsidRPr="00D80C5B">
        <w:rPr>
          <w:rFonts w:eastAsia="Times New Roman" w:cstheme="minorHAnsi"/>
          <w:lang w:eastAsia="en-GB"/>
        </w:rPr>
        <w:t xml:space="preserve">(Graphs </w:t>
      </w:r>
      <w:r w:rsidR="00D6461F" w:rsidRPr="00D80C5B">
        <w:rPr>
          <w:rFonts w:eastAsia="Times New Roman" w:cstheme="minorHAnsi"/>
          <w:lang w:eastAsia="en-GB"/>
        </w:rPr>
        <w:t>1</w:t>
      </w:r>
      <w:r w:rsidR="003425D8">
        <w:rPr>
          <w:rFonts w:eastAsia="Times New Roman" w:cstheme="minorHAnsi"/>
          <w:lang w:eastAsia="en-GB"/>
        </w:rPr>
        <w:t>0</w:t>
      </w:r>
      <w:r w:rsidR="00507856" w:rsidRPr="00D80C5B">
        <w:rPr>
          <w:rFonts w:eastAsia="Times New Roman" w:cstheme="minorHAnsi"/>
          <w:lang w:eastAsia="en-GB"/>
        </w:rPr>
        <w:t xml:space="preserve"> and </w:t>
      </w:r>
      <w:r w:rsidR="005E40D9" w:rsidRPr="00D80C5B">
        <w:rPr>
          <w:rFonts w:eastAsia="Times New Roman" w:cstheme="minorHAnsi"/>
          <w:lang w:eastAsia="en-GB"/>
        </w:rPr>
        <w:t>1</w:t>
      </w:r>
      <w:r w:rsidR="003425D8">
        <w:rPr>
          <w:rFonts w:eastAsia="Times New Roman" w:cstheme="minorHAnsi"/>
          <w:lang w:eastAsia="en-GB"/>
        </w:rPr>
        <w:t>1</w:t>
      </w:r>
      <w:r w:rsidR="00507856" w:rsidRPr="00D80C5B">
        <w:rPr>
          <w:rFonts w:eastAsia="Times New Roman" w:cstheme="minorHAnsi"/>
          <w:lang w:eastAsia="en-GB"/>
        </w:rPr>
        <w:t>)</w:t>
      </w:r>
      <w:r w:rsidR="00293381" w:rsidRPr="00D80C5B">
        <w:rPr>
          <w:rFonts w:eastAsia="Times New Roman" w:cstheme="minorHAnsi"/>
          <w:lang w:eastAsia="en-GB"/>
        </w:rPr>
        <w:t xml:space="preserve">. </w:t>
      </w:r>
      <w:r w:rsidRPr="00D80C5B">
        <w:rPr>
          <w:rFonts w:eastAsia="Times New Roman" w:cstheme="minorHAnsi"/>
          <w:lang w:eastAsia="en-GB"/>
        </w:rPr>
        <w:t xml:space="preserve">Yet NIIPs remain </w:t>
      </w:r>
      <w:r w:rsidR="0051278E" w:rsidRPr="00D80C5B">
        <w:rPr>
          <w:rFonts w:eastAsia="Times New Roman" w:cstheme="minorHAnsi"/>
          <w:lang w:eastAsia="en-GB"/>
        </w:rPr>
        <w:t xml:space="preserve">largely </w:t>
      </w:r>
      <w:r w:rsidRPr="00D80C5B">
        <w:rPr>
          <w:rFonts w:eastAsia="Times New Roman" w:cstheme="minorHAnsi"/>
          <w:lang w:eastAsia="en-GB"/>
        </w:rPr>
        <w:t>negative in a number of EU countries.</w:t>
      </w:r>
      <w:r w:rsidR="0051278E" w:rsidRPr="00D80C5B">
        <w:rPr>
          <w:rFonts w:eastAsia="Times New Roman" w:cstheme="minorHAnsi"/>
          <w:lang w:eastAsia="en-GB"/>
        </w:rPr>
        <w:t xml:space="preserve"> In 2018, 12 Member States recorded NIIPs worse than the scoreboard threshold of -35% of GDP</w:t>
      </w:r>
      <w:r w:rsidR="009B6656" w:rsidRPr="00D80C5B">
        <w:rPr>
          <w:rFonts w:eastAsia="Times New Roman" w:cstheme="minorHAnsi"/>
          <w:lang w:eastAsia="en-GB"/>
        </w:rPr>
        <w:t xml:space="preserve">, one </w:t>
      </w:r>
      <w:r w:rsidR="00EE06A8" w:rsidRPr="00D80C5B">
        <w:rPr>
          <w:rFonts w:eastAsia="Times New Roman" w:cstheme="minorHAnsi"/>
          <w:lang w:eastAsia="en-GB"/>
        </w:rPr>
        <w:t xml:space="preserve">fewer </w:t>
      </w:r>
      <w:r w:rsidR="009E4E09" w:rsidRPr="00D80C5B">
        <w:rPr>
          <w:rFonts w:eastAsia="Times New Roman" w:cstheme="minorHAnsi"/>
          <w:lang w:eastAsia="en-GB"/>
        </w:rPr>
        <w:t xml:space="preserve">than in </w:t>
      </w:r>
      <w:r w:rsidR="009B6656" w:rsidRPr="00D80C5B">
        <w:rPr>
          <w:rFonts w:eastAsia="Times New Roman" w:cstheme="minorHAnsi"/>
          <w:lang w:eastAsia="en-GB"/>
        </w:rPr>
        <w:t>2017</w:t>
      </w:r>
      <w:r w:rsidR="0051278E" w:rsidRPr="00D80C5B">
        <w:rPr>
          <w:rFonts w:eastAsia="Times New Roman" w:cstheme="minorHAnsi"/>
          <w:lang w:eastAsia="en-GB"/>
        </w:rPr>
        <w:t xml:space="preserve">. </w:t>
      </w:r>
      <w:r w:rsidR="00E63900" w:rsidRPr="00D80C5B">
        <w:rPr>
          <w:rFonts w:eastAsia="Times New Roman" w:cstheme="minorHAnsi"/>
          <w:lang w:eastAsia="en-GB"/>
        </w:rPr>
        <w:t xml:space="preserve">In countries with largely negative </w:t>
      </w:r>
      <w:r w:rsidRPr="00D80C5B">
        <w:rPr>
          <w:rFonts w:eastAsia="Times New Roman" w:cstheme="minorHAnsi"/>
          <w:lang w:eastAsia="en-GB"/>
        </w:rPr>
        <w:t>NIIPs</w:t>
      </w:r>
      <w:r w:rsidR="00E63900" w:rsidRPr="00D80C5B">
        <w:rPr>
          <w:rFonts w:eastAsia="Times New Roman" w:cstheme="minorHAnsi"/>
          <w:lang w:eastAsia="en-GB"/>
        </w:rPr>
        <w:t>,</w:t>
      </w:r>
      <w:r w:rsidRPr="00D80C5B">
        <w:rPr>
          <w:rFonts w:eastAsia="Times New Roman" w:cstheme="minorHAnsi"/>
          <w:lang w:eastAsia="en-GB"/>
        </w:rPr>
        <w:t xml:space="preserve"> </w:t>
      </w:r>
      <w:r w:rsidR="00E63900" w:rsidRPr="00D80C5B">
        <w:rPr>
          <w:rFonts w:eastAsia="Times New Roman" w:cstheme="minorHAnsi"/>
          <w:lang w:eastAsia="en-GB"/>
        </w:rPr>
        <w:t xml:space="preserve">values are below what could be </w:t>
      </w:r>
      <w:r w:rsidRPr="00D80C5B">
        <w:rPr>
          <w:rFonts w:eastAsia="Times New Roman" w:cstheme="minorHAnsi"/>
          <w:lang w:eastAsia="en-GB"/>
        </w:rPr>
        <w:t xml:space="preserve">justified </w:t>
      </w:r>
      <w:r w:rsidR="00E63900" w:rsidRPr="00D80C5B">
        <w:rPr>
          <w:rFonts w:eastAsia="Times New Roman" w:cstheme="minorHAnsi"/>
          <w:lang w:eastAsia="en-GB"/>
        </w:rPr>
        <w:t xml:space="preserve">by </w:t>
      </w:r>
      <w:r w:rsidRPr="00D80C5B">
        <w:rPr>
          <w:rFonts w:eastAsia="Times New Roman" w:cstheme="minorHAnsi"/>
          <w:lang w:eastAsia="en-GB"/>
        </w:rPr>
        <w:t>fundamentals ("NIIP norms")</w:t>
      </w:r>
      <w:r w:rsidR="0051278E" w:rsidRPr="00D80C5B">
        <w:rPr>
          <w:rFonts w:eastAsia="Times New Roman" w:cstheme="minorHAnsi"/>
          <w:lang w:eastAsia="en-GB"/>
        </w:rPr>
        <w:t xml:space="preserve">, </w:t>
      </w:r>
      <w:r w:rsidR="00E63900" w:rsidRPr="00D80C5B">
        <w:rPr>
          <w:rFonts w:eastAsia="Times New Roman" w:cstheme="minorHAnsi"/>
          <w:lang w:eastAsia="en-GB"/>
        </w:rPr>
        <w:t xml:space="preserve">and in some cases </w:t>
      </w:r>
      <w:r w:rsidR="0051278E" w:rsidRPr="00D80C5B">
        <w:rPr>
          <w:rFonts w:eastAsia="Times New Roman" w:cstheme="minorHAnsi"/>
          <w:lang w:eastAsia="en-GB"/>
        </w:rPr>
        <w:t xml:space="preserve">below </w:t>
      </w:r>
      <w:r w:rsidR="00FB1CF4" w:rsidRPr="00D80C5B">
        <w:rPr>
          <w:rFonts w:eastAsia="Times New Roman" w:cstheme="minorHAnsi"/>
          <w:lang w:eastAsia="en-GB"/>
        </w:rPr>
        <w:t xml:space="preserve">the </w:t>
      </w:r>
      <w:r w:rsidR="0051278E" w:rsidRPr="00D80C5B">
        <w:rPr>
          <w:rFonts w:eastAsia="Times New Roman" w:cstheme="minorHAnsi"/>
          <w:lang w:eastAsia="en-GB"/>
        </w:rPr>
        <w:t>prudential threshold</w:t>
      </w:r>
      <w:r w:rsidR="00E63900" w:rsidRPr="00D80C5B">
        <w:rPr>
          <w:rFonts w:eastAsia="Times New Roman" w:cstheme="minorHAnsi"/>
          <w:lang w:eastAsia="en-GB"/>
        </w:rPr>
        <w:t>s</w:t>
      </w:r>
      <w:r w:rsidR="00C43A38" w:rsidRPr="00D80C5B">
        <w:rPr>
          <w:rFonts w:eastAsia="Times New Roman" w:cstheme="minorHAnsi"/>
          <w:lang w:eastAsia="en-GB"/>
        </w:rPr>
        <w:t>.</w:t>
      </w:r>
      <w:bookmarkStart w:id="10" w:name="_Ref21014141"/>
      <w:r w:rsidRPr="00D80C5B">
        <w:rPr>
          <w:rStyle w:val="FootnoteReference"/>
          <w:rFonts w:eastAsia="Times New Roman" w:cstheme="minorHAnsi"/>
        </w:rPr>
        <w:footnoteReference w:id="26"/>
      </w:r>
      <w:bookmarkEnd w:id="10"/>
      <w:r w:rsidRPr="00D80C5B">
        <w:rPr>
          <w:rFonts w:eastAsia="Times New Roman" w:cstheme="minorHAnsi"/>
          <w:lang w:eastAsia="en-GB"/>
        </w:rPr>
        <w:t xml:space="preserve"> In some countries, the stock of foreign liabilities is large also when computed net of</w:t>
      </w:r>
      <w:r w:rsidR="00E63900" w:rsidRPr="00D80C5B">
        <w:rPr>
          <w:rFonts w:eastAsia="Times New Roman" w:cstheme="minorHAnsi"/>
          <w:lang w:eastAsia="en-GB"/>
        </w:rPr>
        <w:t xml:space="preserve"> FDI and other</w:t>
      </w:r>
      <w:r w:rsidRPr="00D80C5B">
        <w:rPr>
          <w:rFonts w:eastAsia="Times New Roman" w:cstheme="minorHAnsi"/>
          <w:lang w:eastAsia="en-GB"/>
        </w:rPr>
        <w:t xml:space="preserve"> non-defaultable instruments (NENDI).</w:t>
      </w:r>
      <w:r w:rsidR="00EE06A8" w:rsidRPr="00D80C5B">
        <w:rPr>
          <w:rStyle w:val="FootnoteReference"/>
          <w:rFonts w:eastAsia="Times New Roman" w:cstheme="minorHAnsi"/>
        </w:rPr>
        <w:footnoteReference w:id="27"/>
      </w:r>
      <w:r w:rsidRPr="00D80C5B">
        <w:rPr>
          <w:rFonts w:eastAsia="Times New Roman" w:cstheme="minorHAnsi"/>
          <w:lang w:eastAsia="en-GB"/>
        </w:rPr>
        <w:t xml:space="preserve"> </w:t>
      </w:r>
    </w:p>
    <w:p w:rsidR="006B4AE0" w:rsidRPr="00D80C5B" w:rsidRDefault="006B4AE0" w:rsidP="00FB1CF4">
      <w:pPr>
        <w:pStyle w:val="ListParagraph"/>
        <w:numPr>
          <w:ilvl w:val="1"/>
          <w:numId w:val="26"/>
        </w:numPr>
        <w:spacing w:after="120"/>
        <w:ind w:left="426" w:hanging="284"/>
        <w:jc w:val="both"/>
        <w:rPr>
          <w:rFonts w:eastAsia="Times New Roman" w:cstheme="minorHAnsi"/>
        </w:rPr>
      </w:pPr>
      <w:r w:rsidRPr="00D80C5B">
        <w:rPr>
          <w:rFonts w:eastAsia="Times New Roman" w:cstheme="minorHAnsi"/>
        </w:rPr>
        <w:t xml:space="preserve">Some euro area countries continue to </w:t>
      </w:r>
      <w:r w:rsidR="00EE06A8" w:rsidRPr="00D80C5B">
        <w:rPr>
          <w:rFonts w:eastAsia="Times New Roman" w:cstheme="minorHAnsi"/>
        </w:rPr>
        <w:t xml:space="preserve">have </w:t>
      </w:r>
      <w:r w:rsidR="00417365" w:rsidRPr="00D80C5B">
        <w:rPr>
          <w:rFonts w:eastAsia="Times New Roman" w:cstheme="minorHAnsi"/>
          <w:b/>
        </w:rPr>
        <w:t>largely</w:t>
      </w:r>
      <w:r w:rsidRPr="00D80C5B">
        <w:rPr>
          <w:rFonts w:eastAsia="Times New Roman" w:cstheme="minorHAnsi"/>
          <w:b/>
        </w:rPr>
        <w:t xml:space="preserve"> negative NIIPs</w:t>
      </w:r>
      <w:r w:rsidRPr="00D80C5B">
        <w:rPr>
          <w:rFonts w:eastAsia="Times New Roman" w:cstheme="minorHAnsi"/>
        </w:rPr>
        <w:t xml:space="preserve"> </w:t>
      </w:r>
      <w:r w:rsidR="00A13E63" w:rsidRPr="00D80C5B">
        <w:rPr>
          <w:rFonts w:eastAsia="Times New Roman" w:cstheme="minorHAnsi"/>
          <w:lang w:eastAsia="en-GB"/>
        </w:rPr>
        <w:t>below -100% of GDP,</w:t>
      </w:r>
      <w:r w:rsidR="00A13E63" w:rsidRPr="00D80C5B">
        <w:rPr>
          <w:rFonts w:eastAsia="Times New Roman" w:cstheme="minorHAnsi"/>
        </w:rPr>
        <w:t xml:space="preserve"> </w:t>
      </w:r>
      <w:r w:rsidRPr="00D80C5B">
        <w:rPr>
          <w:rFonts w:eastAsia="Times New Roman" w:cstheme="minorHAnsi"/>
        </w:rPr>
        <w:t xml:space="preserve">such as </w:t>
      </w:r>
      <w:r w:rsidRPr="00D80C5B">
        <w:rPr>
          <w:rFonts w:eastAsia="Times New Roman" w:cstheme="minorHAnsi"/>
          <w:lang w:eastAsia="en-GB"/>
        </w:rPr>
        <w:t xml:space="preserve">Cyprus, Greece, Ireland, and Portugal. </w:t>
      </w:r>
      <w:r w:rsidR="00E63900" w:rsidRPr="00D80C5B">
        <w:rPr>
          <w:rFonts w:eastAsia="Times New Roman" w:cstheme="minorHAnsi"/>
          <w:lang w:eastAsia="en-GB"/>
        </w:rPr>
        <w:t xml:space="preserve">In these countries, NIIPs are </w:t>
      </w:r>
      <w:r w:rsidR="00A13E63" w:rsidRPr="00D80C5B">
        <w:rPr>
          <w:rFonts w:eastAsia="Times New Roman" w:cstheme="minorHAnsi"/>
        </w:rPr>
        <w:t>well below</w:t>
      </w:r>
      <w:r w:rsidR="00E63900" w:rsidRPr="00D80C5B">
        <w:rPr>
          <w:rFonts w:eastAsia="Times New Roman" w:cstheme="minorHAnsi"/>
        </w:rPr>
        <w:t xml:space="preserve"> benchmarks, both NIIP norms and prudential thresholds</w:t>
      </w:r>
      <w:r w:rsidRPr="00D80C5B">
        <w:rPr>
          <w:rFonts w:eastAsia="Times New Roman" w:cstheme="minorHAnsi"/>
        </w:rPr>
        <w:t xml:space="preserve">. </w:t>
      </w:r>
      <w:r w:rsidR="00FB6801" w:rsidRPr="00D80C5B">
        <w:rPr>
          <w:rFonts w:eastAsia="Times New Roman" w:cstheme="minorHAnsi"/>
        </w:rPr>
        <w:t>I</w:t>
      </w:r>
      <w:r w:rsidR="00687FA0" w:rsidRPr="00D80C5B">
        <w:rPr>
          <w:rFonts w:eastAsia="Times New Roman" w:cstheme="minorHAnsi"/>
        </w:rPr>
        <w:t>n Cyprus and Ireland</w:t>
      </w:r>
      <w:r w:rsidR="00FB6801" w:rsidRPr="00D80C5B">
        <w:rPr>
          <w:rFonts w:eastAsia="Times New Roman" w:cstheme="minorHAnsi"/>
        </w:rPr>
        <w:t xml:space="preserve">, NIIP levels </w:t>
      </w:r>
      <w:r w:rsidR="00687FA0" w:rsidRPr="00D80C5B">
        <w:rPr>
          <w:rFonts w:eastAsia="Times New Roman" w:cstheme="minorHAnsi"/>
        </w:rPr>
        <w:t xml:space="preserve">reflect also </w:t>
      </w:r>
      <w:r w:rsidR="00E63900" w:rsidRPr="00D80C5B">
        <w:rPr>
          <w:rFonts w:eastAsia="Times New Roman" w:cstheme="minorHAnsi"/>
        </w:rPr>
        <w:t xml:space="preserve">the </w:t>
      </w:r>
      <w:r w:rsidR="00687FA0" w:rsidRPr="00D80C5B">
        <w:rPr>
          <w:rFonts w:eastAsia="Times New Roman" w:cstheme="minorHAnsi"/>
        </w:rPr>
        <w:t>relevance of</w:t>
      </w:r>
      <w:r w:rsidR="00E63900" w:rsidRPr="00D80C5B">
        <w:rPr>
          <w:rFonts w:eastAsia="Times New Roman" w:cstheme="minorHAnsi"/>
        </w:rPr>
        <w:t xml:space="preserve"> balance sheet</w:t>
      </w:r>
      <w:r w:rsidR="002F1E99">
        <w:rPr>
          <w:rFonts w:eastAsia="Times New Roman" w:cstheme="minorHAnsi"/>
        </w:rPr>
        <w:t>s</w:t>
      </w:r>
      <w:r w:rsidR="00E63900" w:rsidRPr="00D80C5B">
        <w:rPr>
          <w:rFonts w:eastAsia="Times New Roman" w:cstheme="minorHAnsi"/>
        </w:rPr>
        <w:t xml:space="preserve"> of</w:t>
      </w:r>
      <w:r w:rsidR="00687FA0" w:rsidRPr="00D80C5B">
        <w:rPr>
          <w:rFonts w:eastAsia="Times New Roman" w:cstheme="minorHAnsi"/>
        </w:rPr>
        <w:t xml:space="preserve"> </w:t>
      </w:r>
      <w:r w:rsidR="00687FA0" w:rsidRPr="00D80C5B">
        <w:rPr>
          <w:rFonts w:eastAsia="Times New Roman" w:cstheme="minorHAnsi"/>
          <w:lang w:eastAsia="en-GB"/>
        </w:rPr>
        <w:t>multinational corporations</w:t>
      </w:r>
      <w:r w:rsidR="00E63900" w:rsidRPr="00D80C5B">
        <w:rPr>
          <w:rFonts w:eastAsia="Times New Roman" w:cstheme="minorHAnsi"/>
          <w:lang w:eastAsia="en-GB"/>
        </w:rPr>
        <w:t xml:space="preserve"> and cross-border corporate financial relations</w:t>
      </w:r>
      <w:r w:rsidR="00687FA0" w:rsidRPr="00D80C5B">
        <w:rPr>
          <w:rFonts w:cstheme="minorHAnsi"/>
        </w:rPr>
        <w:t xml:space="preserve">. </w:t>
      </w:r>
      <w:r w:rsidR="00247342" w:rsidRPr="00D80C5B">
        <w:rPr>
          <w:rFonts w:eastAsia="Times New Roman" w:cstheme="minorHAnsi"/>
        </w:rPr>
        <w:t>Th</w:t>
      </w:r>
      <w:r w:rsidR="00E63900" w:rsidRPr="00D80C5B">
        <w:rPr>
          <w:rFonts w:eastAsia="Times New Roman" w:cstheme="minorHAnsi"/>
        </w:rPr>
        <w:t>e</w:t>
      </w:r>
      <w:r w:rsidR="00247342" w:rsidRPr="00D80C5B">
        <w:rPr>
          <w:rFonts w:eastAsia="Times New Roman" w:cstheme="minorHAnsi"/>
        </w:rPr>
        <w:t xml:space="preserve">se four countries, together with </w:t>
      </w:r>
      <w:r w:rsidRPr="00D80C5B">
        <w:rPr>
          <w:rFonts w:eastAsia="Times New Roman" w:cstheme="minorHAnsi"/>
        </w:rPr>
        <w:t>Spain</w:t>
      </w:r>
      <w:r w:rsidR="00247342" w:rsidRPr="00D80C5B">
        <w:rPr>
          <w:rFonts w:eastAsia="Times New Roman" w:cstheme="minorHAnsi"/>
        </w:rPr>
        <w:t>,</w:t>
      </w:r>
      <w:r w:rsidRPr="00D80C5B">
        <w:rPr>
          <w:rFonts w:eastAsia="Times New Roman" w:cstheme="minorHAnsi"/>
        </w:rPr>
        <w:t xml:space="preserve"> </w:t>
      </w:r>
      <w:r w:rsidR="00247342" w:rsidRPr="00D80C5B">
        <w:rPr>
          <w:rFonts w:eastAsia="Times New Roman" w:cstheme="minorHAnsi"/>
        </w:rPr>
        <w:t xml:space="preserve">show a </w:t>
      </w:r>
      <w:r w:rsidRPr="00D80C5B">
        <w:rPr>
          <w:rFonts w:eastAsia="Times New Roman" w:cstheme="minorHAnsi"/>
        </w:rPr>
        <w:t xml:space="preserve">strong incidence of debt liabilities in their NIIPs as indicated by the very negative </w:t>
      </w:r>
      <w:r w:rsidR="00687FA0" w:rsidRPr="00D80C5B">
        <w:rPr>
          <w:rFonts w:eastAsia="Times New Roman" w:cstheme="minorHAnsi"/>
        </w:rPr>
        <w:t>NIIP excluding non-defaultable instruments (</w:t>
      </w:r>
      <w:r w:rsidRPr="00D80C5B">
        <w:rPr>
          <w:rFonts w:eastAsia="Times New Roman" w:cstheme="minorHAnsi"/>
        </w:rPr>
        <w:t>NENDI</w:t>
      </w:r>
      <w:r w:rsidR="00687FA0" w:rsidRPr="00D80C5B">
        <w:rPr>
          <w:rFonts w:eastAsia="Times New Roman" w:cstheme="minorHAnsi"/>
        </w:rPr>
        <w:t>)</w:t>
      </w:r>
      <w:r w:rsidRPr="00D80C5B">
        <w:rPr>
          <w:rFonts w:eastAsia="Times New Roman" w:cstheme="minorHAnsi"/>
        </w:rPr>
        <w:t xml:space="preserve">. </w:t>
      </w:r>
      <w:r w:rsidR="00E66DB7" w:rsidRPr="00D80C5B">
        <w:rPr>
          <w:rFonts w:eastAsia="Times New Roman" w:cstheme="minorHAnsi"/>
        </w:rPr>
        <w:t xml:space="preserve">In </w:t>
      </w:r>
      <w:r w:rsidRPr="00D80C5B">
        <w:rPr>
          <w:rFonts w:cstheme="minorHAnsi"/>
        </w:rPr>
        <w:t>Greece</w:t>
      </w:r>
      <w:r w:rsidR="00E66DB7" w:rsidRPr="00D80C5B">
        <w:rPr>
          <w:rFonts w:cstheme="minorHAnsi"/>
        </w:rPr>
        <w:t>, the</w:t>
      </w:r>
      <w:r w:rsidRPr="00D80C5B">
        <w:rPr>
          <w:rFonts w:cstheme="minorHAnsi"/>
        </w:rPr>
        <w:t xml:space="preserve"> large external public debt</w:t>
      </w:r>
      <w:r w:rsidR="00EE06A8" w:rsidRPr="00D80C5B">
        <w:rPr>
          <w:rFonts w:cstheme="minorHAnsi"/>
        </w:rPr>
        <w:t>,</w:t>
      </w:r>
      <w:r w:rsidRPr="00D80C5B">
        <w:rPr>
          <w:rFonts w:cstheme="minorHAnsi"/>
        </w:rPr>
        <w:t xml:space="preserve"> often at </w:t>
      </w:r>
      <w:r w:rsidR="00EE06A8" w:rsidRPr="00D80C5B">
        <w:rPr>
          <w:rFonts w:ascii="Times New Roman" w:hAnsi="Times New Roman"/>
        </w:rPr>
        <w:t xml:space="preserve">highly </w:t>
      </w:r>
      <w:r w:rsidRPr="00D80C5B">
        <w:rPr>
          <w:rFonts w:cstheme="minorHAnsi"/>
        </w:rPr>
        <w:t>concessional</w:t>
      </w:r>
      <w:r w:rsidR="00EE06A8" w:rsidRPr="00D80C5B">
        <w:rPr>
          <w:rFonts w:cstheme="minorHAnsi"/>
        </w:rPr>
        <w:t xml:space="preserve"> terms</w:t>
      </w:r>
      <w:r w:rsidRPr="00D80C5B">
        <w:rPr>
          <w:rFonts w:cstheme="minorHAnsi"/>
        </w:rPr>
        <w:t>, accounts for the bulk of the NIIP.</w:t>
      </w:r>
      <w:r w:rsidRPr="00D80C5B">
        <w:rPr>
          <w:rStyle w:val="FootnoteReference"/>
          <w:rFonts w:cstheme="minorHAnsi"/>
        </w:rPr>
        <w:footnoteReference w:id="28"/>
      </w:r>
      <w:r w:rsidRPr="00D80C5B">
        <w:rPr>
          <w:rFonts w:cstheme="minorHAnsi"/>
        </w:rPr>
        <w:t xml:space="preserve"> </w:t>
      </w:r>
      <w:r w:rsidR="00E84437" w:rsidRPr="00D80C5B">
        <w:rPr>
          <w:rFonts w:cstheme="minorHAnsi"/>
        </w:rPr>
        <w:t>A large share of the NIIP of Cyprus is linked to the balance sheet positions of non-financial, ship-owning special-purpose vehicles.</w:t>
      </w:r>
    </w:p>
    <w:p w:rsidR="00743694" w:rsidRPr="00D80C5B" w:rsidRDefault="009B6656">
      <w:pPr>
        <w:numPr>
          <w:ilvl w:val="0"/>
          <w:numId w:val="4"/>
        </w:numPr>
        <w:spacing w:after="120"/>
        <w:ind w:left="426" w:hanging="284"/>
        <w:jc w:val="both"/>
        <w:rPr>
          <w:rFonts w:eastAsia="Times New Roman" w:cstheme="minorHAnsi"/>
          <w:lang w:eastAsia="en-GB"/>
        </w:rPr>
      </w:pPr>
      <w:r w:rsidRPr="00D80C5B">
        <w:rPr>
          <w:rFonts w:eastAsia="Times New Roman" w:cstheme="minorHAnsi"/>
          <w:lang w:eastAsia="en-GB"/>
        </w:rPr>
        <w:t xml:space="preserve">In countries with </w:t>
      </w:r>
      <w:r w:rsidRPr="00D80C5B">
        <w:rPr>
          <w:rFonts w:eastAsia="Times New Roman" w:cstheme="minorHAnsi"/>
          <w:b/>
          <w:lang w:eastAsia="en-GB"/>
        </w:rPr>
        <w:t>more</w:t>
      </w:r>
      <w:r w:rsidRPr="00D80C5B">
        <w:rPr>
          <w:rFonts w:eastAsia="Times New Roman" w:cstheme="minorHAnsi"/>
          <w:lang w:eastAsia="en-GB"/>
        </w:rPr>
        <w:t xml:space="preserve"> </w:t>
      </w:r>
      <w:r w:rsidRPr="00D80C5B">
        <w:rPr>
          <w:rFonts w:eastAsia="Times New Roman" w:cstheme="minorHAnsi"/>
          <w:b/>
          <w:lang w:eastAsia="en-GB"/>
        </w:rPr>
        <w:t>moderate</w:t>
      </w:r>
      <w:r w:rsidR="00E63900" w:rsidRPr="00D80C5B">
        <w:rPr>
          <w:rFonts w:eastAsia="Times New Roman" w:cstheme="minorHAnsi"/>
          <w:b/>
          <w:lang w:eastAsia="en-GB"/>
        </w:rPr>
        <w:t>ly</w:t>
      </w:r>
      <w:r w:rsidRPr="00D80C5B">
        <w:rPr>
          <w:rFonts w:eastAsia="Times New Roman" w:cstheme="minorHAnsi"/>
          <w:b/>
          <w:lang w:eastAsia="en-GB"/>
        </w:rPr>
        <w:t xml:space="preserve"> negative </w:t>
      </w:r>
      <w:r w:rsidR="006B4AE0" w:rsidRPr="00D80C5B">
        <w:rPr>
          <w:rFonts w:eastAsia="Times New Roman" w:cstheme="minorHAnsi"/>
          <w:b/>
          <w:lang w:eastAsia="en-GB"/>
        </w:rPr>
        <w:t>NIIPs</w:t>
      </w:r>
      <w:r w:rsidRPr="00D80C5B">
        <w:rPr>
          <w:rFonts w:eastAsia="Times New Roman" w:cstheme="minorHAnsi"/>
          <w:b/>
          <w:lang w:eastAsia="en-GB"/>
        </w:rPr>
        <w:t xml:space="preserve"> </w:t>
      </w:r>
      <w:r w:rsidR="00557C19" w:rsidRPr="00D80C5B">
        <w:rPr>
          <w:rFonts w:eastAsia="Times New Roman" w:cstheme="minorHAnsi"/>
          <w:lang w:eastAsia="en-GB"/>
        </w:rPr>
        <w:t xml:space="preserve">but </w:t>
      </w:r>
      <w:r w:rsidRPr="00D80C5B">
        <w:rPr>
          <w:rFonts w:eastAsia="Times New Roman" w:cstheme="minorHAnsi"/>
          <w:lang w:eastAsia="en-GB"/>
        </w:rPr>
        <w:t>still</w:t>
      </w:r>
      <w:r w:rsidR="006B4AE0" w:rsidRPr="00D80C5B">
        <w:rPr>
          <w:rFonts w:eastAsia="Times New Roman" w:cstheme="minorHAnsi"/>
          <w:lang w:eastAsia="en-GB"/>
        </w:rPr>
        <w:t xml:space="preserve"> </w:t>
      </w:r>
      <w:r w:rsidR="0074496D" w:rsidRPr="00D80C5B">
        <w:rPr>
          <w:rFonts w:eastAsia="Times New Roman" w:cstheme="minorHAnsi"/>
          <w:lang w:eastAsia="en-GB"/>
        </w:rPr>
        <w:t xml:space="preserve">worse than </w:t>
      </w:r>
      <w:r w:rsidR="006B4AE0" w:rsidRPr="00D80C5B">
        <w:rPr>
          <w:rFonts w:eastAsia="Times New Roman" w:cstheme="minorHAnsi"/>
          <w:lang w:eastAsia="en-GB"/>
        </w:rPr>
        <w:t>-35% of GDP</w:t>
      </w:r>
      <w:r w:rsidR="00E0353F" w:rsidRPr="00D80C5B">
        <w:rPr>
          <w:rFonts w:eastAsia="Times New Roman" w:cstheme="minorHAnsi"/>
          <w:lang w:eastAsia="en-GB"/>
        </w:rPr>
        <w:t>,</w:t>
      </w:r>
      <w:r w:rsidR="00131C58" w:rsidRPr="00D80C5B">
        <w:rPr>
          <w:rFonts w:eastAsia="Times New Roman" w:cstheme="minorHAnsi"/>
          <w:lang w:eastAsia="en-GB"/>
        </w:rPr>
        <w:t xml:space="preserve"> </w:t>
      </w:r>
      <w:r w:rsidRPr="00D80C5B">
        <w:rPr>
          <w:rFonts w:eastAsia="Times New Roman" w:cstheme="minorHAnsi"/>
          <w:lang w:eastAsia="en-GB"/>
        </w:rPr>
        <w:t>the NIIP</w:t>
      </w:r>
      <w:r w:rsidR="00557C19" w:rsidRPr="00D80C5B">
        <w:rPr>
          <w:rFonts w:eastAsia="Times New Roman" w:cstheme="minorHAnsi"/>
          <w:lang w:eastAsia="en-GB"/>
        </w:rPr>
        <w:t>s</w:t>
      </w:r>
      <w:r w:rsidRPr="00D80C5B">
        <w:rPr>
          <w:rFonts w:eastAsia="Times New Roman" w:cstheme="minorHAnsi"/>
          <w:lang w:eastAsia="en-GB"/>
        </w:rPr>
        <w:t xml:space="preserve"> also tend to be </w:t>
      </w:r>
      <w:r w:rsidR="00131C58" w:rsidRPr="00D80C5B">
        <w:rPr>
          <w:rFonts w:eastAsia="Times New Roman" w:cstheme="minorHAnsi"/>
          <w:lang w:eastAsia="en-GB"/>
        </w:rPr>
        <w:t xml:space="preserve">below what is </w:t>
      </w:r>
      <w:r w:rsidRPr="00D80C5B">
        <w:rPr>
          <w:rFonts w:eastAsia="Times New Roman" w:cstheme="minorHAnsi"/>
          <w:lang w:eastAsia="en-GB"/>
        </w:rPr>
        <w:t xml:space="preserve">expected from </w:t>
      </w:r>
      <w:r w:rsidR="00131C58" w:rsidRPr="00D80C5B">
        <w:rPr>
          <w:rFonts w:eastAsia="Times New Roman" w:cstheme="minorHAnsi"/>
          <w:lang w:eastAsia="en-GB"/>
        </w:rPr>
        <w:t>country-specific fundamentals</w:t>
      </w:r>
      <w:r w:rsidR="0074496D" w:rsidRPr="00D80C5B">
        <w:rPr>
          <w:rFonts w:eastAsia="Times New Roman" w:cstheme="minorHAnsi"/>
          <w:lang w:eastAsia="en-GB"/>
        </w:rPr>
        <w:t>. T</w:t>
      </w:r>
      <w:r w:rsidR="006B4AE0" w:rsidRPr="00D80C5B">
        <w:rPr>
          <w:rFonts w:eastAsia="Times New Roman" w:cstheme="minorHAnsi"/>
          <w:lang w:eastAsia="en-GB"/>
        </w:rPr>
        <w:t xml:space="preserve">hat was the case </w:t>
      </w:r>
      <w:r w:rsidR="00E27DBC" w:rsidRPr="00D80C5B">
        <w:rPr>
          <w:rFonts w:eastAsia="Times New Roman" w:cstheme="minorHAnsi"/>
          <w:lang w:eastAsia="en-GB"/>
        </w:rPr>
        <w:t xml:space="preserve">for </w:t>
      </w:r>
      <w:r w:rsidR="006B4AE0" w:rsidRPr="00D80C5B">
        <w:rPr>
          <w:rFonts w:eastAsia="Times New Roman" w:cstheme="minorHAnsi"/>
          <w:lang w:eastAsia="en-GB"/>
        </w:rPr>
        <w:t xml:space="preserve">Bulgaria, Croatia, Hungary, Latvia, Poland, Romania, and Slovakia. </w:t>
      </w:r>
      <w:r w:rsidR="00131C58" w:rsidRPr="00D80C5B">
        <w:rPr>
          <w:rFonts w:eastAsia="Times New Roman" w:cstheme="minorHAnsi"/>
          <w:lang w:eastAsia="en-GB"/>
        </w:rPr>
        <w:t>I</w:t>
      </w:r>
      <w:r w:rsidR="006B4AE0" w:rsidRPr="00D80C5B">
        <w:rPr>
          <w:rFonts w:eastAsia="Times New Roman" w:cstheme="minorHAnsi"/>
          <w:lang w:eastAsia="en-GB"/>
        </w:rPr>
        <w:t>n a few cases</w:t>
      </w:r>
      <w:r w:rsidR="001765C6" w:rsidRPr="00D80C5B">
        <w:rPr>
          <w:rFonts w:eastAsia="Times New Roman" w:cstheme="minorHAnsi"/>
          <w:lang w:eastAsia="en-GB"/>
        </w:rPr>
        <w:t>,</w:t>
      </w:r>
      <w:r w:rsidR="006B4AE0" w:rsidRPr="00D80C5B">
        <w:rPr>
          <w:rFonts w:eastAsia="Times New Roman" w:cstheme="minorHAnsi"/>
          <w:lang w:eastAsia="en-GB"/>
        </w:rPr>
        <w:t xml:space="preserve"> they are also </w:t>
      </w:r>
      <w:r w:rsidR="00557C19" w:rsidRPr="00D80C5B">
        <w:rPr>
          <w:rFonts w:eastAsia="Times New Roman" w:cstheme="minorHAnsi"/>
          <w:lang w:eastAsia="en-GB"/>
        </w:rPr>
        <w:t>worse than</w:t>
      </w:r>
      <w:r w:rsidR="00E27DBC" w:rsidRPr="00D80C5B">
        <w:rPr>
          <w:rFonts w:eastAsia="Times New Roman" w:cstheme="minorHAnsi"/>
          <w:lang w:eastAsia="en-GB"/>
        </w:rPr>
        <w:t xml:space="preserve"> </w:t>
      </w:r>
      <w:r w:rsidR="006B4AE0" w:rsidRPr="00D80C5B">
        <w:rPr>
          <w:rFonts w:eastAsia="Times New Roman" w:cstheme="minorHAnsi"/>
          <w:lang w:eastAsia="en-GB"/>
        </w:rPr>
        <w:t>the prudential threshold</w:t>
      </w:r>
      <w:r w:rsidR="00A91D77" w:rsidRPr="00D80C5B">
        <w:rPr>
          <w:rFonts w:eastAsia="Times New Roman" w:cstheme="minorHAnsi"/>
          <w:lang w:eastAsia="en-GB"/>
        </w:rPr>
        <w:t>s</w:t>
      </w:r>
      <w:r w:rsidR="006B4AE0" w:rsidRPr="00D80C5B">
        <w:rPr>
          <w:rFonts w:eastAsia="Times New Roman" w:cstheme="minorHAnsi"/>
          <w:lang w:eastAsia="en-GB"/>
        </w:rPr>
        <w:t xml:space="preserve">. However, </w:t>
      </w:r>
      <w:r w:rsidR="00E63900" w:rsidRPr="00D80C5B">
        <w:rPr>
          <w:rFonts w:eastAsia="Times New Roman" w:cstheme="minorHAnsi"/>
          <w:lang w:eastAsia="en-GB"/>
        </w:rPr>
        <w:t xml:space="preserve">as </w:t>
      </w:r>
      <w:r w:rsidR="00FE574D" w:rsidRPr="00D80C5B">
        <w:rPr>
          <w:rFonts w:eastAsia="Times New Roman" w:cstheme="minorHAnsi"/>
          <w:lang w:eastAsia="en-GB"/>
        </w:rPr>
        <w:t>many</w:t>
      </w:r>
      <w:r w:rsidR="006B4AE0" w:rsidRPr="00D80C5B">
        <w:rPr>
          <w:rFonts w:eastAsia="Times New Roman" w:cstheme="minorHAnsi"/>
          <w:lang w:eastAsia="en-GB"/>
        </w:rPr>
        <w:t xml:space="preserve"> </w:t>
      </w:r>
      <w:r w:rsidR="00417365" w:rsidRPr="00D80C5B">
        <w:rPr>
          <w:rFonts w:eastAsia="Times New Roman" w:cstheme="minorHAnsi"/>
          <w:lang w:eastAsia="en-GB"/>
        </w:rPr>
        <w:t xml:space="preserve">of these </w:t>
      </w:r>
      <w:r w:rsidR="00871132" w:rsidRPr="00D80C5B">
        <w:rPr>
          <w:rFonts w:eastAsia="Times New Roman" w:cstheme="minorHAnsi"/>
          <w:lang w:eastAsia="en-GB"/>
        </w:rPr>
        <w:t>c</w:t>
      </w:r>
      <w:r w:rsidR="006B4AE0" w:rsidRPr="00D80C5B">
        <w:rPr>
          <w:rFonts w:eastAsia="Times New Roman" w:cstheme="minorHAnsi"/>
          <w:lang w:eastAsia="en-GB"/>
        </w:rPr>
        <w:t xml:space="preserve">entral and </w:t>
      </w:r>
      <w:r w:rsidR="00871132" w:rsidRPr="00D80C5B">
        <w:rPr>
          <w:rFonts w:eastAsia="Times New Roman" w:cstheme="minorHAnsi"/>
          <w:lang w:eastAsia="en-GB"/>
        </w:rPr>
        <w:t>e</w:t>
      </w:r>
      <w:r w:rsidR="006B4AE0" w:rsidRPr="00D80C5B">
        <w:rPr>
          <w:rFonts w:eastAsia="Times New Roman" w:cstheme="minorHAnsi"/>
          <w:lang w:eastAsia="en-GB"/>
        </w:rPr>
        <w:t>astern Europe</w:t>
      </w:r>
      <w:r w:rsidR="00FE574D" w:rsidRPr="00D80C5B">
        <w:rPr>
          <w:rFonts w:eastAsia="Times New Roman" w:cstheme="minorHAnsi"/>
          <w:lang w:eastAsia="en-GB"/>
        </w:rPr>
        <w:t xml:space="preserve">an </w:t>
      </w:r>
      <w:r w:rsidR="00DE69D3" w:rsidRPr="00D80C5B">
        <w:rPr>
          <w:rFonts w:eastAsia="Times New Roman" w:cstheme="minorHAnsi"/>
          <w:lang w:eastAsia="en-GB"/>
        </w:rPr>
        <w:t xml:space="preserve">and Baltic </w:t>
      </w:r>
      <w:r w:rsidR="00FE574D" w:rsidRPr="00D80C5B">
        <w:rPr>
          <w:rFonts w:eastAsia="Times New Roman" w:cstheme="minorHAnsi"/>
          <w:lang w:eastAsia="en-GB"/>
        </w:rPr>
        <w:t>countries</w:t>
      </w:r>
      <w:r w:rsidR="006B4AE0" w:rsidRPr="00D80C5B">
        <w:rPr>
          <w:rFonts w:eastAsia="Times New Roman" w:cstheme="minorHAnsi"/>
          <w:lang w:eastAsia="en-GB"/>
        </w:rPr>
        <w:t xml:space="preserve"> are large recipients of</w:t>
      </w:r>
      <w:r w:rsidR="00E63900" w:rsidRPr="00D80C5B">
        <w:rPr>
          <w:rFonts w:eastAsia="Times New Roman" w:cstheme="minorHAnsi"/>
          <w:lang w:eastAsia="en-GB"/>
        </w:rPr>
        <w:t xml:space="preserve"> FDI, the NIIP improves considerably i</w:t>
      </w:r>
      <w:r w:rsidR="00DC2A62" w:rsidRPr="00D80C5B">
        <w:rPr>
          <w:rFonts w:eastAsia="Times New Roman" w:cstheme="minorHAnsi"/>
          <w:lang w:eastAsia="en-GB"/>
        </w:rPr>
        <w:t>f</w:t>
      </w:r>
      <w:r w:rsidR="00E63900" w:rsidRPr="00D80C5B">
        <w:rPr>
          <w:rFonts w:eastAsia="Times New Roman" w:cstheme="minorHAnsi"/>
          <w:lang w:eastAsia="en-GB"/>
        </w:rPr>
        <w:t xml:space="preserve"> computed net of non-defaultable instruments (NENDI)</w:t>
      </w:r>
      <w:r w:rsidR="006B4AE0" w:rsidRPr="00D80C5B">
        <w:rPr>
          <w:rFonts w:eastAsia="Times New Roman" w:cstheme="minorHAnsi"/>
          <w:lang w:eastAsia="en-GB"/>
        </w:rPr>
        <w:t>.</w:t>
      </w:r>
      <w:r w:rsidR="00743694" w:rsidRPr="00D80C5B">
        <w:rPr>
          <w:rStyle w:val="FootnoteReference"/>
          <w:rFonts w:eastAsia="Times New Roman" w:cstheme="minorHAnsi"/>
          <w:lang w:eastAsia="en-GB"/>
        </w:rPr>
        <w:footnoteReference w:id="29"/>
      </w:r>
      <w:r w:rsidR="006B4AE0" w:rsidRPr="00D80C5B">
        <w:rPr>
          <w:rFonts w:eastAsia="Times New Roman" w:cstheme="minorHAnsi"/>
          <w:lang w:eastAsia="en-GB"/>
        </w:rPr>
        <w:t xml:space="preserve"> </w:t>
      </w:r>
      <w:r w:rsidR="00743694" w:rsidRPr="00D80C5B">
        <w:rPr>
          <w:rFonts w:eastAsia="Times New Roman" w:cstheme="minorHAnsi"/>
          <w:lang w:eastAsia="en-GB"/>
        </w:rPr>
        <w:t xml:space="preserve">Other EU countries record </w:t>
      </w:r>
      <w:r w:rsidR="00E0353F" w:rsidRPr="00D80C5B">
        <w:rPr>
          <w:rFonts w:eastAsia="Times New Roman" w:cstheme="minorHAnsi"/>
          <w:lang w:eastAsia="en-GB"/>
        </w:rPr>
        <w:t xml:space="preserve">negative </w:t>
      </w:r>
      <w:r w:rsidR="00743694" w:rsidRPr="00D80C5B">
        <w:rPr>
          <w:rFonts w:eastAsia="Times New Roman" w:cstheme="minorHAnsi"/>
          <w:lang w:eastAsia="en-GB"/>
        </w:rPr>
        <w:t xml:space="preserve">NIIPs </w:t>
      </w:r>
      <w:r w:rsidR="003B357D" w:rsidRPr="00D80C5B">
        <w:rPr>
          <w:rFonts w:eastAsia="Times New Roman" w:cstheme="minorHAnsi"/>
          <w:lang w:eastAsia="en-GB"/>
        </w:rPr>
        <w:t xml:space="preserve">above </w:t>
      </w:r>
      <w:r w:rsidR="00743694" w:rsidRPr="00D80C5B">
        <w:rPr>
          <w:rFonts w:eastAsia="Times New Roman" w:cstheme="minorHAnsi"/>
          <w:lang w:eastAsia="en-GB"/>
        </w:rPr>
        <w:t>-35%</w:t>
      </w:r>
      <w:r w:rsidR="00E63900" w:rsidRPr="00D80C5B">
        <w:rPr>
          <w:rFonts w:eastAsia="Times New Roman" w:cstheme="minorHAnsi"/>
          <w:lang w:eastAsia="en-GB"/>
        </w:rPr>
        <w:t xml:space="preserve"> of GDP</w:t>
      </w:r>
      <w:r w:rsidR="00743694" w:rsidRPr="00D80C5B">
        <w:rPr>
          <w:rFonts w:eastAsia="Times New Roman" w:cstheme="minorHAnsi"/>
          <w:lang w:eastAsia="en-GB"/>
        </w:rPr>
        <w:t xml:space="preserve"> </w:t>
      </w:r>
      <w:r w:rsidR="00E0353F" w:rsidRPr="00D80C5B">
        <w:rPr>
          <w:rFonts w:eastAsia="Times New Roman" w:cstheme="minorHAnsi"/>
          <w:lang w:eastAsia="en-GB"/>
        </w:rPr>
        <w:t>but</w:t>
      </w:r>
      <w:r w:rsidR="003B357D" w:rsidRPr="00D80C5B">
        <w:rPr>
          <w:rFonts w:eastAsia="Times New Roman" w:cstheme="minorHAnsi"/>
          <w:lang w:eastAsia="en-GB"/>
        </w:rPr>
        <w:t xml:space="preserve"> below</w:t>
      </w:r>
      <w:r w:rsidR="00743694" w:rsidRPr="00D80C5B">
        <w:rPr>
          <w:rFonts w:eastAsia="Times New Roman" w:cstheme="minorHAnsi"/>
          <w:lang w:eastAsia="en-GB"/>
        </w:rPr>
        <w:t xml:space="preserve"> </w:t>
      </w:r>
      <w:r w:rsidR="00557C19" w:rsidRPr="00D80C5B">
        <w:rPr>
          <w:rFonts w:eastAsia="Times New Roman" w:cstheme="minorHAnsi"/>
          <w:lang w:eastAsia="en-GB"/>
        </w:rPr>
        <w:t xml:space="preserve">the respective </w:t>
      </w:r>
      <w:r w:rsidR="00743694" w:rsidRPr="00D80C5B">
        <w:rPr>
          <w:rFonts w:eastAsia="Times New Roman" w:cstheme="minorHAnsi"/>
          <w:lang w:eastAsia="en-GB"/>
        </w:rPr>
        <w:t>norm</w:t>
      </w:r>
      <w:r w:rsidR="00557C19" w:rsidRPr="00D80C5B">
        <w:rPr>
          <w:rFonts w:eastAsia="Times New Roman" w:cstheme="minorHAnsi"/>
          <w:lang w:eastAsia="en-GB"/>
        </w:rPr>
        <w:t>s</w:t>
      </w:r>
      <w:r w:rsidR="00743694" w:rsidRPr="00D80C5B">
        <w:rPr>
          <w:rFonts w:eastAsia="Times New Roman" w:cstheme="minorHAnsi"/>
          <w:lang w:eastAsia="en-GB"/>
        </w:rPr>
        <w:t xml:space="preserve"> (Czechia, Estonia, Lithuania, </w:t>
      </w:r>
      <w:r w:rsidR="00FB1CF4" w:rsidRPr="00D80C5B">
        <w:rPr>
          <w:rFonts w:eastAsia="Times New Roman" w:cstheme="minorHAnsi"/>
          <w:lang w:eastAsia="en-GB"/>
        </w:rPr>
        <w:t xml:space="preserve">and </w:t>
      </w:r>
      <w:r w:rsidR="00743694" w:rsidRPr="00D80C5B">
        <w:rPr>
          <w:rFonts w:eastAsia="Times New Roman" w:cstheme="minorHAnsi"/>
          <w:lang w:eastAsia="en-GB"/>
        </w:rPr>
        <w:t>Slovenia)</w:t>
      </w:r>
      <w:r w:rsidR="00E63900" w:rsidRPr="00D80C5B">
        <w:rPr>
          <w:rFonts w:eastAsia="Times New Roman" w:cstheme="minorHAnsi"/>
          <w:lang w:eastAsia="en-GB"/>
        </w:rPr>
        <w:t>,</w:t>
      </w:r>
      <w:r w:rsidR="003243BA" w:rsidRPr="00D80C5B">
        <w:rPr>
          <w:rFonts w:eastAsia="Times New Roman" w:cstheme="minorHAnsi"/>
          <w:lang w:eastAsia="en-GB"/>
        </w:rPr>
        <w:t xml:space="preserve"> also </w:t>
      </w:r>
      <w:r w:rsidR="003B357D" w:rsidRPr="00D80C5B">
        <w:rPr>
          <w:rFonts w:eastAsia="Times New Roman" w:cstheme="minorHAnsi"/>
          <w:lang w:eastAsia="en-GB"/>
        </w:rPr>
        <w:t>in this case</w:t>
      </w:r>
      <w:r w:rsidR="00557C19" w:rsidRPr="00D80C5B">
        <w:rPr>
          <w:rFonts w:eastAsia="Times New Roman" w:cstheme="minorHAnsi"/>
          <w:lang w:eastAsia="en-GB"/>
        </w:rPr>
        <w:t xml:space="preserve"> </w:t>
      </w:r>
      <w:r w:rsidR="00E63900" w:rsidRPr="00D80C5B">
        <w:rPr>
          <w:rFonts w:eastAsia="Times New Roman" w:cstheme="minorHAnsi"/>
          <w:lang w:eastAsia="en-GB"/>
        </w:rPr>
        <w:t>large</w:t>
      </w:r>
      <w:r w:rsidR="00D6256D" w:rsidRPr="00D80C5B">
        <w:rPr>
          <w:rFonts w:eastAsia="Times New Roman" w:cstheme="minorHAnsi"/>
          <w:lang w:eastAsia="en-GB"/>
        </w:rPr>
        <w:t>ly reflecting</w:t>
      </w:r>
      <w:r w:rsidR="00743694" w:rsidRPr="00D80C5B">
        <w:rPr>
          <w:rFonts w:eastAsia="Times New Roman" w:cstheme="minorHAnsi"/>
          <w:lang w:eastAsia="en-GB"/>
        </w:rPr>
        <w:t xml:space="preserve"> inward </w:t>
      </w:r>
      <w:r w:rsidR="00743694" w:rsidRPr="00D80C5B">
        <w:rPr>
          <w:rFonts w:eastAsia="Calibri" w:cstheme="minorHAnsi"/>
          <w:color w:val="000000"/>
          <w:lang w:eastAsia="en-GB"/>
        </w:rPr>
        <w:t>FDI stock</w:t>
      </w:r>
      <w:r w:rsidR="00FB1CF4" w:rsidRPr="00D80C5B">
        <w:rPr>
          <w:rFonts w:eastAsia="Calibri" w:cstheme="minorHAnsi"/>
          <w:color w:val="000000"/>
          <w:lang w:eastAsia="en-GB"/>
        </w:rPr>
        <w:t>s</w:t>
      </w:r>
      <w:r w:rsidR="00743694" w:rsidRPr="00D80C5B">
        <w:rPr>
          <w:rFonts w:eastAsia="Calibri" w:cstheme="minorHAnsi"/>
          <w:color w:val="000000"/>
          <w:lang w:eastAsia="en-GB"/>
        </w:rPr>
        <w:t>.</w:t>
      </w:r>
      <w:r w:rsidR="0034389D" w:rsidRPr="00D80C5B">
        <w:rPr>
          <w:rFonts w:eastAsia="Calibri" w:cstheme="minorHAnsi"/>
          <w:color w:val="000000"/>
          <w:lang w:eastAsia="en-GB"/>
        </w:rPr>
        <w:t xml:space="preserve"> </w:t>
      </w:r>
      <w:r w:rsidR="00557C19" w:rsidRPr="00D80C5B">
        <w:rPr>
          <w:rFonts w:eastAsia="Calibri" w:cstheme="minorHAnsi"/>
          <w:color w:val="000000"/>
          <w:lang w:eastAsia="en-GB"/>
        </w:rPr>
        <w:t xml:space="preserve">Within this group, </w:t>
      </w:r>
      <w:r w:rsidR="00743694" w:rsidRPr="00D80C5B">
        <w:rPr>
          <w:rFonts w:eastAsia="Calibri" w:cstheme="minorHAnsi"/>
          <w:color w:val="000000"/>
          <w:lang w:eastAsia="en-GB"/>
        </w:rPr>
        <w:t xml:space="preserve">France stands </w:t>
      </w:r>
      <w:r w:rsidR="00557C19" w:rsidRPr="00D80C5B">
        <w:rPr>
          <w:rFonts w:eastAsia="Calibri" w:cstheme="minorHAnsi"/>
          <w:color w:val="000000"/>
          <w:lang w:eastAsia="en-GB"/>
        </w:rPr>
        <w:t xml:space="preserve">out </w:t>
      </w:r>
      <w:r w:rsidR="00E63900" w:rsidRPr="00D80C5B">
        <w:rPr>
          <w:rFonts w:eastAsia="Calibri" w:cstheme="minorHAnsi"/>
          <w:color w:val="000000"/>
          <w:lang w:eastAsia="en-GB"/>
        </w:rPr>
        <w:t xml:space="preserve">for </w:t>
      </w:r>
      <w:r w:rsidR="00743694" w:rsidRPr="00D80C5B">
        <w:rPr>
          <w:rFonts w:eastAsia="Calibri" w:cstheme="minorHAnsi"/>
          <w:color w:val="000000"/>
          <w:lang w:eastAsia="en-GB"/>
        </w:rPr>
        <w:t>the large relevance of defaultable instruments for its negative NIIP.</w:t>
      </w:r>
    </w:p>
    <w:p w:rsidR="006B4AE0" w:rsidRPr="00D80C5B" w:rsidRDefault="006B4AE0" w:rsidP="00FB1CF4">
      <w:pPr>
        <w:numPr>
          <w:ilvl w:val="0"/>
          <w:numId w:val="4"/>
        </w:numPr>
        <w:tabs>
          <w:tab w:val="left" w:pos="720"/>
        </w:tabs>
        <w:spacing w:after="120"/>
        <w:ind w:left="426" w:hanging="284"/>
        <w:jc w:val="both"/>
        <w:rPr>
          <w:rFonts w:eastAsia="Times New Roman" w:cstheme="minorHAnsi"/>
        </w:rPr>
      </w:pPr>
      <w:r w:rsidRPr="00D80C5B">
        <w:rPr>
          <w:rFonts w:eastAsia="Times New Roman" w:cstheme="minorHAnsi"/>
          <w:lang w:eastAsia="en-GB"/>
        </w:rPr>
        <w:t xml:space="preserve">Most of the </w:t>
      </w:r>
      <w:r w:rsidRPr="00D80C5B">
        <w:rPr>
          <w:rFonts w:eastAsia="Times New Roman" w:cstheme="minorHAnsi"/>
          <w:b/>
        </w:rPr>
        <w:t>large positive NIIP</w:t>
      </w:r>
      <w:r w:rsidR="00E0353F" w:rsidRPr="00D80C5B">
        <w:rPr>
          <w:rFonts w:eastAsia="Times New Roman" w:cstheme="minorHAnsi"/>
          <w:b/>
        </w:rPr>
        <w:t>s</w:t>
      </w:r>
      <w:r w:rsidRPr="00D80C5B">
        <w:rPr>
          <w:rFonts w:eastAsia="Times New Roman" w:cstheme="minorHAnsi"/>
          <w:b/>
        </w:rPr>
        <w:t xml:space="preserve"> </w:t>
      </w:r>
      <w:r w:rsidRPr="00D80C5B">
        <w:rPr>
          <w:rFonts w:eastAsia="Times New Roman" w:cstheme="minorHAnsi"/>
        </w:rPr>
        <w:t xml:space="preserve">edged up further in 2018. Germany, </w:t>
      </w:r>
      <w:r w:rsidR="00DC2A62" w:rsidRPr="00D80C5B">
        <w:rPr>
          <w:rFonts w:eastAsia="Times New Roman" w:cstheme="minorHAnsi"/>
        </w:rPr>
        <w:t xml:space="preserve">Luxembourg, Malta, </w:t>
      </w:r>
      <w:r w:rsidRPr="00D80C5B">
        <w:rPr>
          <w:rFonts w:eastAsia="Times New Roman" w:cstheme="minorHAnsi"/>
        </w:rPr>
        <w:t>and the Netherlands</w:t>
      </w:r>
      <w:r w:rsidR="00FE574D" w:rsidRPr="00D80C5B">
        <w:rPr>
          <w:rFonts w:eastAsia="Times New Roman" w:cstheme="minorHAnsi"/>
        </w:rPr>
        <w:t xml:space="preserve"> record positive NIIPs </w:t>
      </w:r>
      <w:r w:rsidR="00DC2A62" w:rsidRPr="00D80C5B">
        <w:rPr>
          <w:rFonts w:eastAsia="Times New Roman" w:cstheme="minorHAnsi"/>
        </w:rPr>
        <w:t xml:space="preserve">at or over </w:t>
      </w:r>
      <w:r w:rsidR="00FE574D" w:rsidRPr="00D80C5B">
        <w:rPr>
          <w:rFonts w:eastAsia="Times New Roman" w:cstheme="minorHAnsi"/>
        </w:rPr>
        <w:t>60% of GDP</w:t>
      </w:r>
      <w:r w:rsidR="00E60A1F" w:rsidRPr="00D80C5B">
        <w:rPr>
          <w:rFonts w:eastAsia="Times New Roman" w:cstheme="minorHAnsi"/>
        </w:rPr>
        <w:t>, and Denmark at close to 50% of GDP.</w:t>
      </w:r>
      <w:r w:rsidR="00E60A1F" w:rsidRPr="00D80C5B">
        <w:rPr>
          <w:rStyle w:val="FootnoteReference"/>
          <w:rFonts w:eastAsia="Times New Roman" w:cstheme="minorHAnsi"/>
        </w:rPr>
        <w:footnoteReference w:id="30"/>
      </w:r>
      <w:r w:rsidRPr="00D80C5B">
        <w:rPr>
          <w:rFonts w:eastAsia="Times New Roman" w:cstheme="minorHAnsi"/>
        </w:rPr>
        <w:t xml:space="preserve"> </w:t>
      </w:r>
      <w:r w:rsidR="00E60A1F" w:rsidRPr="00D80C5B">
        <w:rPr>
          <w:rFonts w:eastAsia="Times New Roman" w:cstheme="minorHAnsi"/>
        </w:rPr>
        <w:t>That has reflected the persistence of large current account surpluses for a number of years</w:t>
      </w:r>
      <w:r w:rsidR="00D14B8A" w:rsidRPr="00D80C5B">
        <w:rPr>
          <w:rFonts w:eastAsia="Times New Roman" w:cstheme="minorHAnsi"/>
        </w:rPr>
        <w:t xml:space="preserve">, which has led to the accumulation of a large </w:t>
      </w:r>
      <w:r w:rsidR="00D14B8A" w:rsidRPr="00D80C5B">
        <w:rPr>
          <w:rFonts w:eastAsia="Times New Roman" w:cstheme="minorHAnsi"/>
          <w:lang w:eastAsia="en-GB"/>
        </w:rPr>
        <w:t>net asset position vis-à-vis the rest of the world</w:t>
      </w:r>
      <w:r w:rsidR="00E60A1F" w:rsidRPr="00D80C5B">
        <w:rPr>
          <w:rFonts w:eastAsia="Times New Roman" w:cstheme="minorHAnsi"/>
        </w:rPr>
        <w:t xml:space="preserve">. </w:t>
      </w:r>
      <w:r w:rsidR="00FE574D" w:rsidRPr="00D80C5B">
        <w:rPr>
          <w:rFonts w:eastAsia="Times New Roman" w:cstheme="minorHAnsi"/>
        </w:rPr>
        <w:t xml:space="preserve">Instead, </w:t>
      </w:r>
      <w:r w:rsidRPr="00D80C5B">
        <w:rPr>
          <w:rFonts w:eastAsia="Times New Roman" w:cstheme="minorHAnsi"/>
        </w:rPr>
        <w:t xml:space="preserve">Belgium recorded a fall in its </w:t>
      </w:r>
      <w:r w:rsidR="00AA14C1" w:rsidRPr="00D80C5B">
        <w:rPr>
          <w:rFonts w:eastAsia="Times New Roman" w:cstheme="minorHAnsi"/>
        </w:rPr>
        <w:t xml:space="preserve">very </w:t>
      </w:r>
      <w:r w:rsidR="00FE574D" w:rsidRPr="00D80C5B">
        <w:rPr>
          <w:rFonts w:eastAsia="Times New Roman" w:cstheme="minorHAnsi"/>
        </w:rPr>
        <w:t xml:space="preserve">positive </w:t>
      </w:r>
      <w:r w:rsidRPr="00D80C5B">
        <w:rPr>
          <w:rFonts w:eastAsia="Times New Roman" w:cstheme="minorHAnsi"/>
        </w:rPr>
        <w:t xml:space="preserve">NIIP </w:t>
      </w:r>
      <w:r w:rsidR="005E3539" w:rsidRPr="00D80C5B">
        <w:rPr>
          <w:rFonts w:eastAsia="Times New Roman" w:cstheme="minorHAnsi"/>
        </w:rPr>
        <w:t xml:space="preserve">on the back of </w:t>
      </w:r>
      <w:r w:rsidR="00AA14C1" w:rsidRPr="00D80C5B">
        <w:rPr>
          <w:rFonts w:eastAsia="Times New Roman" w:cstheme="minorHAnsi"/>
        </w:rPr>
        <w:t>adverse valuation effects</w:t>
      </w:r>
      <w:r w:rsidRPr="00D80C5B">
        <w:rPr>
          <w:rFonts w:eastAsia="Times New Roman" w:cstheme="minorHAnsi"/>
        </w:rPr>
        <w:t>. In all th</w:t>
      </w:r>
      <w:r w:rsidR="001765C6" w:rsidRPr="00D80C5B">
        <w:rPr>
          <w:rFonts w:eastAsia="Times New Roman" w:cstheme="minorHAnsi"/>
        </w:rPr>
        <w:t>o</w:t>
      </w:r>
      <w:r w:rsidRPr="00D80C5B">
        <w:rPr>
          <w:rFonts w:eastAsia="Times New Roman" w:cstheme="minorHAnsi"/>
        </w:rPr>
        <w:t>se cases,</w:t>
      </w:r>
      <w:r w:rsidRPr="00D80C5B">
        <w:rPr>
          <w:rFonts w:eastAsia="Times New Roman" w:cstheme="minorHAnsi"/>
          <w:b/>
        </w:rPr>
        <w:t xml:space="preserve"> </w:t>
      </w:r>
      <w:r w:rsidRPr="00D80C5B">
        <w:rPr>
          <w:rFonts w:eastAsia="Times New Roman" w:cstheme="minorHAnsi"/>
        </w:rPr>
        <w:t xml:space="preserve">NIIPs readings are visibly </w:t>
      </w:r>
      <w:r w:rsidR="002737A7" w:rsidRPr="00D80C5B">
        <w:rPr>
          <w:rFonts w:eastAsia="Times New Roman" w:cstheme="minorHAnsi"/>
        </w:rPr>
        <w:t>above</w:t>
      </w:r>
      <w:r w:rsidRPr="00D80C5B">
        <w:rPr>
          <w:rFonts w:eastAsia="Times New Roman" w:cstheme="minorHAnsi"/>
        </w:rPr>
        <w:t xml:space="preserve"> the respective norms</w:t>
      </w:r>
      <w:r w:rsidR="00E60A1F" w:rsidRPr="00D80C5B">
        <w:rPr>
          <w:rFonts w:eastAsia="Times New Roman" w:cstheme="minorHAnsi"/>
        </w:rPr>
        <w:t xml:space="preserve">, i.e. </w:t>
      </w:r>
      <w:r w:rsidR="00D14B8A" w:rsidRPr="00D80C5B">
        <w:rPr>
          <w:rFonts w:eastAsia="Times New Roman" w:cstheme="minorHAnsi"/>
        </w:rPr>
        <w:t xml:space="preserve">well </w:t>
      </w:r>
      <w:r w:rsidR="00E60A1F" w:rsidRPr="00D80C5B">
        <w:rPr>
          <w:rFonts w:eastAsia="Times New Roman" w:cstheme="minorHAnsi"/>
        </w:rPr>
        <w:t>beyond what could be justified by or expected on the basis of country-specific fundamentals.</w:t>
      </w:r>
    </w:p>
    <w:p w:rsidR="00777668" w:rsidRPr="00D80C5B" w:rsidRDefault="00777668" w:rsidP="00850EA8">
      <w:pPr>
        <w:ind w:left="426"/>
        <w:jc w:val="both"/>
        <w:rPr>
          <w:rFonts w:eastAsia="Times New Roman" w:cstheme="minorHAnsi"/>
          <w:lang w:eastAsia="en-GB"/>
        </w:rPr>
      </w:pPr>
    </w:p>
    <w:p w:rsidR="006B4AE0" w:rsidRPr="00D80C5B" w:rsidRDefault="006B4AE0" w:rsidP="00CC749B">
      <w:pPr>
        <w:keepNext/>
        <w:ind w:left="0"/>
        <w:jc w:val="center"/>
        <w:rPr>
          <w:rFonts w:eastAsia="MS Mincho" w:cstheme="minorHAnsi"/>
          <w:b/>
          <w:bCs/>
          <w:lang w:eastAsia="ja-JP"/>
        </w:rPr>
      </w:pPr>
      <w:r w:rsidRPr="00D80C5B">
        <w:rPr>
          <w:rFonts w:eastAsia="MS Mincho" w:cstheme="minorHAnsi"/>
          <w:b/>
          <w:bCs/>
          <w:lang w:eastAsia="ja-JP"/>
        </w:rPr>
        <w:t xml:space="preserve">Graph </w:t>
      </w:r>
      <w:r w:rsidR="00D6461F" w:rsidRPr="00D80C5B">
        <w:rPr>
          <w:rFonts w:eastAsia="MS Mincho" w:cstheme="minorHAnsi"/>
          <w:b/>
          <w:bCs/>
          <w:lang w:eastAsia="ja-JP"/>
        </w:rPr>
        <w:t>1</w:t>
      </w:r>
      <w:r w:rsidR="003425D8">
        <w:rPr>
          <w:rFonts w:eastAsia="MS Mincho" w:cstheme="minorHAnsi"/>
          <w:b/>
          <w:bCs/>
          <w:lang w:eastAsia="ja-JP"/>
        </w:rPr>
        <w:t>0</w:t>
      </w:r>
      <w:r w:rsidRPr="00D80C5B">
        <w:rPr>
          <w:rFonts w:eastAsia="MS Mincho" w:cstheme="minorHAnsi"/>
          <w:b/>
          <w:bCs/>
          <w:lang w:eastAsia="ja-JP"/>
        </w:rPr>
        <w:t>: Net international investment positions (NIIPs) and benchmarks in 2018</w:t>
      </w:r>
    </w:p>
    <w:p w:rsidR="005F6582" w:rsidRPr="00D80C5B" w:rsidRDefault="00770A24" w:rsidP="00CC749B">
      <w:pPr>
        <w:keepNext/>
        <w:ind w:left="0"/>
        <w:jc w:val="center"/>
        <w:rPr>
          <w:rFonts w:eastAsia="MS Mincho" w:cstheme="minorHAnsi"/>
          <w:b/>
          <w:bCs/>
          <w:lang w:eastAsia="ja-JP"/>
        </w:rPr>
      </w:pPr>
      <w:bookmarkStart w:id="11" w:name="ni"/>
      <w:r w:rsidRPr="00D80C5B">
        <w:rPr>
          <w:rFonts w:eastAsia="MS Mincho" w:cstheme="minorHAnsi"/>
          <w:b/>
          <w:bCs/>
          <w:noProof/>
          <w:lang w:eastAsia="en-GB"/>
        </w:rPr>
        <w:drawing>
          <wp:inline distT="0" distB="0" distL="0" distR="0" wp14:anchorId="0711313B" wp14:editId="399A5284">
            <wp:extent cx="5760000" cy="28440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bookmarkEnd w:id="11"/>
    </w:p>
    <w:p w:rsidR="006B4AE0" w:rsidRPr="00D80C5B" w:rsidRDefault="006B4AE0" w:rsidP="00CC749B">
      <w:pPr>
        <w:ind w:left="0"/>
        <w:jc w:val="both"/>
        <w:rPr>
          <w:rFonts w:eastAsia="Times New Roman" w:cstheme="minorHAnsi"/>
          <w:sz w:val="20"/>
          <w:szCs w:val="20"/>
          <w:lang w:val="fr-FR" w:eastAsia="en-GB"/>
        </w:rPr>
      </w:pPr>
      <w:r w:rsidRPr="00D80C5B">
        <w:rPr>
          <w:rFonts w:eastAsia="Times New Roman" w:cstheme="minorHAnsi"/>
          <w:i/>
          <w:sz w:val="20"/>
          <w:szCs w:val="20"/>
          <w:lang w:val="fr-BE" w:eastAsia="en-GB"/>
        </w:rPr>
        <w:t>Source:</w:t>
      </w:r>
      <w:r w:rsidRPr="00D80C5B">
        <w:rPr>
          <w:rFonts w:eastAsia="Times New Roman" w:cstheme="minorHAnsi"/>
          <w:sz w:val="20"/>
          <w:szCs w:val="20"/>
          <w:lang w:val="fr-BE" w:eastAsia="en-GB"/>
        </w:rPr>
        <w:t xml:space="preserve"> Eurostat (BPM6, ESA10), Commission se</w:t>
      </w:r>
      <w:r w:rsidRPr="00D80C5B">
        <w:rPr>
          <w:rFonts w:eastAsia="Times New Roman" w:cstheme="minorHAnsi"/>
          <w:sz w:val="20"/>
          <w:szCs w:val="20"/>
          <w:lang w:val="fr-FR" w:eastAsia="en-GB"/>
        </w:rPr>
        <w:t>rvices calculations</w:t>
      </w:r>
    </w:p>
    <w:p w:rsidR="006B4AE0" w:rsidRPr="00D80C5B" w:rsidRDefault="006B4AE0" w:rsidP="00CC749B">
      <w:pPr>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w:t>
      </w:r>
      <w:r w:rsidR="00FA5FC0" w:rsidRPr="00D80C5B">
        <w:rPr>
          <w:rFonts w:eastAsia="Times New Roman" w:cstheme="minorHAnsi"/>
          <w:sz w:val="20"/>
          <w:szCs w:val="20"/>
          <w:lang w:eastAsia="en-GB"/>
        </w:rPr>
        <w:t xml:space="preserve">values for the NENDI for </w:t>
      </w:r>
      <w:r w:rsidR="006E3B76" w:rsidRPr="00D80C5B">
        <w:rPr>
          <w:rFonts w:eastAsia="Times New Roman" w:cstheme="minorHAnsi"/>
          <w:sz w:val="20"/>
          <w:szCs w:val="20"/>
          <w:lang w:eastAsia="en-GB"/>
        </w:rPr>
        <w:t>Ireland, Luxembourg, and Malta</w:t>
      </w:r>
      <w:r w:rsidR="00FA5FC0" w:rsidRPr="00D80C5B">
        <w:rPr>
          <w:rFonts w:eastAsia="Times New Roman" w:cstheme="minorHAnsi"/>
          <w:sz w:val="20"/>
          <w:szCs w:val="20"/>
          <w:lang w:eastAsia="en-GB"/>
        </w:rPr>
        <w:t xml:space="preserve"> are off-scale. </w:t>
      </w:r>
      <w:r w:rsidRPr="00D80C5B">
        <w:rPr>
          <w:rFonts w:eastAsia="Times New Roman" w:cstheme="minorHAnsi"/>
          <w:sz w:val="20"/>
          <w:szCs w:val="20"/>
          <w:lang w:eastAsia="en-GB"/>
        </w:rPr>
        <w:t xml:space="preserve">Countries are presented in decreasing order of the NIIP-to-GDP ratio in 2018. NENDI is the NIIP excluding non-defaultable instruments. For the concepts of NIIP norm and NIIP prudential threshold, see footnote </w:t>
      </w:r>
      <w:r w:rsidR="001765C6" w:rsidRPr="00D80C5B">
        <w:rPr>
          <w:rFonts w:eastAsia="Times New Roman" w:cstheme="minorHAnsi"/>
          <w:sz w:val="20"/>
          <w:szCs w:val="20"/>
          <w:lang w:eastAsia="en-GB"/>
        </w:rPr>
        <w:fldChar w:fldCharType="begin"/>
      </w:r>
      <w:r w:rsidR="001765C6" w:rsidRPr="00D80C5B">
        <w:rPr>
          <w:rFonts w:eastAsia="Times New Roman" w:cstheme="minorHAnsi"/>
          <w:sz w:val="20"/>
          <w:szCs w:val="20"/>
          <w:lang w:eastAsia="en-GB"/>
        </w:rPr>
        <w:instrText xml:space="preserve"> NOTEREF _Ref21014141 \h </w:instrText>
      </w:r>
      <w:r w:rsidR="0050367B" w:rsidRPr="00D80C5B">
        <w:rPr>
          <w:rFonts w:eastAsia="Times New Roman" w:cstheme="minorHAnsi"/>
          <w:sz w:val="20"/>
          <w:szCs w:val="20"/>
          <w:lang w:eastAsia="en-GB"/>
        </w:rPr>
        <w:instrText xml:space="preserve"> \* MERGEFORMAT </w:instrText>
      </w:r>
      <w:r w:rsidR="001765C6" w:rsidRPr="00D80C5B">
        <w:rPr>
          <w:rFonts w:eastAsia="Times New Roman" w:cstheme="minorHAnsi"/>
          <w:sz w:val="20"/>
          <w:szCs w:val="20"/>
          <w:lang w:eastAsia="en-GB"/>
        </w:rPr>
      </w:r>
      <w:r w:rsidR="001765C6" w:rsidRPr="00D80C5B">
        <w:rPr>
          <w:rFonts w:eastAsia="Times New Roman" w:cstheme="minorHAnsi"/>
          <w:sz w:val="20"/>
          <w:szCs w:val="20"/>
          <w:lang w:eastAsia="en-GB"/>
        </w:rPr>
        <w:fldChar w:fldCharType="separate"/>
      </w:r>
      <w:r w:rsidR="008D55C0">
        <w:rPr>
          <w:rFonts w:eastAsia="Times New Roman" w:cstheme="minorHAnsi"/>
          <w:sz w:val="20"/>
          <w:szCs w:val="20"/>
          <w:lang w:eastAsia="en-GB"/>
        </w:rPr>
        <w:t>25</w:t>
      </w:r>
      <w:r w:rsidR="001765C6" w:rsidRPr="00D80C5B">
        <w:rPr>
          <w:rFonts w:eastAsia="Times New Roman" w:cstheme="minorHAnsi"/>
          <w:sz w:val="20"/>
          <w:szCs w:val="20"/>
          <w:lang w:eastAsia="en-GB"/>
        </w:rPr>
        <w:fldChar w:fldCharType="end"/>
      </w:r>
      <w:r w:rsidR="0050367B" w:rsidRPr="00D80C5B">
        <w:rPr>
          <w:rFonts w:eastAsia="Times New Roman" w:cstheme="minorHAnsi"/>
          <w:sz w:val="20"/>
          <w:szCs w:val="20"/>
          <w:lang w:eastAsia="en-GB"/>
        </w:rPr>
        <w:t>.</w:t>
      </w:r>
      <w:r w:rsidR="00FA5FC0" w:rsidRPr="00D80C5B">
        <w:rPr>
          <w:rFonts w:eastAsia="Times New Roman" w:cstheme="minorHAnsi"/>
          <w:sz w:val="20"/>
          <w:szCs w:val="20"/>
          <w:lang w:eastAsia="en-GB"/>
        </w:rPr>
        <w:t xml:space="preserve"> </w:t>
      </w:r>
    </w:p>
    <w:p w:rsidR="00E63900" w:rsidRPr="00D80C5B" w:rsidRDefault="00E63900" w:rsidP="00850EA8">
      <w:pPr>
        <w:keepNext/>
        <w:ind w:left="0"/>
        <w:jc w:val="center"/>
        <w:rPr>
          <w:rFonts w:eastAsia="MS Mincho" w:cstheme="minorHAnsi"/>
          <w:b/>
          <w:bCs/>
          <w:lang w:eastAsia="ja-JP"/>
        </w:rPr>
      </w:pPr>
    </w:p>
    <w:p w:rsidR="006B4AE0" w:rsidRPr="00D80C5B" w:rsidRDefault="006B4AE0" w:rsidP="00850EA8">
      <w:pPr>
        <w:keepNext/>
        <w:ind w:left="0"/>
        <w:jc w:val="center"/>
        <w:rPr>
          <w:rFonts w:eastAsia="MS Mincho" w:cstheme="minorHAnsi"/>
          <w:b/>
          <w:bCs/>
          <w:lang w:eastAsia="ja-JP"/>
        </w:rPr>
      </w:pPr>
      <w:r w:rsidRPr="00D80C5B">
        <w:rPr>
          <w:rFonts w:eastAsia="MS Mincho" w:cstheme="minorHAnsi"/>
          <w:b/>
          <w:bCs/>
          <w:lang w:eastAsia="ja-JP"/>
        </w:rPr>
        <w:t xml:space="preserve">Graph </w:t>
      </w:r>
      <w:r w:rsidR="00D6461F" w:rsidRPr="00D80C5B">
        <w:rPr>
          <w:rFonts w:eastAsia="MS Mincho" w:cstheme="minorHAnsi"/>
          <w:b/>
          <w:bCs/>
          <w:lang w:eastAsia="ja-JP"/>
        </w:rPr>
        <w:t>1</w:t>
      </w:r>
      <w:r w:rsidR="003425D8">
        <w:rPr>
          <w:rFonts w:eastAsia="MS Mincho" w:cstheme="minorHAnsi"/>
          <w:b/>
          <w:bCs/>
          <w:lang w:eastAsia="ja-JP"/>
        </w:rPr>
        <w:t>1</w:t>
      </w:r>
      <w:r w:rsidRPr="00D80C5B">
        <w:rPr>
          <w:rFonts w:eastAsia="MS Mincho" w:cstheme="minorHAnsi"/>
          <w:b/>
          <w:bCs/>
          <w:lang w:eastAsia="ja-JP"/>
        </w:rPr>
        <w:t xml:space="preserve">: Net international investment positions (NIIPs) dynamics in </w:t>
      </w:r>
      <w:r w:rsidR="008C4249" w:rsidRPr="00D80C5B">
        <w:rPr>
          <w:rFonts w:eastAsia="MS Mincho" w:cstheme="minorHAnsi"/>
          <w:b/>
          <w:bCs/>
          <w:lang w:eastAsia="ja-JP"/>
        </w:rPr>
        <w:t>2018</w:t>
      </w:r>
    </w:p>
    <w:p w:rsidR="005F6582" w:rsidRPr="00D80C5B" w:rsidRDefault="00770A24" w:rsidP="00850EA8">
      <w:pPr>
        <w:keepNext/>
        <w:ind w:left="0"/>
        <w:jc w:val="center"/>
        <w:rPr>
          <w:rFonts w:eastAsia="MS Mincho" w:cstheme="minorHAnsi"/>
          <w:b/>
          <w:bCs/>
          <w:lang w:eastAsia="ja-JP"/>
        </w:rPr>
      </w:pPr>
      <w:r w:rsidRPr="00D80C5B">
        <w:rPr>
          <w:rFonts w:eastAsia="MS Mincho" w:cstheme="minorHAnsi"/>
          <w:b/>
          <w:bCs/>
          <w:noProof/>
          <w:lang w:eastAsia="en-GB"/>
        </w:rPr>
        <w:drawing>
          <wp:inline distT="0" distB="0" distL="0" distR="0" wp14:anchorId="705C60A0" wp14:editId="22F3CFB1">
            <wp:extent cx="5760000" cy="284400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p>
    <w:p w:rsidR="006B4AE0" w:rsidRPr="00D80C5B" w:rsidRDefault="006B4AE0" w:rsidP="00850EA8">
      <w:pPr>
        <w:ind w:left="0"/>
        <w:jc w:val="both"/>
        <w:rPr>
          <w:rFonts w:eastAsia="Times New Roman" w:cstheme="minorHAnsi"/>
          <w:sz w:val="20"/>
          <w:szCs w:val="20"/>
          <w:lang w:val="en-US" w:eastAsia="en-GB"/>
        </w:rPr>
      </w:pPr>
      <w:r w:rsidRPr="00D80C5B">
        <w:rPr>
          <w:rFonts w:eastAsia="Times New Roman" w:cstheme="minorHAnsi"/>
          <w:i/>
          <w:sz w:val="20"/>
          <w:szCs w:val="20"/>
          <w:lang w:val="en-US" w:eastAsia="en-GB"/>
        </w:rPr>
        <w:t>Source:</w:t>
      </w:r>
      <w:r w:rsidRPr="00D80C5B">
        <w:rPr>
          <w:rFonts w:eastAsia="Times New Roman" w:cstheme="minorHAnsi"/>
          <w:sz w:val="20"/>
          <w:szCs w:val="20"/>
          <w:lang w:val="en-US" w:eastAsia="en-GB"/>
        </w:rPr>
        <w:t xml:space="preserve"> Eurostat</w:t>
      </w:r>
      <w:r w:rsidR="00DC2A62" w:rsidRPr="00D80C5B">
        <w:rPr>
          <w:rFonts w:eastAsia="Times New Roman" w:cstheme="minorHAnsi"/>
          <w:sz w:val="20"/>
          <w:szCs w:val="20"/>
          <w:lang w:val="en-US" w:eastAsia="en-GB"/>
        </w:rPr>
        <w:t>,</w:t>
      </w:r>
      <w:r w:rsidRPr="00D80C5B">
        <w:rPr>
          <w:rFonts w:eastAsia="Times New Roman" w:cstheme="minorHAnsi"/>
          <w:sz w:val="20"/>
          <w:szCs w:val="20"/>
          <w:lang w:val="en-US" w:eastAsia="en-GB"/>
        </w:rPr>
        <w:t xml:space="preserve"> </w:t>
      </w:r>
      <w:r w:rsidR="00DC2A62" w:rsidRPr="00D80C5B">
        <w:rPr>
          <w:rFonts w:eastAsia="Times New Roman" w:cstheme="minorHAnsi"/>
          <w:sz w:val="20"/>
          <w:szCs w:val="20"/>
          <w:lang w:val="en-US" w:eastAsia="en-GB"/>
        </w:rPr>
        <w:t>Commission services calculations</w:t>
      </w:r>
    </w:p>
    <w:p w:rsidR="006B4AE0" w:rsidRPr="00D80C5B" w:rsidRDefault="006B4AE0" w:rsidP="00850EA8">
      <w:pPr>
        <w:keepNext/>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Countries are presented in </w:t>
      </w:r>
      <w:r w:rsidR="008C4249" w:rsidRPr="00D80C5B">
        <w:rPr>
          <w:rFonts w:eastAsia="Times New Roman" w:cstheme="minorHAnsi"/>
          <w:sz w:val="20"/>
          <w:szCs w:val="20"/>
          <w:lang w:eastAsia="en-GB"/>
        </w:rPr>
        <w:t>in</w:t>
      </w:r>
      <w:r w:rsidRPr="00D80C5B">
        <w:rPr>
          <w:rFonts w:eastAsia="Times New Roman" w:cstheme="minorHAnsi"/>
          <w:sz w:val="20"/>
          <w:szCs w:val="20"/>
          <w:lang w:eastAsia="en-GB"/>
        </w:rPr>
        <w:t xml:space="preserve">creasing order of the </w:t>
      </w:r>
      <w:r w:rsidR="008C4249" w:rsidRPr="00D80C5B">
        <w:rPr>
          <w:rFonts w:eastAsia="Times New Roman" w:cstheme="minorHAnsi"/>
          <w:sz w:val="20"/>
          <w:szCs w:val="20"/>
          <w:lang w:eastAsia="en-GB"/>
        </w:rPr>
        <w:t xml:space="preserve">variation of the </w:t>
      </w:r>
      <w:r w:rsidRPr="00D80C5B">
        <w:rPr>
          <w:rFonts w:eastAsia="Times New Roman" w:cstheme="minorHAnsi"/>
          <w:sz w:val="20"/>
          <w:szCs w:val="20"/>
          <w:lang w:eastAsia="en-GB"/>
        </w:rPr>
        <w:t>NIIP-to-GDP ratio in 2018.</w:t>
      </w:r>
      <w:r w:rsidR="001D7718" w:rsidRPr="00D80C5B">
        <w:rPr>
          <w:rFonts w:eastAsia="Times New Roman" w:cstheme="minorHAnsi"/>
          <w:sz w:val="20"/>
          <w:szCs w:val="20"/>
          <w:lang w:eastAsia="en-GB"/>
        </w:rPr>
        <w:t xml:space="preserve"> The graph presents a breakdown of the year-on-year evolution of the NIIP-to-GDP ratio into five components: </w:t>
      </w:r>
      <w:r w:rsidR="00E0353F" w:rsidRPr="00D80C5B">
        <w:rPr>
          <w:rFonts w:eastAsia="Times New Roman" w:cstheme="minorHAnsi"/>
          <w:sz w:val="20"/>
          <w:szCs w:val="20"/>
          <w:lang w:eastAsia="en-GB"/>
        </w:rPr>
        <w:t xml:space="preserve">the </w:t>
      </w:r>
      <w:r w:rsidR="00507856" w:rsidRPr="00D80C5B">
        <w:rPr>
          <w:rFonts w:eastAsia="Times New Roman" w:cstheme="minorHAnsi"/>
          <w:sz w:val="20"/>
          <w:szCs w:val="20"/>
          <w:lang w:eastAsia="en-GB"/>
        </w:rPr>
        <w:t>f</w:t>
      </w:r>
      <w:r w:rsidR="001D7718" w:rsidRPr="00D80C5B">
        <w:rPr>
          <w:rFonts w:eastAsia="Times New Roman" w:cstheme="minorHAnsi"/>
          <w:sz w:val="20"/>
          <w:szCs w:val="20"/>
          <w:lang w:eastAsia="en-GB"/>
        </w:rPr>
        <w:t xml:space="preserve">inancial account balance, which should be equal to the sum of </w:t>
      </w:r>
      <w:r w:rsidR="00507856" w:rsidRPr="00D80C5B">
        <w:rPr>
          <w:rFonts w:eastAsia="Times New Roman" w:cstheme="minorHAnsi"/>
          <w:sz w:val="20"/>
          <w:szCs w:val="20"/>
          <w:lang w:eastAsia="en-GB"/>
        </w:rPr>
        <w:t xml:space="preserve">the </w:t>
      </w:r>
      <w:r w:rsidR="001D7718" w:rsidRPr="00D80C5B">
        <w:rPr>
          <w:rFonts w:eastAsia="Times New Roman" w:cstheme="minorHAnsi"/>
          <w:sz w:val="20"/>
          <w:szCs w:val="20"/>
          <w:lang w:eastAsia="en-GB"/>
        </w:rPr>
        <w:t>current and capital account balances; potential and cyclical real GDP growth; inflation; and</w:t>
      </w:r>
      <w:r w:rsidR="00E0353F" w:rsidRPr="00D80C5B">
        <w:rPr>
          <w:rFonts w:eastAsia="Times New Roman" w:cstheme="minorHAnsi"/>
          <w:sz w:val="20"/>
          <w:szCs w:val="20"/>
          <w:lang w:eastAsia="en-GB"/>
        </w:rPr>
        <w:t>,</w:t>
      </w:r>
      <w:r w:rsidR="001D7718" w:rsidRPr="00D80C5B">
        <w:rPr>
          <w:rFonts w:eastAsia="Times New Roman" w:cstheme="minorHAnsi"/>
          <w:sz w:val="20"/>
          <w:szCs w:val="20"/>
          <w:lang w:eastAsia="en-GB"/>
        </w:rPr>
        <w:t xml:space="preserve"> valuation changes. The cyclical component of GDP growth is computed as the difference between actual and potential growth. </w:t>
      </w:r>
    </w:p>
    <w:p w:rsidR="006B4AE0" w:rsidRPr="00D80C5B" w:rsidRDefault="006B4AE0" w:rsidP="00850EA8">
      <w:pPr>
        <w:rPr>
          <w:rFonts w:cstheme="minorHAnsi"/>
        </w:rPr>
      </w:pPr>
    </w:p>
    <w:p w:rsidR="00AA0970" w:rsidRPr="00D80C5B" w:rsidRDefault="00AA0970" w:rsidP="00850EA8">
      <w:pPr>
        <w:rPr>
          <w:rFonts w:eastAsia="Times New Roman" w:cstheme="minorHAnsi"/>
          <w:lang w:eastAsia="en-GB"/>
        </w:rPr>
      </w:pPr>
    </w:p>
    <w:p w:rsidR="002D28D8" w:rsidRPr="00D80C5B" w:rsidRDefault="00743694" w:rsidP="003425D8">
      <w:pPr>
        <w:spacing w:after="120"/>
        <w:ind w:left="0"/>
        <w:jc w:val="both"/>
        <w:rPr>
          <w:rFonts w:eastAsia="Times New Roman" w:cstheme="minorHAnsi"/>
          <w:lang w:eastAsia="en-GB"/>
        </w:rPr>
      </w:pPr>
      <w:r w:rsidRPr="00D80C5B">
        <w:rPr>
          <w:rFonts w:eastAsia="Times New Roman" w:cstheme="minorHAnsi"/>
          <w:b/>
          <w:lang w:eastAsia="en-GB"/>
        </w:rPr>
        <w:t>Unit labour costs</w:t>
      </w:r>
      <w:r w:rsidR="002D28D8" w:rsidRPr="00D80C5B">
        <w:rPr>
          <w:rFonts w:eastAsia="Times New Roman" w:cstheme="minorHAnsi"/>
          <w:b/>
          <w:lang w:eastAsia="en-GB"/>
        </w:rPr>
        <w:t xml:space="preserve"> (ULCs)</w:t>
      </w:r>
      <w:r w:rsidRPr="00D80C5B">
        <w:rPr>
          <w:rFonts w:eastAsia="Times New Roman" w:cstheme="minorHAnsi"/>
          <w:b/>
          <w:lang w:eastAsia="en-GB"/>
        </w:rPr>
        <w:t xml:space="preserve"> are growing at an accelerated pace in a number of EU Member States. </w:t>
      </w:r>
      <w:r w:rsidR="00E63900" w:rsidRPr="00D80C5B">
        <w:rPr>
          <w:rFonts w:eastAsia="Times New Roman" w:cstheme="minorHAnsi"/>
          <w:lang w:eastAsia="en-GB"/>
        </w:rPr>
        <w:t>In 2018, the scoreboard shows</w:t>
      </w:r>
      <w:r w:rsidR="00E63900" w:rsidRPr="00D80C5B">
        <w:rPr>
          <w:rFonts w:eastAsia="Times New Roman" w:cstheme="minorHAnsi"/>
          <w:b/>
          <w:lang w:eastAsia="en-GB"/>
        </w:rPr>
        <w:t xml:space="preserve"> </w:t>
      </w:r>
      <w:r w:rsidR="002D28D8" w:rsidRPr="00D80C5B">
        <w:rPr>
          <w:rFonts w:eastAsia="Times New Roman" w:cstheme="minorHAnsi"/>
          <w:lang w:eastAsia="en-GB"/>
        </w:rPr>
        <w:t>ULC</w:t>
      </w:r>
      <w:r w:rsidR="00E63900" w:rsidRPr="00D80C5B">
        <w:rPr>
          <w:rFonts w:eastAsia="Times New Roman" w:cstheme="minorHAnsi"/>
          <w:lang w:eastAsia="en-GB"/>
        </w:rPr>
        <w:t xml:space="preserve"> growth above threshold in 8 countries</w:t>
      </w:r>
      <w:r w:rsidR="002D28D8" w:rsidRPr="00D80C5B">
        <w:rPr>
          <w:rFonts w:eastAsia="Times New Roman" w:cstheme="minorHAnsi"/>
          <w:lang w:eastAsia="en-GB"/>
        </w:rPr>
        <w:t xml:space="preserve">, twice </w:t>
      </w:r>
      <w:r w:rsidR="00E63900" w:rsidRPr="00D80C5B">
        <w:rPr>
          <w:rFonts w:eastAsia="Times New Roman" w:cstheme="minorHAnsi"/>
          <w:lang w:eastAsia="en-GB"/>
        </w:rPr>
        <w:t xml:space="preserve">compared to </w:t>
      </w:r>
      <w:r w:rsidR="002D28D8" w:rsidRPr="00D80C5B">
        <w:rPr>
          <w:rFonts w:eastAsia="Times New Roman" w:cstheme="minorHAnsi"/>
          <w:lang w:eastAsia="en-GB"/>
        </w:rPr>
        <w:t>previous years.</w:t>
      </w:r>
      <w:r w:rsidR="0034389D" w:rsidRPr="00D80C5B" w:rsidDel="0034389D">
        <w:rPr>
          <w:rFonts w:eastAsia="Times New Roman" w:cstheme="minorHAnsi"/>
          <w:lang w:eastAsia="en-GB"/>
        </w:rPr>
        <w:t xml:space="preserve"> </w:t>
      </w:r>
      <w:r w:rsidRPr="00D80C5B">
        <w:rPr>
          <w:rFonts w:eastAsia="Times New Roman" w:cstheme="minorHAnsi"/>
          <w:lang w:eastAsia="en-GB"/>
        </w:rPr>
        <w:t xml:space="preserve">The ULC acceleration started </w:t>
      </w:r>
      <w:r w:rsidR="002B0C5D" w:rsidRPr="00D80C5B">
        <w:rPr>
          <w:rFonts w:eastAsia="Times New Roman" w:cstheme="minorHAnsi"/>
          <w:lang w:eastAsia="en-GB"/>
        </w:rPr>
        <w:t>around</w:t>
      </w:r>
      <w:r w:rsidRPr="00D80C5B">
        <w:rPr>
          <w:rFonts w:eastAsia="Times New Roman" w:cstheme="minorHAnsi"/>
          <w:lang w:eastAsia="en-GB"/>
        </w:rPr>
        <w:t xml:space="preserve"> 2013, first in the Baltic economies</w:t>
      </w:r>
      <w:r w:rsidR="00E63900" w:rsidRPr="00D80C5B">
        <w:rPr>
          <w:rFonts w:eastAsia="Times New Roman" w:cstheme="minorHAnsi"/>
          <w:lang w:eastAsia="en-GB"/>
        </w:rPr>
        <w:t>,</w:t>
      </w:r>
      <w:r w:rsidRPr="00D80C5B">
        <w:rPr>
          <w:rFonts w:eastAsia="Times New Roman" w:cstheme="minorHAnsi"/>
          <w:lang w:eastAsia="en-GB"/>
        </w:rPr>
        <w:t xml:space="preserve"> </w:t>
      </w:r>
      <w:r w:rsidR="002B0C5D" w:rsidRPr="00D80C5B">
        <w:rPr>
          <w:rFonts w:eastAsia="Times New Roman" w:cstheme="minorHAnsi"/>
          <w:lang w:eastAsia="en-GB"/>
        </w:rPr>
        <w:t xml:space="preserve">somewhat later in </w:t>
      </w:r>
      <w:r w:rsidRPr="00D80C5B">
        <w:rPr>
          <w:rFonts w:eastAsia="Times New Roman" w:cstheme="minorHAnsi"/>
          <w:lang w:eastAsia="en-GB"/>
        </w:rPr>
        <w:t xml:space="preserve">a number of </w:t>
      </w:r>
      <w:r w:rsidR="00F53F46" w:rsidRPr="00D80C5B">
        <w:rPr>
          <w:rFonts w:eastAsia="Times New Roman" w:cstheme="minorHAnsi"/>
          <w:lang w:eastAsia="en-GB"/>
        </w:rPr>
        <w:t>c</w:t>
      </w:r>
      <w:r w:rsidRPr="00D80C5B">
        <w:rPr>
          <w:rFonts w:eastAsia="Times New Roman" w:cstheme="minorHAnsi"/>
          <w:lang w:eastAsia="en-GB"/>
        </w:rPr>
        <w:t xml:space="preserve">entral and </w:t>
      </w:r>
      <w:r w:rsidR="00F53F46" w:rsidRPr="00D80C5B">
        <w:rPr>
          <w:rFonts w:eastAsia="Times New Roman" w:cstheme="minorHAnsi"/>
          <w:lang w:eastAsia="en-GB"/>
        </w:rPr>
        <w:t>e</w:t>
      </w:r>
      <w:r w:rsidRPr="00D80C5B">
        <w:rPr>
          <w:rFonts w:eastAsia="Times New Roman" w:cstheme="minorHAnsi"/>
          <w:lang w:eastAsia="en-GB"/>
        </w:rPr>
        <w:t xml:space="preserve">astern </w:t>
      </w:r>
      <w:r w:rsidR="00C812DD" w:rsidRPr="00D80C5B">
        <w:rPr>
          <w:rFonts w:eastAsia="Times New Roman" w:cstheme="minorHAnsi"/>
          <w:lang w:eastAsia="en-GB"/>
        </w:rPr>
        <w:t>Europe</w:t>
      </w:r>
      <w:r w:rsidR="002B0C5D" w:rsidRPr="00D80C5B">
        <w:rPr>
          <w:rFonts w:eastAsia="Times New Roman" w:cstheme="minorHAnsi"/>
          <w:lang w:eastAsia="en-GB"/>
        </w:rPr>
        <w:t>an</w:t>
      </w:r>
      <w:r w:rsidR="00E0353F" w:rsidRPr="00D80C5B">
        <w:rPr>
          <w:rFonts w:eastAsia="Times New Roman" w:cstheme="minorHAnsi"/>
          <w:lang w:eastAsia="en-GB"/>
        </w:rPr>
        <w:t xml:space="preserve"> countries</w:t>
      </w:r>
      <w:r w:rsidR="00E63900" w:rsidRPr="00D80C5B">
        <w:rPr>
          <w:rFonts w:eastAsia="Times New Roman" w:cstheme="minorHAnsi"/>
          <w:lang w:eastAsia="en-GB"/>
        </w:rPr>
        <w:t>, with some signs of acceleration becoming visible also across the euro area</w:t>
      </w:r>
      <w:r w:rsidRPr="00D80C5B">
        <w:rPr>
          <w:rFonts w:eastAsia="Times New Roman" w:cstheme="minorHAnsi"/>
          <w:lang w:eastAsia="en-GB"/>
        </w:rPr>
        <w:t xml:space="preserve">. </w:t>
      </w:r>
      <w:r w:rsidR="00E63900" w:rsidRPr="00D80C5B">
        <w:rPr>
          <w:rFonts w:eastAsia="Times New Roman" w:cstheme="minorHAnsi"/>
          <w:lang w:eastAsia="en-GB"/>
        </w:rPr>
        <w:t xml:space="preserve">Forecast data for 2019 suggest some </w:t>
      </w:r>
      <w:r w:rsidR="008D29E9" w:rsidRPr="00D80C5B">
        <w:rPr>
          <w:rFonts w:eastAsia="Times New Roman" w:cstheme="minorHAnsi"/>
          <w:lang w:eastAsia="en-GB"/>
        </w:rPr>
        <w:t xml:space="preserve">moderation of ULC growth </w:t>
      </w:r>
      <w:r w:rsidR="00BF2B5B" w:rsidRPr="00D80C5B">
        <w:rPr>
          <w:rFonts w:eastAsia="Times New Roman" w:cstheme="minorHAnsi"/>
          <w:lang w:eastAsia="en-GB"/>
        </w:rPr>
        <w:t xml:space="preserve">in countries </w:t>
      </w:r>
      <w:r w:rsidR="008D29E9" w:rsidRPr="00D80C5B">
        <w:rPr>
          <w:rFonts w:eastAsia="Times New Roman" w:cstheme="minorHAnsi"/>
          <w:lang w:eastAsia="en-GB"/>
        </w:rPr>
        <w:t xml:space="preserve">where </w:t>
      </w:r>
      <w:r w:rsidR="00E63900" w:rsidRPr="00D80C5B">
        <w:rPr>
          <w:rFonts w:eastAsia="Times New Roman" w:cstheme="minorHAnsi"/>
          <w:lang w:eastAsia="en-GB"/>
        </w:rPr>
        <w:t xml:space="preserve">cost </w:t>
      </w:r>
      <w:r w:rsidR="008D29E9" w:rsidRPr="00D80C5B">
        <w:rPr>
          <w:rFonts w:cstheme="minorHAnsi"/>
        </w:rPr>
        <w:t>competitiveness</w:t>
      </w:r>
      <w:r w:rsidR="00E63900" w:rsidRPr="00D80C5B">
        <w:rPr>
          <w:rFonts w:cstheme="minorHAnsi"/>
        </w:rPr>
        <w:t xml:space="preserve"> losses in recent years were more substantial</w:t>
      </w:r>
      <w:r w:rsidR="002B0C5D" w:rsidRPr="00D80C5B">
        <w:rPr>
          <w:rFonts w:cstheme="minorHAnsi"/>
        </w:rPr>
        <w:t>,</w:t>
      </w:r>
      <w:r w:rsidR="00BF2B5B" w:rsidRPr="00D80C5B">
        <w:rPr>
          <w:rFonts w:cstheme="minorHAnsi"/>
        </w:rPr>
        <w:t xml:space="preserve"> but there also cases where ULC growth seems to edging further up </w:t>
      </w:r>
      <w:r w:rsidR="008D29E9" w:rsidRPr="00D80C5B">
        <w:rPr>
          <w:rFonts w:eastAsia="Times New Roman" w:cstheme="minorHAnsi"/>
          <w:lang w:eastAsia="en-GB"/>
        </w:rPr>
        <w:t xml:space="preserve">(Graph </w:t>
      </w:r>
      <w:r w:rsidR="005E40D9" w:rsidRPr="00D80C5B">
        <w:rPr>
          <w:rFonts w:eastAsia="Times New Roman" w:cstheme="minorHAnsi"/>
          <w:lang w:eastAsia="en-GB"/>
        </w:rPr>
        <w:t>1</w:t>
      </w:r>
      <w:r w:rsidR="003425D8">
        <w:rPr>
          <w:rFonts w:eastAsia="Times New Roman" w:cstheme="minorHAnsi"/>
          <w:lang w:eastAsia="en-GB"/>
        </w:rPr>
        <w:t>2</w:t>
      </w:r>
      <w:r w:rsidR="008D29E9" w:rsidRPr="00D80C5B">
        <w:rPr>
          <w:rFonts w:eastAsia="Times New Roman" w:cstheme="minorHAnsi"/>
          <w:lang w:eastAsia="en-GB"/>
        </w:rPr>
        <w:t>)</w:t>
      </w:r>
      <w:r w:rsidR="008D29E9" w:rsidRPr="00D80C5B">
        <w:rPr>
          <w:rFonts w:cstheme="minorHAnsi"/>
        </w:rPr>
        <w:t>.</w:t>
      </w:r>
      <w:r w:rsidR="0034389D" w:rsidRPr="00D80C5B">
        <w:rPr>
          <w:rFonts w:eastAsia="Times New Roman" w:cstheme="minorHAnsi"/>
          <w:lang w:eastAsia="en-GB"/>
        </w:rPr>
        <w:t xml:space="preserve"> </w:t>
      </w:r>
    </w:p>
    <w:p w:rsidR="002D28D8" w:rsidRPr="00D80C5B" w:rsidRDefault="00807340" w:rsidP="003425D8">
      <w:pPr>
        <w:pStyle w:val="ListParagraph"/>
        <w:numPr>
          <w:ilvl w:val="0"/>
          <w:numId w:val="31"/>
        </w:numPr>
        <w:spacing w:after="120"/>
        <w:ind w:left="426" w:hanging="284"/>
        <w:contextualSpacing w:val="0"/>
        <w:jc w:val="both"/>
        <w:rPr>
          <w:rFonts w:cstheme="minorHAnsi"/>
        </w:rPr>
      </w:pPr>
      <w:r w:rsidRPr="00D80C5B">
        <w:rPr>
          <w:rFonts w:cstheme="minorHAnsi"/>
          <w:b/>
        </w:rPr>
        <w:t>ULC</w:t>
      </w:r>
      <w:r w:rsidR="002D28D8" w:rsidRPr="00D80C5B">
        <w:rPr>
          <w:rFonts w:cstheme="minorHAnsi"/>
          <w:b/>
        </w:rPr>
        <w:t xml:space="preserve"> accelerations </w:t>
      </w:r>
      <w:r w:rsidR="00537826" w:rsidRPr="00D80C5B">
        <w:rPr>
          <w:rFonts w:cstheme="minorHAnsi"/>
          <w:b/>
        </w:rPr>
        <w:t>have been</w:t>
      </w:r>
      <w:r w:rsidR="002D28D8" w:rsidRPr="00D80C5B">
        <w:rPr>
          <w:rFonts w:cstheme="minorHAnsi"/>
          <w:b/>
        </w:rPr>
        <w:t xml:space="preserve"> observed in a growing number of Member States. </w:t>
      </w:r>
      <w:r w:rsidR="002D28D8" w:rsidRPr="00D80C5B">
        <w:rPr>
          <w:rFonts w:cstheme="minorHAnsi"/>
        </w:rPr>
        <w:t>ULC</w:t>
      </w:r>
      <w:r w:rsidRPr="00D80C5B">
        <w:rPr>
          <w:rFonts w:cstheme="minorHAnsi"/>
        </w:rPr>
        <w:t xml:space="preserve"> growth </w:t>
      </w:r>
      <w:r w:rsidR="008C3392" w:rsidRPr="00D80C5B">
        <w:rPr>
          <w:rFonts w:cstheme="minorHAnsi"/>
        </w:rPr>
        <w:t>h</w:t>
      </w:r>
      <w:r w:rsidRPr="00D80C5B">
        <w:rPr>
          <w:rFonts w:cstheme="minorHAnsi"/>
        </w:rPr>
        <w:t xml:space="preserve">as </w:t>
      </w:r>
      <w:r w:rsidR="008C3392" w:rsidRPr="00D80C5B">
        <w:rPr>
          <w:rFonts w:cstheme="minorHAnsi"/>
        </w:rPr>
        <w:t xml:space="preserve">been </w:t>
      </w:r>
      <w:r w:rsidRPr="00D80C5B">
        <w:rPr>
          <w:rFonts w:cstheme="minorHAnsi"/>
        </w:rPr>
        <w:t xml:space="preserve">especially strong in some </w:t>
      </w:r>
      <w:r w:rsidR="00CC7BD7" w:rsidRPr="00D80C5B">
        <w:rPr>
          <w:rFonts w:cstheme="minorHAnsi"/>
        </w:rPr>
        <w:t>c</w:t>
      </w:r>
      <w:r w:rsidRPr="00D80C5B">
        <w:rPr>
          <w:rFonts w:cstheme="minorHAnsi"/>
        </w:rPr>
        <w:t xml:space="preserve">entral and </w:t>
      </w:r>
      <w:r w:rsidR="00CC7BD7" w:rsidRPr="00D80C5B">
        <w:rPr>
          <w:rFonts w:cstheme="minorHAnsi"/>
        </w:rPr>
        <w:t>e</w:t>
      </w:r>
      <w:r w:rsidRPr="00D80C5B">
        <w:rPr>
          <w:rFonts w:cstheme="minorHAnsi"/>
        </w:rPr>
        <w:t xml:space="preserve">astern European and Baltic countries, notably Romania and also </w:t>
      </w:r>
      <w:r w:rsidR="00465898" w:rsidRPr="00D80C5B">
        <w:rPr>
          <w:rFonts w:cstheme="minorHAnsi"/>
        </w:rPr>
        <w:t xml:space="preserve">Bulgaria, </w:t>
      </w:r>
      <w:r w:rsidRPr="00D80C5B">
        <w:rPr>
          <w:rFonts w:cstheme="minorHAnsi"/>
        </w:rPr>
        <w:t>Czechia, Estonia, Hungary, Latvia, Lithuania</w:t>
      </w:r>
      <w:r w:rsidR="00465898" w:rsidRPr="00D80C5B">
        <w:rPr>
          <w:rFonts w:cstheme="minorHAnsi"/>
        </w:rPr>
        <w:t>, and</w:t>
      </w:r>
      <w:r w:rsidR="00F95D65" w:rsidRPr="00D80C5B">
        <w:rPr>
          <w:rFonts w:cstheme="minorHAnsi"/>
        </w:rPr>
        <w:t xml:space="preserve"> Slovakia</w:t>
      </w:r>
      <w:r w:rsidRPr="00D80C5B">
        <w:rPr>
          <w:rFonts w:cstheme="minorHAnsi"/>
        </w:rPr>
        <w:t xml:space="preserve">. </w:t>
      </w:r>
      <w:r w:rsidR="00E63900" w:rsidRPr="00D80C5B">
        <w:rPr>
          <w:rFonts w:cstheme="minorHAnsi"/>
        </w:rPr>
        <w:t>In a</w:t>
      </w:r>
      <w:r w:rsidRPr="00D80C5B">
        <w:rPr>
          <w:rFonts w:cstheme="minorHAnsi"/>
        </w:rPr>
        <w:t xml:space="preserve">ll those countries </w:t>
      </w:r>
      <w:r w:rsidR="00E63900" w:rsidRPr="00D80C5B">
        <w:rPr>
          <w:rFonts w:cstheme="minorHAnsi"/>
        </w:rPr>
        <w:t xml:space="preserve">the scoreboard shows ULC growth above </w:t>
      </w:r>
      <w:r w:rsidRPr="00D80C5B">
        <w:rPr>
          <w:rFonts w:cstheme="minorHAnsi"/>
        </w:rPr>
        <w:t xml:space="preserve">threshold. </w:t>
      </w:r>
      <w:r w:rsidR="00465898" w:rsidRPr="00D80C5B">
        <w:rPr>
          <w:rFonts w:cstheme="minorHAnsi"/>
        </w:rPr>
        <w:t>While f</w:t>
      </w:r>
      <w:r w:rsidR="00E63900" w:rsidRPr="00D80C5B">
        <w:rPr>
          <w:rFonts w:cstheme="minorHAnsi"/>
        </w:rPr>
        <w:t xml:space="preserve">or </w:t>
      </w:r>
      <w:r w:rsidR="00465898" w:rsidRPr="00D80C5B">
        <w:rPr>
          <w:rFonts w:cstheme="minorHAnsi"/>
        </w:rPr>
        <w:t>most of</w:t>
      </w:r>
      <w:r w:rsidR="00F95D65" w:rsidRPr="00D80C5B">
        <w:rPr>
          <w:rFonts w:cstheme="minorHAnsi"/>
        </w:rPr>
        <w:t xml:space="preserve"> them</w:t>
      </w:r>
      <w:r w:rsidR="00E63900" w:rsidRPr="00D80C5B">
        <w:rPr>
          <w:rFonts w:cstheme="minorHAnsi"/>
        </w:rPr>
        <w:t>, s</w:t>
      </w:r>
      <w:r w:rsidRPr="00D80C5B">
        <w:rPr>
          <w:rFonts w:cstheme="minorHAnsi"/>
        </w:rPr>
        <w:t>ome deceleration of ULC</w:t>
      </w:r>
      <w:r w:rsidR="00E63900" w:rsidRPr="00D80C5B">
        <w:rPr>
          <w:rFonts w:cstheme="minorHAnsi"/>
        </w:rPr>
        <w:t xml:space="preserve"> is expected in 2019</w:t>
      </w:r>
      <w:r w:rsidR="00465898" w:rsidRPr="00D80C5B">
        <w:rPr>
          <w:rFonts w:cstheme="minorHAnsi"/>
        </w:rPr>
        <w:t xml:space="preserve">, </w:t>
      </w:r>
      <w:r w:rsidR="008C3392" w:rsidRPr="00D80C5B">
        <w:rPr>
          <w:rFonts w:cstheme="minorHAnsi"/>
        </w:rPr>
        <w:t xml:space="preserve">ULC </w:t>
      </w:r>
      <w:r w:rsidR="00465898" w:rsidRPr="00D80C5B">
        <w:rPr>
          <w:rFonts w:cstheme="minorHAnsi"/>
        </w:rPr>
        <w:t xml:space="preserve">are expected to </w:t>
      </w:r>
      <w:r w:rsidR="008C3392" w:rsidRPr="00D80C5B">
        <w:rPr>
          <w:rFonts w:cstheme="minorHAnsi"/>
        </w:rPr>
        <w:t xml:space="preserve">accelerate </w:t>
      </w:r>
      <w:r w:rsidR="00F95D65" w:rsidRPr="00D80C5B">
        <w:rPr>
          <w:rFonts w:cstheme="minorHAnsi"/>
        </w:rPr>
        <w:t xml:space="preserve">further </w:t>
      </w:r>
      <w:r w:rsidR="008C3392" w:rsidRPr="00D80C5B">
        <w:rPr>
          <w:rFonts w:cstheme="minorHAnsi"/>
        </w:rPr>
        <w:t xml:space="preserve">in </w:t>
      </w:r>
      <w:r w:rsidR="00F95D65" w:rsidRPr="00D80C5B">
        <w:rPr>
          <w:rFonts w:cstheme="minorHAnsi"/>
        </w:rPr>
        <w:t>Hungary</w:t>
      </w:r>
      <w:r w:rsidR="00F95D65" w:rsidRPr="00D80C5B" w:rsidDel="00F95D65">
        <w:rPr>
          <w:rFonts w:cstheme="minorHAnsi"/>
        </w:rPr>
        <w:t xml:space="preserve"> </w:t>
      </w:r>
      <w:r w:rsidR="00F95D65" w:rsidRPr="00D80C5B">
        <w:rPr>
          <w:rFonts w:cstheme="minorHAnsi"/>
        </w:rPr>
        <w:t xml:space="preserve">and Slovakia </w:t>
      </w:r>
      <w:r w:rsidR="008C3392" w:rsidRPr="00D80C5B">
        <w:rPr>
          <w:rFonts w:cstheme="minorHAnsi"/>
        </w:rPr>
        <w:t>in the current yea</w:t>
      </w:r>
      <w:r w:rsidR="00E63900" w:rsidRPr="00D80C5B">
        <w:rPr>
          <w:rFonts w:cstheme="minorHAnsi"/>
        </w:rPr>
        <w:t>r</w:t>
      </w:r>
      <w:r w:rsidR="008C3392" w:rsidRPr="00D80C5B">
        <w:rPr>
          <w:rFonts w:cstheme="minorHAnsi"/>
        </w:rPr>
        <w:t>.</w:t>
      </w:r>
      <w:r w:rsidRPr="00D80C5B">
        <w:rPr>
          <w:rFonts w:cstheme="minorHAnsi"/>
        </w:rPr>
        <w:t xml:space="preserve"> ULC growth remained</w:t>
      </w:r>
      <w:r w:rsidR="00E63900" w:rsidRPr="00D80C5B">
        <w:rPr>
          <w:rFonts w:cstheme="minorHAnsi"/>
        </w:rPr>
        <w:t xml:space="preserve"> relatively</w:t>
      </w:r>
      <w:r w:rsidRPr="00D80C5B">
        <w:rPr>
          <w:rFonts w:cstheme="minorHAnsi"/>
        </w:rPr>
        <w:t xml:space="preserve"> moderate, albeit</w:t>
      </w:r>
      <w:r w:rsidR="009570B8" w:rsidRPr="00D80C5B">
        <w:rPr>
          <w:rFonts w:cstheme="minorHAnsi"/>
        </w:rPr>
        <w:t xml:space="preserve"> higher than </w:t>
      </w:r>
      <w:r w:rsidR="00AE476E" w:rsidRPr="00D80C5B">
        <w:rPr>
          <w:rFonts w:cstheme="minorHAnsi"/>
        </w:rPr>
        <w:t>in earlier years</w:t>
      </w:r>
      <w:r w:rsidRPr="00D80C5B">
        <w:rPr>
          <w:rFonts w:cstheme="minorHAnsi"/>
        </w:rPr>
        <w:t xml:space="preserve">, in </w:t>
      </w:r>
      <w:r w:rsidR="00E63900" w:rsidRPr="00D80C5B">
        <w:rPr>
          <w:rFonts w:cstheme="minorHAnsi"/>
        </w:rPr>
        <w:t xml:space="preserve">euro area </w:t>
      </w:r>
      <w:r w:rsidRPr="00D80C5B">
        <w:rPr>
          <w:rFonts w:cstheme="minorHAnsi"/>
        </w:rPr>
        <w:t>net</w:t>
      </w:r>
      <w:r w:rsidR="00E04C42" w:rsidRPr="00D80C5B">
        <w:rPr>
          <w:rFonts w:cstheme="minorHAnsi"/>
        </w:rPr>
        <w:t>-</w:t>
      </w:r>
      <w:r w:rsidRPr="00D80C5B">
        <w:rPr>
          <w:rFonts w:cstheme="minorHAnsi"/>
        </w:rPr>
        <w:t>debtor countries, notably Cyprus, Greece, and Spain. Portugal recorded ULC growth above the euro area average.</w:t>
      </w:r>
      <w:r w:rsidR="002D28D8" w:rsidRPr="00D80C5B">
        <w:rPr>
          <w:rFonts w:cstheme="minorHAnsi"/>
        </w:rPr>
        <w:t xml:space="preserve"> U</w:t>
      </w:r>
      <w:r w:rsidRPr="00D80C5B">
        <w:rPr>
          <w:rFonts w:cstheme="minorHAnsi"/>
        </w:rPr>
        <w:t>LC eventually edged up somewhat</w:t>
      </w:r>
      <w:r w:rsidR="00495E90" w:rsidRPr="00D80C5B">
        <w:rPr>
          <w:rFonts w:cstheme="minorHAnsi"/>
        </w:rPr>
        <w:t xml:space="preserve"> also</w:t>
      </w:r>
      <w:r w:rsidRPr="00D80C5B">
        <w:rPr>
          <w:rFonts w:cstheme="minorHAnsi"/>
        </w:rPr>
        <w:t xml:space="preserve"> in large net-creditors countries. Germany recorded the strongest acceleration of ULC among the large euro area economies. </w:t>
      </w:r>
    </w:p>
    <w:p w:rsidR="008D29E9" w:rsidRPr="00D80C5B" w:rsidRDefault="00735343" w:rsidP="003425D8">
      <w:pPr>
        <w:pStyle w:val="ListParagraph"/>
        <w:numPr>
          <w:ilvl w:val="0"/>
          <w:numId w:val="31"/>
        </w:numPr>
        <w:spacing w:after="120"/>
        <w:ind w:left="426" w:hanging="284"/>
        <w:contextualSpacing w:val="0"/>
        <w:jc w:val="both"/>
        <w:rPr>
          <w:rFonts w:cstheme="minorHAnsi"/>
        </w:rPr>
      </w:pPr>
      <w:r w:rsidRPr="00D80C5B">
        <w:rPr>
          <w:rFonts w:cstheme="minorHAnsi"/>
          <w:b/>
        </w:rPr>
        <w:t xml:space="preserve">Strong </w:t>
      </w:r>
      <w:r w:rsidR="00D33713" w:rsidRPr="00D80C5B">
        <w:rPr>
          <w:rFonts w:cstheme="minorHAnsi"/>
          <w:b/>
        </w:rPr>
        <w:t xml:space="preserve">ULC </w:t>
      </w:r>
      <w:r w:rsidR="002D28D8" w:rsidRPr="00D80C5B">
        <w:rPr>
          <w:rFonts w:cstheme="minorHAnsi"/>
          <w:b/>
        </w:rPr>
        <w:t>growth is largely the result of resuming wage growth amid labour market tightening</w:t>
      </w:r>
      <w:r w:rsidR="002D28D8" w:rsidRPr="00D80C5B">
        <w:rPr>
          <w:rFonts w:cstheme="minorHAnsi"/>
        </w:rPr>
        <w:t xml:space="preserve">. </w:t>
      </w:r>
      <w:r w:rsidR="00712392" w:rsidRPr="00D80C5B">
        <w:rPr>
          <w:rFonts w:cstheme="minorHAnsi"/>
        </w:rPr>
        <w:t xml:space="preserve">In 2018, nominal wage growth is the most important factor accounting for ULC growth (Graph </w:t>
      </w:r>
      <w:r w:rsidR="005E40D9" w:rsidRPr="00D80C5B">
        <w:rPr>
          <w:rFonts w:cstheme="minorHAnsi"/>
        </w:rPr>
        <w:t>1</w:t>
      </w:r>
      <w:r w:rsidR="003425D8">
        <w:rPr>
          <w:rFonts w:cstheme="minorHAnsi"/>
        </w:rPr>
        <w:t>3</w:t>
      </w:r>
      <w:r w:rsidR="00712392" w:rsidRPr="00D80C5B">
        <w:rPr>
          <w:rFonts w:cstheme="minorHAnsi"/>
        </w:rPr>
        <w:t>). Since the economic recovery, e</w:t>
      </w:r>
      <w:r w:rsidR="008D29E9" w:rsidRPr="00D80C5B">
        <w:rPr>
          <w:rFonts w:cstheme="minorHAnsi"/>
        </w:rPr>
        <w:t xml:space="preserve">mployment growth and falling unemployment rates have been followed by accelerating wage growth, reflecting Phillips' curve dynamics. </w:t>
      </w:r>
      <w:r w:rsidR="002B3182">
        <w:rPr>
          <w:rFonts w:eastAsia="Times New Roman" w:cstheme="minorHAnsi"/>
          <w:lang w:eastAsia="en-GB"/>
        </w:rPr>
        <w:t xml:space="preserve">However, since the recovery, real wage growth was below labour </w:t>
      </w:r>
      <w:r w:rsidR="00E27756">
        <w:rPr>
          <w:rFonts w:eastAsia="Times New Roman" w:cstheme="minorHAnsi"/>
          <w:lang w:eastAsia="en-GB"/>
        </w:rPr>
        <w:t>productivity growth until 2017,</w:t>
      </w:r>
      <w:r w:rsidR="002B3182">
        <w:rPr>
          <w:rFonts w:eastAsia="Times New Roman" w:cstheme="minorHAnsi"/>
          <w:lang w:eastAsia="en-GB"/>
        </w:rPr>
        <w:t xml:space="preserve"> with a reversal taking place only since 2018. </w:t>
      </w:r>
      <w:r w:rsidR="008D29E9" w:rsidRPr="00D80C5B">
        <w:rPr>
          <w:rFonts w:cstheme="minorHAnsi"/>
        </w:rPr>
        <w:t xml:space="preserve">Across countries, ULC growth tends to be stronger where unemployment is the lowest, </w:t>
      </w:r>
      <w:r w:rsidR="00E63900" w:rsidRPr="00D80C5B">
        <w:rPr>
          <w:rFonts w:cstheme="minorHAnsi"/>
        </w:rPr>
        <w:t xml:space="preserve">with </w:t>
      </w:r>
      <w:r w:rsidR="008D29E9" w:rsidRPr="00D80C5B">
        <w:rPr>
          <w:rFonts w:cstheme="minorHAnsi"/>
        </w:rPr>
        <w:t>skill shortages</w:t>
      </w:r>
      <w:r w:rsidR="00711380" w:rsidRPr="00D80C5B">
        <w:rPr>
          <w:rFonts w:cstheme="minorHAnsi"/>
        </w:rPr>
        <w:t>,</w:t>
      </w:r>
      <w:r w:rsidR="008D29E9" w:rsidRPr="00D80C5B">
        <w:rPr>
          <w:rFonts w:cstheme="minorHAnsi"/>
        </w:rPr>
        <w:t xml:space="preserve"> labour supply bottlenecks</w:t>
      </w:r>
      <w:r w:rsidR="00D33713" w:rsidRPr="00D80C5B">
        <w:rPr>
          <w:rFonts w:cstheme="minorHAnsi"/>
        </w:rPr>
        <w:t xml:space="preserve">, </w:t>
      </w:r>
      <w:r w:rsidR="00E63900" w:rsidRPr="00D80C5B">
        <w:rPr>
          <w:rFonts w:cstheme="minorHAnsi"/>
        </w:rPr>
        <w:t xml:space="preserve">and </w:t>
      </w:r>
      <w:r w:rsidR="003B357D" w:rsidRPr="00D80C5B">
        <w:rPr>
          <w:rFonts w:cstheme="minorHAnsi"/>
        </w:rPr>
        <w:t>catching up dynamics</w:t>
      </w:r>
      <w:r w:rsidR="00711380" w:rsidRPr="00D80C5B">
        <w:rPr>
          <w:rFonts w:cstheme="minorHAnsi"/>
        </w:rPr>
        <w:t xml:space="preserve"> </w:t>
      </w:r>
      <w:r w:rsidR="00D33713" w:rsidRPr="00D80C5B">
        <w:rPr>
          <w:rFonts w:cstheme="minorHAnsi"/>
        </w:rPr>
        <w:t>play</w:t>
      </w:r>
      <w:r w:rsidR="00E63900" w:rsidRPr="00D80C5B">
        <w:rPr>
          <w:rFonts w:cstheme="minorHAnsi"/>
        </w:rPr>
        <w:t>ing also a role especially in central and eastern Europe</w:t>
      </w:r>
      <w:r w:rsidR="008D29E9" w:rsidRPr="00D80C5B">
        <w:rPr>
          <w:rFonts w:cstheme="minorHAnsi"/>
        </w:rPr>
        <w:t>.</w:t>
      </w:r>
      <w:r w:rsidR="0015618A" w:rsidRPr="00D80C5B">
        <w:rPr>
          <w:rStyle w:val="FootnoteReference"/>
          <w:rFonts w:cstheme="minorHAnsi"/>
        </w:rPr>
        <w:footnoteReference w:id="31"/>
      </w:r>
      <w:r w:rsidR="008D29E9" w:rsidRPr="00D80C5B">
        <w:rPr>
          <w:rFonts w:cstheme="minorHAnsi"/>
        </w:rPr>
        <w:t xml:space="preserve"> The timing</w:t>
      </w:r>
      <w:r w:rsidR="00B417FC" w:rsidRPr="00D80C5B">
        <w:rPr>
          <w:rFonts w:cstheme="minorHAnsi"/>
        </w:rPr>
        <w:t>s</w:t>
      </w:r>
      <w:r w:rsidR="008D29E9" w:rsidRPr="00D80C5B">
        <w:rPr>
          <w:rFonts w:cstheme="minorHAnsi"/>
        </w:rPr>
        <w:t xml:space="preserve"> of ULC accelerations also reflect</w:t>
      </w:r>
      <w:r w:rsidR="0034389D" w:rsidRPr="00D80C5B">
        <w:rPr>
          <w:rFonts w:cstheme="minorHAnsi"/>
        </w:rPr>
        <w:t>s</w:t>
      </w:r>
      <w:r w:rsidR="008D29E9" w:rsidRPr="00D80C5B">
        <w:rPr>
          <w:rFonts w:cstheme="minorHAnsi"/>
        </w:rPr>
        <w:t xml:space="preserve"> </w:t>
      </w:r>
      <w:r w:rsidR="00B417FC" w:rsidRPr="00D80C5B">
        <w:rPr>
          <w:rFonts w:cstheme="minorHAnsi"/>
        </w:rPr>
        <w:t xml:space="preserve">those of </w:t>
      </w:r>
      <w:r w:rsidR="008D29E9" w:rsidRPr="00D80C5B">
        <w:rPr>
          <w:rFonts w:cstheme="minorHAnsi"/>
        </w:rPr>
        <w:t xml:space="preserve">labour market </w:t>
      </w:r>
      <w:r w:rsidR="00B417FC" w:rsidRPr="00D80C5B">
        <w:rPr>
          <w:rFonts w:cstheme="minorHAnsi"/>
        </w:rPr>
        <w:t>improvements</w:t>
      </w:r>
      <w:r w:rsidR="008D29E9" w:rsidRPr="00D80C5B">
        <w:rPr>
          <w:rFonts w:cstheme="minorHAnsi"/>
        </w:rPr>
        <w:t xml:space="preserve">, with countries </w:t>
      </w:r>
      <w:r w:rsidR="00712392" w:rsidRPr="00D80C5B">
        <w:rPr>
          <w:rFonts w:cstheme="minorHAnsi"/>
        </w:rPr>
        <w:t xml:space="preserve">that experienced </w:t>
      </w:r>
      <w:r w:rsidR="00FA228F" w:rsidRPr="00D80C5B">
        <w:rPr>
          <w:rFonts w:cstheme="minorHAnsi"/>
        </w:rPr>
        <w:t xml:space="preserve">earlier </w:t>
      </w:r>
      <w:r w:rsidR="00712392" w:rsidRPr="00D80C5B">
        <w:rPr>
          <w:rFonts w:cstheme="minorHAnsi"/>
        </w:rPr>
        <w:t>acceleration</w:t>
      </w:r>
      <w:r w:rsidR="00D5655E" w:rsidRPr="00D80C5B">
        <w:rPr>
          <w:rFonts w:cstheme="minorHAnsi"/>
        </w:rPr>
        <w:t>s</w:t>
      </w:r>
      <w:r w:rsidR="00712392" w:rsidRPr="00D80C5B">
        <w:rPr>
          <w:rFonts w:cstheme="minorHAnsi"/>
        </w:rPr>
        <w:t xml:space="preserve"> in </w:t>
      </w:r>
      <w:r w:rsidR="00E0353F" w:rsidRPr="00D80C5B">
        <w:rPr>
          <w:rFonts w:cstheme="minorHAnsi"/>
        </w:rPr>
        <w:t>ULC</w:t>
      </w:r>
      <w:r w:rsidR="00BB08DA" w:rsidRPr="00D80C5B">
        <w:rPr>
          <w:rFonts w:cstheme="minorHAnsi"/>
        </w:rPr>
        <w:t>s</w:t>
      </w:r>
      <w:r w:rsidR="00E0353F" w:rsidRPr="00D80C5B">
        <w:rPr>
          <w:rFonts w:cstheme="minorHAnsi"/>
        </w:rPr>
        <w:t xml:space="preserve"> </w:t>
      </w:r>
      <w:r w:rsidR="00712392" w:rsidRPr="00D80C5B">
        <w:rPr>
          <w:rFonts w:cstheme="minorHAnsi"/>
        </w:rPr>
        <w:t xml:space="preserve">being those that were less concerned by the recessions linked to the 2011 </w:t>
      </w:r>
      <w:r w:rsidR="00FA228F" w:rsidRPr="00D80C5B">
        <w:rPr>
          <w:rFonts w:cstheme="minorHAnsi"/>
        </w:rPr>
        <w:t xml:space="preserve">euro area </w:t>
      </w:r>
      <w:r w:rsidR="00712392" w:rsidRPr="00D80C5B">
        <w:rPr>
          <w:rFonts w:cstheme="minorHAnsi"/>
        </w:rPr>
        <w:t xml:space="preserve">debt crisis and where unemployment started falling earlier. </w:t>
      </w:r>
    </w:p>
    <w:p w:rsidR="00D46E0F" w:rsidRDefault="009E0850" w:rsidP="00D46E0F">
      <w:pPr>
        <w:pStyle w:val="ListParagraph"/>
        <w:numPr>
          <w:ilvl w:val="0"/>
          <w:numId w:val="31"/>
        </w:numPr>
        <w:spacing w:after="120"/>
        <w:ind w:left="426" w:hanging="284"/>
        <w:contextualSpacing w:val="0"/>
        <w:jc w:val="both"/>
        <w:rPr>
          <w:rFonts w:cstheme="minorHAnsi"/>
        </w:rPr>
      </w:pPr>
      <w:r w:rsidRPr="00D80C5B">
        <w:rPr>
          <w:rFonts w:cstheme="minorHAnsi"/>
          <w:b/>
        </w:rPr>
        <w:t>Sluggish</w:t>
      </w:r>
      <w:r w:rsidR="008D29E9" w:rsidRPr="00D80C5B">
        <w:rPr>
          <w:rFonts w:cstheme="minorHAnsi"/>
          <w:b/>
        </w:rPr>
        <w:t xml:space="preserve"> labour productivity plays a growing role in the ULC acceleration</w:t>
      </w:r>
      <w:r w:rsidR="002874D1" w:rsidRPr="00D80C5B">
        <w:rPr>
          <w:rFonts w:cstheme="minorHAnsi"/>
          <w:b/>
        </w:rPr>
        <w:t>s</w:t>
      </w:r>
      <w:r w:rsidR="008D29E9" w:rsidRPr="00D80C5B">
        <w:rPr>
          <w:rFonts w:cstheme="minorHAnsi"/>
        </w:rPr>
        <w:t>.</w:t>
      </w:r>
      <w:r w:rsidR="00495E90" w:rsidRPr="00D80C5B">
        <w:rPr>
          <w:rFonts w:cstheme="minorHAnsi"/>
        </w:rPr>
        <w:t xml:space="preserve"> </w:t>
      </w:r>
      <w:r w:rsidR="00237FED" w:rsidRPr="00D80C5B">
        <w:rPr>
          <w:rFonts w:cstheme="minorHAnsi"/>
        </w:rPr>
        <w:t>F</w:t>
      </w:r>
      <w:r w:rsidR="00495E90" w:rsidRPr="00D80C5B">
        <w:rPr>
          <w:rFonts w:cstheme="minorHAnsi"/>
        </w:rPr>
        <w:t>al</w:t>
      </w:r>
      <w:r w:rsidRPr="00D80C5B">
        <w:rPr>
          <w:rFonts w:cstheme="minorHAnsi"/>
        </w:rPr>
        <w:t>ling</w:t>
      </w:r>
      <w:r w:rsidR="00495E90" w:rsidRPr="00D80C5B">
        <w:rPr>
          <w:rFonts w:cstheme="minorHAnsi"/>
        </w:rPr>
        <w:t xml:space="preserve"> labour productivity </w:t>
      </w:r>
      <w:r w:rsidRPr="00D80C5B">
        <w:rPr>
          <w:rFonts w:cstheme="minorHAnsi"/>
        </w:rPr>
        <w:t xml:space="preserve">growth </w:t>
      </w:r>
      <w:r w:rsidR="00495E90" w:rsidRPr="00D80C5B">
        <w:rPr>
          <w:rFonts w:cstheme="minorHAnsi"/>
        </w:rPr>
        <w:t>is behind a considerable fraction of the acceleration of ULC</w:t>
      </w:r>
      <w:r w:rsidR="00BB08DA" w:rsidRPr="00D80C5B">
        <w:rPr>
          <w:rFonts w:cstheme="minorHAnsi"/>
        </w:rPr>
        <w:t>s</w:t>
      </w:r>
      <w:r w:rsidR="00495E90" w:rsidRPr="00D80C5B">
        <w:rPr>
          <w:rFonts w:cstheme="minorHAnsi"/>
        </w:rPr>
        <w:t xml:space="preserve"> between 2017 and 2018. Labour productivity </w:t>
      </w:r>
      <w:r w:rsidR="002874D1" w:rsidRPr="00D80C5B">
        <w:rPr>
          <w:rFonts w:cstheme="minorHAnsi"/>
        </w:rPr>
        <w:t xml:space="preserve">growth </w:t>
      </w:r>
      <w:r w:rsidR="00495E90" w:rsidRPr="00D80C5B">
        <w:rPr>
          <w:rFonts w:cstheme="minorHAnsi"/>
        </w:rPr>
        <w:t xml:space="preserve">resumed in most </w:t>
      </w:r>
      <w:r w:rsidR="00D86516" w:rsidRPr="00D80C5B">
        <w:rPr>
          <w:rFonts w:cstheme="minorHAnsi"/>
        </w:rPr>
        <w:t xml:space="preserve">EU countries </w:t>
      </w:r>
      <w:r w:rsidR="00495E90" w:rsidRPr="00D80C5B">
        <w:rPr>
          <w:rFonts w:cstheme="minorHAnsi"/>
        </w:rPr>
        <w:t xml:space="preserve">with the economic recovery after the marked slowdown in the years </w:t>
      </w:r>
      <w:r w:rsidR="002874D1" w:rsidRPr="00D80C5B">
        <w:rPr>
          <w:rFonts w:cstheme="minorHAnsi"/>
        </w:rPr>
        <w:t xml:space="preserve">around </w:t>
      </w:r>
      <w:r w:rsidR="00495E90" w:rsidRPr="00D80C5B">
        <w:rPr>
          <w:rFonts w:cstheme="minorHAnsi"/>
        </w:rPr>
        <w:t xml:space="preserve">the </w:t>
      </w:r>
      <w:r w:rsidR="002874D1" w:rsidRPr="00D80C5B">
        <w:rPr>
          <w:rFonts w:cstheme="minorHAnsi"/>
        </w:rPr>
        <w:t xml:space="preserve">deep of the </w:t>
      </w:r>
      <w:r w:rsidR="00495E90" w:rsidRPr="00D80C5B">
        <w:rPr>
          <w:rFonts w:cstheme="minorHAnsi"/>
        </w:rPr>
        <w:t xml:space="preserve">financial crisis (Graph </w:t>
      </w:r>
      <w:r w:rsidR="003425D8">
        <w:rPr>
          <w:rFonts w:cstheme="minorHAnsi"/>
        </w:rPr>
        <w:t>14</w:t>
      </w:r>
      <w:r w:rsidR="00495E90" w:rsidRPr="00D80C5B">
        <w:rPr>
          <w:rFonts w:cstheme="minorHAnsi"/>
        </w:rPr>
        <w:t xml:space="preserve">). The recovery in labour productivity was mainly associated with </w:t>
      </w:r>
      <w:r w:rsidR="00537F9E" w:rsidRPr="00D80C5B">
        <w:rPr>
          <w:rFonts w:cstheme="minorHAnsi"/>
        </w:rPr>
        <w:t>total factor productivity (</w:t>
      </w:r>
      <w:r w:rsidR="00495E90" w:rsidRPr="00D80C5B">
        <w:rPr>
          <w:rFonts w:cstheme="minorHAnsi"/>
        </w:rPr>
        <w:t>TFP</w:t>
      </w:r>
      <w:r w:rsidR="00537F9E" w:rsidRPr="00D80C5B">
        <w:rPr>
          <w:rFonts w:cstheme="minorHAnsi"/>
        </w:rPr>
        <w:t>)</w:t>
      </w:r>
      <w:r w:rsidR="00495E90" w:rsidRPr="00D80C5B">
        <w:rPr>
          <w:rFonts w:cstheme="minorHAnsi"/>
        </w:rPr>
        <w:t xml:space="preserve"> growth, while capital deepening </w:t>
      </w:r>
      <w:r w:rsidR="002874D1" w:rsidRPr="00D80C5B">
        <w:rPr>
          <w:rFonts w:cstheme="minorHAnsi"/>
        </w:rPr>
        <w:t xml:space="preserve">has </w:t>
      </w:r>
      <w:r w:rsidR="00765F17" w:rsidRPr="00D80C5B">
        <w:rPr>
          <w:rFonts w:cstheme="minorHAnsi"/>
        </w:rPr>
        <w:t>contributed less</w:t>
      </w:r>
      <w:r w:rsidR="00495E90" w:rsidRPr="00D80C5B">
        <w:rPr>
          <w:rFonts w:cstheme="minorHAnsi"/>
        </w:rPr>
        <w:t xml:space="preserve"> to labour productivity growth compared with the p</w:t>
      </w:r>
      <w:r w:rsidR="002874D1" w:rsidRPr="00D80C5B">
        <w:rPr>
          <w:rFonts w:cstheme="minorHAnsi"/>
        </w:rPr>
        <w:t>re</w:t>
      </w:r>
      <w:r w:rsidR="00495E90" w:rsidRPr="00D80C5B">
        <w:rPr>
          <w:rFonts w:cstheme="minorHAnsi"/>
        </w:rPr>
        <w:t>-crisis period</w:t>
      </w:r>
      <w:r w:rsidR="0034389D" w:rsidRPr="00D80C5B">
        <w:rPr>
          <w:rFonts w:cstheme="minorHAnsi"/>
        </w:rPr>
        <w:t>. Th</w:t>
      </w:r>
      <w:r w:rsidR="002874D1" w:rsidRPr="00D80C5B">
        <w:rPr>
          <w:rFonts w:cstheme="minorHAnsi"/>
        </w:rPr>
        <w:t>e latter</w:t>
      </w:r>
      <w:r w:rsidR="0034389D" w:rsidRPr="00D80C5B">
        <w:rPr>
          <w:rFonts w:cstheme="minorHAnsi"/>
        </w:rPr>
        <w:t xml:space="preserve"> </w:t>
      </w:r>
      <w:r w:rsidR="002874D1" w:rsidRPr="00D80C5B">
        <w:rPr>
          <w:rFonts w:cstheme="minorHAnsi"/>
        </w:rPr>
        <w:t xml:space="preserve">reflects average </w:t>
      </w:r>
      <w:r w:rsidR="00495E90" w:rsidRPr="00D80C5B">
        <w:rPr>
          <w:rFonts w:cstheme="minorHAnsi"/>
        </w:rPr>
        <w:t xml:space="preserve">capital </w:t>
      </w:r>
      <w:r w:rsidR="002874D1" w:rsidRPr="00D80C5B">
        <w:rPr>
          <w:rFonts w:cstheme="minorHAnsi"/>
        </w:rPr>
        <w:t xml:space="preserve">per worker </w:t>
      </w:r>
      <w:r w:rsidR="003B357D" w:rsidRPr="00D80C5B">
        <w:rPr>
          <w:rFonts w:cstheme="minorHAnsi"/>
        </w:rPr>
        <w:t xml:space="preserve">growing </w:t>
      </w:r>
      <w:r w:rsidR="008B032B" w:rsidRPr="00D80C5B">
        <w:rPr>
          <w:rFonts w:cstheme="minorHAnsi"/>
        </w:rPr>
        <w:t xml:space="preserve">at </w:t>
      </w:r>
      <w:r w:rsidR="002874D1" w:rsidRPr="00D80C5B">
        <w:rPr>
          <w:rFonts w:cstheme="minorHAnsi"/>
        </w:rPr>
        <w:t xml:space="preserve">low pace </w:t>
      </w:r>
      <w:r w:rsidR="00495E90" w:rsidRPr="00D80C5B">
        <w:rPr>
          <w:rFonts w:cstheme="minorHAnsi"/>
        </w:rPr>
        <w:t xml:space="preserve">or </w:t>
      </w:r>
      <w:r w:rsidR="003B357D" w:rsidRPr="00D80C5B">
        <w:rPr>
          <w:rFonts w:cstheme="minorHAnsi"/>
        </w:rPr>
        <w:t xml:space="preserve">falling </w:t>
      </w:r>
      <w:r w:rsidR="002874D1" w:rsidRPr="00D80C5B">
        <w:rPr>
          <w:rFonts w:cstheme="minorHAnsi"/>
        </w:rPr>
        <w:t xml:space="preserve">on account of </w:t>
      </w:r>
      <w:r w:rsidR="00495E90" w:rsidRPr="00D80C5B">
        <w:rPr>
          <w:rFonts w:cstheme="minorHAnsi"/>
        </w:rPr>
        <w:t xml:space="preserve">the strong employment </w:t>
      </w:r>
      <w:r w:rsidR="002874D1" w:rsidRPr="00D80C5B">
        <w:rPr>
          <w:rFonts w:cstheme="minorHAnsi"/>
        </w:rPr>
        <w:t>growth</w:t>
      </w:r>
      <w:r w:rsidR="00C812DD" w:rsidRPr="00D80C5B">
        <w:rPr>
          <w:rFonts w:cstheme="minorHAnsi"/>
        </w:rPr>
        <w:t xml:space="preserve"> </w:t>
      </w:r>
      <w:r w:rsidR="002874D1" w:rsidRPr="00D80C5B">
        <w:rPr>
          <w:rFonts w:cstheme="minorHAnsi"/>
        </w:rPr>
        <w:t xml:space="preserve">as well as of </w:t>
      </w:r>
      <w:r w:rsidR="008C4249" w:rsidRPr="00D80C5B">
        <w:rPr>
          <w:rFonts w:cstheme="minorHAnsi"/>
        </w:rPr>
        <w:t>weak investment</w:t>
      </w:r>
      <w:r w:rsidR="00495E90" w:rsidRPr="00D80C5B">
        <w:rPr>
          <w:rFonts w:cstheme="minorHAnsi"/>
        </w:rPr>
        <w:t xml:space="preserve">. </w:t>
      </w:r>
      <w:r w:rsidR="00237FED" w:rsidRPr="00D80C5B">
        <w:rPr>
          <w:rFonts w:cstheme="minorHAnsi"/>
        </w:rPr>
        <w:t>In recent years</w:t>
      </w:r>
      <w:r w:rsidR="007E0239" w:rsidRPr="00D80C5B">
        <w:rPr>
          <w:rFonts w:cstheme="minorHAnsi"/>
        </w:rPr>
        <w:t>,</w:t>
      </w:r>
      <w:r w:rsidR="00237FED" w:rsidRPr="00D80C5B">
        <w:rPr>
          <w:rFonts w:cstheme="minorHAnsi"/>
        </w:rPr>
        <w:t xml:space="preserve"> labour productivity has been growing at rates below those recorded in the pre-crisis period, due both to more moderate TFP growth and weaker capital deepening. </w:t>
      </w:r>
    </w:p>
    <w:p w:rsidR="00712392" w:rsidRPr="00D46E0F" w:rsidRDefault="008D29E9" w:rsidP="00D46E0F">
      <w:pPr>
        <w:pStyle w:val="ListParagraph"/>
        <w:numPr>
          <w:ilvl w:val="0"/>
          <w:numId w:val="31"/>
        </w:numPr>
        <w:spacing w:after="120"/>
        <w:ind w:left="426" w:hanging="284"/>
        <w:contextualSpacing w:val="0"/>
        <w:jc w:val="both"/>
        <w:rPr>
          <w:rFonts w:cstheme="minorHAnsi"/>
        </w:rPr>
      </w:pPr>
      <w:r w:rsidRPr="00D46E0F">
        <w:rPr>
          <w:rFonts w:cstheme="minorHAnsi"/>
          <w:b/>
        </w:rPr>
        <w:t>The pattern of ULC growth is increasingly delinked from rebalancing needs.</w:t>
      </w:r>
      <w:r w:rsidRPr="00D46E0F">
        <w:rPr>
          <w:rFonts w:cstheme="minorHAnsi"/>
        </w:rPr>
        <w:t xml:space="preserve"> </w:t>
      </w:r>
      <w:r w:rsidR="00712392" w:rsidRPr="00D46E0F">
        <w:rPr>
          <w:rFonts w:cstheme="minorHAnsi"/>
        </w:rPr>
        <w:t>In 2018</w:t>
      </w:r>
      <w:r w:rsidR="00E02C1C" w:rsidRPr="00D46E0F">
        <w:rPr>
          <w:rFonts w:cstheme="minorHAnsi"/>
        </w:rPr>
        <w:t>,</w:t>
      </w:r>
      <w:r w:rsidR="00712392" w:rsidRPr="00D46E0F">
        <w:rPr>
          <w:rFonts w:cstheme="minorHAnsi"/>
        </w:rPr>
        <w:t xml:space="preserve"> ULCs edged up </w:t>
      </w:r>
      <w:r w:rsidR="004524D2" w:rsidRPr="00D46E0F">
        <w:rPr>
          <w:rFonts w:cstheme="minorHAnsi"/>
        </w:rPr>
        <w:t>across</w:t>
      </w:r>
      <w:r w:rsidR="00712392" w:rsidRPr="00D46E0F">
        <w:rPr>
          <w:rFonts w:cstheme="minorHAnsi"/>
        </w:rPr>
        <w:t xml:space="preserve"> euro area countries with only little differentiation between net-creditors and net-debtor countries. That was in contrast with post-crisis years, where ULCs exhibited a more marked acceleration in net</w:t>
      </w:r>
      <w:r w:rsidR="00E04C42" w:rsidRPr="00D46E0F">
        <w:rPr>
          <w:rFonts w:cstheme="minorHAnsi"/>
        </w:rPr>
        <w:t>-</w:t>
      </w:r>
      <w:r w:rsidR="00712392" w:rsidRPr="00D46E0F">
        <w:rPr>
          <w:rFonts w:cstheme="minorHAnsi"/>
        </w:rPr>
        <w:t>creditors countries. A</w:t>
      </w:r>
      <w:r w:rsidR="003F176E" w:rsidRPr="00D46E0F">
        <w:rPr>
          <w:rFonts w:cstheme="minorHAnsi"/>
        </w:rPr>
        <w:t>s labour market</w:t>
      </w:r>
      <w:r w:rsidR="003D7299" w:rsidRPr="00D46E0F">
        <w:rPr>
          <w:rFonts w:cstheme="minorHAnsi"/>
        </w:rPr>
        <w:t>s</w:t>
      </w:r>
      <w:r w:rsidR="003F176E" w:rsidRPr="00D46E0F">
        <w:rPr>
          <w:rFonts w:cstheme="minorHAnsi"/>
        </w:rPr>
        <w:t xml:space="preserve"> gradually started tightening also in countries that underwent current account reversals, </w:t>
      </w:r>
      <w:r w:rsidR="00714EC3" w:rsidRPr="00D46E0F">
        <w:rPr>
          <w:rFonts w:cstheme="minorHAnsi"/>
        </w:rPr>
        <w:t xml:space="preserve">labour costs started rising also in these countries, and the gap </w:t>
      </w:r>
      <w:r w:rsidR="00DD608F" w:rsidRPr="00D46E0F">
        <w:rPr>
          <w:rFonts w:cstheme="minorHAnsi"/>
        </w:rPr>
        <w:t>vis-à-vis net-creditor countries</w:t>
      </w:r>
      <w:r w:rsidR="00714EC3" w:rsidRPr="00D46E0F">
        <w:rPr>
          <w:rFonts w:cstheme="minorHAnsi"/>
        </w:rPr>
        <w:t xml:space="preserve"> started </w:t>
      </w:r>
      <w:r w:rsidR="00D46E0F" w:rsidRPr="00D46E0F">
        <w:rPr>
          <w:rFonts w:cstheme="minorHAnsi"/>
        </w:rPr>
        <w:t>narrowing</w:t>
      </w:r>
      <w:r w:rsidR="00E84437" w:rsidRPr="00D46E0F">
        <w:rPr>
          <w:rFonts w:cstheme="minorHAnsi"/>
        </w:rPr>
        <w:t xml:space="preserve"> (see</w:t>
      </w:r>
      <w:r w:rsidR="003425D8" w:rsidRPr="00D46E0F">
        <w:rPr>
          <w:rFonts w:cstheme="minorHAnsi"/>
        </w:rPr>
        <w:t xml:space="preserve"> </w:t>
      </w:r>
      <w:r w:rsidR="00994B80">
        <w:rPr>
          <w:rFonts w:cstheme="minorHAnsi"/>
        </w:rPr>
        <w:t xml:space="preserve">also </w:t>
      </w:r>
      <w:r w:rsidR="005E40D9" w:rsidRPr="00D46E0F">
        <w:rPr>
          <w:rFonts w:cstheme="minorHAnsi"/>
        </w:rPr>
        <w:t>section 2</w:t>
      </w:r>
      <w:r w:rsidR="00E84437" w:rsidRPr="00D46E0F">
        <w:rPr>
          <w:rFonts w:cstheme="minorHAnsi"/>
        </w:rPr>
        <w:t>)</w:t>
      </w:r>
      <w:r w:rsidR="00712392" w:rsidRPr="00D46E0F">
        <w:rPr>
          <w:rFonts w:cstheme="minorHAnsi"/>
        </w:rPr>
        <w:t xml:space="preserve">. </w:t>
      </w:r>
      <w:r w:rsidR="00714EC3" w:rsidRPr="00D46E0F">
        <w:rPr>
          <w:rFonts w:cstheme="minorHAnsi"/>
        </w:rPr>
        <w:t xml:space="preserve">Going forward, as it is </w:t>
      </w:r>
      <w:r w:rsidR="00D52290" w:rsidRPr="00D46E0F">
        <w:rPr>
          <w:rFonts w:cstheme="minorHAnsi"/>
        </w:rPr>
        <w:t xml:space="preserve">in net-debtor countries </w:t>
      </w:r>
      <w:r w:rsidR="00EA0604" w:rsidRPr="00D46E0F">
        <w:rPr>
          <w:rFonts w:cstheme="minorHAnsi"/>
        </w:rPr>
        <w:t>where</w:t>
      </w:r>
      <w:r w:rsidR="0048639A" w:rsidRPr="00D46E0F">
        <w:rPr>
          <w:rFonts w:cstheme="minorHAnsi"/>
        </w:rPr>
        <w:t xml:space="preserve"> </w:t>
      </w:r>
      <w:r w:rsidR="003F176E" w:rsidRPr="00D46E0F">
        <w:rPr>
          <w:rFonts w:cstheme="minorHAnsi"/>
        </w:rPr>
        <w:t>room for further labour market tightening</w:t>
      </w:r>
      <w:r w:rsidR="00EA0604" w:rsidRPr="00D46E0F">
        <w:rPr>
          <w:rFonts w:cstheme="minorHAnsi"/>
        </w:rPr>
        <w:t xml:space="preserve"> is larger</w:t>
      </w:r>
      <w:r w:rsidR="00714EC3" w:rsidRPr="00D46E0F">
        <w:rPr>
          <w:rFonts w:cstheme="minorHAnsi"/>
        </w:rPr>
        <w:t xml:space="preserve">, </w:t>
      </w:r>
      <w:r w:rsidR="003F176E" w:rsidRPr="00D46E0F">
        <w:rPr>
          <w:rFonts w:cstheme="minorHAnsi"/>
        </w:rPr>
        <w:t>competitiveness dynamics</w:t>
      </w:r>
      <w:r w:rsidR="00714EC3" w:rsidRPr="00D46E0F">
        <w:rPr>
          <w:rFonts w:cstheme="minorHAnsi"/>
        </w:rPr>
        <w:t xml:space="preserve"> could become increasingly</w:t>
      </w:r>
      <w:r w:rsidR="003F176E" w:rsidRPr="00D46E0F">
        <w:rPr>
          <w:rFonts w:cstheme="minorHAnsi"/>
        </w:rPr>
        <w:t xml:space="preserve"> less supportive of rebalancing</w:t>
      </w:r>
      <w:r w:rsidR="00714EC3" w:rsidRPr="00D46E0F">
        <w:rPr>
          <w:rFonts w:cstheme="minorHAnsi"/>
        </w:rPr>
        <w:t xml:space="preserve"> because both </w:t>
      </w:r>
      <w:r w:rsidR="003F176E" w:rsidRPr="00D46E0F">
        <w:rPr>
          <w:rFonts w:cstheme="minorHAnsi"/>
        </w:rPr>
        <w:t xml:space="preserve">relatively stronger wage growth and more contained </w:t>
      </w:r>
      <w:r w:rsidR="00712392" w:rsidRPr="00D46E0F">
        <w:rPr>
          <w:rFonts w:cstheme="minorHAnsi"/>
        </w:rPr>
        <w:t>productivity growth</w:t>
      </w:r>
      <w:r w:rsidR="003F176E" w:rsidRPr="00D46E0F">
        <w:rPr>
          <w:rFonts w:cstheme="minorHAnsi"/>
        </w:rPr>
        <w:t xml:space="preserve"> </w:t>
      </w:r>
      <w:r w:rsidR="00712392" w:rsidRPr="00D46E0F">
        <w:rPr>
          <w:rFonts w:cstheme="minorHAnsi"/>
        </w:rPr>
        <w:t>on account of a weakening contribution from capital deepening.</w:t>
      </w:r>
    </w:p>
    <w:p w:rsidR="00AA31FE" w:rsidRPr="00D80C5B" w:rsidRDefault="00AA31FE" w:rsidP="003425D8">
      <w:pPr>
        <w:spacing w:after="120"/>
        <w:jc w:val="both"/>
        <w:rPr>
          <w:rFonts w:eastAsia="Times New Roman" w:cstheme="minorHAnsi"/>
          <w:sz w:val="20"/>
          <w:szCs w:val="20"/>
          <w:lang w:eastAsia="en-GB"/>
        </w:rPr>
      </w:pPr>
    </w:p>
    <w:p w:rsidR="00807340" w:rsidRPr="00D80C5B" w:rsidRDefault="00807340" w:rsidP="00850EA8">
      <w:pPr>
        <w:keepNext/>
        <w:ind w:left="0"/>
        <w:jc w:val="center"/>
        <w:rPr>
          <w:rFonts w:eastAsia="MS Mincho" w:cstheme="minorHAnsi"/>
          <w:b/>
          <w:bCs/>
          <w:lang w:eastAsia="ja-JP"/>
        </w:rPr>
      </w:pPr>
      <w:r w:rsidRPr="00D80C5B">
        <w:rPr>
          <w:rFonts w:eastAsia="MS Mincho" w:cstheme="minorHAnsi"/>
          <w:b/>
          <w:bCs/>
          <w:lang w:eastAsia="ja-JP"/>
        </w:rPr>
        <w:t xml:space="preserve">Graph </w:t>
      </w:r>
      <w:r w:rsidR="005E40D9" w:rsidRPr="00D80C5B">
        <w:rPr>
          <w:rFonts w:eastAsia="MS Mincho" w:cstheme="minorHAnsi"/>
          <w:b/>
          <w:bCs/>
          <w:lang w:eastAsia="ja-JP"/>
        </w:rPr>
        <w:t>1</w:t>
      </w:r>
      <w:r w:rsidR="003425D8">
        <w:rPr>
          <w:rFonts w:eastAsia="MS Mincho" w:cstheme="minorHAnsi"/>
          <w:b/>
          <w:bCs/>
          <w:lang w:eastAsia="ja-JP"/>
        </w:rPr>
        <w:t>2</w:t>
      </w:r>
      <w:r w:rsidRPr="00D80C5B">
        <w:rPr>
          <w:rFonts w:eastAsia="MS Mincho" w:cstheme="minorHAnsi"/>
          <w:b/>
          <w:bCs/>
          <w:lang w:eastAsia="ja-JP"/>
        </w:rPr>
        <w:t>: Unit labour cost growth</w:t>
      </w:r>
      <w:r w:rsidR="00400C06" w:rsidRPr="00D80C5B">
        <w:rPr>
          <w:rFonts w:eastAsia="MS Mincho" w:cstheme="minorHAnsi"/>
          <w:b/>
          <w:bCs/>
          <w:lang w:eastAsia="ja-JP"/>
        </w:rPr>
        <w:t xml:space="preserve"> in recent years</w:t>
      </w:r>
    </w:p>
    <w:p w:rsidR="00807340" w:rsidRPr="00D80C5B" w:rsidRDefault="00E064D3" w:rsidP="00850EA8">
      <w:pPr>
        <w:ind w:left="0"/>
        <w:jc w:val="center"/>
        <w:rPr>
          <w:rFonts w:eastAsia="Times New Roman" w:cstheme="minorHAnsi"/>
          <w:b/>
          <w:sz w:val="24"/>
          <w:szCs w:val="24"/>
          <w:lang w:eastAsia="en-GB"/>
        </w:rPr>
      </w:pPr>
      <w:bookmarkStart w:id="12" w:name="chart1"/>
      <w:r w:rsidRPr="00D80C5B">
        <w:rPr>
          <w:rFonts w:eastAsia="Times New Roman" w:cstheme="minorHAnsi"/>
          <w:b/>
          <w:noProof/>
          <w:sz w:val="24"/>
          <w:szCs w:val="24"/>
          <w:lang w:eastAsia="en-GB"/>
        </w:rPr>
        <w:drawing>
          <wp:inline distT="0" distB="0" distL="0" distR="0" wp14:anchorId="7E736CA0" wp14:editId="2D1B203A">
            <wp:extent cx="5760000" cy="284400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r w:rsidRPr="00D80C5B" w:rsidDel="00E064D3">
        <w:rPr>
          <w:rFonts w:eastAsia="Times New Roman" w:cstheme="minorHAnsi"/>
          <w:b/>
          <w:noProof/>
          <w:sz w:val="24"/>
          <w:szCs w:val="24"/>
          <w:lang w:val="en-US" w:eastAsia="fr-BE"/>
        </w:rPr>
        <w:t xml:space="preserve"> </w:t>
      </w:r>
      <w:bookmarkEnd w:id="12"/>
    </w:p>
    <w:p w:rsidR="00807340" w:rsidRPr="00D80C5B" w:rsidRDefault="00807340" w:rsidP="00850EA8">
      <w:pPr>
        <w:ind w:left="0"/>
        <w:jc w:val="both"/>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AMECO; 2019 data come from the European Commission autumn 2019 economic forecast. </w:t>
      </w:r>
    </w:p>
    <w:p w:rsidR="00807340" w:rsidRPr="00D80C5B" w:rsidRDefault="00807340" w:rsidP="00850EA8">
      <w:pPr>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Countries are presented in increasing order of </w:t>
      </w:r>
      <w:r w:rsidR="00777668" w:rsidRPr="00D80C5B">
        <w:rPr>
          <w:rFonts w:eastAsia="Times New Roman" w:cstheme="minorHAnsi"/>
          <w:sz w:val="20"/>
          <w:szCs w:val="20"/>
          <w:lang w:eastAsia="en-GB"/>
        </w:rPr>
        <w:t xml:space="preserve">ULC </w:t>
      </w:r>
      <w:r w:rsidRPr="00D80C5B">
        <w:rPr>
          <w:rFonts w:eastAsia="Times New Roman" w:cstheme="minorHAnsi"/>
          <w:sz w:val="20"/>
          <w:szCs w:val="20"/>
          <w:lang w:eastAsia="en-GB"/>
        </w:rPr>
        <w:t>growth in 2018.</w:t>
      </w:r>
    </w:p>
    <w:p w:rsidR="00807340" w:rsidRPr="00D80C5B" w:rsidRDefault="00807340" w:rsidP="00850EA8">
      <w:pPr>
        <w:jc w:val="both"/>
        <w:rPr>
          <w:rFonts w:eastAsia="Times New Roman" w:cstheme="minorHAnsi"/>
          <w:sz w:val="20"/>
          <w:szCs w:val="20"/>
          <w:lang w:eastAsia="en-GB"/>
        </w:rPr>
      </w:pPr>
    </w:p>
    <w:p w:rsidR="00807340" w:rsidRPr="00D80C5B" w:rsidRDefault="00807340" w:rsidP="00850EA8">
      <w:pPr>
        <w:keepNext/>
        <w:ind w:left="0"/>
        <w:jc w:val="center"/>
        <w:rPr>
          <w:rFonts w:eastAsia="MS Mincho" w:cstheme="minorHAnsi"/>
          <w:b/>
          <w:bCs/>
          <w:lang w:eastAsia="ja-JP"/>
        </w:rPr>
      </w:pPr>
      <w:r w:rsidRPr="00D80C5B">
        <w:rPr>
          <w:rFonts w:eastAsia="MS Mincho" w:cstheme="minorHAnsi"/>
          <w:b/>
          <w:bCs/>
          <w:lang w:eastAsia="ja-JP"/>
        </w:rPr>
        <w:t xml:space="preserve">Graph </w:t>
      </w:r>
      <w:r w:rsidR="003425D8">
        <w:rPr>
          <w:rFonts w:eastAsia="MS Mincho" w:cstheme="minorHAnsi"/>
          <w:b/>
          <w:bCs/>
          <w:lang w:eastAsia="ja-JP"/>
        </w:rPr>
        <w:t>13</w:t>
      </w:r>
      <w:r w:rsidRPr="00D80C5B">
        <w:rPr>
          <w:rFonts w:eastAsia="MS Mincho" w:cstheme="minorHAnsi"/>
          <w:b/>
          <w:bCs/>
          <w:lang w:eastAsia="ja-JP"/>
        </w:rPr>
        <w:t>: Growth in unit labour cost</w:t>
      </w:r>
      <w:r w:rsidR="008A2F49" w:rsidRPr="00D80C5B">
        <w:rPr>
          <w:rFonts w:eastAsia="MS Mincho" w:cstheme="minorHAnsi"/>
          <w:b/>
          <w:bCs/>
          <w:lang w:eastAsia="ja-JP"/>
        </w:rPr>
        <w:t xml:space="preserve"> breakdown</w:t>
      </w:r>
      <w:r w:rsidRPr="00D80C5B">
        <w:rPr>
          <w:rFonts w:eastAsia="MS Mincho" w:cstheme="minorHAnsi"/>
          <w:b/>
          <w:bCs/>
          <w:lang w:eastAsia="ja-JP"/>
        </w:rPr>
        <w:t>, 2018</w:t>
      </w:r>
    </w:p>
    <w:p w:rsidR="00807340" w:rsidRPr="00D80C5B" w:rsidRDefault="00CB027D" w:rsidP="00850EA8">
      <w:pPr>
        <w:keepNext/>
        <w:ind w:left="0"/>
        <w:jc w:val="center"/>
        <w:rPr>
          <w:rFonts w:eastAsia="Times New Roman" w:cstheme="minorHAnsi"/>
          <w:b/>
          <w:noProof/>
          <w:sz w:val="24"/>
          <w:szCs w:val="24"/>
          <w:lang w:val="en-US" w:eastAsia="fr-BE"/>
        </w:rPr>
      </w:pPr>
      <w:bookmarkStart w:id="13" w:name="chart218"/>
      <w:r w:rsidRPr="00D80C5B">
        <w:rPr>
          <w:rFonts w:eastAsia="Times New Roman" w:cstheme="minorHAnsi"/>
          <w:b/>
          <w:noProof/>
          <w:sz w:val="24"/>
          <w:szCs w:val="24"/>
          <w:lang w:eastAsia="en-GB"/>
        </w:rPr>
        <w:drawing>
          <wp:inline distT="0" distB="0" distL="0" distR="0" wp14:anchorId="04B00C58" wp14:editId="70D63314">
            <wp:extent cx="5760000" cy="284400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bookmarkEnd w:id="13"/>
    </w:p>
    <w:p w:rsidR="00807340" w:rsidRPr="00D80C5B" w:rsidRDefault="00807340" w:rsidP="00850EA8">
      <w:pPr>
        <w:autoSpaceDE w:val="0"/>
        <w:autoSpaceDN w:val="0"/>
        <w:adjustRightInd w:val="0"/>
        <w:ind w:left="0"/>
        <w:rPr>
          <w:rFonts w:cstheme="minorHAnsi"/>
          <w:color w:val="000000"/>
          <w:sz w:val="20"/>
          <w:szCs w:val="20"/>
          <w:lang w:val="en-US"/>
        </w:rPr>
      </w:pPr>
      <w:r w:rsidRPr="00D80C5B">
        <w:rPr>
          <w:rFonts w:cstheme="minorHAnsi"/>
          <w:i/>
          <w:iCs/>
          <w:color w:val="000000"/>
          <w:sz w:val="20"/>
          <w:szCs w:val="20"/>
          <w:lang w:val="en-US"/>
        </w:rPr>
        <w:t xml:space="preserve">Source: </w:t>
      </w:r>
      <w:r w:rsidRPr="00D80C5B">
        <w:rPr>
          <w:rFonts w:cstheme="minorHAnsi"/>
          <w:color w:val="000000"/>
          <w:sz w:val="20"/>
          <w:szCs w:val="20"/>
          <w:lang w:val="en-US"/>
        </w:rPr>
        <w:t xml:space="preserve">AMECO and Commission services calculations </w:t>
      </w:r>
    </w:p>
    <w:p w:rsidR="00807340" w:rsidRPr="00D80C5B" w:rsidRDefault="00807340" w:rsidP="00850EA8">
      <w:pPr>
        <w:ind w:left="0"/>
        <w:jc w:val="both"/>
        <w:rPr>
          <w:rFonts w:eastAsia="Times New Roman" w:cstheme="minorHAnsi"/>
          <w:sz w:val="20"/>
          <w:szCs w:val="20"/>
          <w:lang w:eastAsia="en-GB"/>
        </w:rPr>
      </w:pPr>
      <w:r w:rsidRPr="00D80C5B">
        <w:rPr>
          <w:rFonts w:cstheme="minorHAnsi"/>
          <w:i/>
          <w:iCs/>
          <w:color w:val="000000"/>
          <w:sz w:val="20"/>
          <w:szCs w:val="20"/>
          <w:lang w:val="en-US"/>
        </w:rPr>
        <w:t xml:space="preserve">Note: </w:t>
      </w:r>
      <w:r w:rsidRPr="00D80C5B">
        <w:rPr>
          <w:rFonts w:cstheme="minorHAnsi"/>
          <w:color w:val="000000"/>
          <w:sz w:val="20"/>
          <w:szCs w:val="20"/>
          <w:lang w:val="en-US"/>
        </w:rPr>
        <w:t xml:space="preserve">Countries are presented in increasing order of </w:t>
      </w:r>
      <w:r w:rsidR="00777668" w:rsidRPr="00D80C5B">
        <w:rPr>
          <w:rFonts w:cstheme="minorHAnsi"/>
          <w:color w:val="000000"/>
          <w:sz w:val="20"/>
          <w:szCs w:val="20"/>
          <w:lang w:val="en-US"/>
        </w:rPr>
        <w:t xml:space="preserve">ULC </w:t>
      </w:r>
      <w:r w:rsidRPr="00D80C5B">
        <w:rPr>
          <w:rFonts w:cstheme="minorHAnsi"/>
          <w:color w:val="000000"/>
          <w:sz w:val="20"/>
          <w:szCs w:val="20"/>
          <w:lang w:val="en-US"/>
        </w:rPr>
        <w:t>growth in 2018. The decomposition is based on the standard breakdown of unit labour cost growth into nominal hourly compensation and labour productivity, the latter being further broken down into the contribution of hours worked, total factor productivity and capital accumulation using a standard growth accounting framework.</w:t>
      </w:r>
    </w:p>
    <w:p w:rsidR="00807340" w:rsidRPr="00D80C5B" w:rsidRDefault="00807340" w:rsidP="00850EA8">
      <w:pPr>
        <w:jc w:val="both"/>
        <w:rPr>
          <w:rFonts w:eastAsia="Times New Roman" w:cstheme="minorHAnsi"/>
          <w:sz w:val="20"/>
          <w:szCs w:val="20"/>
          <w:lang w:eastAsia="en-GB"/>
        </w:rPr>
      </w:pPr>
    </w:p>
    <w:p w:rsidR="00807340" w:rsidRPr="00D80C5B" w:rsidRDefault="00807340" w:rsidP="00850EA8">
      <w:pPr>
        <w:keepNext/>
        <w:ind w:left="0"/>
        <w:jc w:val="center"/>
        <w:rPr>
          <w:rFonts w:eastAsia="MS Mincho" w:cstheme="minorHAnsi"/>
          <w:b/>
          <w:bCs/>
          <w:lang w:eastAsia="ja-JP"/>
        </w:rPr>
      </w:pPr>
      <w:r w:rsidRPr="00D80C5B">
        <w:rPr>
          <w:rFonts w:eastAsia="MS Mincho" w:cstheme="minorHAnsi"/>
          <w:b/>
          <w:bCs/>
          <w:lang w:eastAsia="ja-JP"/>
        </w:rPr>
        <w:t xml:space="preserve">Graph </w:t>
      </w:r>
      <w:r w:rsidR="00D6461F" w:rsidRPr="00D80C5B">
        <w:rPr>
          <w:rFonts w:eastAsia="MS Mincho" w:cstheme="minorHAnsi"/>
          <w:b/>
          <w:bCs/>
          <w:lang w:eastAsia="ja-JP"/>
        </w:rPr>
        <w:t>1</w:t>
      </w:r>
      <w:r w:rsidR="003425D8">
        <w:rPr>
          <w:rFonts w:eastAsia="MS Mincho" w:cstheme="minorHAnsi"/>
          <w:b/>
          <w:bCs/>
          <w:lang w:eastAsia="ja-JP"/>
        </w:rPr>
        <w:t>4</w:t>
      </w:r>
      <w:r w:rsidR="00500E50" w:rsidRPr="00D80C5B">
        <w:rPr>
          <w:rFonts w:eastAsia="MS Mincho" w:cstheme="minorHAnsi"/>
          <w:b/>
          <w:bCs/>
          <w:lang w:eastAsia="ja-JP"/>
        </w:rPr>
        <w:t xml:space="preserve">: Productivity growth </w:t>
      </w:r>
      <w:r w:rsidR="008A2F49" w:rsidRPr="00D80C5B">
        <w:rPr>
          <w:rFonts w:eastAsia="MS Mincho" w:cstheme="minorHAnsi"/>
          <w:b/>
          <w:bCs/>
          <w:lang w:eastAsia="ja-JP"/>
        </w:rPr>
        <w:t>breakdown</w:t>
      </w:r>
      <w:r w:rsidR="00500E50" w:rsidRPr="00D80C5B">
        <w:rPr>
          <w:rFonts w:eastAsia="MS Mincho" w:cstheme="minorHAnsi"/>
          <w:b/>
          <w:bCs/>
          <w:lang w:eastAsia="ja-JP"/>
        </w:rPr>
        <w:t>, 2002-2018</w:t>
      </w:r>
    </w:p>
    <w:p w:rsidR="00807340" w:rsidRPr="00D80C5B" w:rsidRDefault="00CC5DF4" w:rsidP="00D150CD">
      <w:pPr>
        <w:ind w:left="0"/>
        <w:rPr>
          <w:rFonts w:eastAsia="Times New Roman" w:cstheme="minorHAnsi"/>
          <w:sz w:val="20"/>
          <w:szCs w:val="20"/>
          <w:lang w:eastAsia="en-GB"/>
        </w:rPr>
      </w:pPr>
      <w:bookmarkStart w:id="14" w:name="chart3"/>
      <w:r w:rsidRPr="00D80C5B">
        <w:rPr>
          <w:rFonts w:eastAsia="MS Mincho" w:cstheme="minorHAnsi"/>
          <w:b/>
          <w:bCs/>
          <w:noProof/>
          <w:lang w:eastAsia="en-GB"/>
        </w:rPr>
        <w:drawing>
          <wp:inline distT="0" distB="0" distL="0" distR="0" wp14:anchorId="64727F6C" wp14:editId="178F4780">
            <wp:extent cx="5752800" cy="2844000"/>
            <wp:effectExtent l="0" t="0" r="635"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2800" cy="2844000"/>
                    </a:xfrm>
                    <a:prstGeom prst="rect">
                      <a:avLst/>
                    </a:prstGeom>
                    <a:noFill/>
                    <a:ln>
                      <a:noFill/>
                    </a:ln>
                  </pic:spPr>
                </pic:pic>
              </a:graphicData>
            </a:graphic>
          </wp:inline>
        </w:drawing>
      </w:r>
      <w:r w:rsidRPr="00D80C5B" w:rsidDel="00CC5DF4">
        <w:rPr>
          <w:rFonts w:eastAsia="MS Mincho" w:cstheme="minorHAnsi"/>
          <w:b/>
          <w:bCs/>
          <w:noProof/>
          <w:lang w:val="en-US" w:eastAsia="fr-BE"/>
        </w:rPr>
        <w:t xml:space="preserve"> </w:t>
      </w:r>
      <w:bookmarkEnd w:id="14"/>
      <w:r w:rsidR="00807340" w:rsidRPr="00D80C5B">
        <w:rPr>
          <w:rFonts w:eastAsia="Times New Roman" w:cstheme="minorHAnsi"/>
          <w:i/>
          <w:sz w:val="20"/>
          <w:szCs w:val="20"/>
          <w:lang w:eastAsia="en-GB"/>
        </w:rPr>
        <w:t>Source</w:t>
      </w:r>
      <w:r w:rsidR="00807340" w:rsidRPr="00D80C5B">
        <w:rPr>
          <w:rFonts w:eastAsia="Times New Roman" w:cstheme="minorHAnsi"/>
          <w:sz w:val="20"/>
          <w:szCs w:val="20"/>
          <w:lang w:eastAsia="en-GB"/>
        </w:rPr>
        <w:t>: AMECO</w:t>
      </w:r>
    </w:p>
    <w:p w:rsidR="004B511E" w:rsidRPr="00D80C5B" w:rsidRDefault="00807340" w:rsidP="008C4249">
      <w:pPr>
        <w:ind w:left="0"/>
        <w:jc w:val="both"/>
        <w:rPr>
          <w:color w:val="000000"/>
          <w:lang w:val="en-US"/>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w:t>
      </w:r>
      <w:r w:rsidR="00737FC7" w:rsidRPr="00D80C5B">
        <w:rPr>
          <w:color w:val="000000"/>
          <w:sz w:val="20"/>
          <w:szCs w:val="20"/>
          <w:lang w:val="en-US" w:eastAsia="en-GB"/>
        </w:rPr>
        <w:t>L</w:t>
      </w:r>
      <w:r w:rsidR="004B511E" w:rsidRPr="00D80C5B">
        <w:rPr>
          <w:color w:val="000000"/>
          <w:sz w:val="20"/>
          <w:szCs w:val="20"/>
          <w:lang w:val="en-US" w:eastAsia="en-GB"/>
        </w:rPr>
        <w:t xml:space="preserve">abour productivity measured on the basis of GDP per person employed. Data for productivity and </w:t>
      </w:r>
      <w:r w:rsidR="004B511E" w:rsidRPr="00D80C5B">
        <w:rPr>
          <w:color w:val="000000"/>
          <w:sz w:val="20"/>
          <w:szCs w:val="20"/>
          <w:lang w:val="en-US"/>
        </w:rPr>
        <w:t xml:space="preserve">its subcomponents (total factor productivity (TFP) and capital deepening) </w:t>
      </w:r>
      <w:r w:rsidR="004B511E" w:rsidRPr="00D80C5B">
        <w:rPr>
          <w:color w:val="000000"/>
          <w:sz w:val="20"/>
          <w:szCs w:val="20"/>
          <w:lang w:val="en-US" w:eastAsia="en-GB"/>
        </w:rPr>
        <w:t xml:space="preserve">refer to </w:t>
      </w:r>
      <w:r w:rsidR="00D86516" w:rsidRPr="00D80C5B">
        <w:rPr>
          <w:color w:val="000000"/>
          <w:sz w:val="20"/>
          <w:szCs w:val="20"/>
          <w:lang w:val="en-US" w:eastAsia="en-GB"/>
        </w:rPr>
        <w:t>three</w:t>
      </w:r>
      <w:r w:rsidR="004B511E" w:rsidRPr="00D80C5B">
        <w:rPr>
          <w:color w:val="000000"/>
          <w:sz w:val="20"/>
          <w:szCs w:val="20"/>
          <w:lang w:val="en-US" w:eastAsia="en-GB"/>
        </w:rPr>
        <w:t xml:space="preserve"> periods as follows from left to right: 2002-2007 (light blue bars and marker), 2007-2012 (medium blue) and 2012-2018 (dark blue).</w:t>
      </w:r>
    </w:p>
    <w:p w:rsidR="006333DD" w:rsidRDefault="006333DD" w:rsidP="006333DD">
      <w:pPr>
        <w:jc w:val="both"/>
        <w:rPr>
          <w:rFonts w:eastAsia="Times New Roman" w:cstheme="minorHAnsi"/>
          <w:sz w:val="20"/>
          <w:szCs w:val="20"/>
          <w:lang w:eastAsia="en-GB"/>
        </w:rPr>
      </w:pPr>
    </w:p>
    <w:p w:rsidR="003425D8" w:rsidRPr="00D80C5B" w:rsidRDefault="003425D8" w:rsidP="003425D8">
      <w:pPr>
        <w:spacing w:after="120"/>
        <w:jc w:val="both"/>
        <w:rPr>
          <w:rFonts w:eastAsia="Times New Roman" w:cstheme="minorHAnsi"/>
          <w:sz w:val="20"/>
          <w:szCs w:val="20"/>
          <w:lang w:eastAsia="en-GB"/>
        </w:rPr>
      </w:pPr>
    </w:p>
    <w:p w:rsidR="006333DD" w:rsidRPr="00D80C5B" w:rsidRDefault="006333DD" w:rsidP="003425D8">
      <w:pPr>
        <w:pStyle w:val="ListParagraph"/>
        <w:spacing w:after="120"/>
        <w:ind w:left="0"/>
        <w:contextualSpacing w:val="0"/>
        <w:jc w:val="both"/>
        <w:rPr>
          <w:rFonts w:cstheme="minorHAnsi"/>
        </w:rPr>
      </w:pPr>
      <w:r w:rsidRPr="00D80C5B">
        <w:rPr>
          <w:rFonts w:cstheme="minorHAnsi"/>
          <w:b/>
        </w:rPr>
        <w:t xml:space="preserve">Cost competitiveness losses started being reflected also into real exchange rate (REER) measures, partly reflecting nominal appreciations. </w:t>
      </w:r>
      <w:r w:rsidRPr="00D80C5B">
        <w:rPr>
          <w:rFonts w:cstheme="minorHAnsi"/>
        </w:rPr>
        <w:t>Until recently, ULC growth was only marginally reflected in appreciating ULC-based REERs, the main reason being the relatively strong growth in cost and prices in non-EU partner countries and the euro depreciation that took place around the turn of the decade and in 2015. More recently, ULC-based REERs started exhibiting a deterioration, partly captured also by REER measures built from different deflators (GDP or consumption) because of the sustained ULC growth and an appreciating euro between 2016 and 2018. This has led in 2018 to a higher number of Member States for which the scoreboard indicates REER growth beyond the threshold. Currently, only one Member State is below the lower threshold on account of depreciation (the United Kingdom) while 5 other exceeded the threshold for appreciations (Belgium, Czechia, Estonia, Germany, and Lithuania).</w:t>
      </w:r>
    </w:p>
    <w:p w:rsidR="006333DD" w:rsidRPr="00D80C5B" w:rsidRDefault="006333DD" w:rsidP="003425D8">
      <w:pPr>
        <w:pStyle w:val="ListParagraph"/>
        <w:numPr>
          <w:ilvl w:val="0"/>
          <w:numId w:val="50"/>
        </w:numPr>
        <w:spacing w:after="120"/>
        <w:ind w:left="426" w:hanging="284"/>
        <w:contextualSpacing w:val="0"/>
        <w:jc w:val="both"/>
        <w:rPr>
          <w:rFonts w:cstheme="minorHAnsi"/>
        </w:rPr>
      </w:pPr>
      <w:r w:rsidRPr="00D80C5B">
        <w:rPr>
          <w:rFonts w:cstheme="minorHAnsi"/>
          <w:b/>
        </w:rPr>
        <w:t>ULC-based REERs are growing in a majority of Member States and accelerating as compared with recent years</w:t>
      </w:r>
      <w:r w:rsidRPr="00D80C5B">
        <w:rPr>
          <w:rFonts w:cstheme="minorHAnsi"/>
        </w:rPr>
        <w:t xml:space="preserve">. A number of central and eastern European countries exhibit the strongest growth since 2016, notably those outside the euro area, but considerable growth is observed also in a number of euro area countries, especially the Baltics but also Germany, Luxembourg, Portugal, and Slovakia (Graph </w:t>
      </w:r>
      <w:r w:rsidR="00D6461F" w:rsidRPr="00D80C5B">
        <w:rPr>
          <w:rFonts w:cstheme="minorHAnsi"/>
        </w:rPr>
        <w:t>1</w:t>
      </w:r>
      <w:r w:rsidR="003425D8">
        <w:rPr>
          <w:rFonts w:cstheme="minorHAnsi"/>
        </w:rPr>
        <w:t>5</w:t>
      </w:r>
      <w:r w:rsidRPr="00D80C5B">
        <w:rPr>
          <w:rFonts w:cstheme="minorHAnsi"/>
        </w:rPr>
        <w:t>).</w:t>
      </w:r>
    </w:p>
    <w:p w:rsidR="006333DD" w:rsidRPr="00D80C5B" w:rsidRDefault="006333DD" w:rsidP="003425D8">
      <w:pPr>
        <w:pStyle w:val="ListParagraph"/>
        <w:numPr>
          <w:ilvl w:val="0"/>
          <w:numId w:val="31"/>
        </w:numPr>
        <w:spacing w:after="120"/>
        <w:ind w:left="426" w:hanging="284"/>
        <w:contextualSpacing w:val="0"/>
        <w:jc w:val="both"/>
        <w:rPr>
          <w:rFonts w:cstheme="minorHAnsi"/>
        </w:rPr>
      </w:pPr>
      <w:r w:rsidRPr="00D80C5B">
        <w:rPr>
          <w:rFonts w:cstheme="minorHAnsi"/>
          <w:b/>
        </w:rPr>
        <w:t>Nominal appreciations, notably of the euro, accounted for part of the real appreciations recorded between 2016 and 2018.</w:t>
      </w:r>
      <w:r w:rsidRPr="00D80C5B">
        <w:rPr>
          <w:rFonts w:cstheme="minorHAnsi"/>
        </w:rPr>
        <w:t xml:space="preserve"> Such tendency has however stopped and slightly reversed in 2019. Outside the euro area, Bulgaria and Czechia had the strongest appreciations of nominal effective exchange rates (NEER) between 2016 and 2018, while depreciations took place in Sweden and the United Kingdom. </w:t>
      </w:r>
    </w:p>
    <w:p w:rsidR="006333DD" w:rsidRPr="00D80C5B" w:rsidRDefault="006333DD" w:rsidP="003425D8">
      <w:pPr>
        <w:pStyle w:val="ListParagraph"/>
        <w:numPr>
          <w:ilvl w:val="0"/>
          <w:numId w:val="31"/>
        </w:numPr>
        <w:spacing w:after="120"/>
        <w:ind w:left="426" w:hanging="284"/>
        <w:contextualSpacing w:val="0"/>
        <w:jc w:val="both"/>
        <w:rPr>
          <w:rFonts w:eastAsia="Times New Roman" w:cstheme="minorHAnsi"/>
          <w:lang w:eastAsia="en-GB"/>
        </w:rPr>
      </w:pPr>
      <w:r w:rsidRPr="00D80C5B">
        <w:rPr>
          <w:rFonts w:cstheme="minorHAnsi"/>
          <w:b/>
        </w:rPr>
        <w:t>Some price-cost margin compression may have been taking place</w:t>
      </w:r>
      <w:r w:rsidRPr="00D80C5B">
        <w:rPr>
          <w:rFonts w:cstheme="minorHAnsi"/>
        </w:rPr>
        <w:t>, as ULC-based REER appreciated generally more than REERs based on the GDP of HICP deflator. Substantial gaps between REERs based on ULC and GDP deflators were observed especially in Bulgaria, Czechia, Latvia, Lithuania, Romania, and Slovakia.</w:t>
      </w:r>
      <w:r w:rsidRPr="00D80C5B">
        <w:rPr>
          <w:rStyle w:val="FootnoteReference"/>
          <w:rFonts w:eastAsia="Times New Roman" w:cstheme="minorHAnsi"/>
          <w:lang w:eastAsia="en-GB"/>
        </w:rPr>
        <w:footnoteReference w:id="32"/>
      </w:r>
      <w:r w:rsidRPr="00D80C5B">
        <w:rPr>
          <w:rFonts w:cstheme="minorHAnsi"/>
        </w:rPr>
        <w:t xml:space="preserve"> </w:t>
      </w:r>
      <w:r w:rsidRPr="00D80C5B">
        <w:rPr>
          <w:rFonts w:eastAsia="Times New Roman" w:cstheme="minorHAnsi"/>
          <w:lang w:eastAsia="en-GB"/>
        </w:rPr>
        <w:t xml:space="preserve">Despite muted </w:t>
      </w:r>
      <w:r w:rsidRPr="00D80C5B">
        <w:rPr>
          <w:rFonts w:cstheme="minorHAnsi"/>
        </w:rPr>
        <w:t>inflation dynamics, owing to nominal appreciations,</w:t>
      </w:r>
      <w:r w:rsidRPr="00D80C5B">
        <w:rPr>
          <w:rFonts w:eastAsia="Times New Roman" w:cstheme="minorHAnsi"/>
          <w:lang w:eastAsia="en-GB"/>
        </w:rPr>
        <w:t xml:space="preserve"> </w:t>
      </w:r>
      <w:r w:rsidRPr="00D80C5B">
        <w:rPr>
          <w:rFonts w:eastAsia="Times New Roman" w:cstheme="minorHAnsi"/>
          <w:b/>
          <w:lang w:eastAsia="en-GB"/>
        </w:rPr>
        <w:t>most EU countries have recorded</w:t>
      </w:r>
      <w:r w:rsidRPr="00D80C5B">
        <w:rPr>
          <w:rFonts w:eastAsia="Times New Roman" w:cstheme="minorHAnsi"/>
          <w:lang w:eastAsia="en-GB"/>
        </w:rPr>
        <w:t xml:space="preserve"> </w:t>
      </w:r>
      <w:r w:rsidRPr="00D80C5B">
        <w:rPr>
          <w:rFonts w:eastAsia="Times New Roman" w:cstheme="minorHAnsi"/>
          <w:b/>
          <w:lang w:eastAsia="en-GB"/>
        </w:rPr>
        <w:t>competitiveness losses</w:t>
      </w:r>
      <w:r w:rsidRPr="00D80C5B">
        <w:rPr>
          <w:rFonts w:eastAsia="Times New Roman" w:cstheme="minorHAnsi"/>
          <w:lang w:eastAsia="en-GB"/>
        </w:rPr>
        <w:t xml:space="preserve"> </w:t>
      </w:r>
      <w:r w:rsidRPr="00D80C5B">
        <w:rPr>
          <w:rFonts w:eastAsia="Times New Roman" w:cstheme="minorHAnsi"/>
          <w:b/>
          <w:lang w:eastAsia="en-GB"/>
        </w:rPr>
        <w:t>as measured by the HICP-based REER</w:t>
      </w:r>
      <w:r w:rsidRPr="00D80C5B">
        <w:rPr>
          <w:rFonts w:eastAsia="Times New Roman" w:cstheme="minorHAnsi"/>
          <w:lang w:eastAsia="en-GB"/>
        </w:rPr>
        <w:t xml:space="preserve">. </w:t>
      </w:r>
    </w:p>
    <w:p w:rsidR="006333DD" w:rsidRPr="00D80C5B" w:rsidRDefault="006333DD" w:rsidP="003425D8">
      <w:pPr>
        <w:pStyle w:val="ListParagraph"/>
        <w:numPr>
          <w:ilvl w:val="0"/>
          <w:numId w:val="31"/>
        </w:numPr>
        <w:spacing w:after="120"/>
        <w:ind w:left="426" w:hanging="284"/>
        <w:contextualSpacing w:val="0"/>
        <w:jc w:val="both"/>
        <w:rPr>
          <w:rFonts w:eastAsia="Times New Roman" w:cstheme="minorHAnsi"/>
          <w:lang w:eastAsia="en-GB"/>
        </w:rPr>
      </w:pPr>
      <w:r w:rsidRPr="00D80C5B">
        <w:rPr>
          <w:rFonts w:eastAsia="Times New Roman" w:cstheme="minorHAnsi"/>
          <w:lang w:eastAsia="en-GB"/>
        </w:rPr>
        <w:t xml:space="preserve">Despite those recent losses, </w:t>
      </w:r>
      <w:r w:rsidRPr="00D80C5B">
        <w:rPr>
          <w:rFonts w:eastAsia="Times New Roman" w:cstheme="minorHAnsi"/>
          <w:b/>
          <w:lang w:eastAsia="en-GB"/>
        </w:rPr>
        <w:t>in most EU countries</w:t>
      </w:r>
      <w:r w:rsidRPr="00D80C5B">
        <w:rPr>
          <w:rFonts w:eastAsia="Times New Roman" w:cstheme="minorHAnsi"/>
          <w:lang w:eastAsia="en-GB"/>
        </w:rPr>
        <w:t xml:space="preserve">, </w:t>
      </w:r>
      <w:r w:rsidRPr="00D80C5B">
        <w:rPr>
          <w:rFonts w:eastAsia="Times New Roman" w:cstheme="minorHAnsi"/>
          <w:b/>
          <w:lang w:eastAsia="en-GB"/>
        </w:rPr>
        <w:t xml:space="preserve">the current competitiveness position remains more favourable than before the crisis </w:t>
      </w:r>
      <w:r w:rsidRPr="00D80C5B">
        <w:rPr>
          <w:rFonts w:eastAsia="Times New Roman" w:cstheme="minorHAnsi"/>
          <w:lang w:eastAsia="en-GB"/>
        </w:rPr>
        <w:t>as the HICP-based REER level often lies below the one recorded at recent peaks. Yet in some countries, notably Austria, Belgium, Estonia and Lithuania, current HICP-based REER figures are above recent peaks, reflecting protracted appreciations.</w:t>
      </w:r>
    </w:p>
    <w:p w:rsidR="006333DD" w:rsidRPr="00D80C5B" w:rsidRDefault="006333DD" w:rsidP="003425D8">
      <w:pPr>
        <w:pStyle w:val="ListParagraph"/>
        <w:numPr>
          <w:ilvl w:val="0"/>
          <w:numId w:val="31"/>
        </w:numPr>
        <w:spacing w:after="120"/>
        <w:ind w:left="426" w:hanging="284"/>
        <w:contextualSpacing w:val="0"/>
        <w:jc w:val="both"/>
        <w:rPr>
          <w:rFonts w:eastAsia="Times New Roman" w:cstheme="minorHAnsi"/>
          <w:lang w:eastAsia="en-GB"/>
        </w:rPr>
      </w:pPr>
      <w:r w:rsidRPr="00D80C5B">
        <w:rPr>
          <w:rFonts w:eastAsia="Times New Roman" w:cstheme="minorHAnsi"/>
          <w:lang w:eastAsia="en-GB"/>
        </w:rPr>
        <w:t xml:space="preserve">Real depreciations tend to coincide with a reduction of the relative price of non-tradables, and an </w:t>
      </w:r>
      <w:r w:rsidRPr="00D80C5B">
        <w:rPr>
          <w:rFonts w:eastAsia="Times New Roman" w:cstheme="minorHAnsi"/>
          <w:b/>
          <w:lang w:eastAsia="en-GB"/>
        </w:rPr>
        <w:t>increased share of tradables in the economy</w:t>
      </w:r>
      <w:r w:rsidRPr="00D80C5B">
        <w:rPr>
          <w:rFonts w:eastAsia="Times New Roman" w:cstheme="minorHAnsi"/>
          <w:lang w:eastAsia="en-GB"/>
        </w:rPr>
        <w:t xml:space="preserve">, improving the potential for export-led growth dynamics. The data often confirm that pattern, which nevertheless appears to be </w:t>
      </w:r>
      <w:r w:rsidRPr="00D80C5B">
        <w:rPr>
          <w:rFonts w:eastAsia="Times New Roman" w:cstheme="minorHAnsi"/>
          <w:b/>
          <w:lang w:eastAsia="en-GB"/>
        </w:rPr>
        <w:t>slowing down</w:t>
      </w:r>
      <w:r w:rsidRPr="00D80C5B">
        <w:rPr>
          <w:rFonts w:eastAsia="Times New Roman" w:cstheme="minorHAnsi"/>
          <w:lang w:eastAsia="en-GB"/>
        </w:rPr>
        <w:t xml:space="preserve"> or even reverting in a number of EU countries, notably the Baltics (Graph 1</w:t>
      </w:r>
      <w:r w:rsidR="003425D8">
        <w:rPr>
          <w:rFonts w:eastAsia="Times New Roman" w:cstheme="minorHAnsi"/>
          <w:lang w:eastAsia="en-GB"/>
        </w:rPr>
        <w:t>6</w:t>
      </w:r>
      <w:r w:rsidRPr="00D80C5B">
        <w:rPr>
          <w:rFonts w:eastAsia="Times New Roman" w:cstheme="minorHAnsi"/>
          <w:lang w:eastAsia="en-GB"/>
        </w:rPr>
        <w:t>).</w:t>
      </w:r>
    </w:p>
    <w:p w:rsidR="006333DD" w:rsidRPr="00D80C5B" w:rsidRDefault="006333DD" w:rsidP="003425D8">
      <w:pPr>
        <w:pStyle w:val="ListParagraph"/>
        <w:spacing w:after="120"/>
        <w:ind w:left="567"/>
        <w:contextualSpacing w:val="0"/>
        <w:jc w:val="both"/>
        <w:rPr>
          <w:rFonts w:eastAsia="Times New Roman" w:cstheme="minorHAnsi"/>
          <w:b/>
          <w:lang w:eastAsia="en-GB"/>
        </w:rPr>
      </w:pPr>
    </w:p>
    <w:p w:rsidR="006333DD" w:rsidRPr="00D80C5B" w:rsidRDefault="006333DD" w:rsidP="006333DD">
      <w:pPr>
        <w:keepNext/>
        <w:ind w:left="0"/>
        <w:jc w:val="center"/>
        <w:rPr>
          <w:rFonts w:eastAsia="MS Mincho" w:cstheme="minorHAnsi"/>
          <w:b/>
          <w:bCs/>
          <w:lang w:eastAsia="ja-JP"/>
        </w:rPr>
      </w:pPr>
      <w:r w:rsidRPr="00D80C5B">
        <w:rPr>
          <w:rFonts w:eastAsia="MS Mincho" w:cstheme="minorHAnsi"/>
          <w:b/>
          <w:bCs/>
          <w:lang w:eastAsia="ja-JP"/>
        </w:rPr>
        <w:t xml:space="preserve">Graph </w:t>
      </w:r>
      <w:r w:rsidR="003425D8">
        <w:rPr>
          <w:rFonts w:eastAsia="MS Mincho" w:cstheme="minorHAnsi"/>
          <w:b/>
          <w:bCs/>
          <w:lang w:eastAsia="ja-JP"/>
        </w:rPr>
        <w:t>15</w:t>
      </w:r>
      <w:r w:rsidRPr="00D80C5B">
        <w:rPr>
          <w:rFonts w:eastAsia="MS Mincho" w:cstheme="minorHAnsi"/>
          <w:b/>
          <w:bCs/>
          <w:lang w:eastAsia="ja-JP"/>
        </w:rPr>
        <w:t>: Nominal and real effective exchange rates (NEER and REER) dynamics</w:t>
      </w:r>
    </w:p>
    <w:p w:rsidR="006333DD" w:rsidRPr="00D80C5B" w:rsidRDefault="006333DD" w:rsidP="006333DD">
      <w:pPr>
        <w:keepNext/>
        <w:ind w:left="0"/>
        <w:jc w:val="center"/>
        <w:rPr>
          <w:rFonts w:eastAsia="MS Mincho" w:cstheme="minorHAnsi"/>
          <w:b/>
          <w:bCs/>
          <w:lang w:eastAsia="ja-JP"/>
        </w:rPr>
      </w:pPr>
      <w:bookmarkStart w:id="15" w:name="eers"/>
      <w:r w:rsidRPr="00D80C5B">
        <w:rPr>
          <w:rFonts w:eastAsia="MS Mincho" w:cstheme="minorHAnsi"/>
          <w:b/>
          <w:bCs/>
          <w:noProof/>
          <w:lang w:eastAsia="en-GB"/>
        </w:rPr>
        <w:drawing>
          <wp:inline distT="0" distB="0" distL="0" distR="0" wp14:anchorId="6EB6B73D" wp14:editId="72A092C6">
            <wp:extent cx="5760000" cy="28440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r w:rsidRPr="00D80C5B" w:rsidDel="00D87B62">
        <w:rPr>
          <w:rFonts w:eastAsia="MS Mincho" w:cstheme="minorHAnsi"/>
          <w:b/>
          <w:bCs/>
          <w:noProof/>
          <w:lang w:val="en-US" w:eastAsia="fr-BE"/>
        </w:rPr>
        <w:t xml:space="preserve"> </w:t>
      </w:r>
      <w:bookmarkEnd w:id="15"/>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AMECO</w:t>
      </w:r>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Countries are presented in increasing order of the average annual variation of the Real Effective Exchange Rate (REER) based on ULC growth over the years 2016 to 2018. The REERs based on ULC and on the GDP deflator and the Nominal Effective Exchange Rate (NEER) are computed vis-à-vis 37 trading partners, the one based on the harmonised index of consumer prices (HICP) is computed vis- à -vis 42 trading partners.</w:t>
      </w:r>
    </w:p>
    <w:p w:rsidR="006333DD" w:rsidRPr="00D80C5B" w:rsidRDefault="006333DD" w:rsidP="006333DD">
      <w:pPr>
        <w:ind w:left="0"/>
        <w:jc w:val="both"/>
        <w:rPr>
          <w:rFonts w:eastAsia="Times New Roman" w:cstheme="minorHAnsi"/>
          <w:sz w:val="20"/>
          <w:szCs w:val="20"/>
          <w:lang w:eastAsia="en-GB"/>
        </w:rPr>
      </w:pPr>
    </w:p>
    <w:p w:rsidR="00203132" w:rsidRDefault="00203132">
      <w:pPr>
        <w:rPr>
          <w:rFonts w:eastAsia="MS Mincho" w:cstheme="minorHAnsi"/>
          <w:b/>
          <w:bCs/>
          <w:lang w:eastAsia="ja-JP"/>
        </w:rPr>
      </w:pPr>
      <w:r>
        <w:rPr>
          <w:rFonts w:eastAsia="MS Mincho" w:cstheme="minorHAnsi"/>
          <w:b/>
          <w:bCs/>
          <w:lang w:eastAsia="ja-JP"/>
        </w:rPr>
        <w:br w:type="page"/>
      </w:r>
    </w:p>
    <w:p w:rsidR="006333DD" w:rsidRPr="00D80C5B" w:rsidRDefault="006333DD" w:rsidP="006333DD">
      <w:pPr>
        <w:ind w:left="0"/>
        <w:jc w:val="center"/>
        <w:rPr>
          <w:rFonts w:eastAsia="Times New Roman" w:cstheme="minorHAnsi"/>
          <w:b/>
          <w:lang w:eastAsia="en-GB"/>
        </w:rPr>
      </w:pPr>
      <w:r w:rsidRPr="00D80C5B">
        <w:rPr>
          <w:rFonts w:eastAsia="MS Mincho" w:cstheme="minorHAnsi"/>
          <w:b/>
          <w:bCs/>
          <w:lang w:eastAsia="ja-JP"/>
        </w:rPr>
        <w:t>Graph 1</w:t>
      </w:r>
      <w:r w:rsidR="003425D8">
        <w:rPr>
          <w:rFonts w:eastAsia="MS Mincho" w:cstheme="minorHAnsi"/>
          <w:b/>
          <w:bCs/>
          <w:lang w:eastAsia="ja-JP"/>
        </w:rPr>
        <w:t>6</w:t>
      </w:r>
      <w:r w:rsidRPr="00D80C5B">
        <w:rPr>
          <w:rFonts w:eastAsia="MS Mincho" w:cstheme="minorHAnsi"/>
          <w:b/>
          <w:bCs/>
          <w:lang w:eastAsia="ja-JP"/>
        </w:rPr>
        <w:t>: S</w:t>
      </w:r>
      <w:r w:rsidRPr="00D80C5B">
        <w:rPr>
          <w:rFonts w:eastAsia="Times New Roman" w:cstheme="minorHAnsi"/>
          <w:b/>
          <w:lang w:eastAsia="en-GB"/>
        </w:rPr>
        <w:t>hare of tradables in the economy</w:t>
      </w:r>
    </w:p>
    <w:p w:rsidR="006333DD" w:rsidRPr="00D80C5B" w:rsidRDefault="006333DD" w:rsidP="006333DD">
      <w:pPr>
        <w:ind w:left="0"/>
        <w:jc w:val="center"/>
        <w:rPr>
          <w:rFonts w:eastAsia="Times New Roman" w:cstheme="minorHAnsi"/>
          <w:b/>
          <w:lang w:eastAsia="en-GB"/>
        </w:rPr>
      </w:pPr>
      <w:r w:rsidRPr="00D80C5B">
        <w:rPr>
          <w:rFonts w:eastAsia="Times New Roman" w:cstheme="minorHAnsi"/>
          <w:b/>
          <w:noProof/>
          <w:lang w:eastAsia="en-GB"/>
        </w:rPr>
        <w:drawing>
          <wp:inline distT="0" distB="0" distL="0" distR="0" wp14:anchorId="152B9A43" wp14:editId="44C9B835">
            <wp:extent cx="5760000" cy="4356000"/>
            <wp:effectExtent l="0" t="0" r="0" b="6985"/>
            <wp:docPr id="39" name="Picture 39" descr="U:\MIP\AMR\AMR 2019-2020\Cross country sections\Graphs and data\C6_trade shares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MIP\AMR\AMR 2019-2020\Cross country sections\Graphs and data\C6_trade shares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4356000"/>
                    </a:xfrm>
                    <a:prstGeom prst="rect">
                      <a:avLst/>
                    </a:prstGeom>
                    <a:noFill/>
                    <a:ln>
                      <a:noFill/>
                    </a:ln>
                  </pic:spPr>
                </pic:pic>
              </a:graphicData>
            </a:graphic>
          </wp:inline>
        </w:drawing>
      </w:r>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Source:</w:t>
      </w:r>
      <w:r w:rsidRPr="00D80C5B">
        <w:rPr>
          <w:rFonts w:eastAsia="Times New Roman" w:cstheme="minorHAnsi"/>
          <w:sz w:val="20"/>
          <w:szCs w:val="20"/>
          <w:lang w:eastAsia="en-GB"/>
        </w:rPr>
        <w:t xml:space="preserve"> AMECO</w:t>
      </w:r>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Note:</w:t>
      </w:r>
      <w:r w:rsidRPr="00D80C5B">
        <w:rPr>
          <w:rFonts w:eastAsia="Times New Roman" w:cstheme="minorHAnsi"/>
          <w:sz w:val="20"/>
          <w:szCs w:val="20"/>
          <w:lang w:eastAsia="en-GB"/>
        </w:rPr>
        <w:t xml:space="preserve"> the share of tradables in the economy</w:t>
      </w:r>
      <w:r w:rsidRPr="00D80C5B">
        <w:rPr>
          <w:sz w:val="20"/>
          <w:szCs w:val="20"/>
        </w:rPr>
        <w:t xml:space="preserve"> (</w:t>
      </w:r>
      <w:r w:rsidRPr="00D80C5B">
        <w:rPr>
          <w:sz w:val="20"/>
          <w:szCs w:val="20"/>
          <w:lang w:val="en-IE"/>
        </w:rPr>
        <w:t>agriculture, manufacturing, and trade, transport and communication services</w:t>
      </w:r>
      <w:r w:rsidRPr="00D80C5B">
        <w:rPr>
          <w:sz w:val="20"/>
          <w:szCs w:val="20"/>
        </w:rPr>
        <w:t xml:space="preserve">) is computed as the share of value added in tradables in the economy's total value added (%). </w:t>
      </w:r>
    </w:p>
    <w:p w:rsidR="006333DD" w:rsidRPr="00D80C5B" w:rsidRDefault="006333DD" w:rsidP="006333DD">
      <w:pPr>
        <w:ind w:left="0"/>
        <w:jc w:val="both"/>
        <w:rPr>
          <w:rFonts w:eastAsia="Times New Roman" w:cstheme="minorHAnsi"/>
          <w:sz w:val="20"/>
          <w:szCs w:val="20"/>
          <w:lang w:eastAsia="en-GB"/>
        </w:rPr>
      </w:pPr>
    </w:p>
    <w:p w:rsidR="006333DD" w:rsidRPr="00D80C5B" w:rsidRDefault="006333DD" w:rsidP="003425D8">
      <w:pPr>
        <w:spacing w:after="120"/>
        <w:ind w:left="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Export market share grew in most Member States in 2018</w:t>
      </w:r>
      <w:r w:rsidRPr="00D80C5B">
        <w:rPr>
          <w:rFonts w:ascii="Times New Roman" w:eastAsia="Times New Roman" w:hAnsi="Times New Roman" w:cs="Times New Roman"/>
          <w:lang w:eastAsia="en-GB"/>
        </w:rPr>
        <w:t>. The cumulated export market share changes over 5 years reported in the scoreboard show positive values in most EU countries. Only in one Member State (Sweden) losses beyond the scoreboard threshold were recorded. Recent data on annual basis point to generally positive export market share growth rates (Graph 1</w:t>
      </w:r>
      <w:r w:rsidR="003425D8">
        <w:rPr>
          <w:rFonts w:ascii="Times New Roman" w:eastAsia="Times New Roman" w:hAnsi="Times New Roman" w:cs="Times New Roman"/>
          <w:lang w:eastAsia="en-GB"/>
        </w:rPr>
        <w:t>7</w:t>
      </w:r>
      <w:r w:rsidRPr="00D80C5B">
        <w:rPr>
          <w:rFonts w:ascii="Times New Roman" w:eastAsia="Times New Roman" w:hAnsi="Times New Roman" w:cs="Times New Roman"/>
          <w:lang w:eastAsia="en-GB"/>
        </w:rPr>
        <w:t>).</w:t>
      </w:r>
    </w:p>
    <w:p w:rsidR="006333DD" w:rsidRPr="00D80C5B" w:rsidRDefault="006333DD" w:rsidP="003425D8">
      <w:pPr>
        <w:numPr>
          <w:ilvl w:val="0"/>
          <w:numId w:val="16"/>
        </w:numPr>
        <w:spacing w:after="120"/>
        <w:ind w:left="426" w:hanging="284"/>
        <w:jc w:val="both"/>
        <w:rPr>
          <w:rFonts w:ascii="Times New Roman" w:eastAsia="Times New Roman" w:hAnsi="Times New Roman" w:cs="Times New Roman"/>
          <w:b/>
          <w:lang w:eastAsia="en-GB"/>
        </w:rPr>
      </w:pPr>
      <w:r w:rsidRPr="00D80C5B">
        <w:rPr>
          <w:rFonts w:ascii="Times New Roman" w:eastAsia="Times New Roman" w:hAnsi="Times New Roman" w:cs="Times New Roman"/>
          <w:lang w:eastAsia="en-GB"/>
        </w:rPr>
        <w:t xml:space="preserve">Recent market share gains for EU Member States are still partly linked to relatively strong export demand from areas with close trade links with EU countries. The recent REER depreciations may have also played a role. Market shares for EU countries fell over the post-crisis years, and started improving with the rebound in intra-EU export demand. More recently, the </w:t>
      </w:r>
      <w:r w:rsidRPr="00D80C5B">
        <w:rPr>
          <w:rFonts w:ascii="Times New Roman" w:eastAsia="Times New Roman" w:hAnsi="Times New Roman" w:cs="Times New Roman"/>
          <w:b/>
          <w:lang w:eastAsia="en-GB"/>
        </w:rPr>
        <w:t>slowing down of trade in a number of emerging economies</w:t>
      </w:r>
      <w:r w:rsidRPr="00D80C5B">
        <w:rPr>
          <w:rFonts w:ascii="Times New Roman" w:eastAsia="Times New Roman" w:hAnsi="Times New Roman" w:cs="Times New Roman"/>
          <w:lang w:eastAsia="en-GB"/>
        </w:rPr>
        <w:t xml:space="preserve"> compared with intra-EU trade is likely to account for the growth in export market share in EU countries in the most recent years. This is confirmed by more limited export market share gains measured against OECD countries (Table 2.1 in annex). Because of appreciating REERs, export market share gains appear more moderate when measured in real terms. </w:t>
      </w:r>
    </w:p>
    <w:p w:rsidR="006333DD" w:rsidRPr="00D80C5B" w:rsidRDefault="006333DD" w:rsidP="003425D8">
      <w:pPr>
        <w:numPr>
          <w:ilvl w:val="0"/>
          <w:numId w:val="16"/>
        </w:numPr>
        <w:spacing w:after="120"/>
        <w:ind w:left="426" w:hanging="284"/>
        <w:jc w:val="both"/>
        <w:rPr>
          <w:rFonts w:ascii="Times New Roman" w:eastAsia="Times New Roman" w:hAnsi="Times New Roman" w:cs="Times New Roman"/>
          <w:b/>
          <w:lang w:eastAsia="en-GB"/>
        </w:rPr>
      </w:pPr>
      <w:r w:rsidRPr="00D80C5B">
        <w:rPr>
          <w:rFonts w:ascii="Times New Roman" w:eastAsia="Times New Roman" w:hAnsi="Times New Roman" w:cs="Times New Roman"/>
          <w:b/>
          <w:lang w:eastAsia="en-GB"/>
        </w:rPr>
        <w:t>In 2018, central and</w:t>
      </w:r>
      <w:r w:rsidRPr="00D80C5B">
        <w:rPr>
          <w:rFonts w:ascii="Times New Roman" w:eastAsia="Times New Roman" w:hAnsi="Times New Roman" w:cs="Times New Roman"/>
          <w:lang w:eastAsia="en-GB"/>
        </w:rPr>
        <w:t xml:space="preserve"> </w:t>
      </w:r>
      <w:r w:rsidRPr="00D80C5B">
        <w:rPr>
          <w:rFonts w:ascii="Times New Roman" w:eastAsia="Times New Roman" w:hAnsi="Times New Roman" w:cs="Times New Roman"/>
          <w:b/>
          <w:lang w:eastAsia="en-GB"/>
        </w:rPr>
        <w:t>eastern European Member States recorded the strongest export market share gains but often with considerable decelerations</w:t>
      </w:r>
      <w:r w:rsidRPr="00D80C5B">
        <w:rPr>
          <w:rFonts w:ascii="Times New Roman" w:eastAsia="Times New Roman" w:hAnsi="Times New Roman" w:cs="Times New Roman"/>
          <w:lang w:eastAsia="en-GB"/>
        </w:rPr>
        <w:t xml:space="preserve">. Some net-creditor countries including Germany are among those recording losses. Among net-debtor countries, export market shares have declined in Spain and Bulgaria, and are decelerating in Portugal, while improvements are recorded in Greece (with the strongest gain recorded in 2018), Romania, and Cyprus. </w:t>
      </w:r>
    </w:p>
    <w:p w:rsidR="006333DD" w:rsidRPr="00D80C5B" w:rsidRDefault="006333DD" w:rsidP="006333DD">
      <w:pPr>
        <w:keepNext/>
        <w:jc w:val="center"/>
        <w:rPr>
          <w:rFonts w:eastAsia="MS Mincho" w:cstheme="minorHAnsi"/>
          <w:b/>
          <w:bCs/>
          <w:lang w:eastAsia="ja-JP"/>
        </w:rPr>
      </w:pPr>
      <w:r w:rsidRPr="00D80C5B">
        <w:rPr>
          <w:rFonts w:eastAsia="MS Mincho" w:cstheme="minorHAnsi"/>
          <w:b/>
          <w:bCs/>
          <w:lang w:eastAsia="ja-JP"/>
        </w:rPr>
        <w:t>Graph 1</w:t>
      </w:r>
      <w:r w:rsidR="003425D8">
        <w:rPr>
          <w:rFonts w:eastAsia="MS Mincho" w:cstheme="minorHAnsi"/>
          <w:b/>
          <w:bCs/>
          <w:lang w:eastAsia="ja-JP"/>
        </w:rPr>
        <w:t>7</w:t>
      </w:r>
      <w:r w:rsidRPr="00D80C5B">
        <w:rPr>
          <w:rFonts w:eastAsia="MS Mincho" w:cstheme="minorHAnsi"/>
          <w:b/>
          <w:bCs/>
          <w:lang w:eastAsia="ja-JP"/>
        </w:rPr>
        <w:t>: Changes in export market shares</w:t>
      </w:r>
    </w:p>
    <w:p w:rsidR="006333DD" w:rsidRPr="00D80C5B" w:rsidRDefault="006333DD" w:rsidP="00203132">
      <w:pPr>
        <w:keepNext/>
        <w:ind w:left="0"/>
        <w:jc w:val="center"/>
        <w:rPr>
          <w:rFonts w:eastAsia="MS Mincho" w:cstheme="minorHAnsi"/>
          <w:b/>
          <w:bCs/>
          <w:lang w:eastAsia="ja-JP"/>
        </w:rPr>
      </w:pPr>
      <w:bookmarkStart w:id="16" w:name="ems"/>
      <w:r w:rsidRPr="00D80C5B">
        <w:rPr>
          <w:rFonts w:eastAsia="MS Mincho" w:cstheme="minorHAnsi"/>
          <w:b/>
          <w:bCs/>
          <w:noProof/>
          <w:lang w:eastAsia="en-GB"/>
        </w:rPr>
        <w:drawing>
          <wp:inline distT="0" distB="0" distL="0" distR="0" wp14:anchorId="09ACA81E" wp14:editId="3FBA38BA">
            <wp:extent cx="5760000" cy="284400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2844000"/>
                    </a:xfrm>
                    <a:prstGeom prst="rect">
                      <a:avLst/>
                    </a:prstGeom>
                    <a:noFill/>
                    <a:ln>
                      <a:noFill/>
                    </a:ln>
                  </pic:spPr>
                </pic:pic>
              </a:graphicData>
            </a:graphic>
          </wp:inline>
        </w:drawing>
      </w:r>
      <w:bookmarkEnd w:id="16"/>
    </w:p>
    <w:p w:rsidR="006333DD" w:rsidRPr="00D80C5B" w:rsidRDefault="006333DD" w:rsidP="006333DD">
      <w:pPr>
        <w:ind w:left="0"/>
        <w:jc w:val="both"/>
        <w:rPr>
          <w:rFonts w:eastAsia="Times New Roman" w:cstheme="minorHAnsi"/>
          <w:sz w:val="20"/>
          <w:szCs w:val="20"/>
          <w:lang w:val="fr-BE" w:eastAsia="en-GB"/>
        </w:rPr>
      </w:pPr>
      <w:r w:rsidRPr="00D80C5B">
        <w:rPr>
          <w:rFonts w:eastAsia="Times New Roman" w:cstheme="minorHAnsi"/>
          <w:i/>
          <w:sz w:val="20"/>
          <w:szCs w:val="20"/>
          <w:lang w:val="fr-BE" w:eastAsia="en-GB"/>
        </w:rPr>
        <w:t>Source:</w:t>
      </w:r>
      <w:r w:rsidRPr="00D80C5B">
        <w:rPr>
          <w:rFonts w:eastAsia="Times New Roman" w:cstheme="minorHAnsi"/>
          <w:sz w:val="20"/>
          <w:szCs w:val="20"/>
          <w:lang w:val="fr-BE" w:eastAsia="en-GB"/>
        </w:rPr>
        <w:t xml:space="preserve"> Eurostat, Commission services calculations.</w:t>
      </w:r>
    </w:p>
    <w:p w:rsidR="006333DD" w:rsidRPr="00D80C5B" w:rsidRDefault="006333DD" w:rsidP="006333DD">
      <w:pPr>
        <w:ind w:left="0"/>
        <w:jc w:val="both"/>
        <w:rPr>
          <w:color w:val="1F497D"/>
        </w:rPr>
      </w:pPr>
      <w:r w:rsidRPr="00D80C5B">
        <w:rPr>
          <w:rFonts w:eastAsia="Times New Roman" w:cstheme="minorHAnsi"/>
          <w:i/>
          <w:sz w:val="20"/>
          <w:szCs w:val="20"/>
          <w:lang w:eastAsia="en-GB"/>
        </w:rPr>
        <w:t xml:space="preserve">Note: </w:t>
      </w:r>
      <w:r w:rsidRPr="00D80C5B">
        <w:rPr>
          <w:rFonts w:eastAsia="Times New Roman" w:cstheme="minorHAnsi"/>
          <w:sz w:val="20"/>
          <w:szCs w:val="20"/>
          <w:lang w:eastAsia="en-GB"/>
        </w:rPr>
        <w:t xml:space="preserve">Countries are presented in increasing order of the annual variation of the nominal export market shares in 2018. </w:t>
      </w:r>
      <w:r w:rsidRPr="00D80C5B">
        <w:rPr>
          <w:sz w:val="20"/>
          <w:szCs w:val="20"/>
          <w:lang w:val="en-US" w:eastAsia="en-GB"/>
        </w:rPr>
        <w:t xml:space="preserve">Nominal export market shares are calculated by dividing the exports of a country at current prices by world </w:t>
      </w:r>
      <w:r w:rsidRPr="00D80C5B">
        <w:rPr>
          <w:color w:val="000000" w:themeColor="text1"/>
          <w:sz w:val="20"/>
          <w:szCs w:val="20"/>
          <w:lang w:val="en-US" w:eastAsia="en-GB"/>
        </w:rPr>
        <w:t xml:space="preserve">exports also </w:t>
      </w:r>
      <w:r w:rsidRPr="00D80C5B">
        <w:rPr>
          <w:sz w:val="20"/>
          <w:szCs w:val="20"/>
          <w:lang w:val="en-US" w:eastAsia="en-GB"/>
        </w:rPr>
        <w:t>at current prices. Real export market shares growth is calculated by subtracting the growth rate of world exports in volumes from the country’s growth rate in volumes.</w:t>
      </w:r>
    </w:p>
    <w:p w:rsidR="006333DD" w:rsidRPr="00D80C5B" w:rsidRDefault="006333DD" w:rsidP="006333DD">
      <w:pPr>
        <w:rPr>
          <w:rFonts w:eastAsia="Times New Roman" w:cstheme="minorHAnsi"/>
          <w:b/>
          <w:lang w:eastAsia="en-GB"/>
        </w:rPr>
      </w:pPr>
    </w:p>
    <w:p w:rsidR="006333DD" w:rsidRPr="00D80C5B" w:rsidRDefault="006333DD" w:rsidP="006333DD">
      <w:pPr>
        <w:rPr>
          <w:rFonts w:eastAsia="Times New Roman" w:cstheme="minorHAnsi"/>
          <w:b/>
          <w:lang w:eastAsia="en-GB"/>
        </w:rPr>
      </w:pPr>
    </w:p>
    <w:p w:rsidR="006333DD" w:rsidRPr="00D80C5B" w:rsidRDefault="006333DD" w:rsidP="0047733F">
      <w:pPr>
        <w:ind w:left="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Private sector debt ratios remain elevated in a number of Member States </w:t>
      </w:r>
      <w:r w:rsidRPr="00D80C5B">
        <w:rPr>
          <w:rFonts w:ascii="Times New Roman" w:eastAsia="Times New Roman" w:hAnsi="Times New Roman" w:cs="Times New Roman"/>
          <w:lang w:eastAsia="en-GB"/>
        </w:rPr>
        <w:t>according to available benchmark</w:t>
      </w:r>
      <w:r w:rsidRPr="00D80C5B">
        <w:rPr>
          <w:rFonts w:ascii="Times New Roman" w:eastAsia="Times New Roman" w:hAnsi="Times New Roman" w:cs="Times New Roman"/>
          <w:b/>
          <w:lang w:eastAsia="en-GB"/>
        </w:rPr>
        <w:t>s.</w:t>
      </w:r>
      <w:r w:rsidRPr="00D80C5B">
        <w:rPr>
          <w:rFonts w:ascii="Times New Roman" w:eastAsia="Times New Roman" w:hAnsi="Times New Roman" w:cs="Times New Roman"/>
          <w:lang w:eastAsia="en-GB"/>
        </w:rPr>
        <w:t xml:space="preserve"> </w:t>
      </w:r>
    </w:p>
    <w:p w:rsidR="006333DD" w:rsidRPr="00D80C5B" w:rsidRDefault="006333DD" w:rsidP="003425D8">
      <w:pPr>
        <w:pStyle w:val="ListParagraph"/>
        <w:numPr>
          <w:ilvl w:val="0"/>
          <w:numId w:val="51"/>
        </w:numPr>
        <w:spacing w:after="120"/>
        <w:ind w:left="426" w:hanging="284"/>
        <w:contextualSpacing w:val="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Twelve Member States exceeded the scoreboard threshold for private debt in 2018, the same number as in 2016 and 2017.</w:t>
      </w:r>
      <w:r w:rsidRPr="00D80C5B">
        <w:rPr>
          <w:rFonts w:ascii="Times New Roman" w:eastAsia="Times New Roman" w:hAnsi="Times New Roman" w:cs="Times New Roman"/>
          <w:lang w:eastAsia="en-GB"/>
        </w:rPr>
        <w:t xml:space="preserve"> Private debt ratios exceed 200% of GDP in Luxembourg, Cyprus, the Netherlands, and Ireland. Debt figures in those countries are influenced by intra-company cross-border transactions notably linked with the activity of multinational corporations and special purpose vehicles. Private debt-GDP ratios in Denmark and Sweden are at </w:t>
      </w:r>
      <w:r w:rsidR="00854D09" w:rsidRPr="00D80C5B">
        <w:rPr>
          <w:rFonts w:ascii="Times New Roman" w:eastAsia="Times New Roman" w:hAnsi="Times New Roman" w:cs="Times New Roman"/>
          <w:lang w:eastAsia="en-GB"/>
        </w:rPr>
        <w:t xml:space="preserve">or around </w:t>
      </w:r>
      <w:r w:rsidRPr="00D80C5B">
        <w:rPr>
          <w:rFonts w:ascii="Times New Roman" w:eastAsia="Times New Roman" w:hAnsi="Times New Roman" w:cs="Times New Roman"/>
          <w:lang w:eastAsia="en-GB"/>
        </w:rPr>
        <w:t>200% of GDP; in Belgium, France, Portugal, and the United Kingdom, they are close to or above 150% of GDP.</w:t>
      </w:r>
    </w:p>
    <w:p w:rsidR="006333DD" w:rsidRPr="00D80C5B" w:rsidRDefault="006333DD" w:rsidP="003425D8">
      <w:pPr>
        <w:pStyle w:val="ListParagraph"/>
        <w:numPr>
          <w:ilvl w:val="0"/>
          <w:numId w:val="51"/>
        </w:numPr>
        <w:spacing w:after="120"/>
        <w:ind w:left="426" w:hanging="284"/>
        <w:contextualSpacing w:val="0"/>
        <w:jc w:val="both"/>
        <w:rPr>
          <w:rFonts w:eastAsia="Times New Roman" w:cstheme="minorHAnsi"/>
          <w:lang w:eastAsia="en-GB"/>
        </w:rPr>
      </w:pPr>
      <w:r w:rsidRPr="00D80C5B">
        <w:rPr>
          <w:rFonts w:eastAsia="Times New Roman" w:cstheme="minorHAnsi"/>
          <w:lang w:eastAsia="en-GB"/>
        </w:rPr>
        <w:t xml:space="preserve">In Cyprus, France, the Netherlands, Portugal, Spain, and Sweden </w:t>
      </w:r>
      <w:r w:rsidRPr="00D80C5B">
        <w:rPr>
          <w:rFonts w:eastAsia="Times New Roman" w:cstheme="minorHAnsi"/>
          <w:b/>
          <w:lang w:eastAsia="en-GB"/>
        </w:rPr>
        <w:t>both households and non-financial corporations (NFCs)</w:t>
      </w:r>
      <w:r w:rsidRPr="00D80C5B">
        <w:rPr>
          <w:rFonts w:eastAsia="Times New Roman" w:cstheme="minorHAnsi"/>
          <w:lang w:eastAsia="en-GB"/>
        </w:rPr>
        <w:t xml:space="preserve"> contribute to the large private sector debt ratios (Graphs </w:t>
      </w:r>
      <w:r w:rsidR="003425D8">
        <w:rPr>
          <w:rFonts w:eastAsia="Times New Roman" w:cstheme="minorHAnsi"/>
          <w:lang w:eastAsia="en-GB"/>
        </w:rPr>
        <w:t>18</w:t>
      </w:r>
      <w:r w:rsidRPr="00D80C5B">
        <w:rPr>
          <w:rFonts w:eastAsia="Times New Roman" w:cstheme="minorHAnsi"/>
          <w:lang w:eastAsia="en-GB"/>
        </w:rPr>
        <w:t xml:space="preserve"> and </w:t>
      </w:r>
      <w:r w:rsidR="003425D8">
        <w:rPr>
          <w:rFonts w:eastAsia="Times New Roman" w:cstheme="minorHAnsi"/>
          <w:lang w:eastAsia="en-GB"/>
        </w:rPr>
        <w:t>19</w:t>
      </w:r>
      <w:r w:rsidRPr="00D80C5B">
        <w:rPr>
          <w:rFonts w:eastAsia="Times New Roman" w:cstheme="minorHAnsi"/>
          <w:lang w:eastAsia="en-GB"/>
        </w:rPr>
        <w:t xml:space="preserve">). In Ireland and Luxembourg, </w:t>
      </w:r>
      <w:r w:rsidRPr="00D80C5B">
        <w:rPr>
          <w:rFonts w:eastAsia="Times New Roman" w:cstheme="minorHAnsi"/>
          <w:b/>
          <w:lang w:eastAsia="en-GB"/>
        </w:rPr>
        <w:t>corporations'</w:t>
      </w:r>
      <w:r w:rsidRPr="00D80C5B">
        <w:rPr>
          <w:rFonts w:eastAsia="Times New Roman" w:cstheme="minorHAnsi"/>
          <w:lang w:eastAsia="en-GB"/>
        </w:rPr>
        <w:t xml:space="preserve"> high indebtedness drive the large stocks of private debt; in Denmark, Finland, and the United Kingdom it is rather </w:t>
      </w:r>
      <w:r w:rsidRPr="00D80C5B">
        <w:rPr>
          <w:rFonts w:eastAsia="Times New Roman" w:cstheme="minorHAnsi"/>
          <w:b/>
          <w:lang w:eastAsia="en-GB"/>
        </w:rPr>
        <w:t>households'</w:t>
      </w:r>
      <w:r w:rsidRPr="00D80C5B">
        <w:rPr>
          <w:rFonts w:eastAsia="Times New Roman" w:cstheme="minorHAnsi"/>
          <w:lang w:eastAsia="en-GB"/>
        </w:rPr>
        <w:t xml:space="preserve"> debt.</w:t>
      </w:r>
    </w:p>
    <w:p w:rsidR="006333DD" w:rsidRPr="00D80C5B" w:rsidRDefault="006333DD" w:rsidP="003425D8">
      <w:pPr>
        <w:pStyle w:val="ListParagraph"/>
        <w:numPr>
          <w:ilvl w:val="0"/>
          <w:numId w:val="51"/>
        </w:numPr>
        <w:spacing w:after="120"/>
        <w:ind w:left="426" w:hanging="284"/>
        <w:contextualSpacing w:val="0"/>
        <w:jc w:val="both"/>
        <w:rPr>
          <w:rFonts w:eastAsia="Times New Roman" w:cstheme="minorHAnsi"/>
          <w:lang w:eastAsia="en-GB"/>
        </w:rPr>
      </w:pPr>
      <w:r w:rsidRPr="00D80C5B">
        <w:rPr>
          <w:b/>
        </w:rPr>
        <w:t xml:space="preserve">Differences in the stock of private debt across countries </w:t>
      </w:r>
      <w:r w:rsidRPr="00D80C5B">
        <w:t>are largely explained by differences in fundamental factors justifying the accumulation of debt, including prospects for growth and investment, and financial development. An assessment of debt levels should thereby take into account those factors, as well as other elements affecting risks posed by high debt from a forward-looking perspective.</w:t>
      </w:r>
      <w:r w:rsidRPr="00D80C5B">
        <w:rPr>
          <w:vertAlign w:val="superscript"/>
        </w:rPr>
        <w:footnoteReference w:id="33"/>
      </w:r>
      <w:r w:rsidRPr="00D80C5B">
        <w:t xml:space="preserve"> </w:t>
      </w:r>
      <w:r w:rsidRPr="00D80C5B">
        <w:rPr>
          <w:rFonts w:eastAsia="Times New Roman" w:cstheme="minorHAnsi"/>
          <w:lang w:eastAsia="en-GB"/>
        </w:rPr>
        <w:t xml:space="preserve">On the basis of 2018 data, all countries with private debt above the scoreboard threshold are also above their country-specific prudential and fundamentals-based benchmarks. </w:t>
      </w:r>
    </w:p>
    <w:p w:rsidR="006333DD" w:rsidRPr="00D80C5B" w:rsidRDefault="006333DD" w:rsidP="003425D8">
      <w:pPr>
        <w:spacing w:after="120"/>
        <w:ind w:left="0"/>
        <w:jc w:val="both"/>
        <w:rPr>
          <w:rFonts w:cstheme="minorHAnsi"/>
          <w:b/>
        </w:rPr>
      </w:pPr>
    </w:p>
    <w:p w:rsidR="006333DD" w:rsidRPr="00D80C5B" w:rsidRDefault="006333DD" w:rsidP="006333DD">
      <w:pPr>
        <w:pStyle w:val="Caption"/>
        <w:keepNext/>
        <w:spacing w:line="276" w:lineRule="auto"/>
        <w:jc w:val="center"/>
        <w:rPr>
          <w:rFonts w:cstheme="minorHAnsi"/>
          <w:color w:val="000000" w:themeColor="text1"/>
          <w:sz w:val="22"/>
        </w:rPr>
      </w:pPr>
      <w:r w:rsidRPr="00D80C5B">
        <w:rPr>
          <w:rFonts w:cstheme="minorHAnsi"/>
          <w:color w:val="000000" w:themeColor="text1"/>
          <w:sz w:val="22"/>
        </w:rPr>
        <w:t xml:space="preserve">Graph </w:t>
      </w:r>
      <w:r w:rsidR="003425D8">
        <w:rPr>
          <w:rFonts w:cstheme="minorHAnsi"/>
          <w:color w:val="000000" w:themeColor="text1"/>
          <w:sz w:val="22"/>
        </w:rPr>
        <w:t>18</w:t>
      </w:r>
      <w:r w:rsidRPr="00D80C5B">
        <w:rPr>
          <w:rFonts w:cstheme="minorHAnsi"/>
          <w:color w:val="000000" w:themeColor="text1"/>
          <w:sz w:val="22"/>
        </w:rPr>
        <w:t>: Non-financial corporations debt</w:t>
      </w:r>
    </w:p>
    <w:p w:rsidR="006333DD" w:rsidRPr="00D80C5B" w:rsidRDefault="006333DD" w:rsidP="006333DD">
      <w:pPr>
        <w:ind w:left="0"/>
      </w:pPr>
      <w:bookmarkStart w:id="17" w:name="nfcnew"/>
      <w:r w:rsidRPr="00D80C5B">
        <w:rPr>
          <w:noProof/>
          <w:lang w:eastAsia="en-GB"/>
        </w:rPr>
        <w:drawing>
          <wp:inline distT="0" distB="0" distL="0" distR="0" wp14:anchorId="661F0964" wp14:editId="4FB828A7">
            <wp:extent cx="5753100" cy="287210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2872105"/>
                    </a:xfrm>
                    <a:prstGeom prst="rect">
                      <a:avLst/>
                    </a:prstGeom>
                    <a:noFill/>
                    <a:ln>
                      <a:noFill/>
                    </a:ln>
                  </pic:spPr>
                </pic:pic>
              </a:graphicData>
            </a:graphic>
          </wp:inline>
        </w:drawing>
      </w:r>
      <w:r w:rsidRPr="00D80C5B" w:rsidDel="00201F15">
        <w:rPr>
          <w:noProof/>
          <w:lang w:eastAsia="fr-BE"/>
        </w:rPr>
        <w:t xml:space="preserve"> </w:t>
      </w:r>
      <w:bookmarkEnd w:id="17"/>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Sources:</w:t>
      </w:r>
      <w:r w:rsidRPr="00D80C5B">
        <w:rPr>
          <w:rFonts w:eastAsia="Times New Roman" w:cstheme="minorHAnsi"/>
          <w:sz w:val="20"/>
          <w:szCs w:val="20"/>
          <w:lang w:eastAsia="en-GB"/>
        </w:rPr>
        <w:t xml:space="preserve"> Eurostat non-consolidated quarterly sectoral accounts, Commission services calculations.</w:t>
      </w:r>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 xml:space="preserve">Notes: </w:t>
      </w:r>
      <w:r w:rsidRPr="00D80C5B">
        <w:rPr>
          <w:rFonts w:eastAsia="Times New Roman" w:cstheme="minorHAnsi"/>
          <w:sz w:val="20"/>
          <w:szCs w:val="20"/>
          <w:lang w:eastAsia="en-GB"/>
        </w:rPr>
        <w:t xml:space="preserve">Countries are presented in decreasing order of the NFCs debt-to-GDP ratio in 2018. Numbers below the country codes indicate the year when that debt ratio peaked. </w:t>
      </w:r>
    </w:p>
    <w:p w:rsidR="006333DD" w:rsidRPr="00D80C5B" w:rsidRDefault="006333DD" w:rsidP="006333DD">
      <w:pPr>
        <w:ind w:left="0"/>
        <w:jc w:val="both"/>
        <w:rPr>
          <w:rFonts w:eastAsia="Times New Roman" w:cstheme="minorHAnsi"/>
          <w:sz w:val="20"/>
          <w:szCs w:val="20"/>
          <w:lang w:eastAsia="en-GB"/>
        </w:rPr>
      </w:pPr>
    </w:p>
    <w:p w:rsidR="006333DD" w:rsidRPr="00D80C5B" w:rsidRDefault="006333DD" w:rsidP="006333DD">
      <w:pPr>
        <w:pStyle w:val="Caption"/>
        <w:keepNext/>
        <w:spacing w:line="276" w:lineRule="auto"/>
        <w:ind w:left="0"/>
        <w:jc w:val="center"/>
        <w:rPr>
          <w:rFonts w:cstheme="minorHAnsi"/>
          <w:color w:val="000000" w:themeColor="text1"/>
          <w:sz w:val="22"/>
          <w:lang w:val="en-IE"/>
        </w:rPr>
      </w:pPr>
      <w:r w:rsidRPr="00D80C5B">
        <w:rPr>
          <w:rFonts w:cstheme="minorHAnsi"/>
          <w:color w:val="000000" w:themeColor="text1"/>
          <w:sz w:val="22"/>
        </w:rPr>
        <w:t xml:space="preserve">Graph </w:t>
      </w:r>
      <w:r w:rsidR="003425D8">
        <w:rPr>
          <w:rFonts w:cstheme="minorHAnsi"/>
          <w:color w:val="000000" w:themeColor="text1"/>
          <w:sz w:val="22"/>
        </w:rPr>
        <w:t>19</w:t>
      </w:r>
      <w:r w:rsidRPr="00D80C5B">
        <w:rPr>
          <w:rFonts w:cstheme="minorHAnsi"/>
          <w:color w:val="000000" w:themeColor="text1"/>
          <w:sz w:val="22"/>
        </w:rPr>
        <w:t xml:space="preserve">: </w:t>
      </w:r>
      <w:r w:rsidRPr="00D80C5B">
        <w:rPr>
          <w:rFonts w:cstheme="minorHAnsi"/>
          <w:color w:val="000000" w:themeColor="text1"/>
          <w:sz w:val="22"/>
          <w:lang w:val="en-IE"/>
        </w:rPr>
        <w:t>Households debt</w:t>
      </w:r>
    </w:p>
    <w:p w:rsidR="006333DD" w:rsidRPr="00D80C5B" w:rsidRDefault="006333DD" w:rsidP="006333DD">
      <w:pPr>
        <w:ind w:left="0"/>
        <w:rPr>
          <w:lang w:val="en-IE"/>
        </w:rPr>
      </w:pPr>
      <w:bookmarkStart w:id="18" w:name="hhnew"/>
      <w:r w:rsidRPr="00D80C5B">
        <w:rPr>
          <w:noProof/>
          <w:lang w:eastAsia="en-GB"/>
        </w:rPr>
        <w:drawing>
          <wp:inline distT="0" distB="0" distL="0" distR="0" wp14:anchorId="66FC7B03" wp14:editId="7F0814F4">
            <wp:extent cx="5760000" cy="288000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00" cy="2880000"/>
                    </a:xfrm>
                    <a:prstGeom prst="rect">
                      <a:avLst/>
                    </a:prstGeom>
                    <a:noFill/>
                    <a:ln>
                      <a:noFill/>
                    </a:ln>
                  </pic:spPr>
                </pic:pic>
              </a:graphicData>
            </a:graphic>
          </wp:inline>
        </w:drawing>
      </w:r>
      <w:bookmarkEnd w:id="18"/>
    </w:p>
    <w:p w:rsidR="006333DD" w:rsidRPr="00D80C5B" w:rsidRDefault="006333DD" w:rsidP="006333DD">
      <w:pPr>
        <w:keepNext/>
        <w:ind w:left="0"/>
        <w:jc w:val="both"/>
        <w:rPr>
          <w:rFonts w:eastAsia="Times New Roman" w:cstheme="minorHAnsi"/>
          <w:sz w:val="20"/>
          <w:szCs w:val="20"/>
          <w:lang w:eastAsia="en-GB"/>
        </w:rPr>
      </w:pPr>
      <w:r w:rsidRPr="00D80C5B">
        <w:rPr>
          <w:rFonts w:eastAsia="Times New Roman" w:cstheme="minorHAnsi"/>
          <w:i/>
          <w:sz w:val="20"/>
          <w:szCs w:val="20"/>
          <w:lang w:eastAsia="en-GB"/>
        </w:rPr>
        <w:t>Sources:</w:t>
      </w:r>
      <w:r w:rsidRPr="00D80C5B">
        <w:rPr>
          <w:rFonts w:eastAsia="Times New Roman" w:cstheme="minorHAnsi"/>
          <w:sz w:val="20"/>
          <w:szCs w:val="20"/>
          <w:lang w:eastAsia="en-GB"/>
        </w:rPr>
        <w:t xml:space="preserve"> Eurostat non-consolidated quarterly sectoral accounts, Commission services calculations.</w:t>
      </w:r>
    </w:p>
    <w:p w:rsidR="006333DD" w:rsidRPr="00D80C5B" w:rsidRDefault="006333DD" w:rsidP="006333DD">
      <w:pPr>
        <w:ind w:left="0"/>
        <w:jc w:val="both"/>
        <w:rPr>
          <w:rFonts w:cstheme="minorHAnsi"/>
          <w:b/>
          <w:lang w:val="en-IE"/>
        </w:rPr>
      </w:pPr>
      <w:r w:rsidRPr="00D80C5B">
        <w:rPr>
          <w:rFonts w:eastAsia="Times New Roman" w:cstheme="minorHAnsi"/>
          <w:i/>
          <w:sz w:val="20"/>
          <w:szCs w:val="20"/>
          <w:lang w:eastAsia="en-GB"/>
        </w:rPr>
        <w:t xml:space="preserve">Notes: </w:t>
      </w:r>
      <w:r w:rsidRPr="00D80C5B">
        <w:rPr>
          <w:rFonts w:eastAsia="Times New Roman" w:cstheme="minorHAnsi"/>
          <w:sz w:val="20"/>
          <w:szCs w:val="20"/>
          <w:lang w:eastAsia="en-GB"/>
        </w:rPr>
        <w:t xml:space="preserve">Countries are presented in decreasing order of the households debt-to-GDP ratio in 2018. Numbers below the country codes indicate the year when that debt ratio peaked.  </w:t>
      </w:r>
    </w:p>
    <w:p w:rsidR="006333DD" w:rsidRPr="00D80C5B" w:rsidRDefault="006333DD" w:rsidP="006333DD">
      <w:pPr>
        <w:ind w:left="0"/>
        <w:jc w:val="both"/>
        <w:rPr>
          <w:rFonts w:cstheme="minorHAnsi"/>
          <w:b/>
          <w:lang w:val="en-IE"/>
        </w:rPr>
      </w:pPr>
    </w:p>
    <w:p w:rsidR="008961C6" w:rsidRDefault="008961C6">
      <w:pPr>
        <w:rPr>
          <w:rFonts w:eastAsia="Times New Roman" w:cstheme="minorHAnsi"/>
          <w:b/>
          <w:lang w:eastAsia="en-GB"/>
        </w:rPr>
      </w:pPr>
      <w:r>
        <w:rPr>
          <w:rFonts w:eastAsia="Times New Roman" w:cstheme="minorHAnsi"/>
          <w:b/>
          <w:lang w:eastAsia="en-GB"/>
        </w:rPr>
        <w:br w:type="page"/>
      </w:r>
    </w:p>
    <w:p w:rsidR="006333DD" w:rsidRPr="00D80C5B" w:rsidRDefault="006333DD" w:rsidP="006333DD">
      <w:pPr>
        <w:spacing w:after="120"/>
        <w:ind w:left="0"/>
        <w:jc w:val="both"/>
        <w:rPr>
          <w:rFonts w:cstheme="minorHAnsi"/>
          <w:lang w:val="en-IE"/>
        </w:rPr>
      </w:pPr>
      <w:r w:rsidRPr="00D80C5B">
        <w:rPr>
          <w:rFonts w:eastAsia="Times New Roman" w:cstheme="minorHAnsi"/>
          <w:b/>
          <w:lang w:eastAsia="en-GB"/>
        </w:rPr>
        <w:t>Private sector deleveraging is taking place mainly on the back of nominal GDP growth, at slower pace, and in some cases high debt is growing again rather than falling.</w:t>
      </w:r>
      <w:r w:rsidRPr="00D80C5B">
        <w:rPr>
          <w:rFonts w:eastAsia="Times New Roman" w:cstheme="minorHAnsi"/>
          <w:lang w:eastAsia="en-GB"/>
        </w:rPr>
        <w:t xml:space="preserve"> In past years, NFC and household debt in high-debt countries such as Cyprus, Ireland, Portugal, and Spain declined by at least 25 percentage points of GDP from their peaks (Graphs </w:t>
      </w:r>
      <w:r w:rsidR="003425D8">
        <w:rPr>
          <w:rFonts w:eastAsia="Times New Roman" w:cstheme="minorHAnsi"/>
          <w:lang w:eastAsia="en-GB"/>
        </w:rPr>
        <w:t>18</w:t>
      </w:r>
      <w:r w:rsidRPr="00D80C5B">
        <w:rPr>
          <w:rFonts w:eastAsia="Times New Roman" w:cstheme="minorHAnsi"/>
          <w:lang w:eastAsia="en-GB"/>
        </w:rPr>
        <w:t xml:space="preserve"> and </w:t>
      </w:r>
      <w:r w:rsidR="003425D8">
        <w:rPr>
          <w:rFonts w:eastAsia="Times New Roman" w:cstheme="minorHAnsi"/>
          <w:lang w:eastAsia="en-GB"/>
        </w:rPr>
        <w:t>19</w:t>
      </w:r>
      <w:r w:rsidRPr="00D80C5B">
        <w:rPr>
          <w:rFonts w:eastAsia="Times New Roman" w:cstheme="minorHAnsi"/>
          <w:lang w:eastAsia="en-GB"/>
        </w:rPr>
        <w:t xml:space="preserve">). Estonia, Hungary, Latvia, and Slovenia also recorded marked declines, especially in corporate debt ratios. In the latest years, the rate at which debt ratios have been falling has declined. This is more evident in the case of household debt. While most EU economies have continued witnessing falling debt ratios, some re-leveraging has also taken place, especially by households. </w:t>
      </w:r>
    </w:p>
    <w:p w:rsidR="006333DD" w:rsidRPr="00D80C5B" w:rsidRDefault="006333DD" w:rsidP="006333DD">
      <w:pPr>
        <w:pStyle w:val="ListParagraph"/>
        <w:numPr>
          <w:ilvl w:val="0"/>
          <w:numId w:val="41"/>
        </w:numPr>
        <w:spacing w:after="120"/>
        <w:ind w:left="426" w:hanging="284"/>
        <w:contextualSpacing w:val="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Deleveraging increasingly relies on nominal GDP growth. </w:t>
      </w:r>
      <w:r w:rsidRPr="00D80C5B">
        <w:rPr>
          <w:rFonts w:ascii="Times New Roman" w:eastAsia="Times New Roman" w:hAnsi="Times New Roman" w:cs="Times New Roman"/>
          <w:lang w:eastAsia="en-GB"/>
        </w:rPr>
        <w:t xml:space="preserve">Private sector credit flows remain moderate and no Member State exceeded the scoreboard threshold for this variable in 2018. Nominal GDP growth over the past years has allowed a number of countries to start entering into a mode of "passive deleveraging", i.e., falling debt-GDP ratios despite positive credit flows. Continued GDP growth has loosened the pressure to deleverage "actively", i.e., thanks to falls in the nominal debt levels. Indeed, fewer countries are displaying negative credit flows either to corporations or to households compared with 2017 (Graphs </w:t>
      </w:r>
      <w:r w:rsidR="003425D8">
        <w:rPr>
          <w:rFonts w:ascii="Times New Roman" w:eastAsia="Times New Roman" w:hAnsi="Times New Roman" w:cs="Times New Roman"/>
          <w:lang w:eastAsia="en-GB"/>
        </w:rPr>
        <w:t>20</w:t>
      </w:r>
      <w:r w:rsidRPr="00D80C5B">
        <w:rPr>
          <w:rFonts w:ascii="Times New Roman" w:eastAsia="Times New Roman" w:hAnsi="Times New Roman" w:cs="Times New Roman"/>
          <w:lang w:eastAsia="en-GB"/>
        </w:rPr>
        <w:t xml:space="preserve"> and </w:t>
      </w:r>
      <w:r w:rsidR="00D6461F" w:rsidRPr="00D80C5B">
        <w:rPr>
          <w:rFonts w:ascii="Times New Roman" w:eastAsia="Times New Roman" w:hAnsi="Times New Roman" w:cs="Times New Roman"/>
          <w:lang w:eastAsia="en-GB"/>
        </w:rPr>
        <w:t>2</w:t>
      </w:r>
      <w:r w:rsidR="003425D8">
        <w:rPr>
          <w:rFonts w:ascii="Times New Roman" w:eastAsia="Times New Roman" w:hAnsi="Times New Roman" w:cs="Times New Roman"/>
          <w:lang w:eastAsia="en-GB"/>
        </w:rPr>
        <w:t>1</w:t>
      </w:r>
      <w:r w:rsidRPr="00D80C5B">
        <w:rPr>
          <w:rFonts w:ascii="Times New Roman" w:eastAsia="Times New Roman" w:hAnsi="Times New Roman" w:cs="Times New Roman"/>
          <w:lang w:eastAsia="en-GB"/>
        </w:rPr>
        <w:t xml:space="preserve">). However, as the economic cycle has peaked, the contribution of the cyclical GDP upswing is becoming more limited or even reversing, implying that going forward the prospects for further passive deleveraging will crucially depend on potential GDP growth. </w:t>
      </w:r>
    </w:p>
    <w:p w:rsidR="006333DD" w:rsidRPr="00D80C5B" w:rsidRDefault="006333DD" w:rsidP="006333DD">
      <w:pPr>
        <w:pStyle w:val="ListParagraph"/>
        <w:numPr>
          <w:ilvl w:val="0"/>
          <w:numId w:val="41"/>
        </w:numPr>
        <w:spacing w:after="120"/>
        <w:ind w:left="426" w:hanging="284"/>
        <w:contextualSpacing w:val="0"/>
        <w:jc w:val="both"/>
        <w:rPr>
          <w:rFonts w:eastAsia="Times New Roman" w:cstheme="minorHAnsi"/>
          <w:lang w:eastAsia="en-GB"/>
        </w:rPr>
      </w:pPr>
      <w:r w:rsidRPr="00D80C5B">
        <w:rPr>
          <w:rFonts w:eastAsia="Times New Roman" w:cstheme="minorHAnsi"/>
          <w:lang w:eastAsia="en-GB"/>
        </w:rPr>
        <w:t xml:space="preserve">Concerning </w:t>
      </w:r>
      <w:r w:rsidRPr="00D80C5B">
        <w:rPr>
          <w:rFonts w:eastAsia="Times New Roman" w:cstheme="minorHAnsi"/>
          <w:b/>
          <w:lang w:eastAsia="en-GB"/>
        </w:rPr>
        <w:t>corporate debt</w:t>
      </w:r>
      <w:r w:rsidRPr="00D80C5B">
        <w:rPr>
          <w:rFonts w:eastAsia="Times New Roman" w:cstheme="minorHAnsi"/>
          <w:lang w:eastAsia="en-GB"/>
        </w:rPr>
        <w:t>, deleveraging has continued in most EU countries, relying increasingly on GDP growth</w:t>
      </w:r>
      <w:r w:rsidRPr="00D80C5B">
        <w:rPr>
          <w:rFonts w:cstheme="minorHAnsi"/>
          <w:lang w:val="en-IE"/>
        </w:rPr>
        <w:t xml:space="preserve">. </w:t>
      </w:r>
      <w:r w:rsidRPr="00D80C5B">
        <w:rPr>
          <w:rFonts w:eastAsia="Times New Roman" w:cstheme="minorHAnsi"/>
          <w:lang w:eastAsia="en-GB"/>
        </w:rPr>
        <w:t xml:space="preserve">Between the first quarter of 2018 and the first quarter of 2019, NFCs active deleveraging took place only in Belgium, Denmark, Italy, Luxembourg, Portugal, and Slovenia (Graph </w:t>
      </w:r>
      <w:r w:rsidR="005E40D9" w:rsidRPr="00D80C5B">
        <w:rPr>
          <w:rFonts w:eastAsia="Times New Roman" w:cstheme="minorHAnsi"/>
          <w:lang w:eastAsia="en-GB"/>
        </w:rPr>
        <w:t>2</w:t>
      </w:r>
      <w:r w:rsidR="003425D8">
        <w:rPr>
          <w:rFonts w:eastAsia="Times New Roman" w:cstheme="minorHAnsi"/>
          <w:lang w:eastAsia="en-GB"/>
        </w:rPr>
        <w:t>0</w:t>
      </w:r>
      <w:r w:rsidRPr="00D80C5B">
        <w:rPr>
          <w:rFonts w:eastAsia="Times New Roman" w:cstheme="minorHAnsi"/>
          <w:lang w:eastAsia="en-GB"/>
        </w:rPr>
        <w:t xml:space="preserve">, </w:t>
      </w:r>
      <w:r w:rsidR="005E40D9" w:rsidRPr="00D80C5B">
        <w:rPr>
          <w:rFonts w:eastAsia="Times New Roman" w:cstheme="minorHAnsi"/>
          <w:lang w:eastAsia="en-GB"/>
        </w:rPr>
        <w:t xml:space="preserve">which is based on </w:t>
      </w:r>
      <w:r w:rsidRPr="00D80C5B">
        <w:rPr>
          <w:rFonts w:eastAsia="Times New Roman" w:cstheme="minorHAnsi"/>
          <w:lang w:eastAsia="en-GB"/>
        </w:rPr>
        <w:t xml:space="preserve">non-consolidated data). In Cyprus, Malta, and Bulgaria net credit flows to the corporate sector exceeded 5% of GDP, despite already high NFC debt. Somewhat dynamic credit flows were at the basis of rising NFC debt in France, Germany, and Sweden. In fact, </w:t>
      </w:r>
      <w:r w:rsidRPr="00D80C5B">
        <w:rPr>
          <w:rFonts w:cstheme="minorHAnsi"/>
          <w:lang w:val="en-IE"/>
        </w:rPr>
        <w:t>France and Sweden have been leveraging further despite recording NFC debt above benchmarks</w:t>
      </w:r>
      <w:r w:rsidRPr="00D80C5B">
        <w:rPr>
          <w:rFonts w:eastAsia="Times New Roman" w:cstheme="minorHAnsi"/>
          <w:lang w:val="en-IE" w:eastAsia="en-GB"/>
        </w:rPr>
        <w:t>.</w:t>
      </w:r>
      <w:r w:rsidRPr="00D80C5B">
        <w:rPr>
          <w:rStyle w:val="FootnoteReference"/>
          <w:rFonts w:eastAsia="Times New Roman" w:cstheme="minorHAnsi"/>
          <w:lang w:eastAsia="en-GB"/>
        </w:rPr>
        <w:footnoteReference w:id="34"/>
      </w:r>
    </w:p>
    <w:p w:rsidR="006333DD" w:rsidRPr="00D80C5B" w:rsidRDefault="006333DD" w:rsidP="006333DD">
      <w:pPr>
        <w:pStyle w:val="ListParagraph"/>
        <w:numPr>
          <w:ilvl w:val="0"/>
          <w:numId w:val="41"/>
        </w:numPr>
        <w:spacing w:after="120"/>
        <w:ind w:left="426" w:hanging="284"/>
        <w:contextualSpacing w:val="0"/>
        <w:jc w:val="both"/>
        <w:rPr>
          <w:rFonts w:ascii="Times New Roman" w:eastAsia="Times New Roman" w:hAnsi="Times New Roman" w:cs="Times New Roman"/>
          <w:lang w:eastAsia="en-GB"/>
        </w:rPr>
      </w:pPr>
      <w:r w:rsidRPr="00D80C5B">
        <w:rPr>
          <w:rFonts w:cstheme="minorHAnsi"/>
        </w:rPr>
        <w:t xml:space="preserve">Regarding </w:t>
      </w:r>
      <w:r w:rsidRPr="00D80C5B">
        <w:rPr>
          <w:rFonts w:cstheme="minorHAnsi"/>
          <w:b/>
          <w:lang w:val="en-IE"/>
        </w:rPr>
        <w:t>households debt</w:t>
      </w:r>
      <w:r w:rsidRPr="00D80C5B">
        <w:rPr>
          <w:rFonts w:cstheme="minorHAnsi"/>
          <w:lang w:val="en-IE"/>
        </w:rPr>
        <w:t xml:space="preserve">, deleveraging has slowed down more markedly. In the United Kingdom, Sweden, Belgium, and France, household debt as a share of GDP grew in 2018 despite being at relatively high levels (close to or above benchmarks). In few Member States only (Greece and Ireland) </w:t>
      </w:r>
      <w:r w:rsidRPr="00D80C5B">
        <w:rPr>
          <w:rFonts w:eastAsia="Times New Roman" w:cstheme="minorHAnsi"/>
          <w:lang w:eastAsia="en-GB"/>
        </w:rPr>
        <w:t xml:space="preserve">active deleveraging is observed (Graph </w:t>
      </w:r>
      <w:r w:rsidR="003425D8">
        <w:rPr>
          <w:rFonts w:eastAsia="Times New Roman" w:cstheme="minorHAnsi"/>
          <w:lang w:eastAsia="en-GB"/>
        </w:rPr>
        <w:t>21</w:t>
      </w:r>
      <w:r w:rsidRPr="00D80C5B">
        <w:rPr>
          <w:rFonts w:eastAsia="Times New Roman" w:cstheme="minorHAnsi"/>
          <w:lang w:eastAsia="en-GB"/>
        </w:rPr>
        <w:t>). Where deleveraging took place, it happened at reduced pace</w:t>
      </w:r>
      <w:r w:rsidRPr="00D80C5B">
        <w:rPr>
          <w:lang w:val="en-IE"/>
        </w:rPr>
        <w:t>, particularly in Cyprus, Portugal, and Spain</w:t>
      </w:r>
      <w:r w:rsidRPr="00D80C5B">
        <w:rPr>
          <w:rFonts w:ascii="Times New Roman" w:eastAsia="Times New Roman" w:hAnsi="Times New Roman" w:cs="Times New Roman"/>
          <w:lang w:eastAsia="en-GB"/>
        </w:rPr>
        <w:t>.</w:t>
      </w:r>
    </w:p>
    <w:p w:rsidR="006333DD" w:rsidRPr="00D80C5B" w:rsidRDefault="006333DD" w:rsidP="006333DD">
      <w:pPr>
        <w:spacing w:after="120"/>
        <w:rPr>
          <w:rFonts w:eastAsia="Times New Roman" w:cstheme="minorHAnsi"/>
          <w:b/>
          <w:lang w:eastAsia="en-GB"/>
        </w:rPr>
      </w:pPr>
    </w:p>
    <w:p w:rsidR="0047733F" w:rsidRDefault="0047733F">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96"/>
      </w:tblGrid>
      <w:tr w:rsidR="006333DD" w:rsidRPr="00D80C5B" w:rsidTr="00DB27AF">
        <w:tc>
          <w:tcPr>
            <w:tcW w:w="4604" w:type="dxa"/>
          </w:tcPr>
          <w:p w:rsidR="006333DD" w:rsidRPr="00D80C5B" w:rsidRDefault="006333DD" w:rsidP="00D4465E">
            <w:pPr>
              <w:ind w:left="0"/>
              <w:jc w:val="both"/>
              <w:rPr>
                <w:rFonts w:eastAsia="Times New Roman" w:cstheme="minorHAnsi"/>
                <w:b/>
                <w:lang w:eastAsia="en-GB"/>
              </w:rPr>
            </w:pPr>
            <w:r w:rsidRPr="00D80C5B">
              <w:rPr>
                <w:rFonts w:cstheme="minorHAnsi"/>
                <w:b/>
                <w:color w:val="000000" w:themeColor="text1"/>
              </w:rPr>
              <w:t xml:space="preserve">Graph </w:t>
            </w:r>
            <w:r w:rsidR="00D6461F" w:rsidRPr="00D80C5B">
              <w:rPr>
                <w:rFonts w:cstheme="minorHAnsi"/>
                <w:b/>
                <w:color w:val="000000" w:themeColor="text1"/>
              </w:rPr>
              <w:t>2</w:t>
            </w:r>
            <w:r w:rsidR="003425D8">
              <w:rPr>
                <w:rFonts w:cstheme="minorHAnsi"/>
                <w:b/>
                <w:color w:val="000000" w:themeColor="text1"/>
              </w:rPr>
              <w:t>0</w:t>
            </w:r>
            <w:r w:rsidRPr="00D80C5B">
              <w:rPr>
                <w:rFonts w:cstheme="minorHAnsi"/>
                <w:b/>
                <w:color w:val="000000" w:themeColor="text1"/>
              </w:rPr>
              <w:t xml:space="preserve">: </w:t>
            </w:r>
            <w:r w:rsidRPr="00D80C5B">
              <w:rPr>
                <w:rFonts w:eastAsia="MS Mincho" w:cstheme="minorHAnsi"/>
                <w:b/>
                <w:color w:val="000000" w:themeColor="text1"/>
                <w:lang w:eastAsia="ja-JP"/>
              </w:rPr>
              <w:t>Decomposition of the change in NFC debt-to-GDP (2018 Q1 - 2019 Q1)</w:t>
            </w:r>
          </w:p>
        </w:tc>
        <w:tc>
          <w:tcPr>
            <w:tcW w:w="4690" w:type="dxa"/>
          </w:tcPr>
          <w:p w:rsidR="006333DD" w:rsidRPr="00D80C5B" w:rsidRDefault="006333DD" w:rsidP="00D4465E">
            <w:pPr>
              <w:ind w:left="0"/>
              <w:jc w:val="both"/>
              <w:rPr>
                <w:rFonts w:eastAsia="Times New Roman" w:cstheme="minorHAnsi"/>
                <w:b/>
                <w:lang w:eastAsia="en-GB"/>
              </w:rPr>
            </w:pPr>
            <w:r w:rsidRPr="00D80C5B">
              <w:rPr>
                <w:rFonts w:cstheme="minorHAnsi"/>
                <w:b/>
                <w:color w:val="000000" w:themeColor="text1"/>
              </w:rPr>
              <w:t xml:space="preserve">Graph </w:t>
            </w:r>
            <w:r w:rsidR="005E40D9" w:rsidRPr="00D80C5B">
              <w:rPr>
                <w:rFonts w:cstheme="minorHAnsi"/>
                <w:b/>
                <w:color w:val="000000" w:themeColor="text1"/>
              </w:rPr>
              <w:t>2</w:t>
            </w:r>
            <w:r w:rsidR="003425D8">
              <w:rPr>
                <w:rFonts w:cstheme="minorHAnsi"/>
                <w:b/>
                <w:color w:val="000000" w:themeColor="text1"/>
              </w:rPr>
              <w:t>1</w:t>
            </w:r>
            <w:r w:rsidRPr="00D80C5B">
              <w:rPr>
                <w:rFonts w:cstheme="minorHAnsi"/>
                <w:b/>
                <w:color w:val="000000" w:themeColor="text1"/>
              </w:rPr>
              <w:t>: Decomposition of the change in household debt-to-GDP (2018 Q1 - 2019 Q1)</w:t>
            </w:r>
          </w:p>
        </w:tc>
      </w:tr>
      <w:tr w:rsidR="006333DD" w:rsidRPr="00D80C5B" w:rsidTr="00DB27AF">
        <w:tc>
          <w:tcPr>
            <w:tcW w:w="4604" w:type="dxa"/>
          </w:tcPr>
          <w:p w:rsidR="006333DD" w:rsidRPr="00D80C5B" w:rsidRDefault="006333DD" w:rsidP="00D4465E">
            <w:pPr>
              <w:ind w:left="-86"/>
              <w:rPr>
                <w:rFonts w:eastAsia="Times New Roman" w:cstheme="minorHAnsi"/>
                <w:b/>
                <w:lang w:eastAsia="en-GB"/>
              </w:rPr>
            </w:pPr>
            <w:bookmarkStart w:id="19" w:name="nfcdd"/>
            <w:r w:rsidRPr="00D80C5B">
              <w:rPr>
                <w:rFonts w:eastAsia="Times New Roman" w:cstheme="minorHAnsi"/>
                <w:b/>
                <w:noProof/>
                <w:lang w:eastAsia="en-GB"/>
              </w:rPr>
              <w:drawing>
                <wp:inline distT="0" distB="0" distL="0" distR="0" wp14:anchorId="7418BFEF" wp14:editId="74883838">
                  <wp:extent cx="2840990" cy="28740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0990" cy="2874010"/>
                          </a:xfrm>
                          <a:prstGeom prst="rect">
                            <a:avLst/>
                          </a:prstGeom>
                          <a:noFill/>
                          <a:ln>
                            <a:noFill/>
                          </a:ln>
                        </pic:spPr>
                      </pic:pic>
                    </a:graphicData>
                  </a:graphic>
                </wp:inline>
              </w:drawing>
            </w:r>
            <w:bookmarkEnd w:id="19"/>
          </w:p>
        </w:tc>
        <w:tc>
          <w:tcPr>
            <w:tcW w:w="4690" w:type="dxa"/>
          </w:tcPr>
          <w:p w:rsidR="006333DD" w:rsidRPr="00D80C5B" w:rsidRDefault="006333DD" w:rsidP="00D4465E">
            <w:pPr>
              <w:ind w:left="0"/>
              <w:rPr>
                <w:rFonts w:eastAsia="Times New Roman" w:cstheme="minorHAnsi"/>
                <w:b/>
                <w:lang w:eastAsia="en-GB"/>
              </w:rPr>
            </w:pPr>
            <w:bookmarkStart w:id="20" w:name="hhdd"/>
            <w:r w:rsidRPr="00D80C5B">
              <w:rPr>
                <w:rFonts w:eastAsia="Times New Roman" w:cstheme="minorHAnsi"/>
                <w:b/>
                <w:noProof/>
                <w:lang w:eastAsia="en-GB"/>
              </w:rPr>
              <w:drawing>
                <wp:inline distT="0" distB="0" distL="0" distR="0" wp14:anchorId="28E1BB0D" wp14:editId="76D19B31">
                  <wp:extent cx="2840990" cy="28790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0990" cy="2879090"/>
                          </a:xfrm>
                          <a:prstGeom prst="rect">
                            <a:avLst/>
                          </a:prstGeom>
                          <a:noFill/>
                          <a:ln>
                            <a:noFill/>
                          </a:ln>
                        </pic:spPr>
                      </pic:pic>
                    </a:graphicData>
                  </a:graphic>
                </wp:inline>
              </w:drawing>
            </w:r>
            <w:bookmarkEnd w:id="20"/>
          </w:p>
        </w:tc>
      </w:tr>
    </w:tbl>
    <w:p w:rsidR="006333DD" w:rsidRPr="00D80C5B" w:rsidRDefault="006333DD" w:rsidP="006333DD">
      <w:pPr>
        <w:keepNext/>
        <w:ind w:left="0"/>
        <w:jc w:val="both"/>
        <w:rPr>
          <w:rFonts w:eastAsia="Times New Roman" w:cstheme="minorHAnsi"/>
          <w:sz w:val="20"/>
          <w:szCs w:val="20"/>
          <w:lang w:eastAsia="en-GB"/>
        </w:rPr>
      </w:pPr>
      <w:r w:rsidRPr="00D80C5B">
        <w:rPr>
          <w:rFonts w:eastAsia="Times New Roman" w:cstheme="minorHAnsi"/>
          <w:i/>
          <w:sz w:val="20"/>
          <w:szCs w:val="20"/>
          <w:lang w:eastAsia="en-GB"/>
        </w:rPr>
        <w:t>Sources:</w:t>
      </w:r>
      <w:r w:rsidRPr="00D80C5B">
        <w:rPr>
          <w:rFonts w:eastAsia="Times New Roman" w:cstheme="minorHAnsi"/>
          <w:sz w:val="20"/>
          <w:szCs w:val="20"/>
          <w:lang w:eastAsia="en-GB"/>
        </w:rPr>
        <w:t xml:space="preserve"> Eurostat non-consolidated quarterly sector accounts, Commission services calculations.</w:t>
      </w:r>
    </w:p>
    <w:p w:rsidR="006333DD" w:rsidRPr="00D80C5B" w:rsidRDefault="006333DD" w:rsidP="006333DD">
      <w:pPr>
        <w:ind w:left="0"/>
        <w:jc w:val="both"/>
        <w:rPr>
          <w:rFonts w:eastAsia="Times New Roman" w:cstheme="minorHAnsi"/>
          <w:sz w:val="20"/>
          <w:szCs w:val="20"/>
          <w:lang w:eastAsia="en-GB"/>
        </w:rPr>
      </w:pPr>
      <w:r w:rsidRPr="00D80C5B">
        <w:rPr>
          <w:rFonts w:eastAsia="Times New Roman" w:cstheme="minorHAnsi"/>
          <w:i/>
          <w:sz w:val="20"/>
          <w:szCs w:val="20"/>
          <w:lang w:eastAsia="en-GB"/>
        </w:rPr>
        <w:t>Notes:</w:t>
      </w:r>
      <w:r w:rsidRPr="00D80C5B">
        <w:rPr>
          <w:rFonts w:eastAsia="Times New Roman" w:cstheme="minorHAnsi"/>
          <w:sz w:val="20"/>
          <w:szCs w:val="20"/>
          <w:lang w:eastAsia="en-GB"/>
        </w:rPr>
        <w:t xml:space="preserve"> the graphs present a breakdown of the year-on-year evolution of the non-consolidated debt-to-GDP ratios into five components: credit flows, potential and cyclical real GDP growth, inflation and other changes. The cyclical component of GDP growth is computed as the difference between actual and potential growth. "Active deleveraging" involves net repayment of debt (negative net credit flows), usually leading to a nominal contraction of the sectorʼs balance sheet. "Passive deleveraging", on the other hand, consists in positive net credit flows being outweighed by higher nominal GDP growth, leading to a decrease in the debt-to-GDP ratio.</w:t>
      </w:r>
    </w:p>
    <w:p w:rsidR="006333DD" w:rsidRPr="00D80C5B" w:rsidRDefault="006333DD" w:rsidP="006333DD">
      <w:pPr>
        <w:rPr>
          <w:rFonts w:eastAsia="Times New Roman" w:cstheme="minorHAnsi"/>
          <w:b/>
          <w:lang w:eastAsia="en-GB"/>
        </w:rPr>
      </w:pPr>
    </w:p>
    <w:p w:rsidR="006333DD" w:rsidRPr="00D80C5B" w:rsidRDefault="006333DD" w:rsidP="006333DD">
      <w:pPr>
        <w:ind w:left="0"/>
        <w:rPr>
          <w:rFonts w:eastAsia="Times New Roman" w:cstheme="minorHAnsi"/>
          <w:b/>
          <w:lang w:eastAsia="en-GB"/>
        </w:rPr>
      </w:pPr>
    </w:p>
    <w:p w:rsidR="006333DD" w:rsidRPr="00D80C5B" w:rsidRDefault="006333DD" w:rsidP="003425D8">
      <w:pPr>
        <w:spacing w:after="120"/>
        <w:ind w:left="0"/>
        <w:jc w:val="both"/>
        <w:rPr>
          <w:rFonts w:eastAsia="Times New Roman" w:cstheme="minorHAnsi"/>
          <w:b/>
          <w:lang w:eastAsia="en-GB"/>
        </w:rPr>
      </w:pPr>
      <w:r w:rsidRPr="00D80C5B">
        <w:rPr>
          <w:rFonts w:ascii="Times New Roman" w:eastAsia="Times New Roman" w:hAnsi="Times New Roman" w:cs="Times New Roman"/>
          <w:b/>
          <w:lang w:eastAsia="en-GB"/>
        </w:rPr>
        <w:t xml:space="preserve">Conditions in the EU banking sector have improved considerably over the past years and have broadly stabilised. </w:t>
      </w:r>
      <w:r w:rsidRPr="00D80C5B">
        <w:rPr>
          <w:rFonts w:ascii="Times New Roman" w:eastAsia="Times New Roman" w:hAnsi="Times New Roman" w:cs="Times New Roman"/>
          <w:lang w:eastAsia="en-GB"/>
        </w:rPr>
        <w:t>The</w:t>
      </w:r>
      <w:r w:rsidRPr="00D80C5B">
        <w:rPr>
          <w:rFonts w:ascii="Times New Roman" w:eastAsia="Times New Roman" w:hAnsi="Times New Roman" w:cs="Times New Roman"/>
          <w:b/>
          <w:lang w:eastAsia="en-GB"/>
        </w:rPr>
        <w:t xml:space="preserve"> </w:t>
      </w:r>
      <w:r w:rsidRPr="00D80C5B">
        <w:rPr>
          <w:rFonts w:eastAsia="Times New Roman" w:cstheme="minorHAnsi"/>
          <w:lang w:eastAsia="en-GB"/>
        </w:rPr>
        <w:t xml:space="preserve">banking sector remains challenged especially by </w:t>
      </w:r>
      <w:r w:rsidRPr="00D80C5B">
        <w:rPr>
          <w:rFonts w:cstheme="minorHAnsi"/>
        </w:rPr>
        <w:t xml:space="preserve">low levels of profitability and large stocks of non-performing loans (NPLs) in a number of Member States. TIER 1 capital ratios have stopped growing after having reached levels above regulatory requirements in all Member States, with substantial variation across countries. Returns on equity for the banking sector recovered significantly over past years but improvements have weakened more recently. A few countries, </w:t>
      </w:r>
      <w:r w:rsidRPr="00D80C5B">
        <w:t xml:space="preserve">in particular, in Greece, Italy, and Portugal (Graphs </w:t>
      </w:r>
      <w:r w:rsidR="00D6461F" w:rsidRPr="00D80C5B">
        <w:t>2</w:t>
      </w:r>
      <w:r w:rsidR="003425D8">
        <w:t>2</w:t>
      </w:r>
      <w:r w:rsidRPr="00D80C5B">
        <w:t xml:space="preserve"> and </w:t>
      </w:r>
      <w:r w:rsidR="003425D8">
        <w:t>23</w:t>
      </w:r>
      <w:r w:rsidRPr="00D80C5B">
        <w:t>), are challenged by a combination of relatively low profitability rates, capitalisations ratios below average and relatively high NPL ratios.</w:t>
      </w:r>
    </w:p>
    <w:p w:rsidR="006333DD" w:rsidRPr="00D80C5B" w:rsidRDefault="006333DD" w:rsidP="003425D8">
      <w:pPr>
        <w:numPr>
          <w:ilvl w:val="0"/>
          <w:numId w:val="18"/>
        </w:numPr>
        <w:spacing w:after="120"/>
        <w:ind w:left="426" w:hanging="284"/>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The growth in financial sector liabilities remain limited, well below the scoreboard threshold</w:t>
      </w:r>
      <w:r w:rsidRPr="00D80C5B">
        <w:rPr>
          <w:rFonts w:ascii="Times New Roman" w:eastAsia="Times New Roman" w:hAnsi="Times New Roman" w:cs="Times New Roman"/>
          <w:lang w:eastAsia="en-GB"/>
        </w:rPr>
        <w:t>, except for Finland. The growth in financial sector liabilities slightly decelerated in 2018 as compared with 2017 in a majority of Member States.</w:t>
      </w:r>
      <w:r w:rsidRPr="00D80C5B">
        <w:rPr>
          <w:rFonts w:cstheme="minorHAnsi"/>
          <w:vertAlign w:val="superscript"/>
          <w:lang w:eastAsia="en-GB"/>
        </w:rPr>
        <w:footnoteReference w:id="35"/>
      </w:r>
      <w:r w:rsidRPr="00D80C5B">
        <w:rPr>
          <w:rFonts w:cstheme="minorHAnsi"/>
          <w:vertAlign w:val="superscript"/>
          <w:lang w:eastAsia="en-GB"/>
        </w:rPr>
        <w:t xml:space="preserve"> </w:t>
      </w:r>
      <w:r w:rsidRPr="00D80C5B">
        <w:rPr>
          <w:rFonts w:ascii="Times New Roman" w:eastAsia="Times New Roman" w:hAnsi="Times New Roman" w:cs="Times New Roman"/>
          <w:lang w:eastAsia="en-GB"/>
        </w:rPr>
        <w:t xml:space="preserve"> Nonetheless, bank credit flows in 2018 grew at a slightly higher pace as compared with 2017 notably for credit to households, and stabilised over the first months of 2019 amid an incipient tightening of lending conditions.</w:t>
      </w:r>
      <w:r w:rsidRPr="00D80C5B">
        <w:rPr>
          <w:rStyle w:val="FootnoteReference"/>
          <w:rFonts w:ascii="Times New Roman" w:eastAsia="Times New Roman" w:hAnsi="Times New Roman" w:cs="Times New Roman"/>
          <w:lang w:eastAsia="en-GB"/>
        </w:rPr>
        <w:footnoteReference w:id="36"/>
      </w:r>
      <w:r w:rsidRPr="00D80C5B">
        <w:rPr>
          <w:rFonts w:ascii="Times New Roman" w:eastAsia="Times New Roman" w:hAnsi="Times New Roman" w:cs="Times New Roman"/>
          <w:lang w:eastAsia="en-GB"/>
        </w:rPr>
        <w:t xml:space="preserve"> </w:t>
      </w:r>
    </w:p>
    <w:p w:rsidR="006333DD" w:rsidRPr="00D80C5B" w:rsidRDefault="006333DD" w:rsidP="003425D8">
      <w:pPr>
        <w:numPr>
          <w:ilvl w:val="0"/>
          <w:numId w:val="18"/>
        </w:numPr>
        <w:spacing w:after="120"/>
        <w:ind w:left="426" w:hanging="284"/>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Capitalisation ratios stabilised in most Member States, while returns on equity somehow worsened in a number of cases in 2018. </w:t>
      </w:r>
      <w:r w:rsidRPr="00D80C5B">
        <w:rPr>
          <w:rFonts w:cstheme="minorHAnsi"/>
        </w:rPr>
        <w:t xml:space="preserve">Returns on equity remained negative in Greece and Portugal in 2018, while turned positive in Cyprus. </w:t>
      </w:r>
      <w:r w:rsidRPr="00D80C5B">
        <w:rPr>
          <w:rFonts w:ascii="Times New Roman" w:hAnsi="Times New Roman" w:cs="Times New Roman"/>
        </w:rPr>
        <w:t xml:space="preserve">Bank equity valuations grew over 2017, while during 2018 and most of 2019 bank equity valuations have declined, </w:t>
      </w:r>
      <w:r w:rsidRPr="00D80C5B">
        <w:rPr>
          <w:rFonts w:cstheme="minorHAnsi"/>
        </w:rPr>
        <w:t xml:space="preserve">despite a positive performance of overall European stock market indexes, reflecting among other factors, revised market views on the profitability prospects for the sector. </w:t>
      </w:r>
    </w:p>
    <w:p w:rsidR="006333DD" w:rsidRPr="00D80C5B" w:rsidRDefault="006333DD" w:rsidP="003425D8">
      <w:pPr>
        <w:numPr>
          <w:ilvl w:val="0"/>
          <w:numId w:val="11"/>
        </w:numPr>
        <w:spacing w:after="120"/>
        <w:ind w:left="426" w:hanging="284"/>
        <w:jc w:val="both"/>
        <w:rPr>
          <w:rFonts w:ascii="Times New Roman" w:eastAsia="Calibri" w:hAnsi="Times New Roman" w:cs="Times New Roman"/>
        </w:rPr>
      </w:pPr>
      <w:r w:rsidRPr="00D80C5B">
        <w:rPr>
          <w:rFonts w:eastAsia="Times New Roman" w:cstheme="minorHAnsi"/>
          <w:b/>
          <w:lang w:eastAsia="en-GB"/>
        </w:rPr>
        <w:t>Some EU Member States stand out with a combination of relatively low profitability and capitalisation ratios, as well as high NPL ratios</w:t>
      </w:r>
      <w:r w:rsidRPr="00D80C5B">
        <w:rPr>
          <w:rFonts w:ascii="Times New Roman" w:eastAsia="Calibri" w:hAnsi="Times New Roman" w:cs="Times New Roman"/>
        </w:rPr>
        <w:t>.</w:t>
      </w:r>
      <w:r w:rsidRPr="00D80C5B">
        <w:rPr>
          <w:rFonts w:ascii="Times New Roman" w:eastAsia="Calibri" w:hAnsi="Times New Roman" w:cs="Times New Roman"/>
          <w:vertAlign w:val="superscript"/>
        </w:rPr>
        <w:footnoteReference w:id="37"/>
      </w:r>
      <w:r w:rsidRPr="00D80C5B">
        <w:rPr>
          <w:rFonts w:ascii="Times New Roman" w:eastAsia="Calibri" w:hAnsi="Times New Roman" w:cs="Times New Roman"/>
        </w:rPr>
        <w:t xml:space="preserve"> In Greece, the NPL ratio is still above 40%. Cyprus has recorded considerable improvements in its the NPL ratio, mainly as result of loan sales and the wind-down of a large bank in 2018, and profitability turned positive. In Portugal and Italy the NPL ratio has declined markedly since 2016 and latest data point to further, though more moderate, reductions in 2018. The NPL ratio has fallen below 10% in both countries. </w:t>
      </w:r>
      <w:r w:rsidRPr="00D80C5B">
        <w:rPr>
          <w:rFonts w:cstheme="minorHAnsi"/>
        </w:rPr>
        <w:t>Bulgaria, Croatia, Hungary, Ireland, Romania, and Slovenia recorded declines in their above-EU-average NPLs ratios over 2018.</w:t>
      </w:r>
    </w:p>
    <w:p w:rsidR="006333DD" w:rsidRPr="00D80C5B" w:rsidRDefault="006333DD" w:rsidP="0047733F">
      <w:pPr>
        <w:pStyle w:val="ListParagraph"/>
        <w:numPr>
          <w:ilvl w:val="0"/>
          <w:numId w:val="11"/>
        </w:numPr>
        <w:ind w:left="426" w:hanging="284"/>
        <w:contextualSpacing w:val="0"/>
        <w:jc w:val="both"/>
        <w:rPr>
          <w:rFonts w:ascii="Times New Roman" w:eastAsia="Calibri" w:hAnsi="Times New Roman" w:cs="Times New Roman"/>
        </w:rPr>
      </w:pPr>
      <w:r w:rsidRPr="00D80C5B">
        <w:rPr>
          <w:rFonts w:ascii="Times New Roman" w:eastAsia="Calibri" w:hAnsi="Times New Roman" w:cs="Times New Roman"/>
          <w:b/>
        </w:rPr>
        <w:t xml:space="preserve">The current economic outlook characterised by low-for-long interest rates is </w:t>
      </w:r>
      <w:r w:rsidR="00B736D9" w:rsidRPr="00D80C5B">
        <w:rPr>
          <w:rFonts w:ascii="Times New Roman" w:eastAsia="Calibri" w:hAnsi="Times New Roman" w:cs="Times New Roman"/>
          <w:b/>
        </w:rPr>
        <w:t>a</w:t>
      </w:r>
      <w:r w:rsidRPr="00D80C5B">
        <w:rPr>
          <w:rFonts w:ascii="Times New Roman" w:eastAsia="Calibri" w:hAnsi="Times New Roman" w:cs="Times New Roman"/>
          <w:b/>
        </w:rPr>
        <w:t>rising further challenges</w:t>
      </w:r>
      <w:r w:rsidRPr="00D80C5B">
        <w:rPr>
          <w:rFonts w:ascii="Times New Roman" w:eastAsia="Calibri" w:hAnsi="Times New Roman" w:cs="Times New Roman"/>
        </w:rPr>
        <w:t>. The decline of interest rates is being felt mostly at longer maturities, which leads to a flattening of yield curves and further compression of interest rate margins. Such flattening hampers maturity transformation by banks possibly weighing on their profitability. As the low-yield environment concerns especially low-risk financial assets, it could strain in particular the profitability and balance sheet of non-bank financial institutions with asset portfolios largely invested in low risk assets, such as insurance companies, notably the life-insurance subsector, and pension funds.</w:t>
      </w:r>
      <w:r w:rsidRPr="00D80C5B">
        <w:rPr>
          <w:rStyle w:val="FootnoteReference"/>
          <w:rFonts w:cstheme="minorHAnsi"/>
        </w:rPr>
        <w:footnoteReference w:id="38"/>
      </w:r>
      <w:r w:rsidRPr="00D80C5B">
        <w:rPr>
          <w:rFonts w:cstheme="minorHAnsi"/>
        </w:rPr>
        <w:t xml:space="preserve"> </w:t>
      </w:r>
      <w:r w:rsidRPr="00D80C5B">
        <w:rPr>
          <w:rFonts w:ascii="Times New Roman" w:eastAsia="Calibri" w:hAnsi="Times New Roman" w:cs="Times New Roman"/>
        </w:rPr>
        <w:t xml:space="preserve"> </w:t>
      </w:r>
    </w:p>
    <w:p w:rsidR="006333DD" w:rsidRPr="00D80C5B" w:rsidRDefault="006333DD" w:rsidP="0047733F">
      <w:pPr>
        <w:ind w:left="0"/>
        <w:rPr>
          <w:rFonts w:cstheme="minorHAnsi"/>
          <w:i/>
        </w:rPr>
      </w:pP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333DD" w:rsidRPr="00D80C5B" w:rsidTr="00D4465E">
        <w:tc>
          <w:tcPr>
            <w:tcW w:w="4375" w:type="dxa"/>
          </w:tcPr>
          <w:p w:rsidR="006333DD" w:rsidRPr="00D80C5B" w:rsidRDefault="006333DD" w:rsidP="00D4465E">
            <w:pPr>
              <w:spacing w:line="276" w:lineRule="auto"/>
              <w:ind w:left="0"/>
              <w:jc w:val="center"/>
              <w:rPr>
                <w:rFonts w:eastAsia="MS Mincho" w:cstheme="minorHAnsi"/>
                <w:b/>
                <w:bCs/>
                <w:lang w:eastAsia="ja-JP"/>
              </w:rPr>
            </w:pPr>
            <w:r w:rsidRPr="00D80C5B">
              <w:rPr>
                <w:rFonts w:eastAsia="MS Mincho" w:cstheme="minorHAnsi"/>
                <w:b/>
                <w:bCs/>
                <w:lang w:eastAsia="ja-JP"/>
              </w:rPr>
              <w:t xml:space="preserve">Graph </w:t>
            </w:r>
            <w:r w:rsidR="00D6461F" w:rsidRPr="00D80C5B">
              <w:rPr>
                <w:rFonts w:eastAsia="MS Mincho" w:cstheme="minorHAnsi"/>
                <w:b/>
                <w:bCs/>
                <w:lang w:eastAsia="ja-JP"/>
              </w:rPr>
              <w:t>2</w:t>
            </w:r>
            <w:r w:rsidR="003425D8">
              <w:rPr>
                <w:rFonts w:eastAsia="MS Mincho" w:cstheme="minorHAnsi"/>
                <w:b/>
                <w:bCs/>
                <w:lang w:eastAsia="ja-JP"/>
              </w:rPr>
              <w:t>2</w:t>
            </w:r>
            <w:r w:rsidRPr="00D80C5B">
              <w:rPr>
                <w:rFonts w:eastAsia="MS Mincho" w:cstheme="minorHAnsi"/>
                <w:b/>
                <w:bCs/>
                <w:lang w:eastAsia="ja-JP"/>
              </w:rPr>
              <w:t>:</w:t>
            </w:r>
          </w:p>
          <w:p w:rsidR="006333DD" w:rsidRPr="00D80C5B" w:rsidRDefault="006333DD" w:rsidP="00D4465E">
            <w:pPr>
              <w:spacing w:line="276" w:lineRule="auto"/>
              <w:ind w:left="0"/>
              <w:jc w:val="center"/>
              <w:rPr>
                <w:rFonts w:cstheme="minorHAnsi"/>
                <w:i/>
              </w:rPr>
            </w:pPr>
            <w:r w:rsidRPr="00D80C5B">
              <w:rPr>
                <w:rFonts w:eastAsia="MS Mincho" w:cstheme="minorHAnsi"/>
                <w:b/>
                <w:bCs/>
                <w:lang w:eastAsia="ja-JP"/>
              </w:rPr>
              <w:t>Banking sector profitability and capital</w:t>
            </w:r>
          </w:p>
        </w:tc>
        <w:tc>
          <w:tcPr>
            <w:tcW w:w="4686" w:type="dxa"/>
          </w:tcPr>
          <w:p w:rsidR="006333DD" w:rsidRPr="00D80C5B" w:rsidRDefault="006333DD" w:rsidP="00D4465E">
            <w:pPr>
              <w:spacing w:line="276" w:lineRule="auto"/>
              <w:ind w:left="0"/>
              <w:jc w:val="center"/>
              <w:rPr>
                <w:rFonts w:cstheme="minorHAnsi"/>
                <w:i/>
              </w:rPr>
            </w:pPr>
            <w:r w:rsidRPr="00D80C5B">
              <w:rPr>
                <w:rFonts w:eastAsia="MS Mincho" w:cstheme="minorHAnsi"/>
                <w:b/>
                <w:bCs/>
                <w:lang w:eastAsia="ja-JP"/>
              </w:rPr>
              <w:t xml:space="preserve">Graph </w:t>
            </w:r>
            <w:r w:rsidR="003425D8">
              <w:rPr>
                <w:rFonts w:eastAsia="MS Mincho" w:cstheme="minorHAnsi"/>
                <w:b/>
                <w:bCs/>
                <w:lang w:eastAsia="ja-JP"/>
              </w:rPr>
              <w:t>23</w:t>
            </w:r>
            <w:r w:rsidRPr="00D80C5B">
              <w:rPr>
                <w:rFonts w:eastAsia="MS Mincho" w:cstheme="minorHAnsi"/>
                <w:b/>
                <w:bCs/>
                <w:lang w:eastAsia="ja-JP"/>
              </w:rPr>
              <w:t>: Non-performing loans</w:t>
            </w:r>
          </w:p>
        </w:tc>
      </w:tr>
      <w:tr w:rsidR="006333DD" w:rsidRPr="00D80C5B" w:rsidTr="00D4465E">
        <w:tc>
          <w:tcPr>
            <w:tcW w:w="4375" w:type="dxa"/>
          </w:tcPr>
          <w:p w:rsidR="006333DD" w:rsidRPr="00D80C5B" w:rsidRDefault="006333DD" w:rsidP="00D4465E">
            <w:pPr>
              <w:spacing w:line="276" w:lineRule="auto"/>
              <w:ind w:left="0"/>
              <w:jc w:val="both"/>
              <w:rPr>
                <w:rFonts w:cstheme="minorHAnsi"/>
                <w:i/>
              </w:rPr>
            </w:pPr>
            <w:r w:rsidRPr="00D80C5B">
              <w:rPr>
                <w:rFonts w:cstheme="minorHAnsi"/>
                <w:i/>
                <w:noProof/>
                <w:lang w:eastAsia="en-GB"/>
              </w:rPr>
              <w:drawing>
                <wp:inline distT="0" distB="0" distL="0" distR="0" wp14:anchorId="623B8CDA" wp14:editId="21977052">
                  <wp:extent cx="2844000" cy="284400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c>
          <w:tcPr>
            <w:tcW w:w="4686" w:type="dxa"/>
          </w:tcPr>
          <w:p w:rsidR="006333DD" w:rsidRPr="00D80C5B" w:rsidRDefault="006333DD" w:rsidP="00D4465E">
            <w:pPr>
              <w:spacing w:line="276" w:lineRule="auto"/>
              <w:ind w:left="0"/>
              <w:jc w:val="both"/>
              <w:rPr>
                <w:rFonts w:cstheme="minorHAnsi"/>
                <w:i/>
              </w:rPr>
            </w:pPr>
            <w:r w:rsidRPr="00D80C5B">
              <w:rPr>
                <w:rFonts w:cstheme="minorHAnsi"/>
                <w:i/>
                <w:noProof/>
                <w:lang w:eastAsia="en-GB"/>
              </w:rPr>
              <w:drawing>
                <wp:inline distT="0" distB="0" distL="0" distR="0" wp14:anchorId="49BCCD8F" wp14:editId="6B26C3A2">
                  <wp:extent cx="2844000" cy="2844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p>
        </w:tc>
      </w:tr>
    </w:tbl>
    <w:p w:rsidR="006333DD" w:rsidRPr="00D80C5B" w:rsidRDefault="006333DD" w:rsidP="006333DD">
      <w:pPr>
        <w:ind w:left="0"/>
        <w:jc w:val="both"/>
        <w:rPr>
          <w:rFonts w:eastAsia="Times New Roman" w:cstheme="minorHAnsi"/>
          <w:sz w:val="20"/>
          <w:szCs w:val="24"/>
          <w:lang w:val="en-US" w:eastAsia="en-GB"/>
        </w:rPr>
      </w:pPr>
      <w:r w:rsidRPr="00D80C5B">
        <w:rPr>
          <w:rFonts w:eastAsia="Times New Roman" w:cstheme="minorHAnsi"/>
          <w:i/>
          <w:sz w:val="20"/>
          <w:szCs w:val="24"/>
          <w:lang w:val="en-US" w:eastAsia="en-GB"/>
        </w:rPr>
        <w:t>Source:</w:t>
      </w:r>
      <w:r w:rsidRPr="00D80C5B">
        <w:rPr>
          <w:rFonts w:eastAsia="Times New Roman" w:cstheme="minorHAnsi"/>
          <w:sz w:val="20"/>
          <w:szCs w:val="24"/>
          <w:lang w:val="en-US" w:eastAsia="en-GB"/>
        </w:rPr>
        <w:t xml:space="preserve"> Data on gross non-performing debt instruments </w:t>
      </w:r>
      <w:r w:rsidR="00657FFC" w:rsidRPr="00D80C5B">
        <w:rPr>
          <w:sz w:val="20"/>
          <w:szCs w:val="20"/>
        </w:rPr>
        <w:t xml:space="preserve">(NPDs) </w:t>
      </w:r>
      <w:r w:rsidRPr="00D80C5B">
        <w:rPr>
          <w:rFonts w:eastAsia="Times New Roman" w:cstheme="minorHAnsi"/>
          <w:sz w:val="20"/>
          <w:szCs w:val="24"/>
          <w:lang w:val="en-US" w:eastAsia="en-GB"/>
        </w:rPr>
        <w:t xml:space="preserve">for 2008 are unavailable for Croatia, Czechia, Ireland, Slovenia, and Sweden. </w:t>
      </w:r>
    </w:p>
    <w:p w:rsidR="006333DD" w:rsidRPr="00D80C5B" w:rsidRDefault="006333DD" w:rsidP="006333DD">
      <w:pPr>
        <w:ind w:left="0"/>
        <w:jc w:val="both"/>
        <w:rPr>
          <w:rFonts w:cstheme="minorHAnsi"/>
          <w:i/>
          <w:sz w:val="20"/>
          <w:szCs w:val="20"/>
        </w:rPr>
      </w:pPr>
      <w:r w:rsidRPr="00D80C5B">
        <w:rPr>
          <w:rFonts w:eastAsia="Times New Roman" w:cstheme="minorHAnsi"/>
          <w:i/>
          <w:sz w:val="20"/>
          <w:szCs w:val="20"/>
          <w:lang w:val="en-US" w:eastAsia="en-GB"/>
        </w:rPr>
        <w:t xml:space="preserve">Note: </w:t>
      </w:r>
      <w:r w:rsidRPr="00D80C5B">
        <w:rPr>
          <w:rFonts w:cstheme="minorHAnsi"/>
          <w:sz w:val="20"/>
          <w:szCs w:val="20"/>
          <w:lang w:val="en-US"/>
        </w:rPr>
        <w:t xml:space="preserve">On Graph </w:t>
      </w:r>
      <w:r w:rsidR="003425D8">
        <w:rPr>
          <w:rFonts w:cstheme="minorHAnsi"/>
          <w:sz w:val="20"/>
          <w:szCs w:val="20"/>
          <w:lang w:val="en-US"/>
        </w:rPr>
        <w:t>23</w:t>
      </w:r>
      <w:r w:rsidRPr="00D80C5B">
        <w:rPr>
          <w:rFonts w:cstheme="minorHAnsi"/>
          <w:sz w:val="20"/>
          <w:szCs w:val="20"/>
          <w:lang w:val="en-US"/>
        </w:rPr>
        <w:t>, d</w:t>
      </w:r>
      <w:r w:rsidRPr="00D80C5B">
        <w:rPr>
          <w:sz w:val="20"/>
          <w:szCs w:val="20"/>
        </w:rPr>
        <w:t>ata concerning 2008 and the "increase to peak" refer to the ratio of gross non-performing debt instruments (NPDs) over total gross debt instruments; NPL ratios are reported for 2018Q1 and 2019Q1; n</w:t>
      </w:r>
      <w:r w:rsidRPr="00D80C5B">
        <w:rPr>
          <w:rFonts w:eastAsia="Times New Roman" w:cstheme="minorHAnsi"/>
          <w:sz w:val="20"/>
          <w:szCs w:val="20"/>
          <w:lang w:eastAsia="en-GB"/>
        </w:rPr>
        <w:t>umbers below the country codes indicate the year when NPDs peaked.</w:t>
      </w:r>
    </w:p>
    <w:p w:rsidR="006333DD" w:rsidRPr="00D80C5B" w:rsidRDefault="006333DD" w:rsidP="006333DD">
      <w:pPr>
        <w:jc w:val="center"/>
        <w:rPr>
          <w:rFonts w:eastAsia="Times New Roman" w:cstheme="minorHAnsi"/>
          <w:b/>
          <w:sz w:val="24"/>
          <w:szCs w:val="24"/>
          <w:lang w:eastAsia="en-GB"/>
        </w:rPr>
      </w:pPr>
    </w:p>
    <w:p w:rsidR="006333DD" w:rsidRPr="00D80C5B" w:rsidRDefault="006333DD" w:rsidP="003425D8">
      <w:pPr>
        <w:spacing w:after="120"/>
        <w:ind w:left="0"/>
        <w:jc w:val="both"/>
        <w:rPr>
          <w:rFonts w:ascii="Times New Roman" w:hAnsi="Times New Roman" w:cs="Times New Roman"/>
        </w:rPr>
      </w:pPr>
      <w:r w:rsidRPr="00D80C5B">
        <w:rPr>
          <w:rFonts w:ascii="Times New Roman" w:eastAsia="Times New Roman" w:hAnsi="Times New Roman" w:cs="Times New Roman"/>
          <w:b/>
          <w:lang w:eastAsia="en-GB"/>
        </w:rPr>
        <w:t xml:space="preserve">House prices continued growing at high rates in 2018, but price dynamics cooled where evidence of overvaluation is stronger. </w:t>
      </w:r>
      <w:r w:rsidRPr="00D80C5B">
        <w:rPr>
          <w:rFonts w:ascii="Times New Roman" w:eastAsia="Times New Roman" w:hAnsi="Times New Roman" w:cs="Times New Roman"/>
          <w:lang w:eastAsia="en-GB"/>
        </w:rPr>
        <w:t>The acceleration of house price growth is bringing a growing number of housing markets close or above their pre-crisis peaks (Graph 2</w:t>
      </w:r>
      <w:r w:rsidR="003425D8">
        <w:rPr>
          <w:rFonts w:ascii="Times New Roman" w:eastAsia="Times New Roman" w:hAnsi="Times New Roman" w:cs="Times New Roman"/>
          <w:lang w:eastAsia="en-GB"/>
        </w:rPr>
        <w:t>6</w:t>
      </w:r>
      <w:r w:rsidRPr="00D80C5B">
        <w:rPr>
          <w:rFonts w:ascii="Times New Roman" w:eastAsia="Times New Roman" w:hAnsi="Times New Roman" w:cs="Times New Roman"/>
          <w:lang w:eastAsia="en-GB"/>
        </w:rPr>
        <w:t xml:space="preserve">). In 2018, 7 Member States showed real house price growth above the scoreboard threshold (Czechia, Hungary, Ireland, Latvia, the Netherlands, Portugal, and Slovenia), one more compared with 2017. House price growth was particularly strong in EU countries that so far have shown </w:t>
      </w:r>
      <w:r w:rsidRPr="00D80C5B">
        <w:rPr>
          <w:rFonts w:ascii="Times New Roman" w:hAnsi="Times New Roman" w:cs="Times New Roman"/>
        </w:rPr>
        <w:t>only limited or no evidence of overvalued house prices, while a slowdown is observed in countries characterised by stronger evidence of overvaluation. Data up to the second quarter of 2019 suggest that the scoreboard threshold may be surpassed this year by Croatia, Czechia, Hungary, Poland, and Portugal if those patterns continue into the second half of the year. In the first half of this year, and in comparison with 2018, house price growth accelerations stood out in Croatia, Cyprus, and Sweden, and decelerations in Denmark, Ireland, Latvia, Romania, and Slovenia.</w:t>
      </w:r>
    </w:p>
    <w:p w:rsidR="006333DD" w:rsidRPr="00D80C5B" w:rsidRDefault="006333DD" w:rsidP="006333DD">
      <w:pPr>
        <w:pStyle w:val="ListParagraph"/>
        <w:numPr>
          <w:ilvl w:val="0"/>
          <w:numId w:val="49"/>
        </w:numPr>
        <w:spacing w:after="120"/>
        <w:ind w:left="426" w:hanging="284"/>
        <w:contextualSpacing w:val="0"/>
        <w:jc w:val="both"/>
        <w:rPr>
          <w:rFonts w:ascii="Times New Roman" w:hAnsi="Times New Roman" w:cs="Times New Roman"/>
        </w:rPr>
      </w:pPr>
      <w:r w:rsidRPr="00D80C5B">
        <w:rPr>
          <w:rFonts w:ascii="Times New Roman" w:eastAsia="Times New Roman" w:hAnsi="Times New Roman" w:cs="Times New Roman"/>
          <w:b/>
          <w:lang w:eastAsia="en-GB"/>
        </w:rPr>
        <w:t xml:space="preserve">Part of the </w:t>
      </w:r>
      <w:r w:rsidR="003425D8">
        <w:rPr>
          <w:rFonts w:ascii="Times New Roman" w:eastAsia="Times New Roman" w:hAnsi="Times New Roman" w:cs="Times New Roman"/>
          <w:b/>
          <w:lang w:eastAsia="en-GB"/>
        </w:rPr>
        <w:t xml:space="preserve">acceleration </w:t>
      </w:r>
      <w:r w:rsidRPr="003425D8">
        <w:rPr>
          <w:rFonts w:ascii="Times New Roman" w:eastAsia="Times New Roman" w:hAnsi="Times New Roman" w:cs="Times New Roman"/>
          <w:b/>
          <w:lang w:eastAsia="en-GB"/>
        </w:rPr>
        <w:t>in</w:t>
      </w:r>
      <w:r w:rsidRPr="00D80C5B">
        <w:rPr>
          <w:rFonts w:ascii="Times New Roman" w:eastAsia="Times New Roman" w:hAnsi="Times New Roman" w:cs="Times New Roman"/>
          <w:b/>
          <w:lang w:eastAsia="en-GB"/>
        </w:rPr>
        <w:t xml:space="preserve"> house price</w:t>
      </w:r>
      <w:r w:rsidR="003425D8">
        <w:rPr>
          <w:rFonts w:ascii="Times New Roman" w:eastAsia="Times New Roman" w:hAnsi="Times New Roman" w:cs="Times New Roman"/>
          <w:b/>
          <w:lang w:eastAsia="en-GB"/>
        </w:rPr>
        <w:t>s</w:t>
      </w:r>
      <w:r w:rsidRPr="00D80C5B">
        <w:rPr>
          <w:rFonts w:ascii="Times New Roman" w:eastAsia="Times New Roman" w:hAnsi="Times New Roman" w:cs="Times New Roman"/>
          <w:b/>
          <w:lang w:eastAsia="en-GB"/>
        </w:rPr>
        <w:t xml:space="preserve"> is linked to economic fundamentals</w:t>
      </w:r>
      <w:r w:rsidRPr="00D80C5B">
        <w:rPr>
          <w:rFonts w:ascii="Times New Roman" w:eastAsia="Times New Roman" w:hAnsi="Times New Roman" w:cs="Times New Roman"/>
          <w:lang w:eastAsia="en-GB"/>
        </w:rPr>
        <w:t>. House price growth started resuming on the back of the economic recovery started in 2013 and the reduction of interest rates. In this respect, it can be explained by economic fundamentals.</w:t>
      </w:r>
      <w:bookmarkStart w:id="21" w:name="_Ref22917337"/>
      <w:r w:rsidRPr="00D80C5B">
        <w:rPr>
          <w:rFonts w:ascii="Times New Roman" w:eastAsia="Calibri" w:hAnsi="Times New Roman" w:cs="Times New Roman"/>
          <w:vertAlign w:val="superscript"/>
        </w:rPr>
        <w:footnoteReference w:id="39"/>
      </w:r>
      <w:bookmarkEnd w:id="21"/>
      <w:r w:rsidRPr="00D80C5B">
        <w:rPr>
          <w:rFonts w:ascii="Times New Roman" w:eastAsia="Times New Roman" w:hAnsi="Times New Roman" w:cs="Times New Roman"/>
          <w:lang w:eastAsia="en-GB"/>
        </w:rPr>
        <w:t xml:space="preserve"> Despite accelerating, the growth in new mortgage credit had instead so far no major autonomous role in driving prices, unlike it was the case in the pre-crisis period. It could however contribute to the persistence of ongoing house price accelerations.</w:t>
      </w:r>
    </w:p>
    <w:p w:rsidR="006333DD" w:rsidRPr="00D80C5B" w:rsidRDefault="006333DD" w:rsidP="006333DD">
      <w:pPr>
        <w:pStyle w:val="ListParagraph"/>
        <w:numPr>
          <w:ilvl w:val="0"/>
          <w:numId w:val="49"/>
        </w:numPr>
        <w:spacing w:after="120"/>
        <w:ind w:left="426" w:hanging="284"/>
        <w:contextualSpacing w:val="0"/>
        <w:jc w:val="both"/>
        <w:rPr>
          <w:rFonts w:ascii="Times New Roman" w:hAnsi="Times New Roman" w:cs="Times New Roman"/>
        </w:rPr>
      </w:pPr>
      <w:r w:rsidRPr="00D80C5B">
        <w:rPr>
          <w:rFonts w:ascii="Times New Roman" w:eastAsia="Times New Roman" w:hAnsi="Times New Roman" w:cs="Times New Roman"/>
          <w:b/>
          <w:lang w:eastAsia="en-GB"/>
        </w:rPr>
        <w:t>Strong house price growth has implications for valuation levels.</w:t>
      </w:r>
      <w:r w:rsidRPr="00D80C5B">
        <w:rPr>
          <w:rFonts w:ascii="Times New Roman" w:eastAsia="Times New Roman" w:hAnsi="Times New Roman" w:cs="Times New Roman"/>
          <w:lang w:eastAsia="en-GB"/>
        </w:rPr>
        <w:t xml:space="preserve"> In Hungary, Ireland, Latvia, the Netherlands, Portugal, and Slovenia, real house price growth was already high in 2017 and further accelerated in 2018 (Graph </w:t>
      </w:r>
      <w:r w:rsidR="003425D8">
        <w:rPr>
          <w:rFonts w:ascii="Times New Roman" w:eastAsia="Times New Roman" w:hAnsi="Times New Roman" w:cs="Times New Roman"/>
          <w:lang w:eastAsia="en-GB"/>
        </w:rPr>
        <w:t>24</w:t>
      </w:r>
      <w:r w:rsidRPr="00D80C5B">
        <w:rPr>
          <w:rFonts w:ascii="Times New Roman" w:eastAsia="Times New Roman" w:hAnsi="Times New Roman" w:cs="Times New Roman"/>
          <w:lang w:eastAsia="en-GB"/>
        </w:rPr>
        <w:t xml:space="preserve"> and Graph </w:t>
      </w:r>
      <w:r w:rsidR="00D6461F" w:rsidRPr="00D80C5B">
        <w:rPr>
          <w:rFonts w:ascii="Times New Roman" w:eastAsia="Times New Roman" w:hAnsi="Times New Roman" w:cs="Times New Roman"/>
          <w:lang w:eastAsia="en-GB"/>
        </w:rPr>
        <w:t>2</w:t>
      </w:r>
      <w:r w:rsidR="003425D8">
        <w:rPr>
          <w:rFonts w:ascii="Times New Roman" w:eastAsia="Times New Roman" w:hAnsi="Times New Roman" w:cs="Times New Roman"/>
          <w:lang w:eastAsia="en-GB"/>
        </w:rPr>
        <w:t>5</w:t>
      </w:r>
      <w:r w:rsidRPr="00D80C5B">
        <w:rPr>
          <w:rFonts w:ascii="Times New Roman" w:eastAsia="Times New Roman" w:hAnsi="Times New Roman" w:cs="Times New Roman"/>
          <w:lang w:eastAsia="en-GB"/>
        </w:rPr>
        <w:t>, upper right quadrant). Protracted high growth in a number of countries is gradually increasing overvaluation risks: the number of EU countries assessed to be characterised by overvalued house prices has been rising over the past years. Evidence of overvaluation (as measured by a growing valuations gap) has lately become stronger in countries such as Germany or Portugal. House prices are at or above peak levels since mid</w:t>
      </w:r>
      <w:r w:rsidR="002D351E">
        <w:rPr>
          <w:rFonts w:ascii="Times New Roman" w:eastAsia="Times New Roman" w:hAnsi="Times New Roman" w:cs="Times New Roman"/>
          <w:lang w:eastAsia="en-GB"/>
        </w:rPr>
        <w:t>-</w:t>
      </w:r>
      <w:r w:rsidRPr="00D80C5B">
        <w:rPr>
          <w:rFonts w:ascii="Times New Roman" w:eastAsia="Times New Roman" w:hAnsi="Times New Roman" w:cs="Times New Roman"/>
          <w:lang w:eastAsia="en-GB"/>
        </w:rPr>
        <w:t>2000s in a number of countries (Austria, Belgium, Czechia, Germany, Luxembourg, Malta, Portugal; Graph 2</w:t>
      </w:r>
      <w:r w:rsidR="003425D8">
        <w:rPr>
          <w:rFonts w:ascii="Times New Roman" w:eastAsia="Times New Roman" w:hAnsi="Times New Roman" w:cs="Times New Roman"/>
          <w:lang w:eastAsia="en-GB"/>
        </w:rPr>
        <w:t>6</w:t>
      </w:r>
      <w:r w:rsidRPr="00D80C5B">
        <w:rPr>
          <w:rFonts w:ascii="Times New Roman" w:eastAsia="Times New Roman" w:hAnsi="Times New Roman" w:cs="Times New Roman"/>
          <w:lang w:eastAsia="en-GB"/>
        </w:rPr>
        <w:t>). House price levels in a number of countries are hitting affordability constraints, as revealed by the ratio between house price levels and per capita disposable income. Estimates reveal that in about half of the EU countries more than 10 years of income are necessary to purchase a 100 square meter dwelling.</w:t>
      </w:r>
      <w:r w:rsidRPr="00D80C5B">
        <w:rPr>
          <w:rStyle w:val="FootnoteReference"/>
          <w:rFonts w:ascii="Times New Roman" w:hAnsi="Times New Roman" w:cs="Times New Roman"/>
        </w:rPr>
        <w:footnoteReference w:id="40"/>
      </w:r>
      <w:r w:rsidR="00246E26">
        <w:rPr>
          <w:rFonts w:ascii="Times New Roman" w:eastAsia="Times New Roman" w:hAnsi="Times New Roman" w:cs="Times New Roman"/>
          <w:lang w:eastAsia="en-GB"/>
        </w:rPr>
        <w:t xml:space="preserve"> </w:t>
      </w:r>
      <w:r w:rsidR="00F071D5">
        <w:rPr>
          <w:rFonts w:ascii="Times New Roman" w:eastAsia="Times New Roman" w:hAnsi="Times New Roman" w:cs="Times New Roman"/>
          <w:lang w:eastAsia="en-GB"/>
        </w:rPr>
        <w:t>Similarly, one in te</w:t>
      </w:r>
      <w:r w:rsidR="00B66DAB">
        <w:rPr>
          <w:rFonts w:ascii="Times New Roman" w:eastAsia="Times New Roman" w:hAnsi="Times New Roman" w:cs="Times New Roman"/>
          <w:lang w:eastAsia="en-GB"/>
        </w:rPr>
        <w:t>n</w:t>
      </w:r>
      <w:r w:rsidR="00F071D5">
        <w:rPr>
          <w:rFonts w:ascii="Times New Roman" w:eastAsia="Times New Roman" w:hAnsi="Times New Roman" w:cs="Times New Roman"/>
          <w:lang w:eastAsia="en-GB"/>
        </w:rPr>
        <w:t xml:space="preserve"> Europeans live in a household that spent 40% or more of its income on housing in 2017.</w:t>
      </w:r>
      <w:r w:rsidR="00246E26">
        <w:rPr>
          <w:rStyle w:val="FootnoteReference"/>
          <w:rFonts w:ascii="Times New Roman" w:eastAsia="Times New Roman" w:hAnsi="Times New Roman" w:cs="Times New Roman"/>
          <w:lang w:eastAsia="en-GB"/>
        </w:rPr>
        <w:footnoteReference w:id="41"/>
      </w:r>
    </w:p>
    <w:p w:rsidR="006333DD" w:rsidRPr="00D80C5B" w:rsidRDefault="006333DD" w:rsidP="006333DD">
      <w:pPr>
        <w:pStyle w:val="ListParagraph"/>
        <w:numPr>
          <w:ilvl w:val="0"/>
          <w:numId w:val="11"/>
        </w:numPr>
        <w:spacing w:after="120"/>
        <w:ind w:left="426" w:hanging="284"/>
        <w:contextualSpacing w:val="0"/>
        <w:jc w:val="both"/>
        <w:rPr>
          <w:rFonts w:ascii="Times New Roman" w:eastAsia="Times New Roman" w:hAnsi="Times New Roman" w:cs="Times New Roman"/>
          <w:i/>
          <w:lang w:eastAsia="en-GB"/>
        </w:rPr>
      </w:pPr>
      <w:r w:rsidRPr="00D80C5B">
        <w:rPr>
          <w:rFonts w:ascii="Times New Roman" w:eastAsia="Times New Roman" w:hAnsi="Times New Roman" w:cs="Times New Roman"/>
          <w:b/>
          <w:lang w:eastAsia="en-GB"/>
        </w:rPr>
        <w:t xml:space="preserve">House prices decelerated </w:t>
      </w:r>
      <w:r w:rsidR="005125F9" w:rsidRPr="00D80C5B">
        <w:rPr>
          <w:rFonts w:ascii="Times New Roman" w:eastAsia="Times New Roman" w:hAnsi="Times New Roman" w:cs="Times New Roman"/>
          <w:b/>
          <w:lang w:eastAsia="en-GB"/>
        </w:rPr>
        <w:t xml:space="preserve">somewhat </w:t>
      </w:r>
      <w:r w:rsidRPr="00D80C5B">
        <w:rPr>
          <w:rFonts w:ascii="Times New Roman" w:eastAsia="Times New Roman" w:hAnsi="Times New Roman" w:cs="Times New Roman"/>
          <w:b/>
          <w:lang w:eastAsia="en-GB"/>
        </w:rPr>
        <w:t>in a number of countries with evidence of overvaluation and high household debt, and a downward correction in the Swedish housing market has started</w:t>
      </w:r>
      <w:r w:rsidRPr="00D80C5B">
        <w:rPr>
          <w:rFonts w:ascii="Times New Roman" w:eastAsia="Times New Roman" w:hAnsi="Times New Roman" w:cs="Times New Roman"/>
          <w:lang w:eastAsia="en-GB"/>
        </w:rPr>
        <w:t xml:space="preserve">. Recent house price growth rates have tended to be lower the higher the extent of the overvaluation. Such pattern, which was not visible in previous years, is clearly discernible in 2018 for countries with house prices estimated to be overvalued. In 2018, Austria, Belgium, France, and the United Kingdom stood out for the combination </w:t>
      </w:r>
      <w:r w:rsidR="00D4465E" w:rsidRPr="00D80C5B">
        <w:rPr>
          <w:rFonts w:ascii="Times New Roman" w:eastAsia="Times New Roman" w:hAnsi="Times New Roman" w:cs="Times New Roman"/>
          <w:lang w:eastAsia="en-GB"/>
        </w:rPr>
        <w:t xml:space="preserve">by different degrees </w:t>
      </w:r>
      <w:r w:rsidRPr="00D80C5B">
        <w:rPr>
          <w:rFonts w:ascii="Times New Roman" w:eastAsia="Times New Roman" w:hAnsi="Times New Roman" w:cs="Times New Roman"/>
          <w:lang w:eastAsia="en-GB"/>
        </w:rPr>
        <w:t xml:space="preserve">of overvalued house prices, high household debt, </w:t>
      </w:r>
      <w:r w:rsidR="00FD090F" w:rsidRPr="00D80C5B">
        <w:rPr>
          <w:rFonts w:ascii="Times New Roman" w:eastAsia="Times New Roman" w:hAnsi="Times New Roman" w:cs="Times New Roman"/>
          <w:lang w:eastAsia="en-GB"/>
        </w:rPr>
        <w:t xml:space="preserve">but also </w:t>
      </w:r>
      <w:r w:rsidR="00D4465E" w:rsidRPr="00D80C5B">
        <w:rPr>
          <w:rFonts w:ascii="Times New Roman" w:eastAsia="Times New Roman" w:hAnsi="Times New Roman" w:cs="Times New Roman"/>
          <w:lang w:eastAsia="en-GB"/>
        </w:rPr>
        <w:t xml:space="preserve">house </w:t>
      </w:r>
      <w:r w:rsidRPr="00D80C5B">
        <w:rPr>
          <w:rFonts w:ascii="Times New Roman" w:eastAsia="Times New Roman" w:hAnsi="Times New Roman" w:cs="Times New Roman"/>
          <w:lang w:eastAsia="en-GB"/>
        </w:rPr>
        <w:t xml:space="preserve">prices growing less </w:t>
      </w:r>
      <w:r w:rsidR="00D4465E" w:rsidRPr="00D80C5B">
        <w:rPr>
          <w:rFonts w:ascii="Times New Roman" w:eastAsia="Times New Roman" w:hAnsi="Times New Roman" w:cs="Times New Roman"/>
          <w:lang w:eastAsia="en-GB"/>
        </w:rPr>
        <w:t xml:space="preserve">in 2018 </w:t>
      </w:r>
      <w:r w:rsidRPr="00D80C5B">
        <w:rPr>
          <w:rFonts w:ascii="Times New Roman" w:eastAsia="Times New Roman" w:hAnsi="Times New Roman" w:cs="Times New Roman"/>
          <w:lang w:eastAsia="en-GB"/>
        </w:rPr>
        <w:t xml:space="preserve">than in 2017 (Graph </w:t>
      </w:r>
      <w:r w:rsidR="003425D8">
        <w:rPr>
          <w:rFonts w:ascii="Times New Roman" w:eastAsia="Times New Roman" w:hAnsi="Times New Roman" w:cs="Times New Roman"/>
          <w:lang w:eastAsia="en-GB"/>
        </w:rPr>
        <w:t>25</w:t>
      </w:r>
      <w:r w:rsidRPr="00D80C5B">
        <w:rPr>
          <w:rFonts w:ascii="Times New Roman" w:eastAsia="Times New Roman" w:hAnsi="Times New Roman" w:cs="Times New Roman"/>
          <w:lang w:eastAsia="en-GB"/>
        </w:rPr>
        <w:t xml:space="preserve">). Such decelerations could </w:t>
      </w:r>
      <w:r w:rsidRPr="00D80C5B">
        <w:rPr>
          <w:rFonts w:ascii="Times New Roman" w:hAnsi="Times New Roman" w:cs="Times New Roman"/>
        </w:rPr>
        <w:t>reflect affordability constraints, a recovery in housing supply, and policies put in place at country level, including in the macro-prudential field.</w:t>
      </w:r>
      <w:r w:rsidRPr="00D80C5B">
        <w:rPr>
          <w:rStyle w:val="FootnoteReference"/>
          <w:rFonts w:ascii="Times New Roman" w:hAnsi="Times New Roman" w:cs="Times New Roman"/>
        </w:rPr>
        <w:footnoteReference w:id="42"/>
      </w:r>
      <w:r w:rsidRPr="00D80C5B">
        <w:rPr>
          <w:rFonts w:ascii="Times New Roman" w:eastAsia="Times New Roman" w:hAnsi="Times New Roman" w:cs="Times New Roman"/>
          <w:lang w:eastAsia="en-GB"/>
        </w:rPr>
        <w:t xml:space="preserve"> In addition, in Sweden, house prices, </w:t>
      </w:r>
      <w:r w:rsidR="00D4465E" w:rsidRPr="00D80C5B">
        <w:rPr>
          <w:rFonts w:ascii="Times New Roman" w:eastAsia="Times New Roman" w:hAnsi="Times New Roman" w:cs="Times New Roman"/>
          <w:lang w:eastAsia="en-GB"/>
        </w:rPr>
        <w:t xml:space="preserve">fell </w:t>
      </w:r>
      <w:r w:rsidRPr="00D80C5B">
        <w:rPr>
          <w:rFonts w:ascii="Times New Roman" w:eastAsia="Times New Roman" w:hAnsi="Times New Roman" w:cs="Times New Roman"/>
          <w:lang w:eastAsia="en-GB"/>
        </w:rPr>
        <w:t>in 2018</w:t>
      </w:r>
      <w:r w:rsidR="00D4465E" w:rsidRPr="00D80C5B">
        <w:rPr>
          <w:rFonts w:ascii="Times New Roman" w:eastAsia="Times New Roman" w:hAnsi="Times New Roman" w:cs="Times New Roman"/>
          <w:lang w:eastAsia="en-GB"/>
        </w:rPr>
        <w:t xml:space="preserve"> </w:t>
      </w:r>
      <w:r w:rsidR="00D4465E" w:rsidRPr="00D80C5B">
        <w:rPr>
          <w:rFonts w:ascii="Times New Roman" w:hAnsi="Times New Roman"/>
        </w:rPr>
        <w:t xml:space="preserve">on an annual basis </w:t>
      </w:r>
      <w:r w:rsidRPr="00D80C5B">
        <w:rPr>
          <w:rFonts w:ascii="Times New Roman" w:eastAsia="Times New Roman" w:hAnsi="Times New Roman" w:cs="Times New Roman"/>
          <w:lang w:eastAsia="en-GB"/>
        </w:rPr>
        <w:t>both in nominal and real terms, but data for the first two quarters of 201</w:t>
      </w:r>
      <w:r w:rsidR="00D4465E" w:rsidRPr="00D80C5B">
        <w:rPr>
          <w:rFonts w:ascii="Times New Roman" w:eastAsia="Times New Roman" w:hAnsi="Times New Roman" w:cs="Times New Roman"/>
          <w:lang w:eastAsia="en-GB"/>
        </w:rPr>
        <w:t>9</w:t>
      </w:r>
      <w:r w:rsidRPr="00D80C5B">
        <w:rPr>
          <w:rFonts w:ascii="Times New Roman" w:eastAsia="Times New Roman" w:hAnsi="Times New Roman" w:cs="Times New Roman"/>
          <w:lang w:eastAsia="en-GB"/>
        </w:rPr>
        <w:t xml:space="preserve"> point to </w:t>
      </w:r>
      <w:r w:rsidR="00D4465E" w:rsidRPr="00D80C5B">
        <w:rPr>
          <w:rFonts w:ascii="Times New Roman" w:eastAsia="Times New Roman" w:hAnsi="Times New Roman" w:cs="Times New Roman"/>
          <w:lang w:eastAsia="en-GB"/>
        </w:rPr>
        <w:t>some</w:t>
      </w:r>
      <w:r w:rsidRPr="00D80C5B">
        <w:rPr>
          <w:rFonts w:ascii="Times New Roman" w:eastAsia="Times New Roman" w:hAnsi="Times New Roman" w:cs="Times New Roman"/>
          <w:lang w:eastAsia="en-GB"/>
        </w:rPr>
        <w:t xml:space="preserve"> stabilisation. In contrast, no adjustment has taken place in Luxembourg, where vulnerabilities and risks of overvaluation continued growing.</w:t>
      </w:r>
    </w:p>
    <w:p w:rsidR="006333DD" w:rsidRPr="00D80C5B" w:rsidRDefault="006333DD" w:rsidP="006333DD">
      <w:pPr>
        <w:pStyle w:val="ListParagraph"/>
        <w:numPr>
          <w:ilvl w:val="0"/>
          <w:numId w:val="11"/>
        </w:numPr>
        <w:spacing w:after="120"/>
        <w:ind w:left="426" w:hanging="284"/>
        <w:contextualSpacing w:val="0"/>
        <w:jc w:val="both"/>
        <w:rPr>
          <w:rFonts w:ascii="Times New Roman" w:hAnsi="Times New Roman" w:cs="Times New Roman"/>
        </w:rPr>
      </w:pPr>
      <w:r w:rsidRPr="00D80C5B">
        <w:rPr>
          <w:b/>
        </w:rPr>
        <w:t>In a number of Member States,</w:t>
      </w:r>
      <w:r w:rsidRPr="00D80C5B">
        <w:t xml:space="preserve"> </w:t>
      </w:r>
      <w:r w:rsidRPr="00D80C5B">
        <w:rPr>
          <w:b/>
        </w:rPr>
        <w:t>overvalued house prices coexist with large household debt levels</w:t>
      </w:r>
      <w:r w:rsidRPr="00D80C5B">
        <w:t xml:space="preserve">. This is notably the case in Denmark, Luxembourg, Sweden, and the United Kingdom. The Netherlands is marked by very high household debt and high price levels with respect to income. The growth of the mortgage stock in 2018 was particularly rapid in Bulgaria, Romania, and Slovakia (above 10% over the previous year), and Austria, Belgium, Czechia, Estonia, France, Hungary, Lithuania, Luxembourg, and Malta (above 5% over the previous year). In some cases, strong growth took place starting from relatively high levels, such as Belgium or France. The picture changes somehow when considering the change in debt associated with new mortgages only, </w:t>
      </w:r>
      <w:r w:rsidRPr="00D80C5B">
        <w:rPr>
          <w:rFonts w:ascii="Times New Roman" w:hAnsi="Times New Roman" w:cs="Times New Roman"/>
        </w:rPr>
        <w:t>i.e. excluding the impact of repayments (Graph 2</w:t>
      </w:r>
      <w:r w:rsidR="003425D8">
        <w:rPr>
          <w:rFonts w:ascii="Times New Roman" w:hAnsi="Times New Roman" w:cs="Times New Roman"/>
        </w:rPr>
        <w:t>7</w:t>
      </w:r>
      <w:r w:rsidRPr="00D80C5B">
        <w:rPr>
          <w:rFonts w:ascii="Times New Roman" w:hAnsi="Times New Roman" w:cs="Times New Roman"/>
        </w:rPr>
        <w:t>). The cross-country relation between house price and new mortgage flows appears weak, with no clear indication that prices grow faster where new mortgages are more abundant. This suggests that credit has so far not played a key role in driving accelerations in house prices.</w:t>
      </w:r>
      <w:r w:rsidRPr="00D80C5B">
        <w:rPr>
          <w:rStyle w:val="FootnoteReference"/>
          <w:rFonts w:ascii="Times New Roman" w:hAnsi="Times New Roman" w:cs="Times New Roman"/>
        </w:rPr>
        <w:footnoteReference w:id="43"/>
      </w:r>
      <w:r w:rsidRPr="00D80C5B">
        <w:rPr>
          <w:rFonts w:ascii="Times New Roman" w:hAnsi="Times New Roman" w:cs="Times New Roman"/>
        </w:rPr>
        <w:t xml:space="preserve"> Yet, in a number of countries, strong house price growth has been associated with strong mortgage growth, notably in Slovakia, Luxembourg, Germany, and the Netherlands. </w:t>
      </w:r>
    </w:p>
    <w:p w:rsidR="006333DD" w:rsidRPr="00D80C5B" w:rsidRDefault="006333DD" w:rsidP="006333DD">
      <w:pPr>
        <w:spacing w:after="120"/>
        <w:jc w:val="center"/>
        <w:rPr>
          <w:rFonts w:ascii="Times New Roman" w:eastAsia="Times New Roman" w:hAnsi="Times New Roman" w:cs="Times New Roman"/>
          <w:b/>
          <w:sz w:val="24"/>
          <w:szCs w:val="24"/>
          <w:lang w:eastAsia="en-GB"/>
        </w:rPr>
      </w:pPr>
    </w:p>
    <w:p w:rsidR="0047733F" w:rsidRDefault="0047733F">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333DD" w:rsidRPr="00D80C5B" w:rsidTr="00D4465E">
        <w:tc>
          <w:tcPr>
            <w:tcW w:w="4536" w:type="dxa"/>
            <w:tcMar>
              <w:left w:w="0" w:type="dxa"/>
              <w:right w:w="0" w:type="dxa"/>
            </w:tcMar>
          </w:tcPr>
          <w:p w:rsidR="006333DD" w:rsidRPr="00D80C5B" w:rsidRDefault="006333DD" w:rsidP="00A20081">
            <w:pPr>
              <w:ind w:left="0"/>
              <w:jc w:val="center"/>
              <w:rPr>
                <w:rFonts w:ascii="Times New Roman" w:eastAsia="Times New Roman" w:hAnsi="Times New Roman" w:cs="Times New Roman"/>
                <w:b/>
                <w:lang w:eastAsia="en-GB"/>
              </w:rPr>
            </w:pPr>
            <w:r w:rsidRPr="00D80C5B">
              <w:rPr>
                <w:rFonts w:ascii="Times New Roman" w:eastAsia="Times New Roman" w:hAnsi="Times New Roman" w:cs="Times New Roman"/>
                <w:b/>
                <w:lang w:eastAsia="en-GB"/>
              </w:rPr>
              <w:t xml:space="preserve">Graph </w:t>
            </w:r>
            <w:r w:rsidR="003425D8">
              <w:rPr>
                <w:rFonts w:ascii="Times New Roman" w:eastAsia="Times New Roman" w:hAnsi="Times New Roman" w:cs="Times New Roman"/>
                <w:b/>
                <w:lang w:eastAsia="en-GB"/>
              </w:rPr>
              <w:t>24</w:t>
            </w:r>
            <w:r w:rsidRPr="00D80C5B">
              <w:rPr>
                <w:rFonts w:ascii="Times New Roman" w:eastAsia="Times New Roman" w:hAnsi="Times New Roman" w:cs="Times New Roman"/>
                <w:b/>
                <w:lang w:eastAsia="en-GB"/>
              </w:rPr>
              <w:t>: House prices changes and valuation gaps in 2018</w:t>
            </w:r>
          </w:p>
        </w:tc>
        <w:tc>
          <w:tcPr>
            <w:tcW w:w="4536" w:type="dxa"/>
            <w:tcMar>
              <w:left w:w="0" w:type="dxa"/>
              <w:right w:w="0" w:type="dxa"/>
            </w:tcMar>
          </w:tcPr>
          <w:p w:rsidR="006333DD" w:rsidRPr="00D80C5B" w:rsidRDefault="006333DD" w:rsidP="00A20081">
            <w:pPr>
              <w:ind w:left="0"/>
              <w:jc w:val="center"/>
              <w:rPr>
                <w:rFonts w:ascii="Times New Roman" w:eastAsia="Times New Roman" w:hAnsi="Times New Roman" w:cs="Times New Roman"/>
                <w:b/>
                <w:lang w:val="en-US" w:eastAsia="en-GB"/>
              </w:rPr>
            </w:pPr>
            <w:r w:rsidRPr="00D80C5B">
              <w:rPr>
                <w:rFonts w:ascii="Times New Roman" w:eastAsia="Times New Roman" w:hAnsi="Times New Roman" w:cs="Times New Roman"/>
                <w:b/>
                <w:bCs/>
                <w:lang w:val="en-US" w:eastAsia="en-GB"/>
              </w:rPr>
              <w:t xml:space="preserve">Graph </w:t>
            </w:r>
            <w:r w:rsidR="00D6461F" w:rsidRPr="00D80C5B">
              <w:rPr>
                <w:rFonts w:ascii="Times New Roman" w:eastAsia="Times New Roman" w:hAnsi="Times New Roman" w:cs="Times New Roman"/>
                <w:b/>
                <w:bCs/>
                <w:lang w:val="en-US" w:eastAsia="en-GB"/>
              </w:rPr>
              <w:t>2</w:t>
            </w:r>
            <w:r w:rsidR="003425D8">
              <w:rPr>
                <w:rFonts w:ascii="Times New Roman" w:eastAsia="Times New Roman" w:hAnsi="Times New Roman" w:cs="Times New Roman"/>
                <w:b/>
                <w:bCs/>
                <w:lang w:val="en-US" w:eastAsia="en-GB"/>
              </w:rPr>
              <w:t>5</w:t>
            </w:r>
            <w:r w:rsidRPr="00D80C5B">
              <w:rPr>
                <w:rFonts w:ascii="Times New Roman" w:eastAsia="Times New Roman" w:hAnsi="Times New Roman" w:cs="Times New Roman"/>
                <w:b/>
                <w:bCs/>
                <w:lang w:val="en-US" w:eastAsia="en-GB"/>
              </w:rPr>
              <w:t>: Valuation gaps, changes in price growth between 2017 and 2018, and household debt (% of households income)</w:t>
            </w:r>
          </w:p>
        </w:tc>
      </w:tr>
      <w:tr w:rsidR="006333DD" w:rsidRPr="00D80C5B" w:rsidTr="00D4465E">
        <w:tc>
          <w:tcPr>
            <w:tcW w:w="4536" w:type="dxa"/>
            <w:tcMar>
              <w:left w:w="0" w:type="dxa"/>
              <w:right w:w="0" w:type="dxa"/>
            </w:tcMar>
          </w:tcPr>
          <w:p w:rsidR="006333DD" w:rsidRPr="00D80C5B" w:rsidRDefault="00A733F9" w:rsidP="00D4465E">
            <w:pPr>
              <w:spacing w:line="276" w:lineRule="auto"/>
              <w:ind w:left="-89"/>
              <w:jc w:val="center"/>
              <w:rPr>
                <w:rFonts w:ascii="Times New Roman" w:eastAsia="Times New Roman" w:hAnsi="Times New Roman" w:cs="Times New Roman"/>
                <w:b/>
                <w:sz w:val="24"/>
                <w:szCs w:val="24"/>
                <w:lang w:eastAsia="en-GB"/>
              </w:rPr>
            </w:pPr>
            <w:r w:rsidRPr="00A733F9">
              <w:rPr>
                <w:rFonts w:ascii="Times New Roman" w:eastAsia="Times New Roman" w:hAnsi="Times New Roman" w:cs="Times New Roman"/>
                <w:b/>
                <w:noProof/>
                <w:sz w:val="24"/>
                <w:szCs w:val="24"/>
                <w:lang w:eastAsia="en-GB"/>
              </w:rPr>
              <w:drawing>
                <wp:inline distT="0" distB="0" distL="0" distR="0" wp14:anchorId="492C1224" wp14:editId="3AC0C552">
                  <wp:extent cx="2834005" cy="28435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34005" cy="2843530"/>
                          </a:xfrm>
                          <a:prstGeom prst="rect">
                            <a:avLst/>
                          </a:prstGeom>
                          <a:noFill/>
                          <a:ln>
                            <a:noFill/>
                          </a:ln>
                        </pic:spPr>
                      </pic:pic>
                    </a:graphicData>
                  </a:graphic>
                </wp:inline>
              </w:drawing>
            </w:r>
          </w:p>
        </w:tc>
        <w:tc>
          <w:tcPr>
            <w:tcW w:w="4536" w:type="dxa"/>
            <w:tcMar>
              <w:left w:w="0" w:type="dxa"/>
              <w:right w:w="0" w:type="dxa"/>
            </w:tcMar>
          </w:tcPr>
          <w:p w:rsidR="006333DD" w:rsidRPr="00D80C5B" w:rsidRDefault="00A733F9" w:rsidP="00D4465E">
            <w:pPr>
              <w:spacing w:line="276" w:lineRule="auto"/>
              <w:ind w:left="0"/>
              <w:jc w:val="center"/>
              <w:rPr>
                <w:rFonts w:ascii="Times New Roman" w:eastAsia="Times New Roman" w:hAnsi="Times New Roman" w:cs="Times New Roman"/>
                <w:b/>
                <w:sz w:val="24"/>
                <w:szCs w:val="24"/>
                <w:lang w:eastAsia="en-GB"/>
              </w:rPr>
            </w:pPr>
            <w:r w:rsidRPr="00A733F9">
              <w:rPr>
                <w:rFonts w:ascii="Times New Roman" w:eastAsia="Times New Roman" w:hAnsi="Times New Roman" w:cs="Times New Roman"/>
                <w:b/>
                <w:noProof/>
                <w:sz w:val="24"/>
                <w:szCs w:val="24"/>
                <w:lang w:eastAsia="en-GB"/>
              </w:rPr>
              <w:drawing>
                <wp:inline distT="0" distB="0" distL="0" distR="0" wp14:anchorId="105EB741" wp14:editId="1CA8F1A3">
                  <wp:extent cx="2834640" cy="2842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34640" cy="2842260"/>
                          </a:xfrm>
                          <a:prstGeom prst="rect">
                            <a:avLst/>
                          </a:prstGeom>
                          <a:noFill/>
                          <a:ln>
                            <a:noFill/>
                          </a:ln>
                        </pic:spPr>
                      </pic:pic>
                    </a:graphicData>
                  </a:graphic>
                </wp:inline>
              </w:drawing>
            </w:r>
          </w:p>
        </w:tc>
      </w:tr>
    </w:tbl>
    <w:p w:rsidR="006333DD" w:rsidRPr="00D80C5B" w:rsidRDefault="006333DD" w:rsidP="006333DD">
      <w:pPr>
        <w:ind w:left="0"/>
        <w:jc w:val="both"/>
        <w:rPr>
          <w:rFonts w:ascii="Times New Roman" w:eastAsia="Times New Roman" w:hAnsi="Times New Roman" w:cs="Times New Roman"/>
          <w:sz w:val="20"/>
          <w:szCs w:val="24"/>
          <w:lang w:eastAsia="en-GB"/>
        </w:rPr>
      </w:pPr>
      <w:r w:rsidRPr="00D80C5B">
        <w:rPr>
          <w:rFonts w:ascii="Times New Roman" w:eastAsia="Times New Roman" w:hAnsi="Times New Roman" w:cs="Times New Roman"/>
          <w:i/>
          <w:sz w:val="20"/>
          <w:szCs w:val="24"/>
          <w:lang w:eastAsia="en-GB"/>
        </w:rPr>
        <w:t>Source:</w:t>
      </w:r>
      <w:r w:rsidRPr="00D80C5B">
        <w:rPr>
          <w:rFonts w:ascii="Times New Roman" w:eastAsia="Times New Roman" w:hAnsi="Times New Roman" w:cs="Times New Roman"/>
          <w:sz w:val="20"/>
          <w:szCs w:val="24"/>
          <w:lang w:eastAsia="en-GB"/>
        </w:rPr>
        <w:t xml:space="preserve"> Eurostat and Commission services calculations.</w:t>
      </w:r>
    </w:p>
    <w:p w:rsidR="006333DD" w:rsidRPr="00D80C5B" w:rsidRDefault="006333DD" w:rsidP="006333DD">
      <w:pPr>
        <w:ind w:left="0"/>
        <w:jc w:val="both"/>
        <w:rPr>
          <w:rFonts w:ascii="Times New Roman" w:eastAsia="Times New Roman" w:hAnsi="Times New Roman" w:cs="Times New Roman"/>
          <w:sz w:val="20"/>
          <w:szCs w:val="24"/>
          <w:lang w:eastAsia="en-GB"/>
        </w:rPr>
      </w:pPr>
      <w:r w:rsidRPr="00D80C5B">
        <w:rPr>
          <w:rFonts w:ascii="Times New Roman" w:eastAsia="Times New Roman" w:hAnsi="Times New Roman" w:cs="Times New Roman"/>
          <w:i/>
          <w:sz w:val="20"/>
          <w:szCs w:val="24"/>
          <w:lang w:eastAsia="en-GB"/>
        </w:rPr>
        <w:t>Note:</w:t>
      </w:r>
      <w:r w:rsidRPr="00D80C5B">
        <w:rPr>
          <w:rFonts w:ascii="Times New Roman" w:eastAsia="Times New Roman" w:hAnsi="Times New Roman" w:cs="Times New Roman"/>
          <w:sz w:val="20"/>
          <w:szCs w:val="24"/>
          <w:lang w:eastAsia="en-GB"/>
        </w:rPr>
        <w:t xml:space="preserve"> the overvaluation gap is estimated as an average of three metrics: the deviations in the price-to-income and the price-to-rent ratios from their long-run averages, and the results from a fundamental model of valuation gaps; see footnote </w:t>
      </w:r>
      <w:r w:rsidR="00F3729E" w:rsidRPr="00D80C5B">
        <w:rPr>
          <w:rFonts w:ascii="Times New Roman" w:eastAsia="Times New Roman" w:hAnsi="Times New Roman" w:cs="Times New Roman"/>
          <w:sz w:val="20"/>
          <w:szCs w:val="24"/>
          <w:lang w:eastAsia="en-GB"/>
        </w:rPr>
        <w:fldChar w:fldCharType="begin"/>
      </w:r>
      <w:r w:rsidR="00F3729E" w:rsidRPr="00D80C5B">
        <w:rPr>
          <w:rFonts w:ascii="Times New Roman" w:eastAsia="Times New Roman" w:hAnsi="Times New Roman" w:cs="Times New Roman"/>
          <w:sz w:val="20"/>
          <w:szCs w:val="24"/>
          <w:lang w:eastAsia="en-GB"/>
        </w:rPr>
        <w:instrText xml:space="preserve"> NOTEREF _Ref22917337 \h </w:instrText>
      </w:r>
      <w:r w:rsidR="00D80C5B">
        <w:rPr>
          <w:rFonts w:ascii="Times New Roman" w:eastAsia="Times New Roman" w:hAnsi="Times New Roman" w:cs="Times New Roman"/>
          <w:sz w:val="20"/>
          <w:szCs w:val="24"/>
          <w:lang w:eastAsia="en-GB"/>
        </w:rPr>
        <w:instrText xml:space="preserve"> \* MERGEFORMAT </w:instrText>
      </w:r>
      <w:r w:rsidR="00F3729E" w:rsidRPr="00D80C5B">
        <w:rPr>
          <w:rFonts w:ascii="Times New Roman" w:eastAsia="Times New Roman" w:hAnsi="Times New Roman" w:cs="Times New Roman"/>
          <w:sz w:val="20"/>
          <w:szCs w:val="24"/>
          <w:lang w:eastAsia="en-GB"/>
        </w:rPr>
      </w:r>
      <w:r w:rsidR="00F3729E" w:rsidRPr="00D80C5B">
        <w:rPr>
          <w:rFonts w:ascii="Times New Roman" w:eastAsia="Times New Roman" w:hAnsi="Times New Roman" w:cs="Times New Roman"/>
          <w:sz w:val="20"/>
          <w:szCs w:val="24"/>
          <w:lang w:eastAsia="en-GB"/>
        </w:rPr>
        <w:fldChar w:fldCharType="separate"/>
      </w:r>
      <w:r w:rsidR="008D55C0">
        <w:rPr>
          <w:rFonts w:ascii="Times New Roman" w:eastAsia="Times New Roman" w:hAnsi="Times New Roman" w:cs="Times New Roman"/>
          <w:sz w:val="20"/>
          <w:szCs w:val="24"/>
          <w:lang w:eastAsia="en-GB"/>
        </w:rPr>
        <w:t>38</w:t>
      </w:r>
      <w:r w:rsidR="00F3729E" w:rsidRPr="00D80C5B">
        <w:rPr>
          <w:rFonts w:ascii="Times New Roman" w:eastAsia="Times New Roman" w:hAnsi="Times New Roman" w:cs="Times New Roman"/>
          <w:sz w:val="20"/>
          <w:szCs w:val="24"/>
          <w:lang w:eastAsia="en-GB"/>
        </w:rPr>
        <w:fldChar w:fldCharType="end"/>
      </w:r>
      <w:r w:rsidR="00F3729E" w:rsidRPr="00D80C5B">
        <w:rPr>
          <w:rFonts w:ascii="Times New Roman" w:eastAsia="Times New Roman" w:hAnsi="Times New Roman" w:cs="Times New Roman"/>
          <w:sz w:val="20"/>
          <w:szCs w:val="24"/>
          <w:lang w:eastAsia="en-GB"/>
        </w:rPr>
        <w:t xml:space="preserve">. </w:t>
      </w:r>
      <w:r w:rsidRPr="00D80C5B">
        <w:rPr>
          <w:rFonts w:ascii="Times New Roman" w:eastAsia="Times New Roman" w:hAnsi="Times New Roman" w:cs="Times New Roman"/>
          <w:sz w:val="20"/>
          <w:szCs w:val="24"/>
          <w:lang w:eastAsia="en-GB"/>
        </w:rPr>
        <w:t xml:space="preserve">The size of the bubbles in Graph </w:t>
      </w:r>
      <w:r w:rsidR="003425D8">
        <w:rPr>
          <w:rFonts w:ascii="Times New Roman" w:eastAsia="Times New Roman" w:hAnsi="Times New Roman" w:cs="Times New Roman"/>
          <w:sz w:val="20"/>
          <w:szCs w:val="24"/>
          <w:lang w:eastAsia="en-GB"/>
        </w:rPr>
        <w:t>25</w:t>
      </w:r>
      <w:r w:rsidRPr="00D80C5B">
        <w:rPr>
          <w:rFonts w:ascii="Times New Roman" w:eastAsia="Times New Roman" w:hAnsi="Times New Roman" w:cs="Times New Roman"/>
          <w:sz w:val="20"/>
          <w:szCs w:val="24"/>
          <w:lang w:eastAsia="en-GB"/>
        </w:rPr>
        <w:t xml:space="preserve"> corresponds to the ratio of households' debt in terms of households' gross disposable income (GDI). For Croatia, data for households' GDI after 2012 are not available and are extrapolated on the basis of the economy's GDI growth; households' GDI data for Malta are missing</w:t>
      </w:r>
      <w:r w:rsidR="0018464E">
        <w:rPr>
          <w:rFonts w:ascii="Times New Roman" w:eastAsia="Times New Roman" w:hAnsi="Times New Roman" w:cs="Times New Roman"/>
          <w:sz w:val="20"/>
          <w:szCs w:val="24"/>
          <w:lang w:eastAsia="en-GB"/>
        </w:rPr>
        <w:t xml:space="preserve"> </w:t>
      </w:r>
      <w:r w:rsidR="0018464E" w:rsidRPr="00D80C5B">
        <w:rPr>
          <w:rFonts w:ascii="Times New Roman" w:eastAsia="Times New Roman" w:hAnsi="Times New Roman" w:cs="Times New Roman"/>
          <w:sz w:val="20"/>
          <w:szCs w:val="24"/>
          <w:lang w:eastAsia="en-GB"/>
        </w:rPr>
        <w:t xml:space="preserve">and are proxied by 56% of </w:t>
      </w:r>
      <w:r w:rsidR="0018464E" w:rsidRPr="00D80C5B">
        <w:rPr>
          <w:rFonts w:ascii="Times New Roman" w:eastAsia="Times New Roman" w:hAnsi="Times New Roman" w:cs="Times New Roman"/>
          <w:sz w:val="20"/>
          <w:szCs w:val="20"/>
          <w:lang w:eastAsia="en-GB"/>
        </w:rPr>
        <w:t>Gross National Income</w:t>
      </w:r>
      <w:r w:rsidRPr="00D80C5B">
        <w:rPr>
          <w:rFonts w:ascii="Times New Roman" w:eastAsia="Times New Roman" w:hAnsi="Times New Roman" w:cs="Times New Roman"/>
          <w:sz w:val="20"/>
          <w:szCs w:val="24"/>
          <w:lang w:eastAsia="en-GB"/>
        </w:rPr>
        <w:t xml:space="preserve">. </w:t>
      </w:r>
    </w:p>
    <w:p w:rsidR="006333DD" w:rsidRPr="00A20081" w:rsidRDefault="006333DD" w:rsidP="0047733F">
      <w:pPr>
        <w:spacing w:line="240" w:lineRule="auto"/>
        <w:ind w:left="0"/>
        <w:rPr>
          <w:rFonts w:ascii="Times New Roman" w:eastAsia="Times New Roman" w:hAnsi="Times New Roman" w:cs="Times New Roman"/>
          <w:b/>
          <w:sz w:val="16"/>
          <w:szCs w:val="24"/>
          <w:lang w:eastAsia="en-GB"/>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7"/>
        <w:gridCol w:w="4479"/>
        <w:gridCol w:w="57"/>
      </w:tblGrid>
      <w:tr w:rsidR="006333DD" w:rsidRPr="00D80C5B" w:rsidTr="00A20081">
        <w:trPr>
          <w:trHeight w:val="874"/>
        </w:trPr>
        <w:tc>
          <w:tcPr>
            <w:tcW w:w="4536" w:type="dxa"/>
            <w:gridSpan w:val="2"/>
            <w:tcMar>
              <w:left w:w="0" w:type="dxa"/>
              <w:right w:w="0" w:type="dxa"/>
            </w:tcMar>
          </w:tcPr>
          <w:p w:rsidR="006333DD" w:rsidRPr="00D80C5B" w:rsidRDefault="006333DD" w:rsidP="00A20081">
            <w:pPr>
              <w:ind w:left="34"/>
              <w:jc w:val="both"/>
              <w:rPr>
                <w:rFonts w:ascii="Times New Roman" w:eastAsia="Times New Roman" w:hAnsi="Times New Roman" w:cs="Times New Roman"/>
                <w:b/>
                <w:lang w:eastAsia="en-GB"/>
              </w:rPr>
            </w:pPr>
            <w:r w:rsidRPr="00D80C5B">
              <w:rPr>
                <w:rFonts w:ascii="Times New Roman" w:eastAsia="Times New Roman" w:hAnsi="Times New Roman" w:cs="Times New Roman"/>
                <w:b/>
                <w:lang w:eastAsia="en-GB"/>
              </w:rPr>
              <w:t>Graph 2</w:t>
            </w:r>
            <w:r w:rsidR="003425D8">
              <w:rPr>
                <w:rFonts w:ascii="Times New Roman" w:eastAsia="Times New Roman" w:hAnsi="Times New Roman" w:cs="Times New Roman"/>
                <w:b/>
                <w:lang w:eastAsia="en-GB"/>
              </w:rPr>
              <w:t>6</w:t>
            </w:r>
            <w:r w:rsidRPr="00D80C5B">
              <w:rPr>
                <w:rFonts w:ascii="Times New Roman" w:eastAsia="Times New Roman" w:hAnsi="Times New Roman" w:cs="Times New Roman"/>
                <w:b/>
                <w:lang w:eastAsia="en-GB"/>
              </w:rPr>
              <w:t>:</w:t>
            </w:r>
            <w:r w:rsidRPr="00D80C5B">
              <w:t xml:space="preserve"> </w:t>
            </w:r>
            <w:r w:rsidRPr="00D80C5B">
              <w:rPr>
                <w:rFonts w:ascii="Times New Roman" w:eastAsia="Times New Roman" w:hAnsi="Times New Roman" w:cs="Times New Roman"/>
                <w:b/>
                <w:lang w:eastAsia="en-GB"/>
              </w:rPr>
              <w:t>House price levels as compared with incomes and real house price indexes compared with peaks, 2018</w:t>
            </w:r>
          </w:p>
        </w:tc>
        <w:tc>
          <w:tcPr>
            <w:tcW w:w="4536" w:type="dxa"/>
            <w:gridSpan w:val="2"/>
            <w:tcMar>
              <w:left w:w="0" w:type="dxa"/>
              <w:right w:w="0" w:type="dxa"/>
            </w:tcMar>
          </w:tcPr>
          <w:p w:rsidR="006333DD" w:rsidRPr="00D80C5B" w:rsidRDefault="006333DD" w:rsidP="003425D8">
            <w:pPr>
              <w:spacing w:line="276" w:lineRule="auto"/>
              <w:ind w:left="180"/>
              <w:jc w:val="both"/>
              <w:rPr>
                <w:rFonts w:ascii="Times New Roman" w:eastAsia="Times New Roman" w:hAnsi="Times New Roman" w:cs="Times New Roman"/>
                <w:b/>
                <w:lang w:eastAsia="en-GB"/>
              </w:rPr>
            </w:pPr>
            <w:r w:rsidRPr="00D80C5B">
              <w:rPr>
                <w:rFonts w:ascii="Times New Roman" w:eastAsia="Times New Roman" w:hAnsi="Times New Roman" w:cs="Times New Roman"/>
                <w:b/>
                <w:bCs/>
                <w:lang w:val="en-US" w:eastAsia="en-GB"/>
              </w:rPr>
              <w:t>Graph 2</w:t>
            </w:r>
            <w:r w:rsidR="003425D8">
              <w:rPr>
                <w:rFonts w:ascii="Times New Roman" w:eastAsia="Times New Roman" w:hAnsi="Times New Roman" w:cs="Times New Roman"/>
                <w:b/>
                <w:bCs/>
                <w:lang w:val="en-US" w:eastAsia="en-GB"/>
              </w:rPr>
              <w:t>7</w:t>
            </w:r>
            <w:r w:rsidRPr="00D80C5B">
              <w:rPr>
                <w:rFonts w:ascii="Times New Roman" w:eastAsia="Times New Roman" w:hAnsi="Times New Roman" w:cs="Times New Roman"/>
                <w:b/>
                <w:bCs/>
                <w:lang w:val="en-US" w:eastAsia="en-GB"/>
              </w:rPr>
              <w:t>: House price growth and new mortgage credit in 2018</w:t>
            </w:r>
          </w:p>
        </w:tc>
      </w:tr>
      <w:tr w:rsidR="006333DD" w:rsidRPr="00D80C5B" w:rsidTr="00240C90">
        <w:trPr>
          <w:gridAfter w:val="1"/>
          <w:wAfter w:w="57" w:type="dxa"/>
          <w:trHeight w:val="4479"/>
        </w:trPr>
        <w:tc>
          <w:tcPr>
            <w:tcW w:w="4479" w:type="dxa"/>
            <w:tcMar>
              <w:left w:w="0" w:type="dxa"/>
              <w:right w:w="0" w:type="dxa"/>
            </w:tcMar>
          </w:tcPr>
          <w:p w:rsidR="006333DD" w:rsidRPr="00D80C5B" w:rsidRDefault="009F3E96" w:rsidP="00A20081">
            <w:pPr>
              <w:ind w:left="-111"/>
              <w:jc w:val="center"/>
              <w:rPr>
                <w:rFonts w:ascii="Times New Roman" w:eastAsia="Times New Roman" w:hAnsi="Times New Roman" w:cs="Times New Roman"/>
                <w:b/>
                <w:sz w:val="24"/>
                <w:szCs w:val="24"/>
                <w:lang w:eastAsia="en-GB"/>
              </w:rPr>
            </w:pPr>
            <w:r w:rsidRPr="009F3E96">
              <w:rPr>
                <w:rFonts w:ascii="Times New Roman" w:eastAsia="Times New Roman" w:hAnsi="Times New Roman" w:cs="Times New Roman"/>
                <w:b/>
                <w:noProof/>
                <w:sz w:val="24"/>
                <w:szCs w:val="24"/>
                <w:lang w:eastAsia="en-GB"/>
              </w:rPr>
              <w:drawing>
                <wp:inline distT="0" distB="0" distL="0" distR="0" wp14:anchorId="184AB676" wp14:editId="054681D8">
                  <wp:extent cx="2842260" cy="2834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2260" cy="2834640"/>
                          </a:xfrm>
                          <a:prstGeom prst="rect">
                            <a:avLst/>
                          </a:prstGeom>
                          <a:noFill/>
                          <a:ln>
                            <a:noFill/>
                          </a:ln>
                        </pic:spPr>
                      </pic:pic>
                    </a:graphicData>
                  </a:graphic>
                </wp:inline>
              </w:drawing>
            </w:r>
          </w:p>
        </w:tc>
        <w:tc>
          <w:tcPr>
            <w:tcW w:w="4536" w:type="dxa"/>
            <w:gridSpan w:val="2"/>
            <w:tcMar>
              <w:left w:w="0" w:type="dxa"/>
              <w:right w:w="0" w:type="dxa"/>
            </w:tcMar>
          </w:tcPr>
          <w:p w:rsidR="006333DD" w:rsidRPr="00D80C5B" w:rsidRDefault="006333DD" w:rsidP="00A20081">
            <w:pPr>
              <w:ind w:left="0"/>
              <w:jc w:val="center"/>
              <w:rPr>
                <w:rFonts w:ascii="Times New Roman" w:eastAsia="Times New Roman" w:hAnsi="Times New Roman" w:cs="Times New Roman"/>
                <w:b/>
                <w:sz w:val="24"/>
                <w:szCs w:val="24"/>
                <w:lang w:eastAsia="en-GB"/>
              </w:rPr>
            </w:pPr>
            <w:r w:rsidRPr="00D80C5B">
              <w:rPr>
                <w:rFonts w:ascii="Times New Roman" w:eastAsia="Times New Roman" w:hAnsi="Times New Roman" w:cs="Times New Roman"/>
                <w:b/>
                <w:noProof/>
                <w:sz w:val="24"/>
                <w:szCs w:val="24"/>
                <w:lang w:eastAsia="en-GB"/>
              </w:rPr>
              <w:drawing>
                <wp:inline distT="0" distB="0" distL="0" distR="0" wp14:anchorId="7CEFFF0D" wp14:editId="1E188FC9">
                  <wp:extent cx="2808000" cy="2808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08000" cy="2808000"/>
                          </a:xfrm>
                          <a:prstGeom prst="rect">
                            <a:avLst/>
                          </a:prstGeom>
                          <a:noFill/>
                          <a:ln>
                            <a:noFill/>
                          </a:ln>
                        </pic:spPr>
                      </pic:pic>
                    </a:graphicData>
                  </a:graphic>
                </wp:inline>
              </w:drawing>
            </w:r>
          </w:p>
        </w:tc>
      </w:tr>
    </w:tbl>
    <w:p w:rsidR="006333DD" w:rsidRPr="00D80C5B" w:rsidRDefault="006333DD" w:rsidP="006333DD">
      <w:pPr>
        <w:ind w:left="0"/>
        <w:jc w:val="both"/>
        <w:rPr>
          <w:rFonts w:ascii="Times New Roman" w:eastAsia="Times New Roman" w:hAnsi="Times New Roman" w:cs="Times New Roman"/>
          <w:sz w:val="20"/>
          <w:szCs w:val="24"/>
          <w:lang w:eastAsia="en-GB"/>
        </w:rPr>
      </w:pPr>
      <w:r w:rsidRPr="00D80C5B">
        <w:rPr>
          <w:rFonts w:ascii="Times New Roman" w:eastAsia="Times New Roman" w:hAnsi="Times New Roman" w:cs="Times New Roman"/>
          <w:i/>
          <w:sz w:val="20"/>
          <w:szCs w:val="24"/>
          <w:lang w:eastAsia="en-GB"/>
        </w:rPr>
        <w:t>Source:</w:t>
      </w:r>
      <w:r w:rsidRPr="00D80C5B">
        <w:rPr>
          <w:rFonts w:ascii="Times New Roman" w:eastAsia="Times New Roman" w:hAnsi="Times New Roman" w:cs="Times New Roman"/>
          <w:sz w:val="20"/>
          <w:szCs w:val="24"/>
          <w:lang w:eastAsia="en-GB"/>
        </w:rPr>
        <w:t xml:space="preserve"> Eurostat and Commission services calculations.</w:t>
      </w:r>
    </w:p>
    <w:p w:rsidR="006333DD" w:rsidRPr="00D80C5B" w:rsidRDefault="006333DD" w:rsidP="006333DD">
      <w:pPr>
        <w:ind w:left="0"/>
        <w:jc w:val="both"/>
        <w:rPr>
          <w:rFonts w:ascii="Times New Roman" w:eastAsia="Times New Roman" w:hAnsi="Times New Roman" w:cs="Times New Roman"/>
          <w:sz w:val="20"/>
          <w:szCs w:val="24"/>
          <w:lang w:eastAsia="en-GB"/>
        </w:rPr>
      </w:pPr>
      <w:r w:rsidRPr="00D80C5B">
        <w:rPr>
          <w:rFonts w:ascii="Times New Roman" w:eastAsia="Times New Roman" w:hAnsi="Times New Roman" w:cs="Times New Roman"/>
          <w:i/>
          <w:sz w:val="20"/>
          <w:szCs w:val="24"/>
          <w:lang w:eastAsia="en-GB"/>
        </w:rPr>
        <w:t>Note:</w:t>
      </w:r>
      <w:r w:rsidRPr="00D80C5B">
        <w:rPr>
          <w:rFonts w:ascii="Times New Roman" w:eastAsia="Times New Roman" w:hAnsi="Times New Roman" w:cs="Times New Roman"/>
          <w:sz w:val="20"/>
          <w:szCs w:val="24"/>
          <w:lang w:eastAsia="en-GB"/>
        </w:rPr>
        <w:t xml:space="preserve"> Data for six countries on new mortgage credit are missing (Bulgaria, Denmark, France, Malta, Sweden, and the United Kingdom). Price levels-to-income levels are measured as the ratio between the price of a 100 square meter dwelling in and </w:t>
      </w:r>
      <w:r w:rsidR="0018464E">
        <w:rPr>
          <w:rFonts w:ascii="Times New Roman" w:eastAsia="Times New Roman" w:hAnsi="Times New Roman" w:cs="Times New Roman"/>
          <w:sz w:val="20"/>
          <w:szCs w:val="24"/>
          <w:lang w:eastAsia="en-GB"/>
        </w:rPr>
        <w:t xml:space="preserve">average </w:t>
      </w:r>
      <w:r w:rsidRPr="00D80C5B">
        <w:rPr>
          <w:rFonts w:ascii="Times New Roman" w:eastAsia="Times New Roman" w:hAnsi="Times New Roman" w:cs="Times New Roman"/>
          <w:sz w:val="20"/>
          <w:szCs w:val="24"/>
          <w:lang w:eastAsia="en-GB"/>
        </w:rPr>
        <w:t xml:space="preserve">household disposable income. Data for household GDI per capita after 2012 are not available for Croatia, and are extrapolated on the basis of the economy's GDI growth; for Malta, households' GDI data are missing and are proxied by 56% of </w:t>
      </w:r>
      <w:r w:rsidRPr="00D80C5B">
        <w:rPr>
          <w:rFonts w:ascii="Times New Roman" w:eastAsia="Times New Roman" w:hAnsi="Times New Roman" w:cs="Times New Roman"/>
          <w:sz w:val="20"/>
          <w:szCs w:val="20"/>
          <w:lang w:eastAsia="en-GB"/>
        </w:rPr>
        <w:t>Gross National Income.</w:t>
      </w:r>
    </w:p>
    <w:p w:rsidR="006333DD" w:rsidRPr="00D80C5B" w:rsidRDefault="006333DD" w:rsidP="006333DD">
      <w:pPr>
        <w:spacing w:after="120"/>
        <w:ind w:left="0"/>
        <w:jc w:val="both"/>
        <w:rPr>
          <w:rFonts w:ascii="Times New Roman" w:eastAsia="Times New Roman" w:hAnsi="Times New Roman" w:cs="Times New Roman"/>
          <w:b/>
          <w:u w:val="single"/>
          <w:lang w:eastAsia="en-GB"/>
        </w:rPr>
      </w:pPr>
    </w:p>
    <w:p w:rsidR="006333DD" w:rsidRPr="00D80C5B" w:rsidRDefault="006333DD" w:rsidP="006333DD">
      <w:pPr>
        <w:spacing w:after="120"/>
        <w:ind w:left="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Government debt ratios have declined further in most of the EU, but not </w:t>
      </w:r>
      <w:r w:rsidR="00C80253">
        <w:rPr>
          <w:rFonts w:ascii="Times New Roman" w:eastAsia="Times New Roman" w:hAnsi="Times New Roman" w:cs="Times New Roman"/>
          <w:b/>
          <w:lang w:eastAsia="en-GB"/>
        </w:rPr>
        <w:t>in a few Member States</w:t>
      </w:r>
      <w:r w:rsidR="00C80253" w:rsidRPr="00D80C5B">
        <w:rPr>
          <w:rFonts w:ascii="Times New Roman" w:eastAsia="Times New Roman" w:hAnsi="Times New Roman" w:cs="Times New Roman"/>
          <w:b/>
          <w:lang w:eastAsia="en-GB"/>
        </w:rPr>
        <w:t xml:space="preserve"> </w:t>
      </w:r>
      <w:r w:rsidRPr="00D80C5B">
        <w:rPr>
          <w:rFonts w:ascii="Times New Roman" w:eastAsia="Times New Roman" w:hAnsi="Times New Roman" w:cs="Times New Roman"/>
          <w:b/>
          <w:lang w:eastAsia="en-GB"/>
        </w:rPr>
        <w:t>where they are the highest.</w:t>
      </w:r>
      <w:r w:rsidRPr="00D80C5B">
        <w:rPr>
          <w:rFonts w:ascii="Times New Roman" w:eastAsia="Times New Roman" w:hAnsi="Times New Roman" w:cs="Times New Roman"/>
          <w:lang w:eastAsia="en-GB"/>
        </w:rPr>
        <w:t xml:space="preserve"> Debt ratios exceeded the scoreboard threshold in 14 Member States in 2018, from 15 in 2017. Belgium, Cyprus, Greece, Italy, and Portugal display debt </w:t>
      </w:r>
      <w:r w:rsidR="00854D09" w:rsidRPr="00D80C5B">
        <w:rPr>
          <w:rFonts w:ascii="Times New Roman" w:eastAsia="Times New Roman" w:hAnsi="Times New Roman" w:cs="Times New Roman"/>
          <w:lang w:eastAsia="en-GB"/>
        </w:rPr>
        <w:t xml:space="preserve">at or </w:t>
      </w:r>
      <w:r w:rsidRPr="00D80C5B">
        <w:rPr>
          <w:rFonts w:ascii="Times New Roman" w:eastAsia="Times New Roman" w:hAnsi="Times New Roman" w:cs="Times New Roman"/>
          <w:lang w:eastAsia="en-GB"/>
        </w:rPr>
        <w:t>exceeding 100% of GDP, and France and Spain are just below that mark. For seven cases (Belgium, Cyprus, France, Ireland, Portugal, Spain, and the United Kingdom) government debt in excess of 60% of GDP combines with private sector indebtedness in excess of the respective scoreboard threshold. In 2018, government debt ratios declined further, but often somewhat less than in the previous year reflecting some loosening of budgetary positions and already some cooling of nominal GDP growth. Yet some of the highest public debt ratios did not improve or even edged up further in 2018: government debt was unchanged in France and increased in Cyprus, Greece, and Italy</w:t>
      </w:r>
      <w:r w:rsidR="00C80253">
        <w:rPr>
          <w:rFonts w:ascii="Times New Roman" w:eastAsia="Times New Roman" w:hAnsi="Times New Roman" w:cs="Times New Roman"/>
          <w:lang w:eastAsia="en-GB"/>
        </w:rPr>
        <w:t>. While</w:t>
      </w:r>
      <w:r w:rsidRPr="00D80C5B">
        <w:rPr>
          <w:rFonts w:ascii="Times New Roman" w:eastAsia="Times New Roman" w:hAnsi="Times New Roman" w:cs="Times New Roman"/>
          <w:lang w:eastAsia="en-GB"/>
        </w:rPr>
        <w:t xml:space="preserve"> </w:t>
      </w:r>
      <w:r w:rsidR="007B2711">
        <w:rPr>
          <w:rFonts w:ascii="Times New Roman" w:eastAsia="Times New Roman" w:hAnsi="Times New Roman" w:cs="Times New Roman"/>
          <w:lang w:eastAsia="en-GB"/>
        </w:rPr>
        <w:t xml:space="preserve">that </w:t>
      </w:r>
      <w:r w:rsidRPr="00D80C5B">
        <w:rPr>
          <w:rFonts w:ascii="Times New Roman" w:eastAsia="Times New Roman" w:hAnsi="Times New Roman" w:cs="Times New Roman"/>
          <w:lang w:eastAsia="en-GB"/>
        </w:rPr>
        <w:t xml:space="preserve">was </w:t>
      </w:r>
      <w:r w:rsidR="00C80253">
        <w:rPr>
          <w:rFonts w:ascii="Times New Roman" w:eastAsia="Times New Roman" w:hAnsi="Times New Roman" w:cs="Times New Roman"/>
          <w:lang w:eastAsia="en-GB"/>
        </w:rPr>
        <w:t xml:space="preserve">in some cases </w:t>
      </w:r>
      <w:r w:rsidRPr="00D80C5B">
        <w:rPr>
          <w:rFonts w:ascii="Times New Roman" w:eastAsia="Times New Roman" w:hAnsi="Times New Roman" w:cs="Times New Roman"/>
          <w:lang w:eastAsia="en-GB"/>
        </w:rPr>
        <w:t>due to exceptionally large debt-increasing stock-flow adjustments</w:t>
      </w:r>
      <w:r w:rsidR="00C80253">
        <w:rPr>
          <w:rFonts w:ascii="Times New Roman" w:eastAsia="Times New Roman" w:hAnsi="Times New Roman" w:cs="Times New Roman"/>
          <w:lang w:eastAsia="en-GB"/>
        </w:rPr>
        <w:t>, it reflects a lack of fiscal consolidation in others</w:t>
      </w:r>
      <w:r w:rsidRPr="00D80C5B">
        <w:rPr>
          <w:rFonts w:ascii="Times New Roman" w:eastAsia="Times New Roman" w:hAnsi="Times New Roman" w:cs="Times New Roman"/>
          <w:lang w:eastAsia="en-GB"/>
        </w:rPr>
        <w:t xml:space="preserve">. Government bond yields have nevertheless declined and compressed further also in the course of 2019 even for the most indebted sovereign borrowers and all-time troughs kept being reached. Going forward, debt ratios are forecast to grow throughout 2019 to 2021 especially in Romania, </w:t>
      </w:r>
      <w:r w:rsidR="00A35949" w:rsidRPr="00D80C5B">
        <w:rPr>
          <w:rFonts w:ascii="Times New Roman" w:eastAsia="Times New Roman" w:hAnsi="Times New Roman" w:cs="Times New Roman"/>
          <w:lang w:eastAsia="en-GB"/>
        </w:rPr>
        <w:t xml:space="preserve">but also Italy, </w:t>
      </w:r>
      <w:r w:rsidRPr="00D80C5B">
        <w:rPr>
          <w:rFonts w:ascii="Times New Roman" w:eastAsia="Times New Roman" w:hAnsi="Times New Roman" w:cs="Times New Roman"/>
          <w:lang w:eastAsia="en-GB"/>
        </w:rPr>
        <w:t xml:space="preserve">and to a lesser extent in Finland and France, while receding somewhat less than recently in most of the other EU countries. </w:t>
      </w:r>
    </w:p>
    <w:p w:rsidR="003D71AE" w:rsidRPr="003425D8" w:rsidRDefault="003D71AE" w:rsidP="006333DD">
      <w:pPr>
        <w:spacing w:after="60"/>
        <w:ind w:left="0"/>
        <w:jc w:val="both"/>
        <w:rPr>
          <w:rFonts w:ascii="Times New Roman" w:eastAsia="Times New Roman" w:hAnsi="Times New Roman" w:cs="Times New Roman"/>
          <w:lang w:eastAsia="en-GB"/>
        </w:rPr>
      </w:pPr>
    </w:p>
    <w:p w:rsidR="006333DD" w:rsidRPr="00D80C5B" w:rsidRDefault="006333DD" w:rsidP="006333DD">
      <w:pPr>
        <w:rPr>
          <w:rFonts w:ascii="Times New Roman" w:eastAsia="Times New Roman" w:hAnsi="Times New Roman" w:cs="Times New Roman"/>
          <w:i/>
          <w:sz w:val="20"/>
          <w:szCs w:val="20"/>
          <w:lang w:val="en-US" w:eastAsia="en-GB"/>
        </w:rPr>
      </w:pPr>
      <w:r w:rsidRPr="00D80C5B">
        <w:rPr>
          <w:rFonts w:ascii="Times New Roman" w:eastAsia="Times New Roman" w:hAnsi="Times New Roman" w:cs="Times New Roman"/>
          <w:i/>
          <w:sz w:val="20"/>
          <w:szCs w:val="20"/>
          <w:lang w:val="en-US" w:eastAsia="en-GB"/>
        </w:rPr>
        <w:br w:type="page"/>
      </w:r>
    </w:p>
    <w:p w:rsidR="006333DD" w:rsidRPr="00D80C5B" w:rsidRDefault="006333DD" w:rsidP="006333DD">
      <w:pPr>
        <w:spacing w:before="120" w:after="120"/>
        <w:jc w:val="center"/>
        <w:rPr>
          <w:rFonts w:ascii="Times New Roman" w:eastAsia="Times New Roman" w:hAnsi="Times New Roman" w:cs="Times New Roman"/>
          <w:i/>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6333DD" w:rsidRPr="00D80C5B" w:rsidTr="00246E26">
        <w:trPr>
          <w:trHeight w:val="8360"/>
        </w:trPr>
        <w:tc>
          <w:tcPr>
            <w:tcW w:w="9288" w:type="dxa"/>
            <w:tcBorders>
              <w:top w:val="single" w:sz="4" w:space="0" w:color="auto"/>
              <w:left w:val="single" w:sz="4" w:space="0" w:color="auto"/>
              <w:bottom w:val="single" w:sz="4" w:space="0" w:color="auto"/>
              <w:right w:val="single" w:sz="4" w:space="0" w:color="auto"/>
            </w:tcBorders>
            <w:shd w:val="clear" w:color="auto" w:fill="BFBFBF"/>
          </w:tcPr>
          <w:p w:rsidR="006333DD" w:rsidRPr="00D80C5B" w:rsidRDefault="006333DD" w:rsidP="00D4465E">
            <w:pPr>
              <w:spacing w:before="120" w:after="120"/>
              <w:ind w:left="0"/>
              <w:jc w:val="both"/>
              <w:rPr>
                <w:rFonts w:ascii="Times New Roman" w:eastAsia="Times New Roman" w:hAnsi="Times New Roman" w:cs="Times New Roman"/>
                <w:b/>
                <w:i/>
                <w:lang w:eastAsia="en-GB"/>
              </w:rPr>
            </w:pPr>
            <w:r w:rsidRPr="00D80C5B">
              <w:rPr>
                <w:rFonts w:ascii="Times New Roman" w:eastAsia="Times New Roman" w:hAnsi="Times New Roman" w:cs="Times New Roman"/>
                <w:b/>
                <w:lang w:eastAsia="en-GB"/>
              </w:rPr>
              <w:t xml:space="preserve">Box </w:t>
            </w:r>
            <w:r w:rsidR="00F17007" w:rsidRPr="00D80C5B">
              <w:rPr>
                <w:rFonts w:ascii="Times New Roman" w:eastAsia="Times New Roman" w:hAnsi="Times New Roman" w:cs="Times New Roman"/>
                <w:b/>
                <w:lang w:eastAsia="en-GB"/>
              </w:rPr>
              <w:t>1</w:t>
            </w:r>
            <w:r w:rsidRPr="00D80C5B">
              <w:rPr>
                <w:rFonts w:ascii="Times New Roman" w:eastAsia="Times New Roman" w:hAnsi="Times New Roman" w:cs="Times New Roman"/>
                <w:b/>
                <w:lang w:eastAsia="en-GB"/>
              </w:rPr>
              <w:t>:</w:t>
            </w:r>
            <w:r w:rsidRPr="00D80C5B">
              <w:rPr>
                <w:rFonts w:ascii="Times New Roman" w:eastAsia="Times New Roman" w:hAnsi="Times New Roman" w:cs="Times New Roman"/>
                <w:b/>
                <w:i/>
                <w:lang w:eastAsia="en-GB"/>
              </w:rPr>
              <w:t xml:space="preserve"> </w:t>
            </w:r>
            <w:r w:rsidRPr="00D80C5B">
              <w:rPr>
                <w:rFonts w:ascii="Times New Roman" w:eastAsia="Times New Roman" w:hAnsi="Times New Roman" w:cs="Times New Roman"/>
                <w:b/>
                <w:bCs/>
                <w:lang w:eastAsia="en-GB"/>
              </w:rPr>
              <w:t>Employment and social developments</w:t>
            </w:r>
          </w:p>
          <w:p w:rsidR="006333DD" w:rsidRPr="00D80C5B" w:rsidRDefault="006333DD" w:rsidP="00D4465E">
            <w:pPr>
              <w:autoSpaceDE w:val="0"/>
              <w:autoSpaceDN w:val="0"/>
              <w:adjustRightInd w:val="0"/>
              <w:spacing w:after="120"/>
              <w:ind w:left="0"/>
              <w:jc w:val="both"/>
              <w:rPr>
                <w:rFonts w:ascii="Times New Roman" w:hAnsi="Times New Roman" w:cs="Times New Roman"/>
                <w:color w:val="000000"/>
              </w:rPr>
            </w:pPr>
            <w:r w:rsidRPr="00D80C5B">
              <w:rPr>
                <w:rFonts w:ascii="Times New Roman" w:hAnsi="Times New Roman" w:cs="Times New Roman"/>
                <w:b/>
                <w:bCs/>
                <w:color w:val="000000"/>
              </w:rPr>
              <w:t xml:space="preserve">In 2018, improvements in the EU labour markets continued despite the slowdown in economic activity in the second half of the year. </w:t>
            </w:r>
            <w:r w:rsidRPr="00D80C5B">
              <w:rPr>
                <w:rFonts w:ascii="Times New Roman" w:hAnsi="Times New Roman" w:cs="Times New Roman"/>
                <w:color w:val="000000"/>
              </w:rPr>
              <w:t xml:space="preserve">Employment has grown further in the EU and set a new record in the number of persons employed. Unemployment has been declining in all EU Member States, especially where it is high, contributing to less disparity across countries, although joblessness remains high in a number of them. </w:t>
            </w:r>
            <w:r w:rsidRPr="00D80C5B">
              <w:rPr>
                <w:rFonts w:ascii="Times New Roman" w:hAnsi="Times New Roman" w:cs="Times New Roman"/>
                <w:bCs/>
                <w:color w:val="000000"/>
              </w:rPr>
              <w:t xml:space="preserve">Improvements slowed in the first half of 2019, potentially also reflecting smaller remaining labour reserves. </w:t>
            </w:r>
            <w:r w:rsidRPr="00D80C5B">
              <w:rPr>
                <w:rFonts w:ascii="Times New Roman" w:hAnsi="Times New Roman" w:cs="Times New Roman"/>
                <w:color w:val="000000"/>
              </w:rPr>
              <w:t xml:space="preserve">The recovery also contributed to improvements in most poverty indicators but the social situation remains a concern in some Member States. Since 2008, </w:t>
            </w:r>
            <w:r w:rsidR="000339EE">
              <w:rPr>
                <w:rFonts w:ascii="Times New Roman" w:hAnsi="Times New Roman" w:cs="Times New Roman"/>
                <w:color w:val="000000"/>
              </w:rPr>
              <w:t xml:space="preserve">the </w:t>
            </w:r>
            <w:r w:rsidRPr="00D80C5B">
              <w:rPr>
                <w:rFonts w:ascii="Times New Roman" w:hAnsi="Times New Roman" w:cs="Times New Roman"/>
                <w:color w:val="000000"/>
              </w:rPr>
              <w:t xml:space="preserve">risk </w:t>
            </w:r>
            <w:r w:rsidR="000339EE">
              <w:rPr>
                <w:rFonts w:ascii="Times New Roman" w:hAnsi="Times New Roman" w:cs="Times New Roman"/>
                <w:color w:val="000000"/>
              </w:rPr>
              <w:t xml:space="preserve">of poverty and social exclusion has decreased </w:t>
            </w:r>
            <w:r w:rsidRPr="00D80C5B">
              <w:rPr>
                <w:rFonts w:ascii="Times New Roman" w:hAnsi="Times New Roman" w:cs="Times New Roman"/>
                <w:color w:val="000000"/>
              </w:rPr>
              <w:t>in most of the EU</w:t>
            </w:r>
            <w:r w:rsidR="008B2561">
              <w:rPr>
                <w:rFonts w:ascii="Times New Roman" w:hAnsi="Times New Roman" w:cs="Times New Roman"/>
                <w:color w:val="000000"/>
              </w:rPr>
              <w:t xml:space="preserve"> (</w:t>
            </w:r>
            <w:r w:rsidR="008B509E">
              <w:t>7</w:t>
            </w:r>
            <w:r w:rsidR="008B2561">
              <w:t xml:space="preserve"> million people less compared with 2008; some </w:t>
            </w:r>
            <w:r w:rsidR="008B509E">
              <w:t xml:space="preserve">13 </w:t>
            </w:r>
            <w:r w:rsidR="008B2561">
              <w:t>million compared with 2012)</w:t>
            </w:r>
            <w:r w:rsidRPr="00D80C5B">
              <w:rPr>
                <w:rFonts w:ascii="Times New Roman" w:hAnsi="Times New Roman" w:cs="Times New Roman"/>
                <w:color w:val="000000"/>
              </w:rPr>
              <w:t xml:space="preserve">, </w:t>
            </w:r>
            <w:r w:rsidR="000339EE">
              <w:rPr>
                <w:rFonts w:ascii="Times New Roman" w:hAnsi="Times New Roman" w:cs="Times New Roman"/>
                <w:color w:val="000000"/>
              </w:rPr>
              <w:t>as well as</w:t>
            </w:r>
            <w:r w:rsidR="000339EE" w:rsidRPr="00D80C5B">
              <w:rPr>
                <w:rFonts w:ascii="Times New Roman" w:hAnsi="Times New Roman" w:cs="Times New Roman"/>
                <w:color w:val="000000"/>
              </w:rPr>
              <w:t xml:space="preserve"> </w:t>
            </w:r>
            <w:r w:rsidRPr="00D80C5B">
              <w:rPr>
                <w:rFonts w:ascii="Times New Roman" w:hAnsi="Times New Roman" w:cs="Times New Roman"/>
                <w:color w:val="000000"/>
              </w:rPr>
              <w:t xml:space="preserve">severe material deprivation, especially in central and eastern European countries with a high initial level. </w:t>
            </w:r>
            <w:r w:rsidR="000339EE">
              <w:rPr>
                <w:rFonts w:ascii="Times New Roman" w:hAnsi="Times New Roman" w:cs="Times New Roman"/>
                <w:color w:val="000000"/>
              </w:rPr>
              <w:t xml:space="preserve">However, relative poverty risk is still above pre-crisis levels in many Member </w:t>
            </w:r>
            <w:r w:rsidR="00676576">
              <w:rPr>
                <w:rFonts w:ascii="Times New Roman" w:hAnsi="Times New Roman" w:cs="Times New Roman"/>
                <w:color w:val="000000"/>
              </w:rPr>
              <w:t>S</w:t>
            </w:r>
            <w:r w:rsidR="000339EE">
              <w:rPr>
                <w:rFonts w:ascii="Times New Roman" w:hAnsi="Times New Roman" w:cs="Times New Roman"/>
                <w:color w:val="000000"/>
              </w:rPr>
              <w:t xml:space="preserve">tates. </w:t>
            </w:r>
            <w:r w:rsidRPr="00D80C5B">
              <w:rPr>
                <w:rFonts w:ascii="Times New Roman" w:hAnsi="Times New Roman" w:cs="Times New Roman"/>
                <w:color w:val="000000"/>
              </w:rPr>
              <w:t>Overall, the unwinding of severe macroeconomic fragilities has had a toll on the employment and social situations of the countries concerned. In particular, Member States facing excessive imbalances continued to be marked by weaker employment situation and social developments; the situation of the countries with imbalances is somewhat more diverse reflecting much also the different nature of the imbalances and their severity.</w:t>
            </w:r>
          </w:p>
          <w:p w:rsidR="006333DD" w:rsidRPr="00D80C5B" w:rsidRDefault="006333DD" w:rsidP="00D4465E">
            <w:pPr>
              <w:autoSpaceDE w:val="0"/>
              <w:autoSpaceDN w:val="0"/>
              <w:adjustRightInd w:val="0"/>
              <w:spacing w:after="120"/>
              <w:ind w:left="0"/>
              <w:jc w:val="both"/>
              <w:rPr>
                <w:rFonts w:ascii="Times New Roman" w:hAnsi="Times New Roman" w:cs="Times New Roman"/>
                <w:color w:val="000000"/>
              </w:rPr>
            </w:pPr>
            <w:r w:rsidRPr="00D80C5B">
              <w:rPr>
                <w:rFonts w:ascii="Times New Roman" w:hAnsi="Times New Roman" w:cs="Times New Roman"/>
                <w:b/>
                <w:bCs/>
                <w:color w:val="000000"/>
              </w:rPr>
              <w:t xml:space="preserve">In 2018, the </w:t>
            </w:r>
            <w:r w:rsidRPr="00D80C5B">
              <w:rPr>
                <w:rFonts w:ascii="Times New Roman" w:hAnsi="Times New Roman" w:cs="Times New Roman"/>
                <w:b/>
                <w:bCs/>
                <w:i/>
                <w:iCs/>
                <w:color w:val="000000"/>
              </w:rPr>
              <w:t xml:space="preserve">unemployment rate </w:t>
            </w:r>
            <w:r w:rsidRPr="00D80C5B">
              <w:rPr>
                <w:rFonts w:ascii="Times New Roman" w:hAnsi="Times New Roman" w:cs="Times New Roman"/>
                <w:b/>
                <w:bCs/>
                <w:color w:val="000000"/>
              </w:rPr>
              <w:t xml:space="preserve">decreased further in all Member States but remains high in some of them. </w:t>
            </w:r>
            <w:r w:rsidRPr="00D80C5B">
              <w:rPr>
                <w:rFonts w:ascii="Times New Roman" w:hAnsi="Times New Roman" w:cs="Times New Roman"/>
                <w:color w:val="000000"/>
              </w:rPr>
              <w:t xml:space="preserve">Improvements were the strongest in countries with high levels of unemployment (reductions of </w:t>
            </w:r>
            <w:r w:rsidR="004368EE" w:rsidRPr="00D80C5B">
              <w:rPr>
                <w:rFonts w:ascii="Times New Roman" w:hAnsi="Times New Roman" w:cs="Times New Roman"/>
                <w:color w:val="000000"/>
              </w:rPr>
              <w:t xml:space="preserve">more than </w:t>
            </w:r>
            <w:r w:rsidRPr="00D80C5B">
              <w:rPr>
                <w:rFonts w:ascii="Times New Roman" w:hAnsi="Times New Roman" w:cs="Times New Roman"/>
                <w:color w:val="000000"/>
              </w:rPr>
              <w:t>2 percentage points in Croatia, Cyprus</w:t>
            </w:r>
            <w:r w:rsidR="004368EE" w:rsidRPr="00D80C5B">
              <w:rPr>
                <w:rFonts w:ascii="Times New Roman" w:hAnsi="Times New Roman" w:cs="Times New Roman"/>
                <w:color w:val="000000"/>
              </w:rPr>
              <w:t>,</w:t>
            </w:r>
            <w:r w:rsidRPr="00D80C5B">
              <w:rPr>
                <w:rFonts w:ascii="Times New Roman" w:hAnsi="Times New Roman" w:cs="Times New Roman"/>
                <w:color w:val="000000"/>
              </w:rPr>
              <w:t xml:space="preserve"> and </w:t>
            </w:r>
            <w:r w:rsidR="004368EE" w:rsidRPr="00D80C5B">
              <w:rPr>
                <w:rFonts w:ascii="Times New Roman" w:hAnsi="Times New Roman" w:cs="Times New Roman"/>
                <w:color w:val="000000"/>
              </w:rPr>
              <w:t>Greece</w:t>
            </w:r>
            <w:r w:rsidRPr="00D80C5B">
              <w:rPr>
                <w:rFonts w:ascii="Times New Roman" w:hAnsi="Times New Roman" w:cs="Times New Roman"/>
                <w:color w:val="000000"/>
              </w:rPr>
              <w:t xml:space="preserve">). Nevertheless, in 2018 five Member States (Greece, Spain, Croatia, Cyprus, and Italy) still exceeded the MIP scoreboard indicator threshold of an average 10% over the past 3 years. In </w:t>
            </w:r>
            <w:r w:rsidR="0013498E">
              <w:rPr>
                <w:rFonts w:ascii="Times New Roman" w:hAnsi="Times New Roman" w:cs="Times New Roman"/>
                <w:color w:val="000000"/>
              </w:rPr>
              <w:t>2018</w:t>
            </w:r>
            <w:r w:rsidRPr="00D80C5B">
              <w:rPr>
                <w:rFonts w:ascii="Times New Roman" w:hAnsi="Times New Roman" w:cs="Times New Roman"/>
                <w:color w:val="000000"/>
              </w:rPr>
              <w:t xml:space="preserve">, unemployment rates were significantly below the peaks reached in 2013 </w:t>
            </w:r>
            <w:r w:rsidR="009E0A02" w:rsidRPr="00D80C5B">
              <w:rPr>
                <w:rFonts w:ascii="Times New Roman" w:hAnsi="Times New Roman" w:cs="Times New Roman"/>
                <w:color w:val="000000"/>
              </w:rPr>
              <w:t xml:space="preserve">by </w:t>
            </w:r>
            <w:r w:rsidRPr="00D80C5B">
              <w:rPr>
                <w:rFonts w:ascii="Times New Roman" w:hAnsi="Times New Roman" w:cs="Times New Roman"/>
                <w:color w:val="000000"/>
              </w:rPr>
              <w:t>about 4 percentage points, but still higher than in 2008 in around half of the Member States. Unemployment rates continued to decrease in the first half of 2019, down to 6.</w:t>
            </w:r>
            <w:r w:rsidR="004368EE" w:rsidRPr="00D80C5B">
              <w:rPr>
                <w:rFonts w:ascii="Times New Roman" w:hAnsi="Times New Roman" w:cs="Times New Roman"/>
                <w:color w:val="000000"/>
              </w:rPr>
              <w:t>3</w:t>
            </w:r>
            <w:r w:rsidRPr="00D80C5B">
              <w:rPr>
                <w:rFonts w:ascii="Times New Roman" w:hAnsi="Times New Roman" w:cs="Times New Roman"/>
                <w:color w:val="000000"/>
              </w:rPr>
              <w:t>% and 7.</w:t>
            </w:r>
            <w:r w:rsidR="00FA3187">
              <w:rPr>
                <w:rFonts w:ascii="Times New Roman" w:hAnsi="Times New Roman" w:cs="Times New Roman"/>
                <w:color w:val="000000"/>
              </w:rPr>
              <w:t>5</w:t>
            </w:r>
            <w:r w:rsidRPr="00D80C5B">
              <w:rPr>
                <w:rFonts w:ascii="Times New Roman" w:hAnsi="Times New Roman" w:cs="Times New Roman"/>
                <w:color w:val="000000"/>
              </w:rPr>
              <w:t>% in 2019</w:t>
            </w:r>
            <w:r w:rsidR="003425D8">
              <w:rPr>
                <w:rFonts w:ascii="Times New Roman" w:hAnsi="Times New Roman" w:cs="Times New Roman"/>
                <w:color w:val="000000"/>
              </w:rPr>
              <w:t>-Q</w:t>
            </w:r>
            <w:r w:rsidR="00FA3187">
              <w:rPr>
                <w:rFonts w:ascii="Times New Roman" w:hAnsi="Times New Roman" w:cs="Times New Roman"/>
                <w:color w:val="000000"/>
              </w:rPr>
              <w:t>3</w:t>
            </w:r>
            <w:r w:rsidRPr="00D80C5B">
              <w:rPr>
                <w:rFonts w:ascii="Times New Roman" w:hAnsi="Times New Roman" w:cs="Times New Roman"/>
                <w:color w:val="000000"/>
              </w:rPr>
              <w:t xml:space="preserve"> in the EU and the euro area respectively. </w:t>
            </w:r>
          </w:p>
          <w:p w:rsidR="006333DD" w:rsidRPr="00D80C5B" w:rsidRDefault="006333DD" w:rsidP="00D4465E">
            <w:pPr>
              <w:autoSpaceDE w:val="0"/>
              <w:autoSpaceDN w:val="0"/>
              <w:adjustRightInd w:val="0"/>
              <w:spacing w:after="120"/>
              <w:ind w:left="0"/>
              <w:jc w:val="both"/>
              <w:rPr>
                <w:rFonts w:ascii="Times New Roman" w:hAnsi="Times New Roman" w:cs="Times New Roman"/>
                <w:color w:val="000000"/>
              </w:rPr>
            </w:pPr>
            <w:r w:rsidRPr="00D80C5B">
              <w:rPr>
                <w:rFonts w:ascii="Times New Roman" w:hAnsi="Times New Roman" w:cs="Times New Roman"/>
                <w:b/>
                <w:bCs/>
                <w:i/>
                <w:iCs/>
                <w:color w:val="000000"/>
              </w:rPr>
              <w:t xml:space="preserve">Employment rates improved </w:t>
            </w:r>
            <w:r w:rsidRPr="00D80C5B">
              <w:rPr>
                <w:rFonts w:ascii="Times New Roman" w:hAnsi="Times New Roman" w:cs="Times New Roman"/>
                <w:b/>
                <w:bCs/>
                <w:color w:val="000000"/>
              </w:rPr>
              <w:t xml:space="preserve">further in all Member States. </w:t>
            </w:r>
            <w:r w:rsidRPr="00D80C5B">
              <w:rPr>
                <w:rFonts w:ascii="Times New Roman" w:hAnsi="Times New Roman" w:cs="Times New Roman"/>
                <w:color w:val="000000"/>
              </w:rPr>
              <w:t>The EU employment rate (</w:t>
            </w:r>
            <w:r w:rsidR="008B509E">
              <w:rPr>
                <w:rFonts w:ascii="Times New Roman" w:hAnsi="Times New Roman" w:cs="Times New Roman"/>
                <w:color w:val="000000"/>
              </w:rPr>
              <w:t>20</w:t>
            </w:r>
            <w:r w:rsidRPr="00D80C5B">
              <w:rPr>
                <w:rFonts w:ascii="Times New Roman" w:hAnsi="Times New Roman" w:cs="Times New Roman"/>
                <w:color w:val="000000"/>
              </w:rPr>
              <w:t xml:space="preserve">-64 years old) recorded its highest rate in 2018 at </w:t>
            </w:r>
            <w:r w:rsidR="008B509E">
              <w:rPr>
                <w:rFonts w:ascii="Times New Roman" w:hAnsi="Times New Roman" w:cs="Times New Roman"/>
                <w:color w:val="000000"/>
              </w:rPr>
              <w:t>73.2</w:t>
            </w:r>
            <w:r w:rsidRPr="00D80C5B">
              <w:rPr>
                <w:rFonts w:ascii="Times New Roman" w:hAnsi="Times New Roman" w:cs="Times New Roman"/>
                <w:color w:val="000000"/>
              </w:rPr>
              <w:t xml:space="preserve">% </w:t>
            </w:r>
            <w:r w:rsidR="00FD090F" w:rsidRPr="00D80C5B">
              <w:rPr>
                <w:rFonts w:ascii="Times New Roman" w:hAnsi="Times New Roman" w:cs="Times New Roman"/>
                <w:color w:val="000000"/>
              </w:rPr>
              <w:t>(</w:t>
            </w:r>
            <w:r w:rsidR="008B509E">
              <w:rPr>
                <w:rFonts w:ascii="Times New Roman" w:hAnsi="Times New Roman" w:cs="Times New Roman"/>
                <w:color w:val="000000"/>
              </w:rPr>
              <w:t>72</w:t>
            </w:r>
            <w:r w:rsidR="00B9260A">
              <w:rPr>
                <w:rFonts w:ascii="Times New Roman" w:hAnsi="Times New Roman" w:cs="Times New Roman"/>
                <w:color w:val="000000"/>
              </w:rPr>
              <w:t>.0</w:t>
            </w:r>
            <w:r w:rsidR="00FD090F" w:rsidRPr="00D80C5B">
              <w:rPr>
                <w:rFonts w:ascii="Times New Roman" w:hAnsi="Times New Roman" w:cs="Times New Roman"/>
                <w:color w:val="000000"/>
              </w:rPr>
              <w:t xml:space="preserve">% in the euro area) </w:t>
            </w:r>
            <w:r w:rsidRPr="00D80C5B">
              <w:rPr>
                <w:rFonts w:ascii="Times New Roman" w:hAnsi="Times New Roman" w:cs="Times New Roman"/>
                <w:color w:val="000000"/>
              </w:rPr>
              <w:t xml:space="preserve">and kept increasing in the second quarter of 2019 up to a record </w:t>
            </w:r>
            <w:r w:rsidR="008B509E">
              <w:rPr>
                <w:rFonts w:ascii="Times New Roman" w:hAnsi="Times New Roman" w:cs="Times New Roman"/>
                <w:color w:val="000000"/>
              </w:rPr>
              <w:t>73.9</w:t>
            </w:r>
            <w:r w:rsidRPr="00D80C5B">
              <w:rPr>
                <w:rFonts w:ascii="Times New Roman" w:hAnsi="Times New Roman" w:cs="Times New Roman"/>
                <w:color w:val="000000"/>
              </w:rPr>
              <w:t xml:space="preserve">%, well above the pre-crisis peak of </w:t>
            </w:r>
            <w:r w:rsidR="008B509E">
              <w:rPr>
                <w:rFonts w:ascii="Times New Roman" w:hAnsi="Times New Roman" w:cs="Times New Roman"/>
                <w:color w:val="000000"/>
              </w:rPr>
              <w:t>70.2</w:t>
            </w:r>
            <w:r w:rsidRPr="00D80C5B">
              <w:rPr>
                <w:rFonts w:ascii="Times New Roman" w:hAnsi="Times New Roman" w:cs="Times New Roman"/>
                <w:color w:val="000000"/>
              </w:rPr>
              <w:t xml:space="preserve">% recorded in 2008. The highest increase in </w:t>
            </w:r>
            <w:r w:rsidR="00415E74">
              <w:rPr>
                <w:rFonts w:ascii="Times New Roman" w:hAnsi="Times New Roman" w:cs="Times New Roman"/>
                <w:color w:val="000000"/>
              </w:rPr>
              <w:t xml:space="preserve">headcount </w:t>
            </w:r>
            <w:r w:rsidRPr="00D80C5B">
              <w:rPr>
                <w:rFonts w:ascii="Times New Roman" w:hAnsi="Times New Roman" w:cs="Times New Roman"/>
                <w:color w:val="000000"/>
              </w:rPr>
              <w:t xml:space="preserve">employment with respect to 2017 was registered in </w:t>
            </w:r>
            <w:r w:rsidR="003D71AE" w:rsidRPr="00D80C5B">
              <w:rPr>
                <w:rFonts w:ascii="Times New Roman" w:hAnsi="Times New Roman" w:cs="Times New Roman"/>
                <w:color w:val="000000"/>
              </w:rPr>
              <w:t>Malta (5.4%), followed by Cyprus (4.1%)</w:t>
            </w:r>
            <w:r w:rsidR="00676576">
              <w:rPr>
                <w:rFonts w:ascii="Times New Roman" w:hAnsi="Times New Roman" w:cs="Times New Roman"/>
                <w:color w:val="000000"/>
              </w:rPr>
              <w:t>,</w:t>
            </w:r>
            <w:r w:rsidR="003D71AE" w:rsidRPr="00D80C5B">
              <w:rPr>
                <w:rFonts w:ascii="Times New Roman" w:hAnsi="Times New Roman" w:cs="Times New Roman"/>
                <w:color w:val="000000"/>
              </w:rPr>
              <w:t xml:space="preserve"> Luxembourg (3.7%), and Ireland (3.2%), while the lowest increases were observed in Poland (0.3%), Romania (0.2%), and Italy (0.9%).</w:t>
            </w:r>
          </w:p>
          <w:p w:rsidR="006333DD" w:rsidRPr="00D80C5B" w:rsidRDefault="006333DD" w:rsidP="00D4465E">
            <w:pPr>
              <w:autoSpaceDE w:val="0"/>
              <w:autoSpaceDN w:val="0"/>
              <w:adjustRightInd w:val="0"/>
              <w:spacing w:after="120"/>
              <w:ind w:left="0"/>
              <w:jc w:val="both"/>
              <w:rPr>
                <w:rFonts w:ascii="Times New Roman" w:hAnsi="Times New Roman" w:cs="Times New Roman"/>
                <w:color w:val="000000"/>
              </w:rPr>
            </w:pPr>
            <w:r w:rsidRPr="00D80C5B">
              <w:rPr>
                <w:rFonts w:ascii="Times New Roman" w:hAnsi="Times New Roman" w:cs="Times New Roman"/>
                <w:b/>
                <w:bCs/>
                <w:i/>
                <w:iCs/>
                <w:color w:val="000000"/>
              </w:rPr>
              <w:t xml:space="preserve">Activity rates </w:t>
            </w:r>
            <w:r w:rsidRPr="00D80C5B">
              <w:rPr>
                <w:rFonts w:ascii="Times New Roman" w:hAnsi="Times New Roman" w:cs="Times New Roman"/>
                <w:b/>
                <w:bCs/>
                <w:color w:val="000000"/>
              </w:rPr>
              <w:t xml:space="preserve">continued to increase nearly everywhere in the EU. </w:t>
            </w:r>
            <w:r w:rsidRPr="00D80C5B">
              <w:rPr>
                <w:rFonts w:ascii="Times New Roman" w:hAnsi="Times New Roman" w:cs="Times New Roman"/>
                <w:color w:val="000000"/>
              </w:rPr>
              <w:t xml:space="preserve">Only two countries registered a declining activity rate </w:t>
            </w:r>
            <w:r w:rsidR="00374678">
              <w:rPr>
                <w:rFonts w:ascii="Times New Roman" w:hAnsi="Times New Roman" w:cs="Times New Roman"/>
                <w:color w:val="000000"/>
              </w:rPr>
              <w:t xml:space="preserve">(15-64 years old) </w:t>
            </w:r>
            <w:r w:rsidRPr="00D80C5B">
              <w:rPr>
                <w:rFonts w:ascii="Times New Roman" w:hAnsi="Times New Roman" w:cs="Times New Roman"/>
                <w:color w:val="000000"/>
              </w:rPr>
              <w:t>over the last three years: Croatia</w:t>
            </w:r>
            <w:r w:rsidR="00676576">
              <w:rPr>
                <w:rFonts w:ascii="Times New Roman" w:hAnsi="Times New Roman" w:cs="Times New Roman"/>
                <w:color w:val="000000"/>
              </w:rPr>
              <w:t xml:space="preserve"> and </w:t>
            </w:r>
            <w:r w:rsidR="00676576" w:rsidRPr="00D80C5B">
              <w:rPr>
                <w:rFonts w:ascii="Times New Roman" w:hAnsi="Times New Roman" w:cs="Times New Roman"/>
                <w:color w:val="000000"/>
              </w:rPr>
              <w:t>Spain</w:t>
            </w:r>
            <w:r w:rsidRPr="00D80C5B">
              <w:rPr>
                <w:rFonts w:ascii="Times New Roman" w:hAnsi="Times New Roman" w:cs="Times New Roman"/>
                <w:color w:val="000000"/>
              </w:rPr>
              <w:t xml:space="preserve">, </w:t>
            </w:r>
            <w:r w:rsidR="00374678">
              <w:rPr>
                <w:rFonts w:ascii="Times New Roman" w:hAnsi="Times New Roman" w:cs="Times New Roman"/>
                <w:color w:val="000000"/>
              </w:rPr>
              <w:t>and</w:t>
            </w:r>
            <w:r w:rsidR="00374678" w:rsidRPr="00D80C5B">
              <w:rPr>
                <w:rFonts w:ascii="Times New Roman" w:hAnsi="Times New Roman" w:cs="Times New Roman"/>
                <w:color w:val="000000"/>
              </w:rPr>
              <w:t xml:space="preserve"> </w:t>
            </w:r>
            <w:r w:rsidRPr="00D80C5B">
              <w:rPr>
                <w:rFonts w:ascii="Times New Roman" w:hAnsi="Times New Roman" w:cs="Times New Roman"/>
                <w:color w:val="000000"/>
              </w:rPr>
              <w:t xml:space="preserve">in both cases it exceeded the scoreboard threshold of -0.2 (-0.6 percentage points in both cases). On aggregate, in 2018 for the EU and the euro area activity rates set record highs at 73.7% and 73.4% respectively, about 3.5 and 2.5 percentage points above the pre-crisis levels, mostly </w:t>
            </w:r>
            <w:r w:rsidR="00374678">
              <w:rPr>
                <w:rFonts w:ascii="Times New Roman" w:hAnsi="Times New Roman" w:cs="Times New Roman"/>
                <w:color w:val="000000"/>
              </w:rPr>
              <w:t>driven by</w:t>
            </w:r>
            <w:r w:rsidRPr="00D80C5B">
              <w:rPr>
                <w:rFonts w:ascii="Times New Roman" w:hAnsi="Times New Roman" w:cs="Times New Roman"/>
                <w:color w:val="000000"/>
              </w:rPr>
              <w:t xml:space="preserve"> increasing labour market participation by older workers and women. </w:t>
            </w:r>
          </w:p>
          <w:p w:rsidR="006333DD" w:rsidRPr="00D80C5B" w:rsidRDefault="006333DD" w:rsidP="00D4465E">
            <w:pPr>
              <w:autoSpaceDE w:val="0"/>
              <w:autoSpaceDN w:val="0"/>
              <w:adjustRightInd w:val="0"/>
              <w:spacing w:after="120"/>
              <w:ind w:left="0"/>
              <w:jc w:val="both"/>
              <w:rPr>
                <w:rFonts w:ascii="Times New Roman" w:hAnsi="Times New Roman" w:cs="Times New Roman"/>
                <w:color w:val="000000"/>
              </w:rPr>
            </w:pPr>
            <w:r w:rsidRPr="00D80C5B">
              <w:rPr>
                <w:rFonts w:ascii="Times New Roman" w:hAnsi="Times New Roman" w:cs="Times New Roman"/>
                <w:b/>
                <w:bCs/>
                <w:i/>
                <w:color w:val="000000"/>
              </w:rPr>
              <w:t>Long-term</w:t>
            </w:r>
            <w:r w:rsidRPr="00D80C5B">
              <w:rPr>
                <w:rFonts w:ascii="Times New Roman" w:hAnsi="Times New Roman" w:cs="Times New Roman"/>
                <w:b/>
                <w:bCs/>
                <w:color w:val="000000"/>
              </w:rPr>
              <w:t xml:space="preserve"> and </w:t>
            </w:r>
            <w:r w:rsidRPr="00D80C5B">
              <w:rPr>
                <w:rFonts w:ascii="Times New Roman" w:hAnsi="Times New Roman" w:cs="Times New Roman"/>
                <w:b/>
                <w:bCs/>
                <w:i/>
                <w:color w:val="000000"/>
              </w:rPr>
              <w:t>youth unemployment</w:t>
            </w:r>
            <w:r w:rsidRPr="00D80C5B">
              <w:rPr>
                <w:rFonts w:ascii="Times New Roman" w:hAnsi="Times New Roman" w:cs="Times New Roman"/>
                <w:b/>
                <w:bCs/>
                <w:color w:val="000000"/>
              </w:rPr>
              <w:t xml:space="preserve"> improved more strongly than the rest of the labour market but remain elevated in a number of EU countries. </w:t>
            </w:r>
            <w:r w:rsidRPr="00D80C5B">
              <w:rPr>
                <w:rFonts w:ascii="Times New Roman" w:hAnsi="Times New Roman" w:cs="Times New Roman"/>
                <w:i/>
                <w:iCs/>
                <w:color w:val="000000"/>
              </w:rPr>
              <w:t xml:space="preserve">Long-term unemployment </w:t>
            </w:r>
            <w:r w:rsidRPr="00D80C5B">
              <w:rPr>
                <w:rFonts w:ascii="Times New Roman" w:hAnsi="Times New Roman" w:cs="Times New Roman"/>
                <w:color w:val="000000"/>
              </w:rPr>
              <w:t xml:space="preserve">decreased in all Member States in 2018 and all countries recorded lower rates than three years earlier. The highest rates of long-term unemployment were observed in Greece (13.6%), Spain (6.4%), Italy (6.2%), and Slovakia (4%) but all except Italy, recorded significant drops compared to 2015 (around 5 percentage points in Spain, 4.6 pp in Greece, and 3.6 pp in Slovakia). The </w:t>
            </w:r>
            <w:r w:rsidRPr="00D80C5B">
              <w:rPr>
                <w:rFonts w:ascii="Times New Roman" w:hAnsi="Times New Roman" w:cs="Times New Roman"/>
                <w:i/>
                <w:iCs/>
                <w:color w:val="000000"/>
              </w:rPr>
              <w:t xml:space="preserve">youth unemployment rate </w:t>
            </w:r>
            <w:r w:rsidRPr="00D80C5B">
              <w:rPr>
                <w:rFonts w:ascii="Times New Roman" w:hAnsi="Times New Roman" w:cs="Times New Roman"/>
                <w:color w:val="000000"/>
              </w:rPr>
              <w:t>fell in all EU countries in the three years to 2018. Falls of 10 percentage points or more over that period were recorded in Croatia, Cyprus, Portugal, Slovakia, and Spain. Yet the youth unemployment rate is still above 30% in Greece, Italy, and Spain. At the same time, 9.6% of young people (15-24 years) in the EU in 2018 were neither in employment nor in education and training (NEET). Furthermore, several Member States (Bulgaria, Croatia, Cyprus, Greece, Italy, Romania</w:t>
            </w:r>
            <w:r w:rsidR="00676576">
              <w:rPr>
                <w:rFonts w:ascii="Times New Roman" w:hAnsi="Times New Roman" w:cs="Times New Roman"/>
                <w:color w:val="000000"/>
              </w:rPr>
              <w:t>,</w:t>
            </w:r>
            <w:r w:rsidR="00374678">
              <w:rPr>
                <w:rFonts w:ascii="Times New Roman" w:hAnsi="Times New Roman" w:cs="Times New Roman"/>
                <w:color w:val="000000"/>
              </w:rPr>
              <w:t xml:space="preserve"> and</w:t>
            </w:r>
            <w:r w:rsidRPr="00D80C5B">
              <w:rPr>
                <w:rFonts w:ascii="Times New Roman" w:hAnsi="Times New Roman" w:cs="Times New Roman"/>
                <w:color w:val="000000"/>
              </w:rPr>
              <w:t xml:space="preserve"> Spain) record rates above 1</w:t>
            </w:r>
            <w:r w:rsidR="00374678">
              <w:rPr>
                <w:rFonts w:ascii="Times New Roman" w:hAnsi="Times New Roman" w:cs="Times New Roman"/>
                <w:color w:val="000000"/>
              </w:rPr>
              <w:t>2</w:t>
            </w:r>
            <w:r w:rsidRPr="00D80C5B">
              <w:rPr>
                <w:rFonts w:ascii="Times New Roman" w:hAnsi="Times New Roman" w:cs="Times New Roman"/>
                <w:color w:val="000000"/>
              </w:rPr>
              <w:t>%.</w:t>
            </w:r>
          </w:p>
          <w:p w:rsidR="006333DD" w:rsidRPr="00D80C5B" w:rsidRDefault="006333DD" w:rsidP="00D4465E">
            <w:pPr>
              <w:pStyle w:val="Default"/>
              <w:spacing w:after="120" w:line="276" w:lineRule="auto"/>
              <w:ind w:left="0"/>
              <w:jc w:val="both"/>
              <w:rPr>
                <w:sz w:val="22"/>
                <w:szCs w:val="22"/>
              </w:rPr>
            </w:pPr>
            <w:r w:rsidRPr="00D80C5B">
              <w:rPr>
                <w:b/>
                <w:sz w:val="22"/>
                <w:szCs w:val="22"/>
              </w:rPr>
              <w:t>Poverty and social exclusion declined further but remains elevated in a number of Member States</w:t>
            </w:r>
            <w:r w:rsidRPr="00D80C5B">
              <w:rPr>
                <w:sz w:val="22"/>
                <w:szCs w:val="22"/>
              </w:rPr>
              <w:t>. The share of people at risk of poverty or social exclusion (AROPE) decreased further in the EU to 21.</w:t>
            </w:r>
            <w:r w:rsidR="00415E74">
              <w:rPr>
                <w:sz w:val="22"/>
                <w:szCs w:val="22"/>
              </w:rPr>
              <w:t>9</w:t>
            </w:r>
            <w:r w:rsidRPr="00D80C5B">
              <w:rPr>
                <w:sz w:val="22"/>
                <w:szCs w:val="22"/>
              </w:rPr>
              <w:t>% in 2018. This is about 3 percentage points below the peak observed in 2012.</w:t>
            </w:r>
            <w:r w:rsidRPr="00D80C5B">
              <w:rPr>
                <w:rStyle w:val="FootnoteReference"/>
                <w:sz w:val="22"/>
                <w:szCs w:val="22"/>
              </w:rPr>
              <w:footnoteReference w:id="44"/>
            </w:r>
            <w:r w:rsidRPr="00D80C5B">
              <w:rPr>
                <w:sz w:val="22"/>
                <w:szCs w:val="22"/>
              </w:rPr>
              <w:t xml:space="preserve"> While most countries recorded decreases in the three years to 2018, </w:t>
            </w:r>
            <w:r w:rsidR="003D71AE" w:rsidRPr="00D80C5B">
              <w:rPr>
                <w:sz w:val="22"/>
                <w:szCs w:val="22"/>
              </w:rPr>
              <w:t xml:space="preserve">Estonia, Luxembourg, </w:t>
            </w:r>
            <w:r w:rsidR="00415E74">
              <w:rPr>
                <w:sz w:val="22"/>
                <w:szCs w:val="22"/>
              </w:rPr>
              <w:t>the United Kingdom</w:t>
            </w:r>
            <w:r w:rsidR="0018464E">
              <w:rPr>
                <w:sz w:val="22"/>
                <w:szCs w:val="22"/>
              </w:rPr>
              <w:t>,</w:t>
            </w:r>
            <w:r w:rsidR="00415E74">
              <w:rPr>
                <w:sz w:val="22"/>
                <w:szCs w:val="22"/>
              </w:rPr>
              <w:t xml:space="preserve"> </w:t>
            </w:r>
            <w:r w:rsidR="003D71AE" w:rsidRPr="00D80C5B">
              <w:rPr>
                <w:sz w:val="22"/>
                <w:szCs w:val="22"/>
              </w:rPr>
              <w:t>and the Netherlands</w:t>
            </w:r>
            <w:r w:rsidRPr="00D80C5B">
              <w:rPr>
                <w:sz w:val="22"/>
                <w:szCs w:val="22"/>
              </w:rPr>
              <w:t xml:space="preserve"> </w:t>
            </w:r>
            <w:r w:rsidR="003D71AE" w:rsidRPr="00D80C5B">
              <w:rPr>
                <w:sz w:val="22"/>
                <w:szCs w:val="22"/>
              </w:rPr>
              <w:t xml:space="preserve">recorded </w:t>
            </w:r>
            <w:r w:rsidRPr="00D80C5B">
              <w:rPr>
                <w:sz w:val="22"/>
                <w:szCs w:val="22"/>
              </w:rPr>
              <w:t xml:space="preserve">increases, albeit </w:t>
            </w:r>
            <w:r w:rsidR="00415E74">
              <w:rPr>
                <w:sz w:val="22"/>
                <w:szCs w:val="22"/>
              </w:rPr>
              <w:t xml:space="preserve">in some cases (the Netherlands and Luxembourg) </w:t>
            </w:r>
            <w:r w:rsidRPr="00D80C5B">
              <w:rPr>
                <w:sz w:val="22"/>
                <w:szCs w:val="22"/>
              </w:rPr>
              <w:t xml:space="preserve">from comparatively low levels. Despite a significant drop in the level of the AROPE rate from </w:t>
            </w:r>
            <w:r w:rsidR="00EE2F04" w:rsidRPr="00D80C5B">
              <w:rPr>
                <w:sz w:val="22"/>
                <w:szCs w:val="22"/>
              </w:rPr>
              <w:t xml:space="preserve">nearly </w:t>
            </w:r>
            <w:r w:rsidRPr="00D80C5B">
              <w:rPr>
                <w:sz w:val="22"/>
                <w:szCs w:val="22"/>
              </w:rPr>
              <w:t>39% to 32.8%, Bulgaria continues recording the highest level in the EU, followed by Romania</w:t>
            </w:r>
            <w:r w:rsidR="00EE2F04" w:rsidRPr="00D80C5B">
              <w:rPr>
                <w:sz w:val="22"/>
                <w:szCs w:val="22"/>
              </w:rPr>
              <w:t xml:space="preserve"> and </w:t>
            </w:r>
            <w:r w:rsidRPr="00D80C5B">
              <w:rPr>
                <w:sz w:val="22"/>
                <w:szCs w:val="22"/>
              </w:rPr>
              <w:t xml:space="preserve">Greece, </w:t>
            </w:r>
            <w:r w:rsidR="00EE2F04" w:rsidRPr="00D80C5B">
              <w:rPr>
                <w:sz w:val="22"/>
                <w:szCs w:val="22"/>
              </w:rPr>
              <w:t xml:space="preserve">with both cases over 30%, </w:t>
            </w:r>
            <w:r w:rsidRPr="00D80C5B">
              <w:rPr>
                <w:sz w:val="22"/>
                <w:szCs w:val="22"/>
              </w:rPr>
              <w:t>and Latvia</w:t>
            </w:r>
            <w:r w:rsidR="00EE2F04" w:rsidRPr="00D80C5B">
              <w:rPr>
                <w:sz w:val="22"/>
                <w:szCs w:val="22"/>
              </w:rPr>
              <w:t xml:space="preserve"> and Lithuania just below that mark.</w:t>
            </w:r>
            <w:r w:rsidRPr="00D80C5B">
              <w:rPr>
                <w:sz w:val="22"/>
                <w:szCs w:val="22"/>
              </w:rPr>
              <w:t xml:space="preserve"> </w:t>
            </w:r>
            <w:r w:rsidR="00EE2F04" w:rsidRPr="00D80C5B">
              <w:rPr>
                <w:sz w:val="22"/>
                <w:szCs w:val="22"/>
              </w:rPr>
              <w:t>T</w:t>
            </w:r>
            <w:r w:rsidRPr="00D80C5B">
              <w:rPr>
                <w:sz w:val="22"/>
                <w:szCs w:val="22"/>
              </w:rPr>
              <w:t xml:space="preserve">he lowest </w:t>
            </w:r>
            <w:r w:rsidR="00EE2F04" w:rsidRPr="00D80C5B">
              <w:rPr>
                <w:sz w:val="22"/>
                <w:szCs w:val="22"/>
              </w:rPr>
              <w:t xml:space="preserve">AROPE </w:t>
            </w:r>
            <w:r w:rsidRPr="00D80C5B">
              <w:rPr>
                <w:sz w:val="22"/>
                <w:szCs w:val="22"/>
              </w:rPr>
              <w:t>rates are recorded in Czechia (12.2%), followed by Slovenia (16.2%),</w:t>
            </w:r>
            <w:r w:rsidR="00415E74">
              <w:rPr>
                <w:sz w:val="22"/>
                <w:szCs w:val="22"/>
              </w:rPr>
              <w:t xml:space="preserve"> Slovakia (16.3%)</w:t>
            </w:r>
            <w:r w:rsidR="0018464E">
              <w:rPr>
                <w:sz w:val="22"/>
                <w:szCs w:val="22"/>
              </w:rPr>
              <w:t>,</w:t>
            </w:r>
            <w:r w:rsidRPr="00D80C5B">
              <w:rPr>
                <w:sz w:val="22"/>
                <w:szCs w:val="22"/>
              </w:rPr>
              <w:t xml:space="preserve"> </w:t>
            </w:r>
            <w:r w:rsidR="003425D8" w:rsidRPr="00D80C5B">
              <w:rPr>
                <w:sz w:val="22"/>
                <w:szCs w:val="22"/>
              </w:rPr>
              <w:t xml:space="preserve">Finland (16.5%), </w:t>
            </w:r>
            <w:r w:rsidRPr="00D80C5B">
              <w:rPr>
                <w:sz w:val="22"/>
                <w:szCs w:val="22"/>
              </w:rPr>
              <w:t xml:space="preserve">and the Netherlands (16.8%). Despite those overall positive developments in poverty and social exclusion, some of its components show different evolutions, which is </w:t>
            </w:r>
            <w:r w:rsidRPr="00D80C5B">
              <w:rPr>
                <w:bCs/>
                <w:sz w:val="22"/>
                <w:szCs w:val="22"/>
              </w:rPr>
              <w:t>a source of concern in some EU countries</w:t>
            </w:r>
            <w:r w:rsidRPr="00D80C5B">
              <w:rPr>
                <w:sz w:val="22"/>
                <w:szCs w:val="22"/>
              </w:rPr>
              <w:t xml:space="preserve">, notably: </w:t>
            </w:r>
          </w:p>
          <w:p w:rsidR="006333DD" w:rsidRPr="00D80C5B" w:rsidRDefault="006333DD" w:rsidP="00D4465E">
            <w:pPr>
              <w:pStyle w:val="Default"/>
              <w:numPr>
                <w:ilvl w:val="0"/>
                <w:numId w:val="49"/>
              </w:numPr>
              <w:spacing w:after="120" w:line="276" w:lineRule="auto"/>
              <w:ind w:left="426" w:hanging="284"/>
              <w:jc w:val="both"/>
              <w:rPr>
                <w:sz w:val="22"/>
                <w:szCs w:val="22"/>
              </w:rPr>
            </w:pPr>
            <w:r w:rsidRPr="00D80C5B">
              <w:rPr>
                <w:sz w:val="22"/>
                <w:szCs w:val="22"/>
              </w:rPr>
              <w:t xml:space="preserve">The share of people at risk of poverty (AROP) has increased in one third of the Member States in recent years: the largest increases over a three-year period were recorded in </w:t>
            </w:r>
            <w:r w:rsidR="000475EC" w:rsidRPr="00D80C5B">
              <w:rPr>
                <w:sz w:val="22"/>
                <w:szCs w:val="22"/>
              </w:rPr>
              <w:t xml:space="preserve">Luxembourg (3 percentage points), </w:t>
            </w:r>
            <w:r w:rsidR="00415E74">
              <w:rPr>
                <w:sz w:val="22"/>
                <w:szCs w:val="22"/>
              </w:rPr>
              <w:t xml:space="preserve">the United Kingdom (2.3 pp), </w:t>
            </w:r>
            <w:r w:rsidRPr="00D80C5B">
              <w:rPr>
                <w:sz w:val="22"/>
                <w:szCs w:val="22"/>
              </w:rPr>
              <w:t>the Netherlands (1.</w:t>
            </w:r>
            <w:r w:rsidR="000475EC" w:rsidRPr="00D80C5B">
              <w:rPr>
                <w:sz w:val="22"/>
                <w:szCs w:val="22"/>
              </w:rPr>
              <w:t>7 pp</w:t>
            </w:r>
            <w:r w:rsidRPr="00D80C5B">
              <w:rPr>
                <w:sz w:val="22"/>
                <w:szCs w:val="22"/>
              </w:rPr>
              <w:t>)</w:t>
            </w:r>
            <w:r w:rsidR="000475EC" w:rsidRPr="00D80C5B">
              <w:rPr>
                <w:sz w:val="22"/>
                <w:szCs w:val="22"/>
              </w:rPr>
              <w:t>,</w:t>
            </w:r>
            <w:r w:rsidRPr="00D80C5B">
              <w:rPr>
                <w:sz w:val="22"/>
                <w:szCs w:val="22"/>
              </w:rPr>
              <w:t xml:space="preserve"> and Belgium (1.5 pp), while a significant decrease was recorded in Greece, Hungary</w:t>
            </w:r>
            <w:r w:rsidR="000475EC" w:rsidRPr="00D80C5B">
              <w:rPr>
                <w:sz w:val="22"/>
                <w:szCs w:val="22"/>
              </w:rPr>
              <w:t xml:space="preserve">, </w:t>
            </w:r>
            <w:r w:rsidRPr="00D80C5B">
              <w:rPr>
                <w:sz w:val="22"/>
                <w:szCs w:val="22"/>
              </w:rPr>
              <w:t>Poland</w:t>
            </w:r>
            <w:r w:rsidR="000475EC" w:rsidRPr="00D80C5B">
              <w:rPr>
                <w:sz w:val="22"/>
                <w:szCs w:val="22"/>
              </w:rPr>
              <w:t>, and Portugal, always between 2 and 3</w:t>
            </w:r>
            <w:r w:rsidRPr="00D80C5B">
              <w:rPr>
                <w:sz w:val="22"/>
                <w:szCs w:val="22"/>
              </w:rPr>
              <w:t xml:space="preserve"> pps. </w:t>
            </w:r>
          </w:p>
          <w:p w:rsidR="006333DD" w:rsidRPr="00D80C5B" w:rsidRDefault="006333DD" w:rsidP="00D4465E">
            <w:pPr>
              <w:pStyle w:val="Default"/>
              <w:numPr>
                <w:ilvl w:val="0"/>
                <w:numId w:val="49"/>
              </w:numPr>
              <w:spacing w:after="120" w:line="276" w:lineRule="auto"/>
              <w:ind w:left="426" w:hanging="284"/>
              <w:jc w:val="both"/>
              <w:rPr>
                <w:sz w:val="22"/>
                <w:szCs w:val="22"/>
              </w:rPr>
            </w:pPr>
            <w:r w:rsidRPr="00D80C5B">
              <w:rPr>
                <w:sz w:val="22"/>
                <w:szCs w:val="22"/>
              </w:rPr>
              <w:t xml:space="preserve">In contrast, severe material deprivation (SMD) declined over a 3-year period (and also in 2018) in most EU Member States; over a three-year period it declined by more than 13 percentage points in Bulgaria </w:t>
            </w:r>
            <w:r w:rsidR="000475EC" w:rsidRPr="00D80C5B">
              <w:rPr>
                <w:sz w:val="22"/>
                <w:szCs w:val="22"/>
              </w:rPr>
              <w:t xml:space="preserve">while </w:t>
            </w:r>
            <w:r w:rsidRPr="00D80C5B">
              <w:rPr>
                <w:sz w:val="22"/>
                <w:szCs w:val="22"/>
              </w:rPr>
              <w:t xml:space="preserve">Croatia, Cyprus, </w:t>
            </w:r>
            <w:r w:rsidR="000475EC" w:rsidRPr="00D80C5B">
              <w:rPr>
                <w:sz w:val="22"/>
                <w:szCs w:val="22"/>
              </w:rPr>
              <w:t xml:space="preserve">Greece, </w:t>
            </w:r>
            <w:r w:rsidRPr="00D80C5B">
              <w:rPr>
                <w:sz w:val="22"/>
                <w:szCs w:val="22"/>
              </w:rPr>
              <w:t xml:space="preserve">Hungary, Latvia, Malta, and Romania recorded drops of 5 percentage points or more. </w:t>
            </w:r>
          </w:p>
          <w:p w:rsidR="006333DD" w:rsidRPr="00D80C5B" w:rsidRDefault="006333DD" w:rsidP="003425D8">
            <w:pPr>
              <w:pStyle w:val="Default"/>
              <w:numPr>
                <w:ilvl w:val="0"/>
                <w:numId w:val="49"/>
              </w:numPr>
              <w:spacing w:line="276" w:lineRule="auto"/>
              <w:ind w:left="426" w:hanging="284"/>
              <w:jc w:val="both"/>
              <w:rPr>
                <w:sz w:val="22"/>
                <w:szCs w:val="22"/>
              </w:rPr>
            </w:pPr>
            <w:r w:rsidRPr="00D80C5B">
              <w:rPr>
                <w:sz w:val="22"/>
                <w:szCs w:val="22"/>
              </w:rPr>
              <w:t xml:space="preserve">Finally, the recovery brought a decline in the share of people (under 60) living in households with very low work intensity in almost all EU countries, except in Luxembourg and Sweden where that share increased, and in Finland where it remained stable in the three years to 2018. In parallel, in-work poverty slightly </w:t>
            </w:r>
            <w:r w:rsidR="00415E74">
              <w:rPr>
                <w:sz w:val="22"/>
                <w:szCs w:val="22"/>
              </w:rPr>
              <w:t>increased</w:t>
            </w:r>
            <w:r w:rsidR="00415E74" w:rsidRPr="00D80C5B">
              <w:rPr>
                <w:sz w:val="22"/>
                <w:szCs w:val="22"/>
              </w:rPr>
              <w:t xml:space="preserve"> </w:t>
            </w:r>
            <w:r w:rsidRPr="00D80C5B">
              <w:rPr>
                <w:sz w:val="22"/>
                <w:szCs w:val="22"/>
              </w:rPr>
              <w:t>to 9.</w:t>
            </w:r>
            <w:r w:rsidR="00415E74">
              <w:rPr>
                <w:sz w:val="22"/>
                <w:szCs w:val="22"/>
              </w:rPr>
              <w:t>5</w:t>
            </w:r>
            <w:r w:rsidRPr="00D80C5B">
              <w:rPr>
                <w:sz w:val="22"/>
                <w:szCs w:val="22"/>
              </w:rPr>
              <w:t xml:space="preserve">% in 2018 for the EU as a whole </w:t>
            </w:r>
            <w:r w:rsidR="00415E74">
              <w:rPr>
                <w:sz w:val="22"/>
                <w:szCs w:val="22"/>
              </w:rPr>
              <w:t>and remains close to the</w:t>
            </w:r>
            <w:r w:rsidRPr="00D80C5B">
              <w:rPr>
                <w:sz w:val="22"/>
                <w:szCs w:val="22"/>
              </w:rPr>
              <w:t xml:space="preserve"> peak of 9.6% in 2016.</w:t>
            </w:r>
          </w:p>
          <w:p w:rsidR="006333DD" w:rsidRPr="00D80C5B" w:rsidRDefault="006333DD" w:rsidP="00D4465E">
            <w:pPr>
              <w:pStyle w:val="Default"/>
              <w:spacing w:after="120" w:line="276" w:lineRule="auto"/>
              <w:ind w:left="0"/>
              <w:jc w:val="both"/>
            </w:pPr>
          </w:p>
        </w:tc>
      </w:tr>
    </w:tbl>
    <w:p w:rsidR="006333DD" w:rsidRPr="00D80C5B" w:rsidRDefault="006333DD" w:rsidP="006333DD">
      <w:pPr>
        <w:rPr>
          <w:rFonts w:ascii="Times New Roman" w:eastAsia="Times New Roman" w:hAnsi="Times New Roman" w:cs="Times New Roman"/>
          <w:b/>
          <w:sz w:val="24"/>
          <w:szCs w:val="24"/>
          <w:lang w:eastAsia="en-GB"/>
        </w:rPr>
      </w:pPr>
    </w:p>
    <w:p w:rsidR="006333DD" w:rsidRPr="00D80C5B" w:rsidRDefault="006333DD" w:rsidP="006333DD">
      <w:pPr>
        <w:rPr>
          <w:rFonts w:ascii="Times New Roman Bold" w:eastAsia="MS Gothic" w:hAnsi="Times New Roman Bold" w:cs="Times New Roman"/>
          <w:b/>
          <w:bCs/>
          <w:smallCaps/>
          <w:lang w:eastAsia="en-GB"/>
        </w:rPr>
      </w:pPr>
      <w:r w:rsidRPr="00D80C5B">
        <w:rPr>
          <w:rFonts w:ascii="Times New Roman Bold" w:eastAsia="MS Gothic" w:hAnsi="Times New Roman Bold" w:cs="Times New Roman" w:hint="eastAsia"/>
          <w:b/>
          <w:bCs/>
          <w:smallCaps/>
          <w:lang w:eastAsia="en-GB"/>
        </w:rPr>
        <w:br w:type="page"/>
      </w:r>
    </w:p>
    <w:p w:rsidR="006333DD" w:rsidRPr="00D80C5B" w:rsidRDefault="001419AE" w:rsidP="008961C6">
      <w:pPr>
        <w:ind w:left="0"/>
        <w:jc w:val="both"/>
        <w:rPr>
          <w:rFonts w:ascii="Times New Roman Bold" w:eastAsia="MS Gothic" w:hAnsi="Times New Roman Bold" w:cs="Times New Roman"/>
          <w:b/>
          <w:bCs/>
          <w:smallCaps/>
          <w:lang w:eastAsia="en-GB"/>
        </w:rPr>
      </w:pPr>
      <w:r w:rsidRPr="00D80C5B">
        <w:rPr>
          <w:rFonts w:ascii="Times New Roman Bold" w:eastAsia="MS Gothic" w:hAnsi="Times New Roman Bold" w:cs="Times New Roman" w:hint="eastAsia"/>
          <w:b/>
          <w:bCs/>
          <w:smallCaps/>
          <w:lang w:eastAsia="en-GB"/>
        </w:rPr>
        <w:t>4</w:t>
      </w:r>
      <w:r w:rsidR="006333DD" w:rsidRPr="00D80C5B">
        <w:rPr>
          <w:rFonts w:ascii="Times New Roman Bold" w:eastAsia="MS Gothic" w:hAnsi="Times New Roman Bold" w:cs="Times New Roman" w:hint="eastAsia"/>
          <w:b/>
          <w:bCs/>
          <w:smallCaps/>
          <w:lang w:eastAsia="en-GB"/>
        </w:rPr>
        <w:t>.</w:t>
      </w:r>
      <w:r w:rsidR="006333DD" w:rsidRPr="00D80C5B">
        <w:rPr>
          <w:rFonts w:ascii="Times New Roman Bold" w:eastAsia="MS Gothic" w:hAnsi="Times New Roman Bold" w:cs="Times New Roman" w:hint="eastAsia"/>
          <w:b/>
          <w:bCs/>
          <w:smallCaps/>
          <w:lang w:eastAsia="en-GB"/>
        </w:rPr>
        <w:tab/>
        <w:t>Summary of main challenges and surveillance implications</w:t>
      </w:r>
    </w:p>
    <w:p w:rsidR="008961C6" w:rsidRDefault="008961C6" w:rsidP="008961C6">
      <w:pPr>
        <w:ind w:left="0"/>
        <w:jc w:val="both"/>
        <w:rPr>
          <w:rFonts w:ascii="Times New Roman" w:hAnsi="Times New Roman" w:cs="Times New Roman"/>
          <w:b/>
        </w:rPr>
      </w:pPr>
    </w:p>
    <w:p w:rsidR="00E84437" w:rsidRPr="00D80C5B" w:rsidRDefault="00041998" w:rsidP="003425D8">
      <w:pPr>
        <w:spacing w:after="200"/>
        <w:ind w:left="0"/>
        <w:jc w:val="both"/>
        <w:rPr>
          <w:rFonts w:ascii="Times New Roman" w:hAnsi="Times New Roman" w:cs="Times New Roman"/>
        </w:rPr>
      </w:pPr>
      <w:r w:rsidRPr="00D80C5B">
        <w:rPr>
          <w:rFonts w:ascii="Times New Roman" w:hAnsi="Times New Roman" w:cs="Times New Roman"/>
          <w:b/>
        </w:rPr>
        <w:t>Rebalancing within the</w:t>
      </w:r>
      <w:r w:rsidR="00FF563F" w:rsidRPr="00D80C5B">
        <w:rPr>
          <w:rFonts w:ascii="Times New Roman" w:hAnsi="Times New Roman" w:cs="Times New Roman"/>
          <w:b/>
        </w:rPr>
        <w:t xml:space="preserve"> euro area is still incomplete</w:t>
      </w:r>
      <w:r w:rsidR="00E84437" w:rsidRPr="00D80C5B">
        <w:rPr>
          <w:rFonts w:ascii="Times New Roman" w:hAnsi="Times New Roman" w:cs="Times New Roman"/>
          <w:b/>
        </w:rPr>
        <w:t>,</w:t>
      </w:r>
      <w:r w:rsidR="00FF563F" w:rsidRPr="00D80C5B">
        <w:rPr>
          <w:rFonts w:ascii="Times New Roman" w:hAnsi="Times New Roman" w:cs="Times New Roman"/>
          <w:b/>
        </w:rPr>
        <w:t xml:space="preserve"> </w:t>
      </w:r>
      <w:r w:rsidR="001E3257" w:rsidRPr="00D80C5B">
        <w:rPr>
          <w:rFonts w:ascii="Times New Roman" w:hAnsi="Times New Roman" w:cs="Times New Roman"/>
          <w:b/>
        </w:rPr>
        <w:t>while</w:t>
      </w:r>
      <w:r w:rsidR="00FF563F" w:rsidRPr="00D80C5B">
        <w:rPr>
          <w:rFonts w:ascii="Times New Roman" w:hAnsi="Times New Roman" w:cs="Times New Roman"/>
          <w:b/>
        </w:rPr>
        <w:t xml:space="preserve"> </w:t>
      </w:r>
      <w:r w:rsidR="001D787D">
        <w:rPr>
          <w:rFonts w:ascii="Times New Roman" w:hAnsi="Times New Roman" w:cs="Times New Roman"/>
          <w:b/>
        </w:rPr>
        <w:t xml:space="preserve">rebalancing </w:t>
      </w:r>
      <w:r w:rsidR="004B3CB8">
        <w:rPr>
          <w:rFonts w:ascii="Times New Roman" w:hAnsi="Times New Roman" w:cs="Times New Roman"/>
          <w:b/>
        </w:rPr>
        <w:t xml:space="preserve">of both current account deficits and surpluses is </w:t>
      </w:r>
      <w:r w:rsidR="004B3CB8" w:rsidRPr="00D80C5B">
        <w:rPr>
          <w:rFonts w:ascii="Times New Roman" w:hAnsi="Times New Roman" w:cs="Times New Roman"/>
          <w:b/>
        </w:rPr>
        <w:t>pressing</w:t>
      </w:r>
      <w:r w:rsidR="004B3CB8">
        <w:rPr>
          <w:rFonts w:ascii="Times New Roman" w:hAnsi="Times New Roman" w:cs="Times New Roman"/>
          <w:b/>
        </w:rPr>
        <w:t xml:space="preserve"> </w:t>
      </w:r>
      <w:r w:rsidR="00325D9A">
        <w:rPr>
          <w:rFonts w:ascii="Times New Roman" w:hAnsi="Times New Roman" w:cs="Times New Roman"/>
          <w:b/>
        </w:rPr>
        <w:t>in</w:t>
      </w:r>
      <w:r w:rsidR="00325D9A" w:rsidRPr="00D80C5B">
        <w:rPr>
          <w:rFonts w:ascii="Times New Roman" w:hAnsi="Times New Roman" w:cs="Times New Roman"/>
          <w:b/>
        </w:rPr>
        <w:t xml:space="preserve"> </w:t>
      </w:r>
      <w:r w:rsidR="00FF563F" w:rsidRPr="00D80C5B">
        <w:rPr>
          <w:rFonts w:ascii="Times New Roman" w:hAnsi="Times New Roman" w:cs="Times New Roman"/>
          <w:b/>
        </w:rPr>
        <w:t>the current economic context</w:t>
      </w:r>
      <w:r w:rsidR="001D787D">
        <w:rPr>
          <w:rFonts w:ascii="Times New Roman" w:hAnsi="Times New Roman" w:cs="Times New Roman"/>
          <w:b/>
        </w:rPr>
        <w:t xml:space="preserve"> and would be beneficial for all Member States</w:t>
      </w:r>
      <w:r w:rsidR="00FF563F" w:rsidRPr="00D80C5B">
        <w:rPr>
          <w:rFonts w:ascii="Times New Roman" w:hAnsi="Times New Roman" w:cs="Times New Roman"/>
        </w:rPr>
        <w:t xml:space="preserve">. </w:t>
      </w:r>
      <w:r w:rsidR="001E3257" w:rsidRPr="00D80C5B">
        <w:rPr>
          <w:rFonts w:ascii="Times New Roman" w:hAnsi="Times New Roman" w:cs="Times New Roman"/>
        </w:rPr>
        <w:t>Whereas</w:t>
      </w:r>
      <w:r w:rsidRPr="00D80C5B">
        <w:rPr>
          <w:rFonts w:ascii="Times New Roman" w:hAnsi="Times New Roman" w:cs="Times New Roman"/>
        </w:rPr>
        <w:t xml:space="preserve"> most large current account deficits have</w:t>
      </w:r>
      <w:r w:rsidR="00325D9A">
        <w:rPr>
          <w:rFonts w:ascii="Times New Roman" w:hAnsi="Times New Roman" w:cs="Times New Roman"/>
        </w:rPr>
        <w:t xml:space="preserve"> been</w:t>
      </w:r>
      <w:r w:rsidRPr="00D80C5B">
        <w:rPr>
          <w:rFonts w:ascii="Times New Roman" w:hAnsi="Times New Roman" w:cs="Times New Roman"/>
        </w:rPr>
        <w:t xml:space="preserve"> corrected, large surpluses</w:t>
      </w:r>
      <w:r w:rsidR="00E84437" w:rsidRPr="00D80C5B">
        <w:rPr>
          <w:rFonts w:ascii="Times New Roman" w:hAnsi="Times New Roman" w:cs="Times New Roman"/>
        </w:rPr>
        <w:t xml:space="preserve"> </w:t>
      </w:r>
      <w:r w:rsidRPr="00D80C5B">
        <w:rPr>
          <w:rFonts w:ascii="Times New Roman" w:hAnsi="Times New Roman" w:cs="Times New Roman"/>
        </w:rPr>
        <w:t>persist in a number of euro area countries.</w:t>
      </w:r>
      <w:r w:rsidR="00E84437" w:rsidRPr="00D80C5B">
        <w:rPr>
          <w:rFonts w:ascii="Times New Roman" w:hAnsi="Times New Roman" w:cs="Times New Roman"/>
        </w:rPr>
        <w:t xml:space="preserve"> The euro area position has gradually moved to a </w:t>
      </w:r>
      <w:r w:rsidR="003425D8">
        <w:rPr>
          <w:rFonts w:ascii="Times New Roman" w:hAnsi="Times New Roman" w:cs="Times New Roman"/>
        </w:rPr>
        <w:t>surplus</w:t>
      </w:r>
      <w:r w:rsidR="00E84437" w:rsidRPr="00D80C5B">
        <w:rPr>
          <w:rFonts w:ascii="Times New Roman" w:hAnsi="Times New Roman" w:cs="Times New Roman"/>
        </w:rPr>
        <w:t xml:space="preserve"> which has started to slightly narrow mainly in light of reduced foreign export demand. Stock imbalances have started adjusting but remain substantial, with some euro</w:t>
      </w:r>
      <w:r w:rsidR="003425D8">
        <w:rPr>
          <w:rFonts w:ascii="Times New Roman" w:hAnsi="Times New Roman" w:cs="Times New Roman"/>
        </w:rPr>
        <w:t xml:space="preserve"> </w:t>
      </w:r>
      <w:r w:rsidR="00E84437" w:rsidRPr="00D80C5B">
        <w:rPr>
          <w:rFonts w:ascii="Times New Roman" w:hAnsi="Times New Roman" w:cs="Times New Roman"/>
        </w:rPr>
        <w:t xml:space="preserve">area countries still displaying largely negative NIIP positions while other recording largely positive and growing NIIPs. </w:t>
      </w:r>
      <w:r w:rsidR="00FF563F" w:rsidRPr="00D80C5B">
        <w:rPr>
          <w:rFonts w:ascii="Times New Roman" w:hAnsi="Times New Roman" w:cs="Times New Roman"/>
        </w:rPr>
        <w:t>U</w:t>
      </w:r>
      <w:r w:rsidRPr="00D80C5B">
        <w:rPr>
          <w:rFonts w:ascii="Times New Roman" w:hAnsi="Times New Roman" w:cs="Times New Roman"/>
        </w:rPr>
        <w:t>nit labour costs have been growing at a faster pace in net-creditor countries compared to net-debto</w:t>
      </w:r>
      <w:r w:rsidR="002F3260" w:rsidRPr="00D80C5B">
        <w:rPr>
          <w:rFonts w:ascii="Times New Roman" w:hAnsi="Times New Roman" w:cs="Times New Roman"/>
        </w:rPr>
        <w:t>r on</w:t>
      </w:r>
      <w:r w:rsidRPr="00D80C5B">
        <w:rPr>
          <w:rFonts w:ascii="Times New Roman" w:hAnsi="Times New Roman" w:cs="Times New Roman"/>
        </w:rPr>
        <w:t xml:space="preserve">es, thus reversing the </w:t>
      </w:r>
      <w:r w:rsidR="002F3260" w:rsidRPr="00D80C5B">
        <w:rPr>
          <w:rFonts w:ascii="Times New Roman" w:hAnsi="Times New Roman" w:cs="Times New Roman"/>
        </w:rPr>
        <w:t>patterns observed before the financial crisis. That</w:t>
      </w:r>
      <w:r w:rsidRPr="00D80C5B">
        <w:rPr>
          <w:rFonts w:ascii="Times New Roman" w:hAnsi="Times New Roman" w:cs="Times New Roman"/>
        </w:rPr>
        <w:t xml:space="preserve"> trend persists, but</w:t>
      </w:r>
      <w:r w:rsidR="00FF563F" w:rsidRPr="00D80C5B">
        <w:rPr>
          <w:rFonts w:ascii="Times New Roman" w:hAnsi="Times New Roman" w:cs="Times New Roman"/>
        </w:rPr>
        <w:t xml:space="preserve"> has weakened compared with the earlier post-crisis years as </w:t>
      </w:r>
      <w:r w:rsidR="001E3257" w:rsidRPr="00D80C5B">
        <w:rPr>
          <w:rFonts w:ascii="Times New Roman" w:hAnsi="Times New Roman" w:cs="Times New Roman"/>
        </w:rPr>
        <w:t>tighter</w:t>
      </w:r>
      <w:r w:rsidRPr="00D80C5B">
        <w:rPr>
          <w:rFonts w:ascii="Times New Roman" w:hAnsi="Times New Roman" w:cs="Times New Roman"/>
        </w:rPr>
        <w:t xml:space="preserve"> labour markets in net-debtor countries </w:t>
      </w:r>
      <w:r w:rsidR="001E3257" w:rsidRPr="00D80C5B">
        <w:rPr>
          <w:rFonts w:ascii="Times New Roman" w:hAnsi="Times New Roman" w:cs="Times New Roman"/>
        </w:rPr>
        <w:t xml:space="preserve">lead to higher </w:t>
      </w:r>
      <w:r w:rsidR="00FF563F" w:rsidRPr="00D80C5B">
        <w:rPr>
          <w:rFonts w:ascii="Times New Roman" w:hAnsi="Times New Roman" w:cs="Times New Roman"/>
        </w:rPr>
        <w:t>wage growth against a</w:t>
      </w:r>
      <w:r w:rsidR="0093440B" w:rsidRPr="00D80C5B">
        <w:rPr>
          <w:rFonts w:ascii="Times New Roman" w:hAnsi="Times New Roman" w:cs="Times New Roman"/>
        </w:rPr>
        <w:t xml:space="preserve"> </w:t>
      </w:r>
      <w:r w:rsidR="00FF563F" w:rsidRPr="00D80C5B">
        <w:rPr>
          <w:rFonts w:ascii="Times New Roman" w:hAnsi="Times New Roman" w:cs="Times New Roman"/>
        </w:rPr>
        <w:t>bac</w:t>
      </w:r>
      <w:r w:rsidR="0093440B" w:rsidRPr="00D80C5B">
        <w:rPr>
          <w:rFonts w:ascii="Times New Roman" w:hAnsi="Times New Roman" w:cs="Times New Roman"/>
        </w:rPr>
        <w:t>kd</w:t>
      </w:r>
      <w:r w:rsidR="00FF563F" w:rsidRPr="00D80C5B">
        <w:rPr>
          <w:rFonts w:ascii="Times New Roman" w:hAnsi="Times New Roman" w:cs="Times New Roman"/>
        </w:rPr>
        <w:t>r</w:t>
      </w:r>
      <w:r w:rsidR="0093440B" w:rsidRPr="00D80C5B">
        <w:rPr>
          <w:rFonts w:ascii="Times New Roman" w:hAnsi="Times New Roman" w:cs="Times New Roman"/>
        </w:rPr>
        <w:t>o</w:t>
      </w:r>
      <w:r w:rsidR="00FF563F" w:rsidRPr="00D80C5B">
        <w:rPr>
          <w:rFonts w:ascii="Times New Roman" w:hAnsi="Times New Roman" w:cs="Times New Roman"/>
        </w:rPr>
        <w:t xml:space="preserve">p of sluggish </w:t>
      </w:r>
      <w:r w:rsidRPr="00D80C5B">
        <w:rPr>
          <w:rFonts w:ascii="Times New Roman" w:hAnsi="Times New Roman" w:cs="Times New Roman"/>
        </w:rPr>
        <w:t xml:space="preserve">productivity </w:t>
      </w:r>
      <w:r w:rsidR="00FF563F" w:rsidRPr="00D80C5B">
        <w:rPr>
          <w:rFonts w:ascii="Times New Roman" w:hAnsi="Times New Roman" w:cs="Times New Roman"/>
        </w:rPr>
        <w:t>while wage upswing</w:t>
      </w:r>
      <w:r w:rsidR="002F3260" w:rsidRPr="00D80C5B">
        <w:rPr>
          <w:rFonts w:ascii="Times New Roman" w:hAnsi="Times New Roman" w:cs="Times New Roman"/>
        </w:rPr>
        <w:t>s</w:t>
      </w:r>
      <w:r w:rsidR="00FF563F" w:rsidRPr="00D80C5B">
        <w:rPr>
          <w:rFonts w:ascii="Times New Roman" w:hAnsi="Times New Roman" w:cs="Times New Roman"/>
        </w:rPr>
        <w:t xml:space="preserve"> in ne</w:t>
      </w:r>
      <w:r w:rsidR="001E3257" w:rsidRPr="00D80C5B">
        <w:rPr>
          <w:rFonts w:ascii="Times New Roman" w:hAnsi="Times New Roman" w:cs="Times New Roman"/>
        </w:rPr>
        <w:t xml:space="preserve">t </w:t>
      </w:r>
      <w:r w:rsidR="00FF563F" w:rsidRPr="00D80C5B">
        <w:rPr>
          <w:rFonts w:ascii="Times New Roman" w:hAnsi="Times New Roman" w:cs="Times New Roman"/>
        </w:rPr>
        <w:t xml:space="preserve">creditors have been limited </w:t>
      </w:r>
      <w:r w:rsidR="002F3260" w:rsidRPr="00D80C5B">
        <w:rPr>
          <w:rFonts w:ascii="Times New Roman" w:hAnsi="Times New Roman" w:cs="Times New Roman"/>
        </w:rPr>
        <w:t xml:space="preserve">even after </w:t>
      </w:r>
      <w:r w:rsidR="00FF563F" w:rsidRPr="00D80C5B">
        <w:rPr>
          <w:rFonts w:ascii="Times New Roman" w:hAnsi="Times New Roman" w:cs="Times New Roman"/>
        </w:rPr>
        <w:t>years of low unemployment</w:t>
      </w:r>
      <w:r w:rsidRPr="00D80C5B">
        <w:rPr>
          <w:rFonts w:ascii="Times New Roman" w:hAnsi="Times New Roman" w:cs="Times New Roman"/>
        </w:rPr>
        <w:t xml:space="preserve">. </w:t>
      </w:r>
      <w:r w:rsidR="00E84437" w:rsidRPr="00D80C5B">
        <w:rPr>
          <w:rFonts w:ascii="Times New Roman" w:hAnsi="Times New Roman" w:cs="Times New Roman"/>
        </w:rPr>
        <w:t>Symmetric rebalancing of current account positions would contribute to overcome the current low-inflation, low-interest-rate environment while support</w:t>
      </w:r>
      <w:r w:rsidR="007A497E" w:rsidRPr="003425D8">
        <w:rPr>
          <w:rFonts w:ascii="Times New Roman" w:hAnsi="Times New Roman" w:cs="Times New Roman"/>
        </w:rPr>
        <w:t>ing</w:t>
      </w:r>
      <w:r w:rsidR="00E84437" w:rsidRPr="00D80C5B">
        <w:rPr>
          <w:rFonts w:ascii="Times New Roman" w:hAnsi="Times New Roman" w:cs="Times New Roman"/>
        </w:rPr>
        <w:t xml:space="preserve"> nominal growth, thereby </w:t>
      </w:r>
      <w:r w:rsidR="00325D9A">
        <w:rPr>
          <w:rFonts w:ascii="Times New Roman" w:hAnsi="Times New Roman" w:cs="Times New Roman"/>
        </w:rPr>
        <w:t>supporting</w:t>
      </w:r>
      <w:r w:rsidR="00325D9A" w:rsidRPr="00D80C5B">
        <w:rPr>
          <w:rFonts w:ascii="Times New Roman" w:hAnsi="Times New Roman" w:cs="Times New Roman"/>
        </w:rPr>
        <w:t xml:space="preserve"> </w:t>
      </w:r>
      <w:r w:rsidR="00E84437" w:rsidRPr="00D80C5B">
        <w:rPr>
          <w:rFonts w:ascii="Times New Roman" w:hAnsi="Times New Roman" w:cs="Times New Roman"/>
        </w:rPr>
        <w:t xml:space="preserve">deleveraging and the rebalancing of net-debtor positions.  </w:t>
      </w:r>
    </w:p>
    <w:p w:rsidR="006333DD" w:rsidRPr="00D80C5B" w:rsidRDefault="006333DD" w:rsidP="003425D8">
      <w:pPr>
        <w:spacing w:after="200"/>
        <w:ind w:left="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Overall, challenges are present in a number of Member States, for different reasons and </w:t>
      </w:r>
      <w:r w:rsidR="00325D9A">
        <w:rPr>
          <w:rFonts w:ascii="Times New Roman" w:eastAsia="Times New Roman" w:hAnsi="Times New Roman" w:cs="Times New Roman"/>
          <w:b/>
          <w:lang w:eastAsia="en-GB"/>
        </w:rPr>
        <w:t>to</w:t>
      </w:r>
      <w:r w:rsidR="00325D9A" w:rsidRPr="00D80C5B">
        <w:rPr>
          <w:rFonts w:ascii="Times New Roman" w:eastAsia="Times New Roman" w:hAnsi="Times New Roman" w:cs="Times New Roman"/>
          <w:b/>
          <w:lang w:eastAsia="en-GB"/>
        </w:rPr>
        <w:t xml:space="preserve"> </w:t>
      </w:r>
      <w:r w:rsidRPr="00D80C5B">
        <w:rPr>
          <w:rFonts w:ascii="Times New Roman" w:eastAsia="Times New Roman" w:hAnsi="Times New Roman" w:cs="Times New Roman"/>
          <w:b/>
          <w:lang w:eastAsia="en-GB"/>
        </w:rPr>
        <w:t xml:space="preserve">a different extent. </w:t>
      </w:r>
      <w:r w:rsidRPr="00D80C5B">
        <w:rPr>
          <w:rFonts w:ascii="Times New Roman" w:eastAsia="Times New Roman" w:hAnsi="Times New Roman" w:cs="Times New Roman"/>
          <w:lang w:eastAsia="en-GB"/>
        </w:rPr>
        <w:t xml:space="preserve">The degree of severity of the challenges for macroeconomic stability varies significantly across Member States, depending on the nature and extent of vulnerabilities and unsustainable trends, and the way they interact </w:t>
      </w:r>
      <w:r w:rsidR="00325D9A">
        <w:rPr>
          <w:rFonts w:ascii="Times New Roman" w:eastAsia="Times New Roman" w:hAnsi="Times New Roman" w:cs="Times New Roman"/>
          <w:lang w:eastAsia="en-GB"/>
        </w:rPr>
        <w:t>with each other</w:t>
      </w:r>
      <w:r w:rsidRPr="00D80C5B">
        <w:rPr>
          <w:rFonts w:ascii="Times New Roman" w:eastAsia="Times New Roman" w:hAnsi="Times New Roman" w:cs="Times New Roman"/>
          <w:lang w:eastAsia="en-GB"/>
        </w:rPr>
        <w:t>. The main sources of potential imbalances combine according to a number of typologies summarised as follows:</w:t>
      </w:r>
    </w:p>
    <w:p w:rsidR="006333DD" w:rsidRPr="00D80C5B" w:rsidRDefault="006333DD" w:rsidP="003425D8">
      <w:pPr>
        <w:numPr>
          <w:ilvl w:val="0"/>
          <w:numId w:val="2"/>
        </w:numPr>
        <w:spacing w:after="200"/>
        <w:ind w:left="426" w:hanging="284"/>
        <w:jc w:val="both"/>
        <w:rPr>
          <w:rFonts w:ascii="Times New Roman" w:eastAsia="Times New Roman" w:hAnsi="Times New Roman" w:cs="Times New Roman"/>
          <w:lang w:eastAsia="en-GB"/>
        </w:rPr>
      </w:pPr>
      <w:r w:rsidRPr="00D80C5B">
        <w:rPr>
          <w:rFonts w:ascii="Times New Roman" w:eastAsia="Times New Roman" w:hAnsi="Times New Roman" w:cs="Times New Roman"/>
          <w:lang w:eastAsia="en-GB"/>
        </w:rPr>
        <w:t xml:space="preserve">A number of Member States continue to be mainly affected by </w:t>
      </w:r>
      <w:r w:rsidRPr="00D80C5B">
        <w:rPr>
          <w:rFonts w:ascii="Times New Roman" w:eastAsia="Times New Roman" w:hAnsi="Times New Roman" w:cs="Times New Roman"/>
          <w:i/>
          <w:lang w:eastAsia="en-GB"/>
        </w:rPr>
        <w:t>multiple and interconnected stock vulnerabilities</w:t>
      </w:r>
      <w:r w:rsidRPr="00D80C5B">
        <w:rPr>
          <w:rFonts w:ascii="Times New Roman" w:eastAsia="Times New Roman" w:hAnsi="Times New Roman" w:cs="Times New Roman"/>
          <w:lang w:eastAsia="en-GB"/>
        </w:rPr>
        <w:t xml:space="preserve">. This is typically the case for those countries that were hit by boom-bust credit cycles coupled with current account reversals that also had implications for the banking sector and for government debt. </w:t>
      </w:r>
    </w:p>
    <w:p w:rsidR="006333DD" w:rsidRPr="00D80C5B" w:rsidRDefault="006333DD" w:rsidP="00756D75">
      <w:pPr>
        <w:numPr>
          <w:ilvl w:val="1"/>
          <w:numId w:val="2"/>
        </w:numPr>
        <w:spacing w:after="200"/>
        <w:ind w:left="709" w:hanging="283"/>
        <w:jc w:val="both"/>
        <w:rPr>
          <w:rFonts w:ascii="Times New Roman" w:eastAsia="Times New Roman" w:hAnsi="Times New Roman" w:cs="Times New Roman"/>
          <w:lang w:eastAsia="en-GB"/>
        </w:rPr>
      </w:pPr>
      <w:r w:rsidRPr="00D80C5B">
        <w:rPr>
          <w:rFonts w:ascii="Times New Roman" w:eastAsia="Times New Roman" w:hAnsi="Times New Roman" w:cs="Times New Roman"/>
          <w:lang w:eastAsia="en-GB"/>
        </w:rPr>
        <w:t>In the case of Cyprus and Greece, elevated debt stocks, and large negative net international investment positions are coupled with remaining challenges for the financial sector, although improvements on the front of NPLs and profitability are observed in Cyprus</w:t>
      </w:r>
      <w:r w:rsidR="00756D75">
        <w:rPr>
          <w:rFonts w:ascii="Times New Roman" w:eastAsia="Times New Roman" w:hAnsi="Times New Roman" w:cs="Times New Roman"/>
          <w:lang w:eastAsia="en-GB"/>
        </w:rPr>
        <w:t xml:space="preserve"> and the </w:t>
      </w:r>
      <w:r w:rsidR="00756D75" w:rsidRPr="00756D75">
        <w:rPr>
          <w:rFonts w:ascii="Times New Roman" w:eastAsia="Times New Roman" w:hAnsi="Times New Roman" w:cs="Times New Roman"/>
          <w:lang w:eastAsia="en-GB"/>
        </w:rPr>
        <w:t xml:space="preserve">decline in </w:t>
      </w:r>
      <w:r w:rsidR="00756D75">
        <w:rPr>
          <w:rFonts w:ascii="Times New Roman" w:eastAsia="Times New Roman" w:hAnsi="Times New Roman" w:cs="Times New Roman"/>
          <w:lang w:eastAsia="en-GB"/>
        </w:rPr>
        <w:t xml:space="preserve">NPLs </w:t>
      </w:r>
      <w:r w:rsidR="00756D75" w:rsidRPr="00756D75">
        <w:rPr>
          <w:rFonts w:ascii="Times New Roman" w:eastAsia="Times New Roman" w:hAnsi="Times New Roman" w:cs="Times New Roman"/>
          <w:lang w:eastAsia="en-GB"/>
        </w:rPr>
        <w:t xml:space="preserve">has accelerated </w:t>
      </w:r>
      <w:r w:rsidR="00756D75">
        <w:rPr>
          <w:rFonts w:ascii="Times New Roman" w:eastAsia="Times New Roman" w:hAnsi="Times New Roman" w:cs="Times New Roman"/>
          <w:lang w:eastAsia="en-GB"/>
        </w:rPr>
        <w:t xml:space="preserve">in Greece </w:t>
      </w:r>
      <w:r w:rsidR="00756D75" w:rsidRPr="00756D75">
        <w:rPr>
          <w:rFonts w:ascii="Times New Roman" w:eastAsia="Times New Roman" w:hAnsi="Times New Roman" w:cs="Times New Roman"/>
          <w:lang w:eastAsia="en-GB"/>
        </w:rPr>
        <w:t>since 2018</w:t>
      </w:r>
      <w:r w:rsidR="00756D75">
        <w:rPr>
          <w:rFonts w:ascii="Times New Roman" w:eastAsia="Times New Roman" w:hAnsi="Times New Roman" w:cs="Times New Roman"/>
          <w:lang w:eastAsia="en-GB"/>
        </w:rPr>
        <w:t xml:space="preserve"> </w:t>
      </w:r>
      <w:r w:rsidR="00756D75" w:rsidRPr="00756D75">
        <w:rPr>
          <w:rFonts w:ascii="Times New Roman" w:eastAsia="Times New Roman" w:hAnsi="Times New Roman" w:cs="Times New Roman"/>
          <w:lang w:eastAsia="en-GB"/>
        </w:rPr>
        <w:t>but levels remain very high</w:t>
      </w:r>
      <w:r w:rsidRPr="00D80C5B">
        <w:rPr>
          <w:rFonts w:ascii="Times New Roman" w:eastAsia="Times New Roman" w:hAnsi="Times New Roman" w:cs="Times New Roman"/>
          <w:lang w:eastAsia="en-GB"/>
        </w:rPr>
        <w:t>.</w:t>
      </w:r>
      <w:r w:rsidR="00756D75">
        <w:rPr>
          <w:rFonts w:ascii="Times New Roman" w:eastAsia="Times New Roman" w:hAnsi="Times New Roman" w:cs="Times New Roman"/>
          <w:lang w:eastAsia="en-GB"/>
        </w:rPr>
        <w:t xml:space="preserve"> </w:t>
      </w:r>
      <w:r w:rsidRPr="00D80C5B">
        <w:rPr>
          <w:rFonts w:ascii="Times New Roman" w:eastAsia="Times New Roman" w:hAnsi="Times New Roman" w:cs="Times New Roman"/>
          <w:lang w:eastAsia="en-GB"/>
        </w:rPr>
        <w:t>In the case of Greece</w:t>
      </w:r>
      <w:r w:rsidR="00756D75">
        <w:rPr>
          <w:rFonts w:ascii="Times New Roman" w:eastAsia="Times New Roman" w:hAnsi="Times New Roman" w:cs="Times New Roman"/>
          <w:lang w:eastAsia="en-GB"/>
        </w:rPr>
        <w:t>,</w:t>
      </w:r>
      <w:r w:rsidRPr="00D80C5B">
        <w:rPr>
          <w:rFonts w:ascii="Times New Roman" w:eastAsia="Times New Roman" w:hAnsi="Times New Roman" w:cs="Times New Roman"/>
          <w:lang w:eastAsia="en-GB"/>
        </w:rPr>
        <w:t xml:space="preserve"> </w:t>
      </w:r>
      <w:r w:rsidRPr="00756D75">
        <w:rPr>
          <w:rFonts w:ascii="Times New Roman" w:eastAsia="Times New Roman" w:hAnsi="Times New Roman" w:cs="Times New Roman"/>
          <w:lang w:eastAsia="en-GB"/>
        </w:rPr>
        <w:t>potential</w:t>
      </w:r>
      <w:r w:rsidRPr="00D80C5B">
        <w:rPr>
          <w:rFonts w:ascii="Times New Roman" w:eastAsia="Times New Roman" w:hAnsi="Times New Roman" w:cs="Times New Roman"/>
          <w:lang w:eastAsia="en-GB"/>
        </w:rPr>
        <w:t xml:space="preserve"> output growth is </w:t>
      </w:r>
      <w:r w:rsidR="00756D75">
        <w:rPr>
          <w:rFonts w:ascii="Times New Roman" w:eastAsia="Times New Roman" w:hAnsi="Times New Roman" w:cs="Times New Roman"/>
          <w:lang w:eastAsia="en-GB"/>
        </w:rPr>
        <w:t xml:space="preserve">low in a context of </w:t>
      </w:r>
      <w:r w:rsidRPr="00D80C5B">
        <w:rPr>
          <w:rFonts w:ascii="Times New Roman" w:eastAsia="Times New Roman" w:hAnsi="Times New Roman" w:cs="Times New Roman"/>
          <w:lang w:eastAsia="en-GB"/>
        </w:rPr>
        <w:t>high</w:t>
      </w:r>
      <w:r w:rsidR="00756D75">
        <w:rPr>
          <w:rFonts w:ascii="Times New Roman" w:eastAsia="Times New Roman" w:hAnsi="Times New Roman" w:cs="Times New Roman"/>
          <w:lang w:eastAsia="en-GB"/>
        </w:rPr>
        <w:t xml:space="preserve"> (although declining) </w:t>
      </w:r>
      <w:r w:rsidRPr="00D80C5B">
        <w:rPr>
          <w:rFonts w:ascii="Times New Roman" w:eastAsia="Times New Roman" w:hAnsi="Times New Roman" w:cs="Times New Roman"/>
          <w:lang w:eastAsia="en-GB"/>
        </w:rPr>
        <w:t xml:space="preserve">unemployment. </w:t>
      </w:r>
    </w:p>
    <w:p w:rsidR="006333DD" w:rsidRPr="00D80C5B" w:rsidRDefault="006333DD" w:rsidP="003425D8">
      <w:pPr>
        <w:numPr>
          <w:ilvl w:val="1"/>
          <w:numId w:val="2"/>
        </w:numPr>
        <w:spacing w:after="200"/>
        <w:ind w:left="709" w:hanging="283"/>
        <w:jc w:val="both"/>
        <w:rPr>
          <w:rFonts w:ascii="Times New Roman" w:eastAsia="Times New Roman" w:hAnsi="Times New Roman" w:cs="Times New Roman"/>
          <w:lang w:eastAsia="en-GB"/>
        </w:rPr>
      </w:pPr>
      <w:r w:rsidRPr="00D80C5B">
        <w:rPr>
          <w:rFonts w:ascii="Times New Roman" w:eastAsia="Times New Roman" w:hAnsi="Times New Roman" w:cs="Times New Roman"/>
          <w:lang w:eastAsia="en-GB"/>
        </w:rPr>
        <w:t xml:space="preserve">In Croatia, Ireland, Portugal, and Spain, vulnerabilities stemming from stock legacy issues are also significant, multiple, and interconnected. In Bulgaria, corporate indebtedness is coupled with a past of lingering issues with the financial sector that are being addressed by policy. In those countries, stock-related imbalances have been receding on the back of resumed nominal growth, associated in some cases with the re-emergence of strong growth in house prices (in Ireland, and more recently in Portugal), as well as resuming ULC growth </w:t>
      </w:r>
      <w:r w:rsidR="008B2561">
        <w:rPr>
          <w:rFonts w:ascii="Times New Roman" w:eastAsia="Times New Roman" w:hAnsi="Times New Roman" w:cs="Times New Roman"/>
          <w:lang w:eastAsia="en-GB"/>
        </w:rPr>
        <w:t xml:space="preserve">and </w:t>
      </w:r>
      <w:r w:rsidR="008B2561" w:rsidRPr="00D80C5B">
        <w:rPr>
          <w:rFonts w:ascii="Times New Roman" w:eastAsia="Times New Roman" w:hAnsi="Times New Roman" w:cs="Times New Roman"/>
          <w:lang w:eastAsia="en-GB"/>
        </w:rPr>
        <w:t xml:space="preserve">stalling competitiveness gains in Portugal and Spain </w:t>
      </w:r>
      <w:r w:rsidR="008B2561">
        <w:rPr>
          <w:rFonts w:ascii="Times New Roman" w:eastAsia="Times New Roman" w:hAnsi="Times New Roman" w:cs="Times New Roman"/>
          <w:lang w:eastAsia="en-GB"/>
        </w:rPr>
        <w:t>and</w:t>
      </w:r>
      <w:r w:rsidR="008B2561" w:rsidRPr="00D80C5B">
        <w:rPr>
          <w:rFonts w:ascii="Times New Roman" w:eastAsia="Times New Roman" w:hAnsi="Times New Roman" w:cs="Times New Roman"/>
          <w:lang w:eastAsia="en-GB"/>
        </w:rPr>
        <w:t xml:space="preserve"> </w:t>
      </w:r>
      <w:r w:rsidRPr="00D80C5B">
        <w:rPr>
          <w:rFonts w:ascii="Times New Roman" w:eastAsia="Times New Roman" w:hAnsi="Times New Roman" w:cs="Times New Roman"/>
          <w:lang w:eastAsia="en-GB"/>
        </w:rPr>
        <w:t xml:space="preserve">strong ULC increases in Bulgaria.  </w:t>
      </w:r>
    </w:p>
    <w:p w:rsidR="006333DD" w:rsidRPr="00D80C5B" w:rsidRDefault="006333DD" w:rsidP="003425D8">
      <w:pPr>
        <w:numPr>
          <w:ilvl w:val="0"/>
          <w:numId w:val="2"/>
        </w:numPr>
        <w:spacing w:after="200"/>
        <w:ind w:left="426" w:hanging="284"/>
        <w:jc w:val="both"/>
        <w:rPr>
          <w:rFonts w:ascii="Times New Roman" w:eastAsia="Times New Roman" w:hAnsi="Times New Roman" w:cs="Times New Roman"/>
          <w:lang w:eastAsia="en-GB"/>
        </w:rPr>
      </w:pPr>
      <w:r w:rsidRPr="00D80C5B">
        <w:rPr>
          <w:rFonts w:ascii="Times New Roman" w:eastAsia="Times New Roman" w:hAnsi="Times New Roman" w:cs="Times New Roman"/>
          <w:lang w:eastAsia="en-GB"/>
        </w:rPr>
        <w:t xml:space="preserve">In a few Member States, vulnerabilities are mainly linked to </w:t>
      </w:r>
      <w:r w:rsidRPr="00D80C5B">
        <w:rPr>
          <w:rFonts w:ascii="Times New Roman" w:eastAsia="Times New Roman" w:hAnsi="Times New Roman" w:cs="Times New Roman"/>
          <w:i/>
          <w:lang w:eastAsia="en-GB"/>
        </w:rPr>
        <w:t>large stocks of general government debt</w:t>
      </w:r>
      <w:r w:rsidRPr="00D80C5B">
        <w:rPr>
          <w:rFonts w:ascii="Times New Roman" w:eastAsia="Times New Roman" w:hAnsi="Times New Roman" w:cs="Times New Roman"/>
          <w:lang w:eastAsia="en-GB"/>
        </w:rPr>
        <w:t xml:space="preserve"> coupled with concerns relating to </w:t>
      </w:r>
      <w:r w:rsidRPr="00D80C5B">
        <w:rPr>
          <w:rFonts w:ascii="Times New Roman" w:eastAsia="Times New Roman" w:hAnsi="Times New Roman" w:cs="Times New Roman"/>
          <w:i/>
          <w:lang w:eastAsia="en-GB"/>
        </w:rPr>
        <w:t>potential output growth</w:t>
      </w:r>
      <w:r w:rsidRPr="00D80C5B">
        <w:rPr>
          <w:rFonts w:ascii="Times New Roman" w:eastAsia="Times New Roman" w:hAnsi="Times New Roman" w:cs="Times New Roman"/>
          <w:lang w:eastAsia="en-GB"/>
        </w:rPr>
        <w:t xml:space="preserve"> and </w:t>
      </w:r>
      <w:r w:rsidRPr="00D80C5B">
        <w:rPr>
          <w:rFonts w:ascii="Times New Roman" w:eastAsia="Times New Roman" w:hAnsi="Times New Roman" w:cs="Times New Roman"/>
          <w:i/>
          <w:lang w:eastAsia="en-GB"/>
        </w:rPr>
        <w:t>competitiveness</w:t>
      </w:r>
      <w:r w:rsidRPr="00D80C5B">
        <w:rPr>
          <w:rFonts w:ascii="Times New Roman" w:eastAsia="Times New Roman" w:hAnsi="Times New Roman" w:cs="Times New Roman"/>
          <w:lang w:eastAsia="en-GB"/>
        </w:rPr>
        <w:t xml:space="preserve">. This is particularly the case for Italy, where vulnerabilities are also linked to the banking sector and the large but rapidly declining stock of NPLs, and in a context of weak labour market performance. Belgium and France mainly face a high general government debt and potential growth issues amidst also compressed competitiveness. In France, a relatively high stock of private debt is on the rise. In Belgium, a relatively high and growing stock of household debt is coupled with possibly overvalued house prices; the external position remains solid but has weakened somewhat recently. </w:t>
      </w:r>
    </w:p>
    <w:p w:rsidR="006333DD" w:rsidRPr="00D80C5B" w:rsidRDefault="006333DD" w:rsidP="003425D8">
      <w:pPr>
        <w:numPr>
          <w:ilvl w:val="0"/>
          <w:numId w:val="2"/>
        </w:numPr>
        <w:spacing w:after="200"/>
        <w:ind w:left="426" w:hanging="284"/>
        <w:jc w:val="both"/>
        <w:rPr>
          <w:rFonts w:ascii="Times New Roman" w:eastAsia="Times New Roman" w:hAnsi="Times New Roman" w:cs="Times New Roman"/>
          <w:lang w:eastAsia="en-GB"/>
        </w:rPr>
      </w:pPr>
      <w:r w:rsidRPr="00D80C5B">
        <w:rPr>
          <w:rFonts w:ascii="Times New Roman" w:eastAsia="Times New Roman" w:hAnsi="Times New Roman" w:cs="Times New Roman"/>
          <w:lang w:eastAsia="en-GB"/>
        </w:rPr>
        <w:t xml:space="preserve">Some Member States are characterised by </w:t>
      </w:r>
      <w:r w:rsidRPr="00D80C5B">
        <w:rPr>
          <w:rFonts w:ascii="Times New Roman" w:eastAsia="Times New Roman" w:hAnsi="Times New Roman" w:cs="Times New Roman"/>
          <w:i/>
          <w:lang w:eastAsia="en-GB"/>
        </w:rPr>
        <w:t>large and persistent current account surpluses</w:t>
      </w:r>
      <w:r w:rsidRPr="00D80C5B">
        <w:rPr>
          <w:rFonts w:ascii="Times New Roman" w:eastAsia="Times New Roman" w:hAnsi="Times New Roman" w:cs="Times New Roman"/>
          <w:lang w:eastAsia="en-GB"/>
        </w:rPr>
        <w:t xml:space="preserve"> that also reflect, to a varying degree, subdued private consumption and investment, in excess of what economic fundamentals would justify. This is the case notably for Germany and the Netherlands. In the Netherlands, a large surplus is coupled with a high stock of household debt and strong house price growth; house price pressures have been noted recently also in Germany but debt levels therein are comparatively</w:t>
      </w:r>
      <w:r w:rsidR="001D787D">
        <w:rPr>
          <w:rFonts w:ascii="Times New Roman" w:eastAsia="Times New Roman" w:hAnsi="Times New Roman" w:cs="Times New Roman"/>
          <w:lang w:eastAsia="en-GB"/>
        </w:rPr>
        <w:t xml:space="preserve"> low</w:t>
      </w:r>
      <w:r w:rsidRPr="00D80C5B">
        <w:rPr>
          <w:rFonts w:ascii="Times New Roman" w:eastAsia="Times New Roman" w:hAnsi="Times New Roman" w:cs="Times New Roman"/>
          <w:lang w:eastAsia="en-GB"/>
        </w:rPr>
        <w:t>. The large and persistent surpluses may reflect forgone growth and domestic investment opportunities, which bear consequences for the rest of the euro area in a context of protracted below-target inflation and weakening foreign demand.</w:t>
      </w:r>
    </w:p>
    <w:p w:rsidR="006333DD" w:rsidRPr="00D80C5B" w:rsidRDefault="006333DD" w:rsidP="003425D8">
      <w:pPr>
        <w:numPr>
          <w:ilvl w:val="0"/>
          <w:numId w:val="2"/>
        </w:numPr>
        <w:spacing w:after="200"/>
        <w:ind w:left="426" w:hanging="284"/>
        <w:jc w:val="both"/>
        <w:rPr>
          <w:rFonts w:ascii="Times New Roman" w:eastAsia="Times New Roman" w:hAnsi="Times New Roman" w:cs="Times New Roman"/>
          <w:lang w:eastAsia="en-GB"/>
        </w:rPr>
      </w:pPr>
      <w:r w:rsidRPr="00D80C5B">
        <w:rPr>
          <w:rFonts w:ascii="Times New Roman" w:hAnsi="Times New Roman" w:cs="Times New Roman"/>
        </w:rPr>
        <w:t xml:space="preserve">In some Member States, </w:t>
      </w:r>
      <w:r w:rsidRPr="00D80C5B">
        <w:rPr>
          <w:rFonts w:ascii="Times New Roman" w:hAnsi="Times New Roman" w:cs="Times New Roman"/>
          <w:i/>
        </w:rPr>
        <w:t>developments in price or cost variables show potential signs of overheating, particularly as regards the housing market or the labour market</w:t>
      </w:r>
      <w:r w:rsidRPr="00D80C5B">
        <w:rPr>
          <w:rFonts w:ascii="Times New Roman" w:hAnsi="Times New Roman" w:cs="Times New Roman"/>
        </w:rPr>
        <w:t xml:space="preserve">. </w:t>
      </w:r>
    </w:p>
    <w:p w:rsidR="006333DD" w:rsidRPr="00D80C5B" w:rsidRDefault="006333DD" w:rsidP="003425D8">
      <w:pPr>
        <w:numPr>
          <w:ilvl w:val="1"/>
          <w:numId w:val="2"/>
        </w:numPr>
        <w:spacing w:after="200"/>
        <w:ind w:left="709" w:hanging="284"/>
        <w:jc w:val="both"/>
        <w:rPr>
          <w:rFonts w:ascii="Times New Roman" w:eastAsia="Times New Roman" w:hAnsi="Times New Roman" w:cs="Times New Roman"/>
          <w:lang w:eastAsia="en-GB"/>
        </w:rPr>
      </w:pPr>
      <w:r w:rsidRPr="00D80C5B">
        <w:rPr>
          <w:rFonts w:ascii="Times New Roman" w:hAnsi="Times New Roman" w:cs="Times New Roman"/>
        </w:rPr>
        <w:t>In Sweden, and to a lesser extent in Austria, Denmark, Luxembourg, and the United Kingdom, sustained house price growth has been observed in recent years in a context of possible overvaluation gaps and significant levels of household debt. Recent evidence points towards some downward adjustment in terms of prices and overvaluations in Sweden, and to house price decelerations in the other cases (except Luxembourg). Stronger but more recent house price growth is coupled with more limited evidence of overvaluation in Czechia, Hungary, Latvia, Slovakia, and Slovenia, which in the cases of Czechia and Slovakia has been observed together with continued mortgage borrowing and rising debts by households. Finland does not seem marked by strong house price growth or possible overvaluation but by high and rising household debt.</w:t>
      </w:r>
    </w:p>
    <w:p w:rsidR="006333DD" w:rsidRPr="00D80C5B" w:rsidRDefault="006333DD" w:rsidP="003425D8">
      <w:pPr>
        <w:numPr>
          <w:ilvl w:val="1"/>
          <w:numId w:val="2"/>
        </w:numPr>
        <w:spacing w:after="200"/>
        <w:ind w:left="709" w:hanging="284"/>
        <w:jc w:val="both"/>
        <w:rPr>
          <w:rFonts w:ascii="Times New Roman" w:eastAsia="Times New Roman" w:hAnsi="Times New Roman" w:cs="Times New Roman"/>
          <w:lang w:eastAsia="en-GB"/>
        </w:rPr>
      </w:pPr>
      <w:r w:rsidRPr="00D80C5B">
        <w:rPr>
          <w:rFonts w:ascii="Times New Roman" w:hAnsi="Times New Roman" w:cs="Times New Roman"/>
        </w:rPr>
        <w:t>In Czechia, Estonia, Hungary, Latvia, Lithuania, Slovakia, and Romania, labour costs continue to grow at a relatively strong pace while price competitiveness is edging down. In recent years</w:t>
      </w:r>
      <w:r w:rsidR="00203F8D">
        <w:rPr>
          <w:rFonts w:ascii="Times New Roman" w:hAnsi="Times New Roman" w:cs="Times New Roman"/>
        </w:rPr>
        <w:t>,</w:t>
      </w:r>
      <w:r w:rsidRPr="00D80C5B">
        <w:rPr>
          <w:rFonts w:ascii="Times New Roman" w:hAnsi="Times New Roman" w:cs="Times New Roman"/>
        </w:rPr>
        <w:t xml:space="preserve"> strong ULC growth have been coupled with a marked reduction of the current account surplus in Hungary, and a contained but persistent current account deficit in Slovakia. In the case of Romania, a protracted very strong growth in ULCs is recorded against the background of a further worsening current account balance deficit and </w:t>
      </w:r>
      <w:r w:rsidRPr="00D80C5B">
        <w:rPr>
          <w:rFonts w:ascii="Times New Roman" w:hAnsi="Times New Roman"/>
        </w:rPr>
        <w:t xml:space="preserve">expansionary </w:t>
      </w:r>
      <w:r w:rsidRPr="00D80C5B">
        <w:rPr>
          <w:rFonts w:ascii="Times New Roman" w:hAnsi="Times New Roman" w:cs="Times New Roman"/>
        </w:rPr>
        <w:t xml:space="preserve">fiscal policies. </w:t>
      </w:r>
    </w:p>
    <w:p w:rsidR="006333DD" w:rsidRPr="00D80C5B" w:rsidRDefault="006333DD" w:rsidP="003425D8">
      <w:pPr>
        <w:spacing w:after="200"/>
        <w:ind w:left="0"/>
        <w:jc w:val="both"/>
        <w:rPr>
          <w:rFonts w:ascii="Times New Roman" w:eastAsia="Times New Roman" w:hAnsi="Times New Roman" w:cs="Times New Roman"/>
          <w:lang w:eastAsia="en-GB"/>
        </w:rPr>
      </w:pPr>
      <w:r w:rsidRPr="00D80C5B">
        <w:rPr>
          <w:rFonts w:ascii="Times New Roman" w:eastAsia="Times New Roman" w:hAnsi="Times New Roman" w:cs="Times New Roman"/>
          <w:b/>
          <w:lang w:eastAsia="en-GB"/>
        </w:rPr>
        <w:t xml:space="preserve">Overall, IDRs are warranted for 13 Member States: Bulgaria, Croatia, Cyprus, France, Germany, Greece, Ireland, Italy, the Netherlands, Portugal, Romania, Spain, </w:t>
      </w:r>
      <w:r w:rsidRPr="00D80C5B">
        <w:rPr>
          <w:rFonts w:ascii="Times New Roman" w:eastAsia="Times New Roman" w:hAnsi="Times New Roman" w:cs="Times New Roman"/>
          <w:lang w:eastAsia="en-GB"/>
        </w:rPr>
        <w:t>and</w:t>
      </w:r>
      <w:r w:rsidRPr="00D80C5B">
        <w:rPr>
          <w:rFonts w:ascii="Times New Roman" w:eastAsia="Times New Roman" w:hAnsi="Times New Roman" w:cs="Times New Roman"/>
          <w:b/>
          <w:lang w:eastAsia="en-GB"/>
        </w:rPr>
        <w:t xml:space="preserve"> Sweden.</w:t>
      </w:r>
      <w:r w:rsidRPr="00D80C5B">
        <w:rPr>
          <w:rFonts w:ascii="Times New Roman" w:eastAsia="Times New Roman" w:hAnsi="Times New Roman" w:cs="Times New Roman"/>
          <w:lang w:eastAsia="en-GB"/>
        </w:rPr>
        <w:t xml:space="preserve"> All those Member States were subject to an IDR in the previous annual cycle of MIP surveillance, and were considered to be experiencing imbalances or excessive imbalances. The new IDRs will help going deeper into the analysis of those challenges and assessing policy needs. In particular, forthcoming IDRs will be prepared to assess if those imbalances are aggravating or are under correction, with the view to update existing assessments. This AMR points also to the possible building up of risks in a number of other Member States that, on the basis of current information, do not seem to warrant an IDR at this stage but nonetheless still justify a close monitoring notably in the upcoming country reports. Those risks concern notably developments related to competitiveness (</w:t>
      </w:r>
      <w:r w:rsidRPr="00D80C5B">
        <w:rPr>
          <w:rFonts w:ascii="Times New Roman" w:hAnsi="Times New Roman" w:cs="Times New Roman"/>
        </w:rPr>
        <w:t xml:space="preserve">Czechia, Estonia, Hungary, Latvia, Lithuania, and Slovakia) </w:t>
      </w:r>
      <w:r w:rsidRPr="00D80C5B">
        <w:rPr>
          <w:rFonts w:ascii="Times New Roman" w:eastAsia="Times New Roman" w:hAnsi="Times New Roman" w:cs="Times New Roman"/>
          <w:lang w:eastAsia="en-GB"/>
        </w:rPr>
        <w:t xml:space="preserve">and to housing prices and housing markets and household debt developments (Austria, Belgium, Czechia, Denmark, Finland, Hungary, Luxembourg, Slovakia, Slovenia, and United Kingdom). </w:t>
      </w:r>
    </w:p>
    <w:p w:rsidR="006333DD" w:rsidRPr="00D80C5B" w:rsidRDefault="006333DD" w:rsidP="003425D8">
      <w:pPr>
        <w:spacing w:after="200"/>
        <w:rPr>
          <w:rFonts w:ascii="Times New Roman" w:eastAsia="Times New Roman" w:hAnsi="Times New Roman" w:cs="Times New Roman"/>
          <w:lang w:eastAsia="en-GB"/>
        </w:rPr>
      </w:pPr>
      <w:r w:rsidRPr="00D80C5B">
        <w:rPr>
          <w:rFonts w:ascii="Times New Roman" w:eastAsia="Times New Roman" w:hAnsi="Times New Roman" w:cs="Times New Roman"/>
          <w:lang w:eastAsia="en-GB"/>
        </w:rPr>
        <w:br w:type="page"/>
      </w:r>
    </w:p>
    <w:p w:rsidR="006333DD" w:rsidRPr="00D80C5B" w:rsidRDefault="002E3A1B" w:rsidP="008961C6">
      <w:pPr>
        <w:ind w:left="0"/>
        <w:jc w:val="both"/>
        <w:rPr>
          <w:rFonts w:ascii="Times New Roman Bold" w:eastAsia="MS Gothic" w:hAnsi="Times New Roman Bold" w:cs="Times New Roman"/>
          <w:b/>
          <w:bCs/>
          <w:smallCaps/>
          <w:lang w:eastAsia="en-GB"/>
        </w:rPr>
      </w:pPr>
      <w:r>
        <w:rPr>
          <w:rFonts w:ascii="Times New Roman Bold" w:eastAsia="MS Gothic" w:hAnsi="Times New Roman Bold" w:cs="Times New Roman"/>
          <w:b/>
          <w:bCs/>
          <w:smallCaps/>
          <w:lang w:eastAsia="en-GB"/>
        </w:rPr>
        <w:t>5</w:t>
      </w:r>
      <w:r w:rsidR="006333DD" w:rsidRPr="00D80C5B">
        <w:rPr>
          <w:rFonts w:ascii="Times New Roman Bold" w:eastAsia="MS Gothic" w:hAnsi="Times New Roman Bold" w:cs="Times New Roman" w:hint="eastAsia"/>
          <w:b/>
          <w:bCs/>
          <w:smallCaps/>
          <w:lang w:eastAsia="en-GB"/>
        </w:rPr>
        <w:t>.</w:t>
      </w:r>
      <w:r w:rsidR="006333DD" w:rsidRPr="00D80C5B">
        <w:rPr>
          <w:rFonts w:ascii="Times New Roman Bold" w:eastAsia="MS Gothic" w:hAnsi="Times New Roman Bold" w:cs="Times New Roman" w:hint="eastAsia"/>
          <w:b/>
          <w:bCs/>
          <w:smallCaps/>
          <w:lang w:eastAsia="en-GB"/>
        </w:rPr>
        <w:tab/>
        <w:t xml:space="preserve">Imbalances, risks and adjustment: Member state specific commentaries </w:t>
      </w:r>
    </w:p>
    <w:p w:rsidR="008961C6" w:rsidRDefault="008961C6" w:rsidP="008961C6">
      <w:pPr>
        <w:autoSpaceDE w:val="0"/>
        <w:autoSpaceDN w:val="0"/>
        <w:adjustRightInd w:val="0"/>
        <w:ind w:left="0"/>
        <w:jc w:val="both"/>
        <w:rPr>
          <w:rFonts w:ascii="Times New Roman" w:hAnsi="Times New Roman"/>
          <w:b/>
          <w:bCs/>
          <w:iCs/>
          <w:lang w:eastAsia="en-GB"/>
        </w:rPr>
      </w:pPr>
    </w:p>
    <w:p w:rsidR="006333DD" w:rsidRPr="00D80C5B" w:rsidRDefault="006333DD" w:rsidP="006333DD">
      <w:pPr>
        <w:autoSpaceDE w:val="0"/>
        <w:autoSpaceDN w:val="0"/>
        <w:adjustRightInd w:val="0"/>
        <w:spacing w:after="200"/>
        <w:ind w:left="0"/>
        <w:jc w:val="both"/>
        <w:rPr>
          <w:rFonts w:ascii="Times New Roman" w:hAnsi="Times New Roman"/>
          <w:iCs/>
          <w:lang w:eastAsia="en-GB"/>
        </w:rPr>
      </w:pPr>
      <w:r w:rsidRPr="00D80C5B">
        <w:rPr>
          <w:rFonts w:ascii="Times New Roman" w:hAnsi="Times New Roman"/>
          <w:b/>
          <w:bCs/>
          <w:iCs/>
          <w:lang w:eastAsia="en-GB"/>
        </w:rPr>
        <w:t xml:space="preserve">Belgium: </w:t>
      </w:r>
      <w:r w:rsidRPr="00D80C5B">
        <w:rPr>
          <w:rFonts w:ascii="Times New Roman" w:hAnsi="Times New Roman"/>
          <w:iCs/>
          <w:lang w:eastAsia="en-GB"/>
        </w:rPr>
        <w:t xml:space="preserve">In the previous round of the MIP, </w:t>
      </w:r>
      <w:r w:rsidRPr="00D80C5B">
        <w:rPr>
          <w:rFonts w:ascii="Times New Roman" w:hAnsi="Times New Roman"/>
          <w:i/>
          <w:iCs/>
          <w:lang w:eastAsia="en-GB"/>
        </w:rPr>
        <w:t>no macroeconomic imbalances</w:t>
      </w:r>
      <w:r w:rsidRPr="00D80C5B">
        <w:rPr>
          <w:rFonts w:ascii="Times New Roman" w:hAnsi="Times New Roman"/>
          <w:iCs/>
          <w:lang w:eastAsia="en-GB"/>
        </w:rPr>
        <w:t xml:space="preserve"> were identified in Belgium. In the updated scoreboard, a number of indicators are beyond the indicative threshold, namely the change of the real effective exchange rate, private debt and government debt. </w:t>
      </w:r>
    </w:p>
    <w:p w:rsidR="006333DD" w:rsidRPr="00D80C5B" w:rsidRDefault="006333DD" w:rsidP="006333DD">
      <w:pPr>
        <w:pStyle w:val="NormalWeb"/>
        <w:spacing w:after="200" w:line="276" w:lineRule="auto"/>
        <w:ind w:left="0"/>
        <w:jc w:val="both"/>
        <w:rPr>
          <w:sz w:val="22"/>
          <w:szCs w:val="22"/>
          <w:lang w:val="en"/>
        </w:rPr>
      </w:pPr>
      <w:r w:rsidRPr="00D80C5B">
        <w:rPr>
          <w:noProof/>
        </w:rPr>
        <w:drawing>
          <wp:anchor distT="0" distB="0" distL="114300" distR="114300" simplePos="0" relativeHeight="251639296" behindDoc="0" locked="0" layoutInCell="1" allowOverlap="1" wp14:anchorId="2F50C173" wp14:editId="481A31CB">
            <wp:simplePos x="0" y="0"/>
            <wp:positionH relativeFrom="column">
              <wp:posOffset>3326765</wp:posOffset>
            </wp:positionH>
            <wp:positionV relativeFrom="paragraph">
              <wp:posOffset>5836</wp:posOffset>
            </wp:positionV>
            <wp:extent cx="2522220" cy="296418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22220" cy="2964180"/>
                    </a:xfrm>
                    <a:prstGeom prst="rect">
                      <a:avLst/>
                    </a:prstGeom>
                    <a:noFill/>
                    <a:ln>
                      <a:noFill/>
                    </a:ln>
                  </pic:spPr>
                </pic:pic>
              </a:graphicData>
            </a:graphic>
          </wp:anchor>
        </w:drawing>
      </w:r>
      <w:r w:rsidRPr="00D80C5B">
        <w:rPr>
          <w:iCs/>
          <w:sz w:val="22"/>
          <w:szCs w:val="22"/>
        </w:rPr>
        <w:t>The current account recorded a limited deficit in 2018 while the positive net international investment position is elevated. Although productivity growth is low, the rise in unit labour costs remained contained as wage increases has been moderate. The three-year change in the real effective exchange rate has further appreciated and exceeded the threshold although the one-year change showed only a modest acceleration. Export market shares have been broadly stable. The high corporate debt to GDP ratio, though figures are inflated by widespread cross-country intra-group lending</w:t>
      </w:r>
      <w:r w:rsidRPr="00D80C5B" w:rsidDel="00210AC3">
        <w:rPr>
          <w:iCs/>
          <w:sz w:val="22"/>
          <w:szCs w:val="22"/>
        </w:rPr>
        <w:t xml:space="preserve"> </w:t>
      </w:r>
      <w:r w:rsidRPr="00D80C5B">
        <w:rPr>
          <w:iCs/>
          <w:sz w:val="22"/>
          <w:szCs w:val="22"/>
        </w:rPr>
        <w:t xml:space="preserve">is decreasing. Household debt, mostly mortgage related, is relatively high and growing while real house prices kept increasing at moderate pace in recent years and there are signs of potential overvaluation. Government debt is high and is decreasing only slowly. </w:t>
      </w:r>
      <w:r w:rsidRPr="00D80C5B">
        <w:rPr>
          <w:sz w:val="22"/>
          <w:szCs w:val="22"/>
        </w:rPr>
        <w:t xml:space="preserve">Job creation continued to be positive and the unemployment rate dropped to a record low. </w:t>
      </w:r>
      <w:r w:rsidRPr="00D80C5B">
        <w:rPr>
          <w:iCs/>
          <w:sz w:val="22"/>
          <w:szCs w:val="22"/>
        </w:rPr>
        <w:t>The inactivity rate is high.</w:t>
      </w:r>
    </w:p>
    <w:p w:rsidR="006333DD" w:rsidRPr="00D80C5B" w:rsidRDefault="006333DD" w:rsidP="006333DD">
      <w:pPr>
        <w:spacing w:after="200"/>
        <w:ind w:left="0"/>
        <w:jc w:val="both"/>
        <w:rPr>
          <w:rFonts w:ascii="Times New Roman" w:hAnsi="Times New Roman"/>
          <w:i/>
          <w:iCs/>
          <w:lang w:eastAsia="en-GB"/>
        </w:rPr>
      </w:pPr>
      <w:r w:rsidRPr="00D80C5B">
        <w:rPr>
          <w:rFonts w:ascii="Times New Roman" w:hAnsi="Times New Roman"/>
          <w:i/>
          <w:iCs/>
          <w:lang w:eastAsia="en-GB"/>
        </w:rPr>
        <w:t>Overall, the economic reading highlights issues relating to public but also to private indebtedness, though the risks remain contained. Therefore, the Commission will at this stage not carry out further in-depth analysis in the context of the MIP.</w:t>
      </w:r>
    </w:p>
    <w:p w:rsidR="006333DD" w:rsidRPr="00D80C5B" w:rsidRDefault="006333DD" w:rsidP="006333DD">
      <w:pPr>
        <w:spacing w:after="200"/>
        <w:ind w:left="0"/>
        <w:jc w:val="both"/>
        <w:rPr>
          <w:rFonts w:ascii="Times New Roman" w:hAnsi="Times New Roman"/>
          <w:i/>
          <w:noProof/>
          <w:szCs w:val="24"/>
        </w:rPr>
      </w:pPr>
    </w:p>
    <w:p w:rsidR="006333DD" w:rsidRPr="00D80C5B" w:rsidRDefault="006333DD" w:rsidP="006333DD">
      <w:pPr>
        <w:spacing w:after="200"/>
        <w:ind w:left="0"/>
        <w:jc w:val="both"/>
        <w:rPr>
          <w:rFonts w:ascii="Times New Roman" w:hAnsi="Times New Roman"/>
          <w:i/>
          <w:noProof/>
          <w:szCs w:val="24"/>
        </w:rPr>
      </w:pPr>
      <w:r w:rsidRPr="00D80C5B">
        <w:rPr>
          <w:noProof/>
          <w:lang w:eastAsia="en-GB"/>
        </w:rPr>
        <w:drawing>
          <wp:anchor distT="0" distB="0" distL="114300" distR="114300" simplePos="0" relativeHeight="251640320" behindDoc="0" locked="0" layoutInCell="1" allowOverlap="1" wp14:anchorId="2FF50A7F" wp14:editId="66A06421">
            <wp:simplePos x="0" y="0"/>
            <wp:positionH relativeFrom="column">
              <wp:posOffset>3297555</wp:posOffset>
            </wp:positionH>
            <wp:positionV relativeFrom="paragraph">
              <wp:posOffset>5715</wp:posOffset>
            </wp:positionV>
            <wp:extent cx="2553335" cy="286639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53335" cy="2866390"/>
                    </a:xfrm>
                    <a:prstGeom prst="rect">
                      <a:avLst/>
                    </a:prstGeom>
                    <a:noFill/>
                    <a:ln>
                      <a:noFill/>
                    </a:ln>
                  </pic:spPr>
                </pic:pic>
              </a:graphicData>
            </a:graphic>
          </wp:anchor>
        </w:drawing>
      </w:r>
      <w:r w:rsidRPr="00D80C5B">
        <w:rPr>
          <w:rFonts w:ascii="Times New Roman" w:hAnsi="Times New Roman"/>
          <w:b/>
        </w:rPr>
        <w:t>Bulgaria</w:t>
      </w:r>
      <w:r w:rsidRPr="00D80C5B">
        <w:rPr>
          <w:rFonts w:ascii="Times New Roman" w:hAnsi="Times New Roman"/>
          <w:b/>
          <w:i/>
        </w:rPr>
        <w:t xml:space="preserve">: </w:t>
      </w:r>
      <w:r w:rsidRPr="00D80C5B">
        <w:rPr>
          <w:rFonts w:ascii="Times New Roman" w:hAnsi="Times New Roman"/>
        </w:rPr>
        <w:t xml:space="preserve">In February 2019, the Commission concluded that Bulgaria was experiencing </w:t>
      </w:r>
      <w:r w:rsidRPr="00D80C5B">
        <w:rPr>
          <w:rFonts w:ascii="Times New Roman" w:hAnsi="Times New Roman"/>
          <w:i/>
        </w:rPr>
        <w:t>imbalances</w:t>
      </w:r>
      <w:r w:rsidRPr="00D80C5B">
        <w:rPr>
          <w:rFonts w:ascii="Times New Roman" w:hAnsi="Times New Roman"/>
        </w:rPr>
        <w:t xml:space="preserve"> in particular related to vulnerabilities in the financial sector coupled with high indebtedness and non-performing loans in the corporate sector. In the updated scoreboard, a number of indicators are beyond the indicative threshold, namely the net international investment position (NIIP) and nominal unit labour cost growth. </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 xml:space="preserve">The external position of the economy strengthened further with a widening current account surplus and a rapidly improving negative net international investment position that is approaching the threshold. While there have been cumulated gains in export market shares, a tight labour market and skill shortages have pushed up wage growth. As a result, unit labour costs growth is significantly beyond the threshold which warrants attention. In the context of favourable economic and financing conditions, the banking sector strengthened its capital and liquidity ratios overall. Credit growth is strong and is fully financed by expansion of the deposit base. Non-performing loans continue to decline, but remain comparatively high for non-financial enterprises and in domestically owned banks. A number of measures have been and are being introduced to strengthen banking and non-banking supervision. However, some challenges and vulnerabilities remain related to capital shortfalls in some banking institutions and pending concerns in the insurance sector. Corporate debt is still relatively high, although it has decreased substantially. Government debt is low and falling. House prices continued to rise, albeit at a slower pace and in line with fundamentals. Mortgage credit and building permits picked up strongly and warrant close attention to future developments. Unemployment dropped to very low levels and the activity rate, although relatively low, continues increasing.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the remaining vulnerabilities in the financial sector. 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pPr>
    </w:p>
    <w:p w:rsidR="006333DD" w:rsidRPr="00D80C5B" w:rsidRDefault="006333DD" w:rsidP="00791D15">
      <w:pPr>
        <w:spacing w:after="200"/>
        <w:ind w:left="0"/>
        <w:jc w:val="both"/>
      </w:pPr>
      <w:r w:rsidRPr="00D80C5B">
        <w:rPr>
          <w:rFonts w:ascii="Times New Roman" w:hAnsi="Times New Roman"/>
          <w:b/>
          <w:bCs/>
        </w:rPr>
        <w:t>Czechia:</w:t>
      </w:r>
      <w:r w:rsidRPr="00D80C5B">
        <w:rPr>
          <w:rFonts w:ascii="Times New Roman" w:hAnsi="Times New Roman"/>
        </w:rPr>
        <w:t xml:space="preserve"> In the previous round of the MIP, </w:t>
      </w:r>
      <w:r w:rsidRPr="00D80C5B">
        <w:rPr>
          <w:rFonts w:ascii="Times New Roman" w:hAnsi="Times New Roman"/>
          <w:i/>
          <w:iCs/>
        </w:rPr>
        <w:t>no macroeconomic imbalances</w:t>
      </w:r>
      <w:r w:rsidRPr="00D80C5B">
        <w:rPr>
          <w:rFonts w:ascii="Times New Roman" w:hAnsi="Times New Roman"/>
        </w:rPr>
        <w:t xml:space="preserve"> were identified in Czechia. In the updated scoreboard, a number of indicators are beyond the indicative threshold, namely real effective exchange rate, nominal unit labour cost growth and real house price growth.</w:t>
      </w:r>
    </w:p>
    <w:p w:rsidR="006333DD" w:rsidRPr="00D80C5B" w:rsidRDefault="006333DD" w:rsidP="006333DD">
      <w:pPr>
        <w:spacing w:after="200"/>
        <w:ind w:left="0"/>
        <w:jc w:val="both"/>
        <w:rPr>
          <w:rFonts w:ascii="Times New Roman" w:hAnsi="Times New Roman"/>
        </w:rPr>
      </w:pPr>
      <w:r w:rsidRPr="00D80C5B">
        <w:rPr>
          <w:noProof/>
          <w:lang w:eastAsia="en-GB"/>
        </w:rPr>
        <w:drawing>
          <wp:anchor distT="0" distB="0" distL="114300" distR="114300" simplePos="0" relativeHeight="251641344" behindDoc="0" locked="0" layoutInCell="1" allowOverlap="1" wp14:anchorId="322E3675" wp14:editId="31EBF2A2">
            <wp:simplePos x="0" y="0"/>
            <wp:positionH relativeFrom="column">
              <wp:posOffset>3384143</wp:posOffset>
            </wp:positionH>
            <wp:positionV relativeFrom="paragraph">
              <wp:posOffset>4167</wp:posOffset>
            </wp:positionV>
            <wp:extent cx="2465705" cy="291274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65705" cy="2912745"/>
                    </a:xfrm>
                    <a:prstGeom prst="rect">
                      <a:avLst/>
                    </a:prstGeom>
                    <a:noFill/>
                    <a:ln>
                      <a:noFill/>
                    </a:ln>
                  </pic:spPr>
                </pic:pic>
              </a:graphicData>
            </a:graphic>
          </wp:anchor>
        </w:drawing>
      </w:r>
      <w:r w:rsidRPr="00D80C5B">
        <w:rPr>
          <w:rFonts w:ascii="Times New Roman" w:hAnsi="Times New Roman"/>
        </w:rPr>
        <w:t xml:space="preserve">The current account balance shows a small but decreasing surplus while the negative net international investment position continued to narrow. The end of the exchange rate commitment in April 2017 led to an appreciation of the real effective exchange rate, particularly in 2018. Nominal unit labour costs have increased significantly, on the back of strong wage rises and acute labour market shortages although a deceleration is expected looking forward. So far there have been gains of export market shares. At the same time, the country is exposed to risks relating to the trade policy environment and the possible disruption of global value chains. Real house price growth has remained high but with a deceleration in 2018 compared to 2017. Furthermore, private sector debt including household debt is relatively low. The banking sector is very robust, with a very low rate of non-performing loans. Government debt continues to decrease as the government budget has been in surplus since 2016. The unemployment rate decreased further, as the labour market remains very tight.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competitiveness and pressures in the housing market although the risks appear largely contained. Therefore, the Commission will not at this stage carry out further in-depth analysis in the context of the MIP.</w:t>
      </w:r>
    </w:p>
    <w:p w:rsidR="006333DD" w:rsidRPr="00D80C5B" w:rsidRDefault="006333DD" w:rsidP="006333DD">
      <w:pPr>
        <w:spacing w:after="200"/>
        <w:ind w:left="0"/>
        <w:jc w:val="both"/>
        <w:rPr>
          <w:rFonts w:ascii="Times New Roman" w:hAnsi="Times New Roman"/>
          <w:sz w:val="24"/>
        </w:rPr>
      </w:pPr>
    </w:p>
    <w:p w:rsidR="002E3A1B" w:rsidRDefault="002E3A1B">
      <w:pPr>
        <w:rPr>
          <w:rFonts w:ascii="Times New Roman" w:hAnsi="Times New Roman"/>
          <w:b/>
        </w:rPr>
      </w:pPr>
      <w:r>
        <w:rPr>
          <w:rFonts w:ascii="Times New Roman" w:hAnsi="Times New Roman"/>
          <w:b/>
        </w:rPr>
        <w:br w:type="page"/>
      </w:r>
    </w:p>
    <w:p w:rsidR="006333DD" w:rsidRPr="00D80C5B" w:rsidRDefault="006333DD" w:rsidP="00791D15">
      <w:pPr>
        <w:spacing w:after="200"/>
        <w:ind w:left="0"/>
        <w:jc w:val="both"/>
        <w:rPr>
          <w:rFonts w:ascii="Times New Roman" w:hAnsi="Times New Roman"/>
          <w:b/>
        </w:rPr>
      </w:pPr>
      <w:r w:rsidRPr="00D80C5B">
        <w:rPr>
          <w:rFonts w:ascii="Times New Roman" w:hAnsi="Times New Roman"/>
          <w:b/>
        </w:rPr>
        <w:t>Denmark:</w:t>
      </w:r>
      <w:r w:rsidRPr="00D80C5B">
        <w:rPr>
          <w:rFonts w:ascii="Times New Roman" w:hAnsi="Times New Roman"/>
        </w:rPr>
        <w:t xml:space="preserve"> In the previous round of the MIP, </w:t>
      </w:r>
      <w:r w:rsidRPr="00D80C5B">
        <w:rPr>
          <w:rFonts w:ascii="Times New Roman" w:hAnsi="Times New Roman"/>
          <w:i/>
        </w:rPr>
        <w:t>no macroeconomic imbalances</w:t>
      </w:r>
      <w:r w:rsidRPr="00D80C5B">
        <w:rPr>
          <w:rFonts w:ascii="Times New Roman" w:hAnsi="Times New Roman"/>
        </w:rPr>
        <w:t xml:space="preserve"> were identified in Denmark. In the updated scoreboard, a number of indicators are beyond the indicative threshold, namely the current account balance and private sector debt. </w:t>
      </w:r>
    </w:p>
    <w:p w:rsidR="006333DD" w:rsidRPr="00D80C5B" w:rsidRDefault="006333DD" w:rsidP="006333DD">
      <w:pPr>
        <w:spacing w:after="200"/>
        <w:ind w:left="0"/>
        <w:jc w:val="both"/>
        <w:rPr>
          <w:rFonts w:ascii="Times New Roman" w:hAnsi="Times New Roman"/>
        </w:rPr>
      </w:pPr>
      <w:r w:rsidRPr="00D80C5B">
        <w:rPr>
          <w:noProof/>
          <w:lang w:eastAsia="en-GB"/>
        </w:rPr>
        <w:drawing>
          <wp:anchor distT="0" distB="0" distL="114300" distR="114300" simplePos="0" relativeHeight="251635200" behindDoc="0" locked="0" layoutInCell="1" allowOverlap="1" wp14:anchorId="43C7F94F" wp14:editId="69B417F9">
            <wp:simplePos x="0" y="0"/>
            <wp:positionH relativeFrom="column">
              <wp:posOffset>3199130</wp:posOffset>
            </wp:positionH>
            <wp:positionV relativeFrom="paragraph">
              <wp:posOffset>1905</wp:posOffset>
            </wp:positionV>
            <wp:extent cx="2533650" cy="2857500"/>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33650" cy="2857500"/>
                    </a:xfrm>
                    <a:prstGeom prst="rect">
                      <a:avLst/>
                    </a:prstGeom>
                    <a:noFill/>
                    <a:ln>
                      <a:noFill/>
                    </a:ln>
                  </pic:spPr>
                </pic:pic>
              </a:graphicData>
            </a:graphic>
          </wp:anchor>
        </w:drawing>
      </w:r>
      <w:r w:rsidRPr="00D80C5B">
        <w:rPr>
          <w:rFonts w:ascii="Times New Roman" w:hAnsi="Times New Roman"/>
        </w:rPr>
        <w:t>The current account balance continues to show large, albeit narrowing, surpluses. The current account surplus narrowed recently as corporates saved less and invested more domestically. Consecutive surpluses have led to a strongly positive net international investment position, generating positive net primary income, which in turn reinforces the positive current account balance. Productivity growth has been muted, weighing on cost competitiveness indicators and there has been some limited losses of export market shares. Household saving has increased reflecting deleveraging needs and macro</w:t>
      </w:r>
      <w:r w:rsidR="002D351E">
        <w:rPr>
          <w:rFonts w:ascii="Times New Roman" w:hAnsi="Times New Roman"/>
        </w:rPr>
        <w:t>-</w:t>
      </w:r>
      <w:r w:rsidRPr="00D80C5B">
        <w:rPr>
          <w:rFonts w:ascii="Times New Roman" w:hAnsi="Times New Roman"/>
        </w:rPr>
        <w:t xml:space="preserve">prudential policy measures to restrict risky loan taking. At the same time, debt build up continues to be supported by low financing costs and a benign tax treatment. Overall, household debt remains the highest in the EU as a percentage of GDP despite some slow deleveraging trends. Corporate indebtedness, on the other hand, is moderate. Real house prices are increasing at a continuous although moderate pace while valuation indicators indicate some overvaluation. The labour market continues improving and employment growth remains solid. Labour shortages are widespread but have recently eased, moderating the upward pressure on wages.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linked to external surplus and the high household debt including the housing sector although risks appear contained. Therefore, the Commission will not at this stage carry out further in-depth analysis in the context of the MIP.</w:t>
      </w:r>
    </w:p>
    <w:p w:rsidR="006333DD" w:rsidRPr="00D80C5B" w:rsidRDefault="006333DD" w:rsidP="006333DD">
      <w:pPr>
        <w:spacing w:after="200"/>
        <w:ind w:left="0"/>
        <w:jc w:val="both"/>
        <w:rPr>
          <w:rFonts w:ascii="Times New Roman" w:hAnsi="Times New Roman"/>
          <w:i/>
        </w:rPr>
      </w:pPr>
    </w:p>
    <w:p w:rsidR="006333DD" w:rsidRPr="00D80C5B" w:rsidRDefault="006333DD" w:rsidP="00791D15">
      <w:pPr>
        <w:spacing w:after="200"/>
        <w:ind w:left="0"/>
        <w:jc w:val="both"/>
        <w:rPr>
          <w:rFonts w:ascii="Times New Roman" w:hAnsi="Times New Roman"/>
          <w:noProof/>
        </w:rPr>
      </w:pPr>
      <w:r w:rsidRPr="00D80C5B">
        <w:rPr>
          <w:noProof/>
          <w:lang w:eastAsia="en-GB"/>
        </w:rPr>
        <w:drawing>
          <wp:anchor distT="0" distB="0" distL="114300" distR="114300" simplePos="0" relativeHeight="251648512" behindDoc="0" locked="0" layoutInCell="1" allowOverlap="1" wp14:anchorId="3D08A837" wp14:editId="4C1904F1">
            <wp:simplePos x="0" y="0"/>
            <wp:positionH relativeFrom="column">
              <wp:posOffset>3229610</wp:posOffset>
            </wp:positionH>
            <wp:positionV relativeFrom="paragraph">
              <wp:posOffset>20955</wp:posOffset>
            </wp:positionV>
            <wp:extent cx="2522220" cy="30302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22220" cy="3030220"/>
                    </a:xfrm>
                    <a:prstGeom prst="rect">
                      <a:avLst/>
                    </a:prstGeom>
                    <a:noFill/>
                    <a:ln>
                      <a:noFill/>
                    </a:ln>
                  </pic:spPr>
                </pic:pic>
              </a:graphicData>
            </a:graphic>
            <wp14:sizeRelV relativeFrom="margin">
              <wp14:pctHeight>0</wp14:pctHeight>
            </wp14:sizeRelV>
          </wp:anchor>
        </w:drawing>
      </w:r>
      <w:r w:rsidRPr="00D80C5B">
        <w:rPr>
          <w:rFonts w:ascii="Times New Roman" w:hAnsi="Times New Roman"/>
          <w:b/>
        </w:rPr>
        <w:t>Germany:</w:t>
      </w:r>
      <w:r w:rsidRPr="00D80C5B">
        <w:rPr>
          <w:rFonts w:ascii="Times New Roman" w:hAnsi="Times New Roman"/>
          <w:noProof/>
        </w:rPr>
        <w:t xml:space="preserve"> In February 2019, the Commission concluded that Germany was experiencing </w:t>
      </w:r>
      <w:r w:rsidRPr="00D80C5B">
        <w:rPr>
          <w:rFonts w:ascii="Times New Roman" w:hAnsi="Times New Roman"/>
          <w:i/>
          <w:noProof/>
        </w:rPr>
        <w:t>macroeconomic imbalances</w:t>
      </w:r>
      <w:r w:rsidRPr="00D80C5B">
        <w:rPr>
          <w:rFonts w:ascii="Times New Roman" w:hAnsi="Times New Roman"/>
          <w:noProof/>
        </w:rPr>
        <w:t xml:space="preserve">, in particular related to its large current account surplus reflecting subdued investment relative to saving, both in the private and public sector. In the updated scoreboard, </w:t>
      </w:r>
      <w:r w:rsidRPr="00D80C5B">
        <w:rPr>
          <w:rFonts w:ascii="Times New Roman" w:hAnsi="Times New Roman"/>
        </w:rPr>
        <w:t>a number of indicators are beyond the indicative threshold, namely</w:t>
      </w:r>
      <w:r w:rsidRPr="00D80C5B">
        <w:rPr>
          <w:rFonts w:ascii="Times New Roman" w:hAnsi="Times New Roman"/>
          <w:noProof/>
        </w:rPr>
        <w:t xml:space="preserve"> the current account balance, the real effective exchange rate  and government debt. </w:t>
      </w:r>
    </w:p>
    <w:p w:rsidR="006333DD" w:rsidRPr="00D80C5B" w:rsidRDefault="006333DD" w:rsidP="00791D15">
      <w:pPr>
        <w:spacing w:after="200"/>
        <w:ind w:left="0"/>
        <w:jc w:val="both"/>
        <w:rPr>
          <w:rFonts w:ascii="Times New Roman" w:hAnsi="Times New Roman"/>
          <w:b/>
        </w:rPr>
      </w:pPr>
      <w:r w:rsidRPr="00D80C5B">
        <w:rPr>
          <w:rFonts w:ascii="Times New Roman" w:hAnsi="Times New Roman"/>
          <w:noProof/>
        </w:rPr>
        <w:t>The current account continues to be in very large surplus although narrowing somewhat in 2018. As foreign trade weakened, there is a shift towards more domestic demand-driven growth. Accordingly, the current account surplus is expected to continue narrowing, but to remain at a high level and lead to further increases in the already large net international investment position. The weakness in productivity growth contributed to the increase of unit labour costs and the real effective exchange rate continued to appreciate. Nominal compensation growth has picked up, also due to one-off policy effects, in a context of a tight labour market and is expected to moderate in the near term. Export growth decelerated markedly in 2018, accompanied by limited losses in export market shares on an annual basis. Real house prices and construction costs have been increasing and warrant attention, also with respect to regional disparities in prices and availability of housing. Housing investment continues to rise, but it is still lagging behind housing needs in metropolitan areas. Credit growth is gradually strengthening. Government debt continued to decrease and is expected to fall below the threshold of 60% of GDP by 2019</w:t>
      </w:r>
      <w:r w:rsidR="0092520B">
        <w:rPr>
          <w:rFonts w:ascii="Times New Roman" w:hAnsi="Times New Roman"/>
          <w:noProof/>
        </w:rPr>
        <w:t>. At the same tim</w:t>
      </w:r>
      <w:r w:rsidR="00633D35">
        <w:rPr>
          <w:rFonts w:ascii="Times New Roman" w:hAnsi="Times New Roman"/>
          <w:noProof/>
        </w:rPr>
        <w:t>e</w:t>
      </w:r>
      <w:r w:rsidR="00EA20C1">
        <w:rPr>
          <w:rFonts w:ascii="Times New Roman" w:hAnsi="Times New Roman"/>
          <w:noProof/>
        </w:rPr>
        <w:t xml:space="preserve">, </w:t>
      </w:r>
      <w:r w:rsidRPr="00D80C5B">
        <w:rPr>
          <w:rFonts w:ascii="Times New Roman" w:hAnsi="Times New Roman"/>
          <w:noProof/>
        </w:rPr>
        <w:t>the sizeable public investment backlog remains</w:t>
      </w:r>
      <w:r w:rsidR="0092520B">
        <w:rPr>
          <w:rFonts w:ascii="Times New Roman" w:hAnsi="Times New Roman"/>
          <w:noProof/>
        </w:rPr>
        <w:t xml:space="preserve"> though investment has increased</w:t>
      </w:r>
      <w:r w:rsidR="00EA20C1">
        <w:rPr>
          <w:rFonts w:ascii="Times New Roman" w:hAnsi="Times New Roman"/>
          <w:noProof/>
        </w:rPr>
        <w:t xml:space="preserve"> for some years</w:t>
      </w:r>
      <w:r w:rsidRPr="00D80C5B">
        <w:rPr>
          <w:rFonts w:ascii="Times New Roman" w:hAnsi="Times New Roman"/>
          <w:noProof/>
        </w:rPr>
        <w:t xml:space="preserve">. Overall unemployment, as well as youth and long-term unemployment is historically very low, even if further improvements of the labour market situation halted. </w:t>
      </w:r>
    </w:p>
    <w:p w:rsidR="006333DD" w:rsidRPr="00D80C5B" w:rsidRDefault="006333DD" w:rsidP="006333DD">
      <w:pPr>
        <w:spacing w:after="200"/>
        <w:ind w:left="0"/>
        <w:jc w:val="both"/>
        <w:rPr>
          <w:rFonts w:ascii="Times New Roman" w:hAnsi="Times New Roman"/>
          <w:i/>
          <w:noProof/>
        </w:rPr>
      </w:pPr>
      <w:r w:rsidRPr="00D80C5B">
        <w:rPr>
          <w:rFonts w:ascii="Times New Roman" w:hAnsi="Times New Roman"/>
          <w:i/>
          <w:noProof/>
        </w:rPr>
        <w:t xml:space="preserve">Overall, the economic reading highlights issues relating to the persistent surplus of savings over investment, reflected in the high but gradually declining current account surplus, underlining the need for continued rebalancing. Therefore, the Commission finds it useful, also taking into account the identification of imbalances in February, to examine further the persistence of imbalances or their unwinding. </w:t>
      </w:r>
    </w:p>
    <w:p w:rsidR="006333DD" w:rsidRPr="00D80C5B" w:rsidRDefault="006333DD" w:rsidP="006333DD">
      <w:pPr>
        <w:spacing w:after="200"/>
        <w:ind w:left="0"/>
        <w:jc w:val="both"/>
        <w:rPr>
          <w:rFonts w:ascii="Times New Roman" w:hAnsi="Times New Roman"/>
          <w:i/>
          <w:noProof/>
        </w:rPr>
      </w:pPr>
    </w:p>
    <w:p w:rsidR="006333DD" w:rsidRPr="00D80C5B" w:rsidRDefault="006333DD" w:rsidP="00791D15">
      <w:pPr>
        <w:spacing w:after="200"/>
        <w:ind w:left="0"/>
        <w:jc w:val="both"/>
        <w:rPr>
          <w:rFonts w:ascii="Times New Roman" w:hAnsi="Times New Roman"/>
          <w:b/>
        </w:rPr>
      </w:pPr>
      <w:r w:rsidRPr="00D80C5B">
        <w:rPr>
          <w:rFonts w:ascii="Times New Roman" w:hAnsi="Times New Roman"/>
          <w:b/>
        </w:rPr>
        <w:t>Estonia:</w:t>
      </w:r>
      <w:r w:rsidRPr="00D80C5B">
        <w:rPr>
          <w:rFonts w:ascii="Times New Roman" w:hAnsi="Times New Roman"/>
        </w:rPr>
        <w:t xml:space="preserve"> In the previous round of the MIP, </w:t>
      </w:r>
      <w:r w:rsidRPr="00D80C5B">
        <w:rPr>
          <w:rFonts w:ascii="Times New Roman" w:hAnsi="Times New Roman"/>
          <w:i/>
        </w:rPr>
        <w:t>no macroeconomic imbalances</w:t>
      </w:r>
      <w:r w:rsidRPr="00D80C5B">
        <w:rPr>
          <w:rFonts w:ascii="Times New Roman" w:hAnsi="Times New Roman"/>
        </w:rPr>
        <w:t xml:space="preserve"> were identified in Estonia. In the updated scoreboard, a number of indicators are beyond the indicative threshold, namely</w:t>
      </w:r>
      <w:r w:rsidRPr="00D80C5B">
        <w:rPr>
          <w:rFonts w:ascii="Times New Roman" w:hAnsi="Times New Roman"/>
          <w:noProof/>
        </w:rPr>
        <w:t xml:space="preserve"> </w:t>
      </w:r>
      <w:r w:rsidRPr="00D80C5B">
        <w:rPr>
          <w:rFonts w:ascii="Times New Roman" w:hAnsi="Times New Roman"/>
        </w:rPr>
        <w:t xml:space="preserve">the real effective exchange rate and the nominal unit labour cost growth. </w:t>
      </w:r>
    </w:p>
    <w:p w:rsidR="006333DD" w:rsidRPr="00D80C5B" w:rsidRDefault="006333DD" w:rsidP="006333DD">
      <w:pPr>
        <w:spacing w:after="200"/>
        <w:ind w:left="0"/>
        <w:jc w:val="both"/>
        <w:rPr>
          <w:rFonts w:ascii="Times New Roman" w:hAnsi="Times New Roman"/>
        </w:rPr>
      </w:pPr>
      <w:r w:rsidRPr="00D80C5B">
        <w:rPr>
          <w:noProof/>
          <w:lang w:eastAsia="en-GB"/>
        </w:rPr>
        <w:drawing>
          <wp:anchor distT="0" distB="0" distL="114300" distR="114300" simplePos="0" relativeHeight="251636224" behindDoc="0" locked="0" layoutInCell="1" allowOverlap="1" wp14:anchorId="37CF1298" wp14:editId="1E093493">
            <wp:simplePos x="0" y="0"/>
            <wp:positionH relativeFrom="column">
              <wp:posOffset>3296285</wp:posOffset>
            </wp:positionH>
            <wp:positionV relativeFrom="paragraph">
              <wp:posOffset>6350</wp:posOffset>
            </wp:positionV>
            <wp:extent cx="2543175" cy="2933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43175" cy="2933700"/>
                    </a:xfrm>
                    <a:prstGeom prst="rect">
                      <a:avLst/>
                    </a:prstGeom>
                    <a:noFill/>
                    <a:ln>
                      <a:noFill/>
                    </a:ln>
                  </pic:spPr>
                </pic:pic>
              </a:graphicData>
            </a:graphic>
          </wp:anchor>
        </w:drawing>
      </w:r>
      <w:r w:rsidRPr="00D80C5B">
        <w:rPr>
          <w:rFonts w:ascii="Times New Roman" w:hAnsi="Times New Roman"/>
        </w:rPr>
        <w:t>The current account balance shows a stable surplus while the negative net international investment position improved. The real effective exchange rate appreciation accelerated in 2018 pushing the indicator beyond the threshold. Unit labour cost growth has also further accelerated driven by domestic price and wage pressures, in particular in the public sector, reflecting the tight labour market. There have been small cumulated gains in export market shares. Public and private sector borrowing and debt levels are relatively low. Moreover, private sector debt has continued falling, reflecting remaining deleveraging dynamics. Real house price growth has slowed to moderate levels. The tight labour market is reflected in a relatively low unemployment level and a very high activity rate in EU perspective.</w:t>
      </w:r>
    </w:p>
    <w:p w:rsidR="006333DD" w:rsidRPr="00D80C5B" w:rsidRDefault="006333DD" w:rsidP="004E27FB">
      <w:pPr>
        <w:spacing w:after="200"/>
        <w:ind w:left="0"/>
        <w:jc w:val="both"/>
        <w:rPr>
          <w:rFonts w:ascii="Times New Roman" w:hAnsi="Times New Roman"/>
          <w:i/>
          <w:iCs/>
        </w:rPr>
      </w:pPr>
      <w:r w:rsidRPr="00D80C5B">
        <w:rPr>
          <w:rFonts w:ascii="Times New Roman" w:hAnsi="Times New Roman"/>
          <w:i/>
          <w:iCs/>
        </w:rPr>
        <w:t>Overall, the economic reading highlights issues related to the nominal unit labour costs and the real effective exchange rate, but risks appear contained. Therefore, at this stage the Commission will not carry out further in-depth analysis in the context of the MIP.</w:t>
      </w:r>
    </w:p>
    <w:p w:rsidR="006333DD" w:rsidRPr="00D80C5B" w:rsidRDefault="006333DD" w:rsidP="006333DD">
      <w:pPr>
        <w:spacing w:after="200"/>
        <w:ind w:left="0"/>
        <w:jc w:val="both"/>
        <w:rPr>
          <w:rFonts w:ascii="Times New Roman" w:hAnsi="Times New Roman"/>
        </w:rPr>
      </w:pPr>
    </w:p>
    <w:p w:rsidR="002E3A1B" w:rsidRDefault="002E3A1B">
      <w:pPr>
        <w:rPr>
          <w:rFonts w:ascii="Times New Roman" w:eastAsia="Times New Roman" w:hAnsi="Times New Roman"/>
          <w:b/>
          <w:noProof/>
          <w:color w:val="000000"/>
          <w:lang w:eastAsia="en-GB"/>
        </w:rPr>
      </w:pPr>
      <w:r>
        <w:rPr>
          <w:rFonts w:ascii="Times New Roman" w:eastAsia="Times New Roman" w:hAnsi="Times New Roman"/>
          <w:b/>
          <w:noProof/>
          <w:color w:val="000000"/>
          <w:lang w:eastAsia="en-GB"/>
        </w:rPr>
        <w:br w:type="page"/>
      </w:r>
    </w:p>
    <w:p w:rsidR="006333DD" w:rsidRPr="00D80C5B" w:rsidRDefault="006333DD" w:rsidP="00304343">
      <w:pPr>
        <w:spacing w:after="200"/>
        <w:ind w:left="0"/>
        <w:jc w:val="both"/>
        <w:rPr>
          <w:rFonts w:ascii="Times New Roman" w:eastAsia="Times New Roman" w:hAnsi="Times New Roman"/>
          <w:b/>
          <w:noProof/>
          <w:color w:val="000000"/>
          <w:lang w:eastAsia="en-GB"/>
        </w:rPr>
      </w:pPr>
      <w:r w:rsidRPr="00D80C5B">
        <w:rPr>
          <w:rFonts w:ascii="Times New Roman" w:eastAsia="Times New Roman" w:hAnsi="Times New Roman"/>
          <w:b/>
          <w:noProof/>
          <w:color w:val="000000"/>
          <w:lang w:eastAsia="en-GB"/>
        </w:rPr>
        <w:t>Ireland:</w:t>
      </w:r>
      <w:r w:rsidRPr="00D80C5B">
        <w:rPr>
          <w:rFonts w:ascii="Times New Roman" w:eastAsia="Times New Roman" w:hAnsi="Times New Roman"/>
          <w:noProof/>
          <w:color w:val="000000"/>
          <w:lang w:eastAsia="en-GB"/>
        </w:rPr>
        <w:t xml:space="preserve"> In February 2019, the Commission concluded that Ireland was </w:t>
      </w:r>
      <w:r w:rsidRPr="00D80C5B">
        <w:rPr>
          <w:rFonts w:ascii="Times New Roman" w:eastAsia="Times New Roman" w:hAnsi="Times New Roman"/>
          <w:iCs/>
          <w:noProof/>
          <w:color w:val="000000"/>
          <w:lang w:eastAsia="en-GB"/>
        </w:rPr>
        <w:t>experiencing</w:t>
      </w:r>
      <w:r w:rsidRPr="00D80C5B">
        <w:rPr>
          <w:rFonts w:ascii="Times New Roman" w:eastAsia="Times New Roman" w:hAnsi="Times New Roman"/>
          <w:i/>
          <w:iCs/>
          <w:noProof/>
          <w:color w:val="000000"/>
          <w:lang w:eastAsia="en-GB"/>
        </w:rPr>
        <w:t xml:space="preserve"> macroeconomic imbalances</w:t>
      </w:r>
      <w:r w:rsidRPr="00D80C5B">
        <w:rPr>
          <w:rFonts w:ascii="Times New Roman" w:eastAsia="Times New Roman" w:hAnsi="Times New Roman"/>
          <w:noProof/>
          <w:color w:val="000000"/>
          <w:lang w:eastAsia="en-GB"/>
        </w:rPr>
        <w:t xml:space="preserve">, in particular involving vulnerabilities from large stocks of public and private debt and net external liabilities. In the updated scoreboard, a number of indicators are beyond the indicative threshold, namely the net international investment position (NIIP), private debt, public debt as well as real house price growth. </w:t>
      </w:r>
    </w:p>
    <w:p w:rsidR="006333DD" w:rsidRPr="00D80C5B" w:rsidRDefault="006333DD" w:rsidP="006333DD">
      <w:pPr>
        <w:autoSpaceDE w:val="0"/>
        <w:autoSpaceDN w:val="0"/>
        <w:adjustRightInd w:val="0"/>
        <w:spacing w:after="200"/>
        <w:ind w:left="0"/>
        <w:jc w:val="both"/>
        <w:rPr>
          <w:rFonts w:ascii="Times New Roman" w:eastAsia="Times New Roman" w:hAnsi="Times New Roman"/>
          <w:noProof/>
          <w:color w:val="000000"/>
          <w:lang w:eastAsia="en-GB"/>
        </w:rPr>
      </w:pPr>
      <w:r w:rsidRPr="00D80C5B">
        <w:rPr>
          <w:noProof/>
          <w:lang w:eastAsia="en-GB"/>
        </w:rPr>
        <w:drawing>
          <wp:anchor distT="0" distB="0" distL="114300" distR="114300" simplePos="0" relativeHeight="251638272" behindDoc="0" locked="0" layoutInCell="1" allowOverlap="1" wp14:anchorId="6232BFB2" wp14:editId="4FF0F6C4">
            <wp:simplePos x="0" y="0"/>
            <wp:positionH relativeFrom="column">
              <wp:posOffset>3163570</wp:posOffset>
            </wp:positionH>
            <wp:positionV relativeFrom="paragraph">
              <wp:posOffset>3810</wp:posOffset>
            </wp:positionV>
            <wp:extent cx="2686050" cy="286702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6050" cy="2867025"/>
                    </a:xfrm>
                    <a:prstGeom prst="rect">
                      <a:avLst/>
                    </a:prstGeom>
                    <a:noFill/>
                    <a:ln>
                      <a:noFill/>
                    </a:ln>
                  </pic:spPr>
                </pic:pic>
              </a:graphicData>
            </a:graphic>
          </wp:anchor>
        </w:drawing>
      </w:r>
      <w:r w:rsidRPr="00D80C5B">
        <w:rPr>
          <w:rFonts w:ascii="Times New Roman" w:eastAsia="Times New Roman" w:hAnsi="Times New Roman"/>
          <w:noProof/>
          <w:color w:val="000000"/>
          <w:lang w:eastAsia="en-GB"/>
        </w:rPr>
        <w:t>The current account went from a broadly balanced position in 2017 to a large surplus in 2018. This large swing mainly reflects activities of multinational firms.</w:t>
      </w:r>
      <w:r w:rsidRPr="00D80C5B" w:rsidDel="00C24B2D">
        <w:rPr>
          <w:rFonts w:ascii="Times New Roman" w:eastAsia="Times New Roman" w:hAnsi="Times New Roman"/>
          <w:noProof/>
          <w:color w:val="000000"/>
          <w:lang w:eastAsia="en-GB"/>
        </w:rPr>
        <w:t xml:space="preserve"> </w:t>
      </w:r>
      <w:r w:rsidRPr="00D80C5B">
        <w:rPr>
          <w:rFonts w:ascii="Times New Roman" w:eastAsia="Times New Roman" w:hAnsi="Times New Roman"/>
          <w:noProof/>
          <w:color w:val="000000"/>
          <w:lang w:eastAsia="en-GB"/>
        </w:rPr>
        <w:t>A modified current account balance measure, which better reflects domestic economic activity, suggests a smaller surplus in 2018. The NIIP</w:t>
      </w:r>
      <w:r w:rsidRPr="00D80C5B" w:rsidDel="00F33C43">
        <w:rPr>
          <w:rFonts w:ascii="Times New Roman" w:eastAsia="Times New Roman" w:hAnsi="Times New Roman"/>
          <w:noProof/>
          <w:color w:val="000000"/>
          <w:lang w:eastAsia="en-GB"/>
        </w:rPr>
        <w:t xml:space="preserve"> </w:t>
      </w:r>
      <w:r w:rsidRPr="00D80C5B">
        <w:rPr>
          <w:rFonts w:ascii="Times New Roman" w:eastAsia="Times New Roman" w:hAnsi="Times New Roman"/>
          <w:noProof/>
          <w:color w:val="000000"/>
          <w:lang w:eastAsia="en-GB"/>
        </w:rPr>
        <w:t>remains highly negative, also due to the activities of multinational companies and a large financial offshore centre with limited connections to the domestic economy</w:t>
      </w:r>
      <w:r w:rsidRPr="00D80C5B" w:rsidDel="00931C3D">
        <w:rPr>
          <w:rFonts w:ascii="Times New Roman" w:eastAsia="Times New Roman" w:hAnsi="Times New Roman"/>
          <w:noProof/>
          <w:color w:val="000000"/>
          <w:lang w:eastAsia="en-GB"/>
        </w:rPr>
        <w:t>.</w:t>
      </w:r>
      <w:r w:rsidRPr="00D80C5B">
        <w:rPr>
          <w:rFonts w:ascii="Times New Roman" w:eastAsia="Times New Roman" w:hAnsi="Times New Roman"/>
          <w:noProof/>
          <w:color w:val="000000"/>
          <w:lang w:eastAsia="en-GB"/>
        </w:rPr>
        <w:t xml:space="preserve"> On the back of strong economic growth, the ratio of public debt to GDP is falling but the level of debt remains high. Private debt is still very high, although it has continued to decline. Households have continued reducing their debt and Irish banks have lowered their exposures to domestic companies, suggesting continued corporate deleveraging. While real house price growth continued in 2018 it decelerated significantly during the year. However, housing affordability remains a concern. The non</w:t>
      </w:r>
      <w:r w:rsidRPr="00D80C5B">
        <w:rPr>
          <w:rFonts w:ascii="Times New Roman" w:eastAsia="Times New Roman" w:hAnsi="Times New Roman"/>
          <w:noProof/>
          <w:color w:val="000000"/>
          <w:lang w:eastAsia="en-GB"/>
        </w:rPr>
        <w:noBreakHyphen/>
        <w:t>performing loans ratio has been steadily declining over the last years and banks are well capitalised, but provisioning levels are relatively low. Banks’ profitability, albeit still subdued, is improving gradually.</w:t>
      </w:r>
      <w:r w:rsidRPr="00D80C5B">
        <w:rPr>
          <w:rFonts w:ascii="Times New Roman" w:eastAsia="Times New Roman" w:hAnsi="Times New Roman"/>
          <w:noProof/>
          <w:lang w:eastAsia="en-GB"/>
        </w:rPr>
        <w:t xml:space="preserve"> Unemployment keeps decreasing and is approaching pre-crisis levels.</w:t>
      </w:r>
    </w:p>
    <w:p w:rsidR="006333DD" w:rsidRPr="00D80C5B" w:rsidRDefault="006333DD" w:rsidP="006333DD">
      <w:pPr>
        <w:spacing w:after="200"/>
        <w:ind w:left="0"/>
        <w:jc w:val="both"/>
        <w:rPr>
          <w:rFonts w:ascii="Times New Roman" w:hAnsi="Times New Roman"/>
        </w:rPr>
      </w:pPr>
      <w:r w:rsidRPr="00D80C5B">
        <w:rPr>
          <w:rFonts w:ascii="Times New Roman" w:hAnsi="Times New Roman"/>
          <w:i/>
          <w:iCs/>
          <w:noProof/>
        </w:rPr>
        <w:t xml:space="preserve">Overall, the economic reading of the scoreboard highlights issues related to the volatility of the external position and the stock of private and public debt as well as the housing market. </w:t>
      </w:r>
      <w:r w:rsidRPr="00D80C5B">
        <w:rPr>
          <w:rFonts w:ascii="Times New Roman" w:hAnsi="Times New Roman"/>
          <w:i/>
          <w:noProof/>
        </w:rPr>
        <w:t>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pPr>
    </w:p>
    <w:p w:rsidR="006333DD" w:rsidRPr="00D80C5B" w:rsidRDefault="006333DD" w:rsidP="00791D15">
      <w:pPr>
        <w:spacing w:after="200"/>
        <w:ind w:left="0"/>
        <w:jc w:val="both"/>
        <w:rPr>
          <w:rFonts w:ascii="Times New Roman" w:hAnsi="Times New Roman"/>
          <w:b/>
          <w:noProof/>
        </w:rPr>
      </w:pPr>
      <w:r w:rsidRPr="00D80C5B">
        <w:rPr>
          <w:rFonts w:ascii="Times New Roman" w:hAnsi="Times New Roman"/>
          <w:b/>
          <w:noProof/>
        </w:rPr>
        <w:t xml:space="preserve">Greece: </w:t>
      </w:r>
      <w:r w:rsidRPr="00D80C5B">
        <w:rPr>
          <w:rFonts w:ascii="Times New Roman" w:eastAsia="Times New Roman" w:hAnsi="Times New Roman"/>
          <w:noProof/>
          <w:color w:val="000000"/>
          <w:lang w:eastAsia="en-GB"/>
        </w:rPr>
        <w:t xml:space="preserve">In February 2019, the Commission concluded that Greece was </w:t>
      </w:r>
      <w:r w:rsidRPr="00D80C5B">
        <w:rPr>
          <w:rFonts w:ascii="Times New Roman" w:eastAsia="Times New Roman" w:hAnsi="Times New Roman"/>
          <w:iCs/>
          <w:noProof/>
          <w:color w:val="000000"/>
          <w:lang w:eastAsia="en-GB"/>
        </w:rPr>
        <w:t>experiencing</w:t>
      </w:r>
      <w:r w:rsidRPr="00D80C5B">
        <w:rPr>
          <w:rFonts w:ascii="Times New Roman" w:eastAsia="Times New Roman" w:hAnsi="Times New Roman"/>
          <w:i/>
          <w:iCs/>
          <w:noProof/>
          <w:color w:val="000000"/>
          <w:lang w:eastAsia="en-GB"/>
        </w:rPr>
        <w:t xml:space="preserve"> excessive macroeconomic imbalances</w:t>
      </w:r>
      <w:r w:rsidRPr="00D80C5B">
        <w:rPr>
          <w:rFonts w:ascii="Times New Roman" w:eastAsia="Times New Roman" w:hAnsi="Times New Roman"/>
          <w:noProof/>
          <w:color w:val="000000"/>
          <w:lang w:eastAsia="en-GB"/>
        </w:rPr>
        <w:t xml:space="preserve">, </w:t>
      </w:r>
      <w:r w:rsidRPr="00D80C5B">
        <w:rPr>
          <w:rFonts w:ascii="Times New Roman" w:hAnsi="Times New Roman"/>
        </w:rPr>
        <w:t>in particular involving high government indebtedness, a negative external position and a high share of non-performing loans, in a context of high, although declining, unemployment and low potential growth. I</w:t>
      </w:r>
      <w:r w:rsidRPr="00D80C5B">
        <w:rPr>
          <w:rFonts w:ascii="Times New Roman" w:hAnsi="Times New Roman"/>
          <w:noProof/>
        </w:rPr>
        <w:t xml:space="preserve">n the </w:t>
      </w:r>
      <w:r w:rsidRPr="00D80C5B">
        <w:rPr>
          <w:rFonts w:ascii="Times New Roman" w:hAnsi="Times New Roman"/>
        </w:rPr>
        <w:t xml:space="preserve">updated scoreboard, a number of indicators are beyond the indicative threshold, namely the net international investment position (NIIP), the general government gross debt, as well as the unemployment rate. </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Greece’s deeply negative external asset position largely consists of net debt liabilities, in particular</w:t>
      </w:r>
      <w:r w:rsidRPr="00D80C5B">
        <w:rPr>
          <w:rFonts w:ascii="Times New Roman" w:hAnsi="Times New Roman"/>
          <w:b/>
        </w:rPr>
        <w:t xml:space="preserve"> </w:t>
      </w:r>
      <w:r w:rsidRPr="00D80C5B">
        <w:rPr>
          <w:rFonts w:ascii="Times New Roman" w:hAnsi="Times New Roman"/>
        </w:rPr>
        <w:t xml:space="preserve">external public debt, which is held mostly by official-sector creditors in highly concessional terms. Moderate nominal GDP growth and a negative current account balance that widened in 2018, are preventing the high stock of net external liabilities from adjusting at a faster rate. Nominal unit labour costs showed positive growth in 2018 in the context of flat labour productivity growth. Wage increases led to a further increase in the real effective exchange rate while there were gains of export market shares in 2018 for a second year in a row. </w:t>
      </w:r>
      <w:r w:rsidRPr="00D80C5B">
        <w:rPr>
          <w:rFonts w:ascii="Times New Roman" w:hAnsi="Times New Roman"/>
          <w:noProof/>
        </w:rPr>
        <w:t xml:space="preserve">Public debt is very high, although it is projected to gradually </w:t>
      </w:r>
      <w:r w:rsidRPr="00D80C5B">
        <w:rPr>
          <w:noProof/>
          <w:lang w:eastAsia="en-GB"/>
        </w:rPr>
        <w:drawing>
          <wp:anchor distT="0" distB="0" distL="114300" distR="114300" simplePos="0" relativeHeight="251654656" behindDoc="0" locked="0" layoutInCell="1" allowOverlap="1" wp14:anchorId="6A3794A4" wp14:editId="714E56CE">
            <wp:simplePos x="0" y="0"/>
            <wp:positionH relativeFrom="column">
              <wp:posOffset>3308648</wp:posOffset>
            </wp:positionH>
            <wp:positionV relativeFrom="paragraph">
              <wp:posOffset>918</wp:posOffset>
            </wp:positionV>
            <wp:extent cx="2542540" cy="28200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42540" cy="2820035"/>
                    </a:xfrm>
                    <a:prstGeom prst="rect">
                      <a:avLst/>
                    </a:prstGeom>
                    <a:noFill/>
                    <a:ln>
                      <a:noFill/>
                    </a:ln>
                  </pic:spPr>
                </pic:pic>
              </a:graphicData>
            </a:graphic>
          </wp:anchor>
        </w:drawing>
      </w:r>
      <w:r w:rsidRPr="00D80C5B">
        <w:rPr>
          <w:rFonts w:ascii="Times New Roman" w:hAnsi="Times New Roman"/>
          <w:noProof/>
        </w:rPr>
        <w:t>decline in the next years while its sustainability is underpinned by the debt relief measures that were agreed by European partners in 2018. Real house prices started to pick up in 2018 following a decade of price declines. Private sector credit growth is negative as deleveraging continues, while the high stock of non-performing loans is slowly unwinding.</w:t>
      </w:r>
      <w:r w:rsidRPr="00D80C5B">
        <w:rPr>
          <w:rFonts w:ascii="Times New Roman" w:hAnsi="Times New Roman"/>
        </w:rPr>
        <w:t xml:space="preserve"> </w:t>
      </w:r>
      <w:r w:rsidRPr="00D80C5B">
        <w:rPr>
          <w:rFonts w:ascii="Times New Roman" w:hAnsi="Times New Roman"/>
          <w:noProof/>
        </w:rPr>
        <w:t xml:space="preserve">Unemployment is declining but remains very high, notably the long-term and youth unemployment. </w:t>
      </w:r>
    </w:p>
    <w:p w:rsidR="006333DD" w:rsidRPr="00D80C5B" w:rsidRDefault="006333DD" w:rsidP="006333DD">
      <w:pPr>
        <w:spacing w:after="200"/>
        <w:ind w:left="0"/>
        <w:jc w:val="both"/>
        <w:rPr>
          <w:rFonts w:ascii="Times New Roman" w:hAnsi="Times New Roman"/>
        </w:rPr>
      </w:pPr>
      <w:r w:rsidRPr="00D80C5B">
        <w:rPr>
          <w:rFonts w:ascii="Times New Roman" w:hAnsi="Times New Roman"/>
          <w:i/>
          <w:noProof/>
        </w:rPr>
        <w:t>Overall, the economic reading highlights issues linked to the high public debt, the negative international investment position, and the high stock of non-performing loans, all in a context of high unemployment, low productivity growth and sluggish investment activity. Therefore, the Commission finds it useful, also taking into account the identification of  excessive imbalances in February, to examine further the persistence of macroeconomic risks and to monitor progress in the unwinding of excessive imbalances.</w:t>
      </w:r>
    </w:p>
    <w:p w:rsidR="006333DD" w:rsidRPr="00D80C5B" w:rsidRDefault="006333DD" w:rsidP="006333DD">
      <w:pPr>
        <w:spacing w:after="200"/>
        <w:ind w:left="0"/>
        <w:jc w:val="both"/>
        <w:rPr>
          <w:rFonts w:ascii="Times New Roman" w:hAnsi="Times New Roman"/>
          <w:sz w:val="24"/>
          <w:szCs w:val="24"/>
        </w:rPr>
      </w:pPr>
    </w:p>
    <w:p w:rsidR="006333DD" w:rsidRPr="00D80C5B" w:rsidRDefault="00B92E00" w:rsidP="004E27FB">
      <w:pPr>
        <w:spacing w:after="200"/>
        <w:ind w:left="0"/>
        <w:jc w:val="both"/>
        <w:rPr>
          <w:rFonts w:ascii="Times New Roman" w:hAnsi="Times New Roman"/>
          <w:b/>
          <w:noProof/>
        </w:rPr>
      </w:pPr>
      <w:r w:rsidRPr="00D80C5B">
        <w:rPr>
          <w:noProof/>
          <w:lang w:eastAsia="en-GB"/>
        </w:rPr>
        <w:drawing>
          <wp:anchor distT="0" distB="0" distL="114300" distR="114300" simplePos="0" relativeHeight="251655680" behindDoc="0" locked="0" layoutInCell="1" allowOverlap="1" wp14:anchorId="65650702" wp14:editId="5BF0F32A">
            <wp:simplePos x="0" y="0"/>
            <wp:positionH relativeFrom="column">
              <wp:posOffset>3425825</wp:posOffset>
            </wp:positionH>
            <wp:positionV relativeFrom="paragraph">
              <wp:posOffset>980440</wp:posOffset>
            </wp:positionV>
            <wp:extent cx="2423795" cy="288544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23795" cy="2885440"/>
                    </a:xfrm>
                    <a:prstGeom prst="rect">
                      <a:avLst/>
                    </a:prstGeom>
                    <a:noFill/>
                    <a:ln>
                      <a:noFill/>
                    </a:ln>
                  </pic:spPr>
                </pic:pic>
              </a:graphicData>
            </a:graphic>
            <wp14:sizeRelV relativeFrom="margin">
              <wp14:pctHeight>0</wp14:pctHeight>
            </wp14:sizeRelV>
          </wp:anchor>
        </w:drawing>
      </w:r>
      <w:r w:rsidR="006333DD" w:rsidRPr="00D80C5B">
        <w:rPr>
          <w:rFonts w:ascii="Times New Roman" w:hAnsi="Times New Roman"/>
          <w:b/>
          <w:noProof/>
        </w:rPr>
        <w:t>Spain</w:t>
      </w:r>
      <w:r w:rsidR="006333DD" w:rsidRPr="00D80C5B">
        <w:rPr>
          <w:rFonts w:ascii="Times New Roman" w:hAnsi="Times New Roman"/>
          <w:noProof/>
        </w:rPr>
        <w:t xml:space="preserve">: In February 2019, the Commission concluded that Spain was experiencing </w:t>
      </w:r>
      <w:r w:rsidR="006333DD" w:rsidRPr="00D80C5B">
        <w:rPr>
          <w:rFonts w:ascii="Times New Roman" w:hAnsi="Times New Roman"/>
          <w:i/>
          <w:noProof/>
        </w:rPr>
        <w:t>macroeconomic imbalances</w:t>
      </w:r>
      <w:r w:rsidR="006333DD" w:rsidRPr="00D80C5B">
        <w:rPr>
          <w:rFonts w:ascii="Times New Roman" w:hAnsi="Times New Roman"/>
          <w:noProof/>
        </w:rPr>
        <w:t xml:space="preserve">, relating to high levels of external and internal debt, both private and public, in a context of high unemployment. In the updated scoreboard, a number of indicators are beyond the indicative threshold, namely the net international investment position (NIIP), the government debt ratio, private debt, the unemployment rate as well as the decline in the activity rate. </w:t>
      </w:r>
    </w:p>
    <w:p w:rsidR="006333DD" w:rsidRPr="00D80C5B" w:rsidRDefault="006333DD" w:rsidP="006333DD">
      <w:pPr>
        <w:autoSpaceDE w:val="0"/>
        <w:autoSpaceDN w:val="0"/>
        <w:adjustRightInd w:val="0"/>
        <w:spacing w:after="200"/>
        <w:ind w:left="0"/>
        <w:jc w:val="both"/>
        <w:rPr>
          <w:rFonts w:ascii="Times New Roman" w:hAnsi="Times New Roman"/>
          <w:noProof/>
        </w:rPr>
      </w:pPr>
      <w:r w:rsidRPr="00D80C5B">
        <w:rPr>
          <w:rFonts w:ascii="Times New Roman" w:hAnsi="Times New Roman"/>
          <w:noProof/>
        </w:rPr>
        <w:t>The current account position has been continuously in surplus although it narrowed in 2018. The negative NIIP has kept improving but remains very high. Nominal unit labour costs have marginally increased in a context of close to zero productivity growth. Relative gains in cost competitivness have been the main source of competitivness gains since the crises. Despite some weakening in 2018, partly due to transitory factors, exports have grown moderately, and export market shares have remained broadly stable. Private sector debt continued to decline throughout 2018 but deleveraging needs remain. The decline in corporate debt to GDP ratio continued, but has slowed down due to slighty positive growth in new credit</w:t>
      </w:r>
      <w:r w:rsidR="00C45BAB">
        <w:rPr>
          <w:rFonts w:ascii="Times New Roman" w:hAnsi="Times New Roman"/>
          <w:noProof/>
        </w:rPr>
        <w:t>.</w:t>
      </w:r>
      <w:r w:rsidRPr="00D80C5B">
        <w:rPr>
          <w:rFonts w:ascii="Times New Roman" w:hAnsi="Times New Roman"/>
          <w:noProof/>
        </w:rPr>
        <w:t xml:space="preserve"> For households, debt to GDP has continued to decline although credit growth turned positive in 2018. Real house prices have continued to increase and undervaluation seems to be coming to an end. In recent years, strong economic growth has been the main driver of the reduction in the general government deficit</w:t>
      </w:r>
      <w:r w:rsidRPr="00D80C5B">
        <w:rPr>
          <w:rFonts w:ascii="Times New Roman" w:eastAsia="Times New Roman" w:hAnsi="Times New Roman"/>
          <w:noProof/>
        </w:rPr>
        <w:t xml:space="preserve"> but</w:t>
      </w:r>
      <w:r w:rsidRPr="00D80C5B">
        <w:rPr>
          <w:rFonts w:ascii="Times New Roman" w:hAnsi="Times New Roman"/>
          <w:noProof/>
        </w:rPr>
        <w:t xml:space="preserve"> the persistent </w:t>
      </w:r>
      <w:r w:rsidRPr="00D80C5B">
        <w:rPr>
          <w:rFonts w:ascii="Times New Roman" w:eastAsia="Times New Roman" w:hAnsi="Times New Roman"/>
          <w:noProof/>
        </w:rPr>
        <w:t>deficits</w:t>
      </w:r>
      <w:r w:rsidRPr="00D80C5B">
        <w:rPr>
          <w:rFonts w:ascii="Times New Roman" w:hAnsi="Times New Roman"/>
          <w:noProof/>
        </w:rPr>
        <w:t xml:space="preserve"> imply that </w:t>
      </w:r>
      <w:r w:rsidRPr="00D80C5B">
        <w:rPr>
          <w:rFonts w:ascii="Times New Roman" w:eastAsia="Times New Roman" w:hAnsi="Times New Roman"/>
          <w:noProof/>
        </w:rPr>
        <w:t>the still high</w:t>
      </w:r>
      <w:r w:rsidRPr="00D80C5B">
        <w:rPr>
          <w:rFonts w:ascii="Times New Roman" w:hAnsi="Times New Roman"/>
          <w:noProof/>
        </w:rPr>
        <w:t xml:space="preserve"> government debt</w:t>
      </w:r>
      <w:r w:rsidRPr="00D80C5B">
        <w:rPr>
          <w:rFonts w:ascii="Times New Roman" w:eastAsia="Times New Roman" w:hAnsi="Times New Roman"/>
          <w:noProof/>
        </w:rPr>
        <w:t xml:space="preserve"> ratio</w:t>
      </w:r>
      <w:r w:rsidRPr="00D80C5B">
        <w:rPr>
          <w:rFonts w:ascii="Times New Roman" w:hAnsi="Times New Roman"/>
          <w:noProof/>
        </w:rPr>
        <w:t xml:space="preserve"> is only slowly decreasing. Unemployment has been declining rapidly, but is very high and above pre-crisis levels, especially among youth and unskilled workers. </w:t>
      </w:r>
    </w:p>
    <w:p w:rsidR="006333DD" w:rsidRPr="00D80C5B" w:rsidRDefault="006333DD" w:rsidP="006333DD">
      <w:pPr>
        <w:autoSpaceDE w:val="0"/>
        <w:autoSpaceDN w:val="0"/>
        <w:adjustRightInd w:val="0"/>
        <w:spacing w:after="200"/>
        <w:ind w:left="0"/>
        <w:jc w:val="both"/>
        <w:rPr>
          <w:rFonts w:ascii="Times New Roman" w:hAnsi="Times New Roman"/>
          <w:i/>
          <w:noProof/>
        </w:rPr>
      </w:pPr>
      <w:r w:rsidRPr="00D80C5B">
        <w:rPr>
          <w:rFonts w:ascii="Times New Roman" w:hAnsi="Times New Roman"/>
          <w:i/>
          <w:noProof/>
        </w:rPr>
        <w:t xml:space="preserve">Overall, the economic reading highlights issues relating to external sustainability, private and public debt, in the context of high unemployment and weak productivity growth. Therefore, the Commission finds it opportune, also taking into account the identification imbalancess in February, to examine further the persistence of imbalances or their unwinding. </w:t>
      </w:r>
    </w:p>
    <w:p w:rsidR="006333DD" w:rsidRPr="00D80C5B" w:rsidRDefault="006333DD" w:rsidP="006333DD">
      <w:pPr>
        <w:autoSpaceDE w:val="0"/>
        <w:autoSpaceDN w:val="0"/>
        <w:adjustRightInd w:val="0"/>
        <w:spacing w:after="200"/>
        <w:ind w:left="0"/>
        <w:jc w:val="both"/>
      </w:pPr>
      <w:r w:rsidRPr="00D80C5B">
        <w:t xml:space="preserve"> </w:t>
      </w:r>
    </w:p>
    <w:p w:rsidR="006333DD" w:rsidRPr="00D80C5B" w:rsidRDefault="00123886" w:rsidP="00791D15">
      <w:pPr>
        <w:spacing w:after="200"/>
        <w:ind w:left="0"/>
        <w:jc w:val="both"/>
        <w:rPr>
          <w:rFonts w:ascii="Times New Roman" w:hAnsi="Times New Roman"/>
          <w:b/>
        </w:rPr>
      </w:pPr>
      <w:r w:rsidRPr="00D80C5B">
        <w:rPr>
          <w:noProof/>
          <w:lang w:eastAsia="en-GB"/>
        </w:rPr>
        <w:drawing>
          <wp:anchor distT="0" distB="0" distL="114300" distR="114300" simplePos="0" relativeHeight="251657728" behindDoc="0" locked="0" layoutInCell="1" allowOverlap="1" wp14:anchorId="5043FFBE" wp14:editId="33AB0AC2">
            <wp:simplePos x="0" y="0"/>
            <wp:positionH relativeFrom="column">
              <wp:posOffset>3329940</wp:posOffset>
            </wp:positionH>
            <wp:positionV relativeFrom="paragraph">
              <wp:posOffset>877570</wp:posOffset>
            </wp:positionV>
            <wp:extent cx="2556000" cy="2880000"/>
            <wp:effectExtent l="0" t="0" r="0" b="0"/>
            <wp:wrapSquare wrapText="bothSides"/>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6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3DD" w:rsidRPr="00D80C5B">
        <w:rPr>
          <w:rFonts w:ascii="Times New Roman" w:hAnsi="Times New Roman"/>
          <w:b/>
        </w:rPr>
        <w:t>France:</w:t>
      </w:r>
      <w:r w:rsidR="006333DD" w:rsidRPr="00D80C5B">
        <w:rPr>
          <w:rFonts w:ascii="Times New Roman" w:hAnsi="Times New Roman"/>
        </w:rPr>
        <w:t xml:space="preserve"> In February 2019, the Commission concluded that France was experiencing </w:t>
      </w:r>
      <w:r w:rsidR="006333DD" w:rsidRPr="00D80C5B">
        <w:rPr>
          <w:rFonts w:ascii="Times New Roman" w:hAnsi="Times New Roman"/>
          <w:i/>
        </w:rPr>
        <w:t xml:space="preserve">macroeconomic imbalances </w:t>
      </w:r>
      <w:r w:rsidR="006333DD" w:rsidRPr="00D80C5B">
        <w:rPr>
          <w:rFonts w:ascii="Times New Roman" w:hAnsi="Times New Roman"/>
        </w:rPr>
        <w:t xml:space="preserve">in particular involving high public debt and weak competitiveness dynamics in a context of low productivity growth. </w:t>
      </w:r>
      <w:r w:rsidR="006333DD" w:rsidRPr="00D80C5B">
        <w:rPr>
          <w:rFonts w:ascii="Times New Roman" w:hAnsi="Times New Roman"/>
          <w:bCs/>
          <w:noProof/>
        </w:rPr>
        <w:t xml:space="preserve">In the updated scoreboard, </w:t>
      </w:r>
      <w:r w:rsidR="006333DD" w:rsidRPr="00D80C5B">
        <w:rPr>
          <w:rFonts w:ascii="Times New Roman" w:hAnsi="Times New Roman"/>
          <w:noProof/>
        </w:rPr>
        <w:t xml:space="preserve">a number of indicators are beyond the indicative threshold, namely </w:t>
      </w:r>
      <w:r w:rsidR="006333DD" w:rsidRPr="00D80C5B">
        <w:rPr>
          <w:rFonts w:ascii="Times New Roman" w:hAnsi="Times New Roman"/>
          <w:bCs/>
          <w:noProof/>
        </w:rPr>
        <w:t xml:space="preserve">general government and private sector debt. </w:t>
      </w:r>
    </w:p>
    <w:p w:rsidR="006333DD" w:rsidRPr="00D80C5B" w:rsidRDefault="006333DD" w:rsidP="006333DD">
      <w:pPr>
        <w:autoSpaceDE w:val="0"/>
        <w:autoSpaceDN w:val="0"/>
        <w:adjustRightInd w:val="0"/>
        <w:spacing w:after="200"/>
        <w:ind w:left="0"/>
        <w:jc w:val="both"/>
        <w:rPr>
          <w:rFonts w:ascii="Times New Roman" w:hAnsi="Times New Roman"/>
        </w:rPr>
      </w:pPr>
      <w:r w:rsidRPr="00D80C5B">
        <w:rPr>
          <w:rFonts w:ascii="Times New Roman" w:hAnsi="Times New Roman"/>
        </w:rPr>
        <w:t xml:space="preserve">The current account records a contained and stable deficit while the </w:t>
      </w:r>
      <w:r w:rsidRPr="00D80C5B">
        <w:rPr>
          <w:rFonts w:ascii="Times New Roman" w:hAnsi="Times New Roman"/>
          <w:bCs/>
          <w:noProof/>
        </w:rPr>
        <w:t>net international investment position is mildly negative</w:t>
      </w:r>
      <w:r w:rsidRPr="00D80C5B">
        <w:rPr>
          <w:rFonts w:ascii="Times New Roman" w:hAnsi="Times New Roman"/>
        </w:rPr>
        <w:t>. Export market shares remained stable in 2018, both on a yearly basis and based on the five-year indicator. The growth in unit labour costs has been contained and below the euro area average although labour productivity growth is low. Government debt stabilised at a record high level in 2018, confirming that fiscal space to respond to future shocks is limited. Private credit flows remained relatively dynamic so that the high private sector debt-to-GDP ratio slightly increased. Non-financial companies’ debt was above the level suggested by fundamentals while households' indebtedness was more contained. Real house prices have increased at moderate but steady pace in recent years and signs of potential overvaluation remain.</w:t>
      </w:r>
      <w:r w:rsidRPr="00D80C5B">
        <w:rPr>
          <w:iCs/>
        </w:rPr>
        <w:t xml:space="preserve"> </w:t>
      </w:r>
      <w:r w:rsidRPr="00D80C5B">
        <w:rPr>
          <w:rFonts w:ascii="Times New Roman" w:hAnsi="Times New Roman"/>
        </w:rPr>
        <w:t>The banking sector appears resilient but the combination of high public and private debt ratios may induce risks. Moreover, the prevailing low interest rates may weigh on banks’ profitability. The unemployment rate has declined further and is now below the threshold. Long-term and youth unemployment kept improving.</w:t>
      </w:r>
    </w:p>
    <w:p w:rsidR="006333DD" w:rsidRPr="00D80C5B" w:rsidRDefault="006333DD" w:rsidP="006333DD">
      <w:pPr>
        <w:autoSpaceDE w:val="0"/>
        <w:autoSpaceDN w:val="0"/>
        <w:adjustRightInd w:val="0"/>
        <w:spacing w:after="200"/>
        <w:ind w:left="0"/>
        <w:jc w:val="both"/>
        <w:rPr>
          <w:rFonts w:ascii="Times New Roman" w:hAnsi="Times New Roman"/>
          <w:bCs/>
          <w:i/>
          <w:noProof/>
        </w:rPr>
      </w:pPr>
      <w:r w:rsidRPr="00D80C5B">
        <w:rPr>
          <w:rFonts w:ascii="Times New Roman" w:hAnsi="Times New Roman"/>
          <w:i/>
        </w:rPr>
        <w:t xml:space="preserve">Overall, the economic reading highlights issues relating to high indebtedness and weak, although stabilised, competitiveness, in a context of low productivity growth. </w:t>
      </w:r>
      <w:r w:rsidRPr="00D80C5B">
        <w:rPr>
          <w:rFonts w:ascii="Times New Roman" w:hAnsi="Times New Roman"/>
          <w:bCs/>
          <w:i/>
          <w:noProof/>
        </w:rPr>
        <w:t>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rPr>
          <w:rFonts w:ascii="Times New Roman" w:hAnsi="Times New Roman"/>
        </w:rPr>
      </w:pPr>
    </w:p>
    <w:p w:rsidR="006333DD" w:rsidRPr="00D80C5B" w:rsidRDefault="006333DD" w:rsidP="006333DD">
      <w:pPr>
        <w:spacing w:after="200"/>
        <w:ind w:left="0"/>
      </w:pPr>
    </w:p>
    <w:p w:rsidR="002E3A1B" w:rsidRDefault="002E3A1B">
      <w:pPr>
        <w:rPr>
          <w:rFonts w:ascii="Times New Roman" w:hAnsi="Times New Roman"/>
          <w:b/>
        </w:rPr>
      </w:pPr>
      <w:r>
        <w:rPr>
          <w:rFonts w:ascii="Times New Roman" w:hAnsi="Times New Roman"/>
          <w:b/>
        </w:rPr>
        <w:br w:type="page"/>
      </w:r>
    </w:p>
    <w:p w:rsidR="006333DD" w:rsidRPr="00D80C5B" w:rsidRDefault="006333DD" w:rsidP="00791D15">
      <w:pPr>
        <w:spacing w:after="200"/>
        <w:ind w:left="0"/>
        <w:jc w:val="both"/>
        <w:rPr>
          <w:rFonts w:ascii="Times New Roman" w:hAnsi="Times New Roman"/>
          <w:b/>
        </w:rPr>
      </w:pPr>
      <w:r w:rsidRPr="00D80C5B">
        <w:rPr>
          <w:rFonts w:ascii="Times New Roman" w:hAnsi="Times New Roman"/>
          <w:b/>
        </w:rPr>
        <w:t>Croatia:</w:t>
      </w:r>
      <w:r w:rsidRPr="00D80C5B">
        <w:rPr>
          <w:rFonts w:ascii="Times New Roman" w:hAnsi="Times New Roman"/>
        </w:rPr>
        <w:t xml:space="preserve"> In February 2019, the Commission concluded that Croatia was experiencing </w:t>
      </w:r>
      <w:r w:rsidRPr="00D80C5B">
        <w:rPr>
          <w:rFonts w:ascii="Times New Roman" w:hAnsi="Times New Roman"/>
          <w:i/>
        </w:rPr>
        <w:t>macroeconomic imbalances</w:t>
      </w:r>
      <w:r w:rsidRPr="00D80C5B">
        <w:rPr>
          <w:rFonts w:ascii="Times New Roman" w:hAnsi="Times New Roman"/>
        </w:rPr>
        <w:t xml:space="preserve">, relating to high levels of public, private and external debt in a context of low potential growth. In the updated scoreboard, a number of indicators are beyond the indicative threshold, namely the net international investment position (NIIP), public debt, the unemployment rate and the decline in the activity rate.  </w:t>
      </w:r>
    </w:p>
    <w:p w:rsidR="006333DD" w:rsidRPr="00D80C5B" w:rsidRDefault="006333DD" w:rsidP="006333DD">
      <w:pPr>
        <w:autoSpaceDE w:val="0"/>
        <w:autoSpaceDN w:val="0"/>
        <w:adjustRightInd w:val="0"/>
        <w:spacing w:after="200"/>
        <w:ind w:left="0"/>
        <w:jc w:val="both"/>
        <w:rPr>
          <w:rFonts w:ascii="Times New Roman" w:hAnsi="Times New Roman"/>
        </w:rPr>
      </w:pPr>
      <w:r w:rsidRPr="00D80C5B">
        <w:rPr>
          <w:noProof/>
          <w:lang w:eastAsia="en-GB"/>
        </w:rPr>
        <w:drawing>
          <wp:anchor distT="0" distB="0" distL="114300" distR="114300" simplePos="0" relativeHeight="251673088" behindDoc="0" locked="0" layoutInCell="1" allowOverlap="1" wp14:anchorId="13650395" wp14:editId="25473024">
            <wp:simplePos x="0" y="0"/>
            <wp:positionH relativeFrom="column">
              <wp:posOffset>3286125</wp:posOffset>
            </wp:positionH>
            <wp:positionV relativeFrom="paragraph">
              <wp:posOffset>14605</wp:posOffset>
            </wp:positionV>
            <wp:extent cx="2556000" cy="2880000"/>
            <wp:effectExtent l="0" t="0" r="0" b="0"/>
            <wp:wrapSquare wrapText="bothSides"/>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56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C5B" w:rsidDel="00C9158C">
        <w:rPr>
          <w:rFonts w:ascii="Times New Roman" w:hAnsi="Times New Roman"/>
        </w:rPr>
        <w:t xml:space="preserve">The </w:t>
      </w:r>
      <w:r w:rsidRPr="00D80C5B">
        <w:rPr>
          <w:rFonts w:ascii="Times New Roman" w:hAnsi="Times New Roman"/>
        </w:rPr>
        <w:t xml:space="preserve">negative </w:t>
      </w:r>
      <w:r w:rsidRPr="00D80C5B" w:rsidDel="00C9158C">
        <w:rPr>
          <w:rFonts w:ascii="Times New Roman" w:hAnsi="Times New Roman"/>
        </w:rPr>
        <w:t xml:space="preserve">NIIP </w:t>
      </w:r>
      <w:r w:rsidRPr="00D80C5B">
        <w:rPr>
          <w:rFonts w:ascii="Times New Roman" w:hAnsi="Times New Roman"/>
        </w:rPr>
        <w:t xml:space="preserve">has significantly narrowed in line with </w:t>
      </w:r>
      <w:r w:rsidRPr="00D80C5B" w:rsidDel="00C9158C">
        <w:rPr>
          <w:rFonts w:ascii="Times New Roman" w:hAnsi="Times New Roman"/>
        </w:rPr>
        <w:t xml:space="preserve">continuous current account surpluses </w:t>
      </w:r>
      <w:r w:rsidRPr="00D80C5B">
        <w:rPr>
          <w:rFonts w:ascii="Times New Roman" w:hAnsi="Times New Roman"/>
        </w:rPr>
        <w:t xml:space="preserve">but remains large. Unit labour costs growth turned positive in 2018 as labour productivity growth was very low. There have been continuous gains in export market shares since 2013 but they are declining. Government debt is high but on a downward trend, supported by small fiscal surpluses. Household and corporate debt continues to fall, but remain relatively high. In general, a substantial share of debt is denominated in foreign currency, generating exchange rate risks. While subdued credit growth contributes to the reduction in private debt levels, the increased use of general-purpose cash loans among households raises concerns. At the same time, </w:t>
      </w:r>
      <w:r w:rsidRPr="00D80C5B">
        <w:rPr>
          <w:rFonts w:ascii="Times New Roman" w:hAnsi="Times New Roman"/>
          <w:iCs/>
        </w:rPr>
        <w:t>the financial sector is burdened by high, although declining, levels of non-performing loans and some foreign currency exposure</w:t>
      </w:r>
      <w:r w:rsidRPr="00D80C5B">
        <w:rPr>
          <w:rFonts w:ascii="Times New Roman" w:hAnsi="Times New Roman"/>
        </w:rPr>
        <w:t>. The unemployment rate has been falling rapidly but remains relatively high. The activity rate is persistently low, while the working age population shrinks. This, compounded by low productivity growth, especially for a catching-up economy, hampers potential growth.</w:t>
      </w:r>
    </w:p>
    <w:p w:rsidR="006333DD" w:rsidRPr="00D80C5B" w:rsidRDefault="006333DD" w:rsidP="006333DD">
      <w:pPr>
        <w:spacing w:after="200"/>
        <w:ind w:left="0"/>
        <w:jc w:val="both"/>
        <w:rPr>
          <w:rFonts w:ascii="Times New Roman" w:hAnsi="Times New Roman"/>
          <w:i/>
          <w:iCs/>
        </w:rPr>
      </w:pPr>
      <w:r w:rsidRPr="00D80C5B">
        <w:rPr>
          <w:rFonts w:ascii="Times New Roman" w:hAnsi="Times New Roman"/>
          <w:i/>
          <w:iCs/>
        </w:rPr>
        <w:t>Overall, the economic reading highlights issues relating to the stock of external liabilities, public and private debt, and high NPLs in a context of still high unemployment and low productivity growth. Therefore, the Commission finds it opportune, also taking into account the identification of imbalances in February, to examine further the persistence of imbalances or their unwinding.</w:t>
      </w:r>
    </w:p>
    <w:p w:rsidR="00E12309" w:rsidRPr="00D80C5B" w:rsidRDefault="00E12309" w:rsidP="00791D15">
      <w:pPr>
        <w:spacing w:after="200"/>
        <w:ind w:left="0"/>
        <w:jc w:val="both"/>
        <w:rPr>
          <w:rFonts w:ascii="Times New Roman" w:eastAsia="Times New Roman" w:hAnsi="Times New Roman"/>
          <w:b/>
          <w:bCs/>
          <w:color w:val="000000"/>
          <w:lang w:eastAsia="en-GB"/>
        </w:rPr>
      </w:pPr>
    </w:p>
    <w:p w:rsidR="006333DD" w:rsidRPr="00240C90" w:rsidRDefault="004311A3" w:rsidP="00791D15">
      <w:pPr>
        <w:spacing w:after="200"/>
        <w:ind w:left="0"/>
        <w:jc w:val="both"/>
        <w:rPr>
          <w:rFonts w:ascii="Times New Roman" w:hAnsi="Times New Roman"/>
          <w:color w:val="000000"/>
        </w:rPr>
      </w:pPr>
      <w:r w:rsidRPr="006A6591">
        <w:rPr>
          <w:noProof/>
          <w:lang w:eastAsia="en-GB"/>
        </w:rPr>
        <w:drawing>
          <wp:anchor distT="0" distB="0" distL="114300" distR="114300" simplePos="0" relativeHeight="251671040" behindDoc="0" locked="0" layoutInCell="1" allowOverlap="1" wp14:anchorId="370E93B8" wp14:editId="2033B865">
            <wp:simplePos x="0" y="0"/>
            <wp:positionH relativeFrom="column">
              <wp:posOffset>3326715</wp:posOffset>
            </wp:positionH>
            <wp:positionV relativeFrom="paragraph">
              <wp:posOffset>-8255</wp:posOffset>
            </wp:positionV>
            <wp:extent cx="2731820" cy="309880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2020" cy="3099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3DD" w:rsidRPr="00D80C5B">
        <w:rPr>
          <w:rFonts w:ascii="Times New Roman" w:eastAsia="Times New Roman" w:hAnsi="Times New Roman"/>
          <w:b/>
          <w:bCs/>
          <w:color w:val="000000"/>
          <w:lang w:eastAsia="en-GB"/>
        </w:rPr>
        <w:t>Italy</w:t>
      </w:r>
      <w:r w:rsidR="006333DD" w:rsidRPr="00D80C5B">
        <w:rPr>
          <w:rFonts w:ascii="Times New Roman" w:eastAsia="Times New Roman" w:hAnsi="Times New Roman"/>
          <w:color w:val="000000"/>
          <w:lang w:eastAsia="en-GB"/>
        </w:rPr>
        <w:t xml:space="preserve">: In February 2019, the Commission concluded that Italy was experiencing </w:t>
      </w:r>
      <w:r w:rsidR="006333DD" w:rsidRPr="00D80C5B">
        <w:rPr>
          <w:rFonts w:ascii="Times New Roman" w:eastAsia="Times New Roman" w:hAnsi="Times New Roman"/>
          <w:i/>
          <w:iCs/>
          <w:color w:val="000000"/>
          <w:lang w:eastAsia="en-GB"/>
        </w:rPr>
        <w:t>excessive macroeconomic imbalances</w:t>
      </w:r>
      <w:r w:rsidR="006333DD" w:rsidRPr="00D80C5B">
        <w:rPr>
          <w:rFonts w:ascii="Times New Roman" w:eastAsia="Times New Roman" w:hAnsi="Times New Roman"/>
          <w:color w:val="000000"/>
          <w:lang w:eastAsia="en-GB"/>
        </w:rPr>
        <w:t xml:space="preserve">, in particular involving risks stemming from the very high public debt and protracted weak productivity growth in a context of still high non-performing loans (NPLs) and high unemployment. In the updated scoreboard, government debt and the unemployment rate still exceed the indicative threshold. </w:t>
      </w:r>
    </w:p>
    <w:p w:rsidR="006333DD" w:rsidRPr="00D80C5B" w:rsidRDefault="006333DD" w:rsidP="006333DD">
      <w:pPr>
        <w:spacing w:after="200"/>
        <w:ind w:left="0"/>
        <w:jc w:val="both"/>
        <w:rPr>
          <w:rFonts w:ascii="Times New Roman" w:eastAsia="Times New Roman" w:hAnsi="Times New Roman"/>
          <w:color w:val="000000"/>
          <w:lang w:eastAsia="en-GB"/>
        </w:rPr>
      </w:pPr>
      <w:r w:rsidRPr="00D80C5B">
        <w:rPr>
          <w:rFonts w:ascii="Times New Roman" w:eastAsia="Times New Roman" w:hAnsi="Times New Roman"/>
          <w:color w:val="000000"/>
          <w:lang w:eastAsia="en-GB"/>
        </w:rPr>
        <w:t>The external position is stable as the net international investment position is close to balance and the current account is in surplus. Part of the current account surplus is related to subdued domestic demand and low wage growth. Stagnant productivity growth weighs on non-cost competitiveness and potential GDP growth, which in turn hampers public debt deleveraging. Low productivity growth is due to low investment and innovation levels, a non-supportive business environment, financing constraints, lack of high-skilled people, as well as to sectoral shifts. Unit labour cost growth is contained and export market shares broadly stable. The government debt-to-GDP ratio increased in 2018 and risks to further increase in 2019 due to the weak economic outlook and a worsening primary balance. On the positive side, sovereign yields have gone down substantially. Banks’ balance sheet repair has substantially progressed as the non-performing loan stock has fallen, but lending to non-financial firms remains weak. Financial sector vulnerabilities remain, in particular for small and medium banks, which still hold large legacy stocks of non-performing loans and are more exposed to sovereign risk than larger ones. Unemployment and employment levels have evolved favourably. However, the unemployment level, in particular for young people and the long-term unemployed</w:t>
      </w:r>
      <w:r w:rsidRPr="00D80C5B" w:rsidDel="007F5D5A">
        <w:rPr>
          <w:rFonts w:ascii="Times New Roman" w:eastAsia="Times New Roman" w:hAnsi="Times New Roman"/>
          <w:color w:val="000000"/>
          <w:lang w:eastAsia="en-GB"/>
        </w:rPr>
        <w:t xml:space="preserve"> </w:t>
      </w:r>
      <w:r w:rsidRPr="00D80C5B">
        <w:rPr>
          <w:rFonts w:ascii="Times New Roman" w:eastAsia="Times New Roman" w:hAnsi="Times New Roman"/>
          <w:color w:val="000000"/>
          <w:lang w:eastAsia="en-GB"/>
        </w:rPr>
        <w:t xml:space="preserve">remain high, while  labour market participation, especially of women remains low, with risks for future employability and growth.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the high level of public debt, weak productivity growth and labour market performance and banking sector vulnerabilities, contributing to low potential growth which in turn hamper public debt deleveraging. Therefore, the Commission finds it opportune, also taking into account the identification of excessive imbalances in February, to examine further the persistence of macroeconomic risks and to monitor progress in the unwinding of excessive imbalances.</w:t>
      </w:r>
    </w:p>
    <w:p w:rsidR="006333DD" w:rsidRPr="00D80C5B" w:rsidRDefault="006333DD" w:rsidP="006333DD">
      <w:pPr>
        <w:spacing w:after="200"/>
        <w:ind w:left="0"/>
      </w:pPr>
    </w:p>
    <w:p w:rsidR="006333DD" w:rsidRPr="00D80C5B" w:rsidRDefault="006333DD" w:rsidP="00791D15">
      <w:pPr>
        <w:spacing w:after="200"/>
        <w:ind w:left="0"/>
        <w:jc w:val="both"/>
        <w:rPr>
          <w:rFonts w:ascii="Times New Roman" w:hAnsi="Times New Roman"/>
          <w:b/>
        </w:rPr>
      </w:pPr>
      <w:r w:rsidRPr="00D80C5B">
        <w:rPr>
          <w:rFonts w:ascii="Times New Roman" w:hAnsi="Times New Roman"/>
          <w:b/>
        </w:rPr>
        <w:t>Cyprus:</w:t>
      </w:r>
      <w:r w:rsidRPr="00D80C5B">
        <w:rPr>
          <w:rFonts w:ascii="Times New Roman" w:hAnsi="Times New Roman"/>
        </w:rPr>
        <w:t xml:space="preserve"> In February 2019, the Commission concluded that Cyprus was experiencing </w:t>
      </w:r>
      <w:r w:rsidRPr="00D80C5B">
        <w:rPr>
          <w:rFonts w:ascii="Times New Roman" w:hAnsi="Times New Roman"/>
          <w:i/>
        </w:rPr>
        <w:t>excessive macroeconomic imbalances</w:t>
      </w:r>
      <w:r w:rsidRPr="00D80C5B">
        <w:rPr>
          <w:rFonts w:ascii="Times New Roman" w:hAnsi="Times New Roman"/>
        </w:rPr>
        <w:t xml:space="preserve"> </w:t>
      </w:r>
      <w:r w:rsidRPr="00D80C5B">
        <w:rPr>
          <w:rFonts w:ascii="Times New Roman" w:eastAsia="Times New Roman" w:hAnsi="Times New Roman"/>
          <w:color w:val="000000"/>
          <w:lang w:eastAsia="en-GB"/>
        </w:rPr>
        <w:t>in particular involving a</w:t>
      </w:r>
      <w:r w:rsidRPr="00D80C5B">
        <w:rPr>
          <w:rFonts w:ascii="Times New Roman" w:hAnsi="Times New Roman"/>
        </w:rPr>
        <w:t xml:space="preserve"> very high share of non-performing loans, high stocks of private, public, and external debt in a context of still relatively high unemployment and weak potential growth. In the updated scoreboard, a number of indicators remain beyond the indicative thresholds, namely the current account balance, the net international investment position (NIIP), private sector debt, government debt and the unemployment rate. </w:t>
      </w:r>
    </w:p>
    <w:p w:rsidR="006333DD" w:rsidRPr="00D80C5B" w:rsidRDefault="00B92E00" w:rsidP="006333DD">
      <w:pPr>
        <w:spacing w:after="200"/>
        <w:ind w:left="0"/>
        <w:jc w:val="both"/>
        <w:rPr>
          <w:rFonts w:ascii="Times New Roman" w:hAnsi="Times New Roman"/>
        </w:rPr>
      </w:pPr>
      <w:r w:rsidRPr="00D80C5B">
        <w:rPr>
          <w:noProof/>
          <w:lang w:eastAsia="en-GB"/>
        </w:rPr>
        <w:drawing>
          <wp:anchor distT="0" distB="0" distL="114300" distR="114300" simplePos="0" relativeHeight="251656704" behindDoc="0" locked="0" layoutInCell="1" allowOverlap="1" wp14:anchorId="21FC3C14" wp14:editId="64998495">
            <wp:simplePos x="0" y="0"/>
            <wp:positionH relativeFrom="column">
              <wp:posOffset>3446780</wp:posOffset>
            </wp:positionH>
            <wp:positionV relativeFrom="paragraph">
              <wp:posOffset>18415</wp:posOffset>
            </wp:positionV>
            <wp:extent cx="2555240" cy="285559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55240" cy="285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3DD" w:rsidRPr="00D80C5B">
        <w:rPr>
          <w:rFonts w:ascii="Times New Roman" w:hAnsi="Times New Roman"/>
        </w:rPr>
        <w:t>The current account deficit remained significantly negative in 2018, reflecting strong domestic demand and negative savings among households. The dynamics of the current account is not conducive to ensure a prudent net international investment position, even taking into account the presence of special purpose entities. Unit labour cost growth has been contained while export market shares are stable in 2018. Private debt is among the highest in the EU both for households and corporates and credit flows remain positive. The ratio of non-performing loans in the banking sector declined significantly in 2018, but remains very high. The government support in the sale of the Cyprus Cooperative Bank had a one-off increasing impact on public debt in 2018. Looking forward, public debt is expected to resume its declining path on the back of a continued supportive fiscal performance. Unemployment keeps falling and is expected to continue contracting amid strong economic growth.</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external debt sustainability, public and private debt and vulnerabilities in the financial sector. Therefore, the Commission finds it useful, also taking into account the identification of excessive imbalances in February, to examine further the persistence of macroeconomic risks and to monitor progress in the unwinding of excessive imbalances.</w:t>
      </w:r>
    </w:p>
    <w:p w:rsidR="006333DD" w:rsidRPr="00D80C5B" w:rsidRDefault="006333DD" w:rsidP="006333DD">
      <w:pPr>
        <w:spacing w:after="200"/>
        <w:ind w:left="0"/>
        <w:jc w:val="both"/>
        <w:rPr>
          <w:i/>
        </w:rPr>
      </w:pPr>
    </w:p>
    <w:p w:rsidR="006333DD" w:rsidRPr="00D80C5B" w:rsidRDefault="00123886" w:rsidP="00791D15">
      <w:pPr>
        <w:spacing w:after="200"/>
        <w:ind w:left="0"/>
        <w:jc w:val="both"/>
        <w:rPr>
          <w:rFonts w:ascii="Times New Roman" w:hAnsi="Times New Roman"/>
          <w:b/>
        </w:rPr>
      </w:pPr>
      <w:r w:rsidRPr="00D80C5B">
        <w:rPr>
          <w:noProof/>
          <w:lang w:eastAsia="en-GB"/>
        </w:rPr>
        <w:drawing>
          <wp:anchor distT="0" distB="0" distL="114300" distR="114300" simplePos="0" relativeHeight="251678208" behindDoc="0" locked="0" layoutInCell="1" allowOverlap="1" wp14:anchorId="7080469B" wp14:editId="4B61959D">
            <wp:simplePos x="0" y="0"/>
            <wp:positionH relativeFrom="column">
              <wp:posOffset>3351530</wp:posOffset>
            </wp:positionH>
            <wp:positionV relativeFrom="paragraph">
              <wp:posOffset>634365</wp:posOffset>
            </wp:positionV>
            <wp:extent cx="2486025" cy="3114675"/>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86025" cy="3114675"/>
                    </a:xfrm>
                    <a:prstGeom prst="rect">
                      <a:avLst/>
                    </a:prstGeom>
                    <a:noFill/>
                    <a:ln>
                      <a:noFill/>
                    </a:ln>
                  </pic:spPr>
                </pic:pic>
              </a:graphicData>
            </a:graphic>
          </wp:anchor>
        </w:drawing>
      </w:r>
      <w:r w:rsidR="006333DD" w:rsidRPr="00D80C5B">
        <w:rPr>
          <w:rFonts w:ascii="Times New Roman" w:hAnsi="Times New Roman"/>
          <w:b/>
        </w:rPr>
        <w:t>Latvia:</w:t>
      </w:r>
      <w:r w:rsidR="006333DD" w:rsidRPr="00D80C5B">
        <w:rPr>
          <w:rFonts w:ascii="Times New Roman" w:hAnsi="Times New Roman"/>
        </w:rPr>
        <w:t xml:space="preserve"> In the previous round of the MIP, </w:t>
      </w:r>
      <w:r w:rsidR="006333DD" w:rsidRPr="00D80C5B">
        <w:rPr>
          <w:rFonts w:ascii="Times New Roman" w:hAnsi="Times New Roman"/>
          <w:i/>
        </w:rPr>
        <w:t>no macroeconomic imbalances</w:t>
      </w:r>
      <w:r w:rsidR="006333DD" w:rsidRPr="00D80C5B">
        <w:rPr>
          <w:rFonts w:ascii="Times New Roman" w:hAnsi="Times New Roman"/>
        </w:rPr>
        <w:t xml:space="preserve"> were identified in Latvia. In the updated scoreboard, a number of indicators are above the indicative threshold, namely the net international investment position (NIIP), unit labour cost growth, and real house price growth. </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 xml:space="preserve">The current account fell back into a small deficit in 2018 but the negative NIIP, mainly reflecting government debt and FDI, continued to improve relatively rapidly. Cost competitiveness indicators seems to weaken as the real effective exchange rate appreciated and unit labour costs continued to grow relatively strongly driven by steady wage growth. The pressure on wages is expected to persist due to the shrinking labour force. Meanwhile, export market share growth has slowed but cumulated gains remain positive. Real house price growth is dynamic and accelerated somewhat in 2018, warranting attention to pressures in the housing market even if there are yet no clear signs of house market overvaluation. Private debt deleveraging continues as credit growth remains subdued while public debt is low and declining moderately. On the labour market side, unemployment moves further downwards and the activity rate have kept increasing.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labour supply pressures and cost competitiveness, but risks appear contained. The Commission will at this stage not carry out further in-depth analysis in the context of the MIP.</w:t>
      </w:r>
    </w:p>
    <w:p w:rsidR="006333DD" w:rsidRPr="00D80C5B" w:rsidRDefault="00123886" w:rsidP="003425D8">
      <w:pPr>
        <w:spacing w:after="200"/>
        <w:ind w:left="0"/>
        <w:jc w:val="both"/>
        <w:rPr>
          <w:rFonts w:ascii="Times New Roman" w:hAnsi="Times New Roman"/>
          <w:b/>
        </w:rPr>
      </w:pPr>
      <w:r w:rsidRPr="00D80C5B">
        <w:rPr>
          <w:noProof/>
          <w:lang w:eastAsia="en-GB"/>
        </w:rPr>
        <w:drawing>
          <wp:anchor distT="0" distB="0" distL="114300" distR="114300" simplePos="0" relativeHeight="251659776" behindDoc="0" locked="0" layoutInCell="1" allowOverlap="1" wp14:anchorId="180B9534" wp14:editId="51AEA7F3">
            <wp:simplePos x="0" y="0"/>
            <wp:positionH relativeFrom="column">
              <wp:posOffset>3378200</wp:posOffset>
            </wp:positionH>
            <wp:positionV relativeFrom="paragraph">
              <wp:posOffset>798195</wp:posOffset>
            </wp:positionV>
            <wp:extent cx="2456815" cy="29305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6815" cy="2930525"/>
                    </a:xfrm>
                    <a:prstGeom prst="rect">
                      <a:avLst/>
                    </a:prstGeom>
                    <a:noFill/>
                    <a:ln>
                      <a:noFill/>
                    </a:ln>
                  </pic:spPr>
                </pic:pic>
              </a:graphicData>
            </a:graphic>
          </wp:anchor>
        </w:drawing>
      </w:r>
      <w:r>
        <w:rPr>
          <w:rFonts w:ascii="Times New Roman" w:hAnsi="Times New Roman"/>
          <w:b/>
        </w:rPr>
        <w:br/>
      </w:r>
      <w:r w:rsidR="006333DD" w:rsidRPr="00D80C5B">
        <w:rPr>
          <w:rFonts w:ascii="Times New Roman" w:hAnsi="Times New Roman"/>
          <w:b/>
        </w:rPr>
        <w:t>Lithuania:</w:t>
      </w:r>
      <w:r w:rsidR="006333DD" w:rsidRPr="00D80C5B">
        <w:rPr>
          <w:rFonts w:ascii="Times New Roman" w:hAnsi="Times New Roman"/>
        </w:rPr>
        <w:t xml:space="preserve"> In the previous round of the MIP, </w:t>
      </w:r>
      <w:r w:rsidR="006333DD" w:rsidRPr="00D80C5B">
        <w:rPr>
          <w:rFonts w:ascii="Times New Roman" w:hAnsi="Times New Roman"/>
          <w:i/>
        </w:rPr>
        <w:t>no macroeconomic imbalances</w:t>
      </w:r>
      <w:r w:rsidR="006333DD" w:rsidRPr="00D80C5B">
        <w:rPr>
          <w:rFonts w:ascii="Times New Roman" w:hAnsi="Times New Roman"/>
        </w:rPr>
        <w:t xml:space="preserve"> were identified in Lithuania. In the updated scoreboard, a number of indicators are above the indicative threshold, namely the real exchange rate and nominal unit labour cost growth.</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 xml:space="preserve">The current account is broadly in balance while the NIIP, reflecting mainly government debt and FDI, has continued to improve and is now within the threshold. Unit labour costs has continued to grow at relatively high rates driven by high wage growth reflecting a tight labour market and some regulatory changes, including a relatively fast increase in the minimum wages since 2016. </w:t>
      </w:r>
      <w:r w:rsidR="00E60A1F" w:rsidRPr="00D80C5B">
        <w:rPr>
          <w:rFonts w:ascii="Times New Roman" w:hAnsi="Times New Roman"/>
        </w:rPr>
        <w:t xml:space="preserve">In addition, the real effective exchange rate appreciated relatively strongly in 2018 moving beyond the threshold. </w:t>
      </w:r>
      <w:r w:rsidRPr="00D80C5B">
        <w:rPr>
          <w:rFonts w:ascii="Times New Roman" w:hAnsi="Times New Roman"/>
        </w:rPr>
        <w:t xml:space="preserve">Going forward, however, risks seem mitigated because </w:t>
      </w:r>
      <w:r w:rsidR="00E60A1F" w:rsidRPr="00D80C5B">
        <w:rPr>
          <w:rFonts w:ascii="Times New Roman" w:hAnsi="Times New Roman"/>
        </w:rPr>
        <w:t xml:space="preserve">nominal </w:t>
      </w:r>
      <w:r w:rsidRPr="00D80C5B">
        <w:rPr>
          <w:rFonts w:ascii="Times New Roman" w:hAnsi="Times New Roman"/>
        </w:rPr>
        <w:t xml:space="preserve">wage growth </w:t>
      </w:r>
      <w:r w:rsidR="00E60A1F" w:rsidRPr="00D80C5B">
        <w:rPr>
          <w:rFonts w:ascii="Times New Roman" w:hAnsi="Times New Roman"/>
        </w:rPr>
        <w:t xml:space="preserve">is </w:t>
      </w:r>
      <w:r w:rsidRPr="00D80C5B">
        <w:rPr>
          <w:rFonts w:ascii="Times New Roman" w:hAnsi="Times New Roman"/>
        </w:rPr>
        <w:t>moderating while productivity</w:t>
      </w:r>
      <w:r w:rsidR="00E60A1F" w:rsidRPr="00D80C5B">
        <w:rPr>
          <w:rFonts w:ascii="Times New Roman" w:hAnsi="Times New Roman"/>
        </w:rPr>
        <w:t xml:space="preserve"> growth remains healthy</w:t>
      </w:r>
      <w:r w:rsidRPr="00D80C5B">
        <w:rPr>
          <w:rFonts w:ascii="Times New Roman" w:hAnsi="Times New Roman"/>
        </w:rPr>
        <w:t xml:space="preserve">. Gains in export market shares have continued at a solid pace. Public and private debt levels continue to be relatively low and stable with positive credit growth. Real house price increases have been pronounced but remain within the scoreboard threshold. Unemployment remains low.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cost competitiveness, but risks appear contained at this stage. The Commission will at this stage not carry out further in-depth analysis in the context of the MIP.</w:t>
      </w:r>
    </w:p>
    <w:p w:rsidR="006333DD" w:rsidRPr="00D80C5B" w:rsidRDefault="006333DD" w:rsidP="006333DD">
      <w:pPr>
        <w:spacing w:after="200"/>
        <w:ind w:left="0"/>
      </w:pPr>
      <w:r w:rsidRPr="00D80C5B">
        <w:t xml:space="preserve"> </w:t>
      </w:r>
    </w:p>
    <w:p w:rsidR="006333DD" w:rsidRPr="00D80C5B" w:rsidRDefault="006333DD" w:rsidP="006333DD">
      <w:pPr>
        <w:spacing w:after="200"/>
        <w:ind w:left="0"/>
        <w:jc w:val="both"/>
        <w:rPr>
          <w:rFonts w:ascii="Times New Roman" w:hAnsi="Times New Roman"/>
          <w:b/>
        </w:rPr>
      </w:pPr>
      <w:r w:rsidRPr="00D80C5B">
        <w:rPr>
          <w:rFonts w:ascii="Times New Roman" w:hAnsi="Times New Roman"/>
          <w:b/>
        </w:rPr>
        <w:t>Luxembourg:</w:t>
      </w:r>
      <w:r w:rsidRPr="00D80C5B">
        <w:rPr>
          <w:rFonts w:ascii="Times New Roman" w:hAnsi="Times New Roman"/>
        </w:rPr>
        <w:t xml:space="preserve"> In the previous round of the MIP, </w:t>
      </w:r>
      <w:r w:rsidRPr="00D80C5B">
        <w:rPr>
          <w:rFonts w:ascii="Times New Roman" w:hAnsi="Times New Roman"/>
          <w:i/>
        </w:rPr>
        <w:t>no macroeconomic imbalances</w:t>
      </w:r>
      <w:r w:rsidRPr="00D80C5B">
        <w:rPr>
          <w:rFonts w:ascii="Times New Roman" w:hAnsi="Times New Roman"/>
        </w:rPr>
        <w:t xml:space="preserve"> were identified in Luxembourg. In the updated scoreboard private sector debt is beyond the indicative threshold.</w:t>
      </w:r>
    </w:p>
    <w:p w:rsidR="006333DD" w:rsidRPr="00D80C5B" w:rsidRDefault="00E12309" w:rsidP="006333DD">
      <w:pPr>
        <w:spacing w:after="200"/>
        <w:ind w:left="0"/>
        <w:jc w:val="both"/>
        <w:rPr>
          <w:rFonts w:ascii="Times New Roman" w:hAnsi="Times New Roman"/>
        </w:rPr>
      </w:pPr>
      <w:r w:rsidRPr="00D80C5B">
        <w:rPr>
          <w:noProof/>
          <w:lang w:eastAsia="en-GB"/>
        </w:rPr>
        <w:drawing>
          <wp:anchor distT="0" distB="0" distL="114300" distR="114300" simplePos="0" relativeHeight="251633152" behindDoc="0" locked="0" layoutInCell="1" allowOverlap="1" wp14:anchorId="191C9F80" wp14:editId="7A1FA50C">
            <wp:simplePos x="0" y="0"/>
            <wp:positionH relativeFrom="column">
              <wp:posOffset>3661605</wp:posOffset>
            </wp:positionH>
            <wp:positionV relativeFrom="paragraph">
              <wp:posOffset>9525</wp:posOffset>
            </wp:positionV>
            <wp:extent cx="2533650" cy="286448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33650" cy="2864485"/>
                    </a:xfrm>
                    <a:prstGeom prst="rect">
                      <a:avLst/>
                    </a:prstGeom>
                    <a:noFill/>
                    <a:ln>
                      <a:noFill/>
                    </a:ln>
                  </pic:spPr>
                </pic:pic>
              </a:graphicData>
            </a:graphic>
          </wp:anchor>
        </w:drawing>
      </w:r>
      <w:r w:rsidR="006333DD" w:rsidRPr="00D80C5B">
        <w:rPr>
          <w:rFonts w:ascii="Times New Roman" w:hAnsi="Times New Roman"/>
        </w:rPr>
        <w:t>The external position is characterised by broadly stable current account surpluses and a positive net international investment position. Cumulated gains in export market shares have narrowed while unit labour cost growth has been relatively strong. For many consecutive years, real house prices have continued to grow at a relatively high rate and warrant close attention. House price growth is underpinned by the dynamic labour market combined with the sizeable net migration flows and favourable financing conditions, while supply has remained relatively constrained. The high corporate indebtedness is mostly related to cross-border intracompany loans. Household debt, which is mostly mortgage debt, has reached relatively high levels reflecting the increase in house prices. Risks for financial stability are mitigated by the soundness of the banking sector. Furthermore, the labour market is robust with strong job creation and unemployment stabilising at relatively low levels. Public debt remains very low.</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points mainly to issues related to increasing housing prices and household debt although risks appear contained at this stage. Therefore, the Commission will at this stage not carry out further in-depth analysis in the context of the MIP.</w:t>
      </w:r>
    </w:p>
    <w:p w:rsidR="006333DD" w:rsidRPr="00D80C5B" w:rsidRDefault="006333DD" w:rsidP="006333DD">
      <w:pPr>
        <w:spacing w:after="200"/>
        <w:ind w:left="0"/>
      </w:pPr>
    </w:p>
    <w:p w:rsidR="006333DD" w:rsidRPr="00D80C5B" w:rsidRDefault="00B92E00" w:rsidP="006333DD">
      <w:pPr>
        <w:spacing w:after="200"/>
        <w:ind w:left="0"/>
        <w:jc w:val="both"/>
      </w:pPr>
      <w:r w:rsidRPr="00D80C5B">
        <w:rPr>
          <w:noProof/>
          <w:lang w:eastAsia="en-GB"/>
        </w:rPr>
        <w:drawing>
          <wp:anchor distT="0" distB="0" distL="114300" distR="114300" simplePos="0" relativeHeight="251649536" behindDoc="0" locked="0" layoutInCell="1" allowOverlap="1" wp14:anchorId="2B0BBC5D" wp14:editId="7C461120">
            <wp:simplePos x="0" y="0"/>
            <wp:positionH relativeFrom="column">
              <wp:posOffset>3268149</wp:posOffset>
            </wp:positionH>
            <wp:positionV relativeFrom="paragraph">
              <wp:posOffset>10306</wp:posOffset>
            </wp:positionV>
            <wp:extent cx="2505075" cy="2933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05075" cy="2933700"/>
                    </a:xfrm>
                    <a:prstGeom prst="rect">
                      <a:avLst/>
                    </a:prstGeom>
                    <a:noFill/>
                    <a:ln>
                      <a:noFill/>
                    </a:ln>
                  </pic:spPr>
                </pic:pic>
              </a:graphicData>
            </a:graphic>
          </wp:anchor>
        </w:drawing>
      </w:r>
      <w:r w:rsidR="006333DD" w:rsidRPr="00D80C5B">
        <w:rPr>
          <w:rFonts w:ascii="Times New Roman" w:hAnsi="Times New Roman"/>
          <w:b/>
        </w:rPr>
        <w:t>Hungary:</w:t>
      </w:r>
      <w:r w:rsidR="006333DD" w:rsidRPr="00D80C5B">
        <w:rPr>
          <w:rFonts w:ascii="Times New Roman" w:hAnsi="Times New Roman"/>
        </w:rPr>
        <w:t xml:space="preserve"> In the previous round of the MIP, </w:t>
      </w:r>
      <w:r w:rsidR="006333DD" w:rsidRPr="00D80C5B">
        <w:rPr>
          <w:rFonts w:ascii="Times New Roman" w:hAnsi="Times New Roman"/>
          <w:i/>
        </w:rPr>
        <w:t xml:space="preserve">no macroeconomic imbalances </w:t>
      </w:r>
      <w:r w:rsidR="006333DD" w:rsidRPr="00D80C5B">
        <w:rPr>
          <w:rFonts w:ascii="Times New Roman" w:hAnsi="Times New Roman"/>
        </w:rPr>
        <w:t xml:space="preserve">were identified for Hungary. In the updated scoreboard, a number of indicators are beyond the indicative threshold, namely the net international investment position (NIIP), unit labour cost growth, real house price growth and government debt. </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The negative NIIP shows sustained improvement but the current account surplus is being eroded due to strong import growth. Risks from domestic demand pressures warrant attention. Unit labour cost growth has been very dynamic, as productivity growth lags behind substantial wage rises, driven by the tight labour market and administrative measures. Appreciation of the real effective exchange rate has been mitigated so far by a gradual nominal currency depreciation. Still, temporary disruptions in the automotive industry and its value chain stalled the growth of the export market share in recent years and the large role of this sector may represent a risk over the longer term. Real house prices continued to grow rapidly. New lending volumes are increasing, but private debt as a percentage of GDP continues to decrease because of the gradual amortisation of previously accumulated stocks. Government debt is declining only slowly due to the pro-cyclical fiscal stance in recent years. Unemployment decreased further in 2018 as the labour market remains tight.</w:t>
      </w:r>
    </w:p>
    <w:p w:rsidR="006333DD" w:rsidRPr="00D80C5B" w:rsidRDefault="006333DD" w:rsidP="006333DD">
      <w:pPr>
        <w:spacing w:after="200"/>
        <w:ind w:left="0"/>
        <w:jc w:val="both"/>
        <w:rPr>
          <w:rFonts w:ascii="Times New Roman" w:hAnsi="Times New Roman"/>
        </w:rPr>
      </w:pPr>
      <w:r w:rsidRPr="00D80C5B">
        <w:rPr>
          <w:rFonts w:ascii="Times New Roman" w:hAnsi="Times New Roman"/>
          <w:i/>
        </w:rPr>
        <w:t>Overall, the economic reading highlights issues relating to unit labour costs, the housing market and possible risks from the exposure to the automotive industry. However, short-term risks appear contained</w:t>
      </w:r>
      <w:r w:rsidRPr="00D80C5B">
        <w:rPr>
          <w:rFonts w:ascii="Times New Roman" w:hAnsi="Times New Roman"/>
        </w:rPr>
        <w:t xml:space="preserve">. </w:t>
      </w:r>
      <w:r w:rsidRPr="00D80C5B">
        <w:rPr>
          <w:rFonts w:ascii="Times New Roman" w:hAnsi="Times New Roman"/>
          <w:i/>
        </w:rPr>
        <w:t>Therefore, the Commission</w:t>
      </w:r>
      <w:r w:rsidRPr="00D80C5B">
        <w:rPr>
          <w:rFonts w:ascii="Times New Roman" w:hAnsi="Times New Roman"/>
        </w:rPr>
        <w:t xml:space="preserve"> </w:t>
      </w:r>
      <w:r w:rsidRPr="00D80C5B">
        <w:rPr>
          <w:rFonts w:ascii="Times New Roman" w:hAnsi="Times New Roman"/>
          <w:i/>
        </w:rPr>
        <w:t>will keep monitoring the situation but</w:t>
      </w:r>
      <w:r w:rsidRPr="00D80C5B">
        <w:rPr>
          <w:rFonts w:ascii="Times New Roman" w:hAnsi="Times New Roman"/>
        </w:rPr>
        <w:t xml:space="preserve"> </w:t>
      </w:r>
      <w:r w:rsidRPr="00D80C5B">
        <w:rPr>
          <w:rFonts w:ascii="Times New Roman" w:hAnsi="Times New Roman"/>
          <w:i/>
        </w:rPr>
        <w:t>does not see it necessary at this stage to carry out further in-depth analysis in the context of the MIP.</w:t>
      </w:r>
    </w:p>
    <w:p w:rsidR="00A12A13" w:rsidRPr="00D80C5B" w:rsidRDefault="00A12A13" w:rsidP="004E27FB">
      <w:pPr>
        <w:spacing w:after="200"/>
        <w:ind w:left="0"/>
        <w:jc w:val="both"/>
        <w:rPr>
          <w:rFonts w:ascii="Times New Roman" w:hAnsi="Times New Roman"/>
          <w:b/>
        </w:rPr>
      </w:pPr>
    </w:p>
    <w:p w:rsidR="006333DD" w:rsidRPr="00D80C5B" w:rsidRDefault="006333DD" w:rsidP="006333DD">
      <w:pPr>
        <w:spacing w:after="200"/>
        <w:ind w:left="0"/>
        <w:jc w:val="both"/>
        <w:rPr>
          <w:rFonts w:ascii="Times New Roman" w:hAnsi="Times New Roman"/>
          <w:b/>
        </w:rPr>
      </w:pPr>
      <w:r w:rsidRPr="00D80C5B">
        <w:rPr>
          <w:rFonts w:ascii="Times New Roman" w:hAnsi="Times New Roman"/>
          <w:b/>
        </w:rPr>
        <w:t xml:space="preserve">Malta: </w:t>
      </w:r>
      <w:r w:rsidRPr="00D80C5B">
        <w:rPr>
          <w:rFonts w:ascii="Times New Roman" w:hAnsi="Times New Roman"/>
        </w:rPr>
        <w:t xml:space="preserve">In the previous round of the MIP, </w:t>
      </w:r>
      <w:r w:rsidRPr="00D80C5B">
        <w:rPr>
          <w:rFonts w:ascii="Times New Roman" w:hAnsi="Times New Roman"/>
          <w:i/>
        </w:rPr>
        <w:t xml:space="preserve">no macroeconomic imbalances </w:t>
      </w:r>
      <w:r w:rsidRPr="00D80C5B">
        <w:rPr>
          <w:rFonts w:ascii="Times New Roman" w:hAnsi="Times New Roman"/>
        </w:rPr>
        <w:t>were identified in Malta. In the updated scoreboard, the current account surplus indicator is beyond the indicative threshold.</w:t>
      </w:r>
    </w:p>
    <w:p w:rsidR="006333DD" w:rsidRPr="00D80C5B" w:rsidRDefault="00E12309" w:rsidP="006333DD">
      <w:pPr>
        <w:pStyle w:val="Default"/>
        <w:spacing w:after="200" w:line="276" w:lineRule="auto"/>
        <w:ind w:left="0"/>
        <w:jc w:val="both"/>
        <w:rPr>
          <w:sz w:val="22"/>
          <w:szCs w:val="22"/>
        </w:rPr>
      </w:pPr>
      <w:r w:rsidRPr="00D80C5B">
        <w:rPr>
          <w:noProof/>
        </w:rPr>
        <w:drawing>
          <wp:anchor distT="0" distB="0" distL="114300" distR="114300" simplePos="0" relativeHeight="251668992" behindDoc="0" locked="0" layoutInCell="1" allowOverlap="1" wp14:anchorId="270BF48F" wp14:editId="10B1D636">
            <wp:simplePos x="0" y="0"/>
            <wp:positionH relativeFrom="column">
              <wp:posOffset>3275330</wp:posOffset>
            </wp:positionH>
            <wp:positionV relativeFrom="paragraph">
              <wp:posOffset>14751</wp:posOffset>
            </wp:positionV>
            <wp:extent cx="2578100" cy="286448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78100" cy="2864485"/>
                    </a:xfrm>
                    <a:prstGeom prst="rect">
                      <a:avLst/>
                    </a:prstGeom>
                    <a:noFill/>
                    <a:ln>
                      <a:noFill/>
                    </a:ln>
                  </pic:spPr>
                </pic:pic>
              </a:graphicData>
            </a:graphic>
          </wp:anchor>
        </w:drawing>
      </w:r>
      <w:r w:rsidR="006333DD" w:rsidRPr="00D80C5B">
        <w:rPr>
          <w:sz w:val="22"/>
          <w:szCs w:val="22"/>
        </w:rPr>
        <w:t xml:space="preserve">The current account surplus remained very elevated in 2018 similar to the level seen in 2017. The net international investment position declined marginally, but remains strongly positive reflecting the presence of internationally-oriented financial business and online gaming activity. Moderate wage developments are the main factor behind the continued subdued nominal unit labour cost growth. The real effective exchange rate appreciated slightly. Private sector debt continued to decrease in 2018, underpinned mainly by strong nominal GDP growth. While credit flow to the non-financial sector is expanding, credit to households was broadly stable until 2018. The government debt-to-GDP ratio continued to decline. The steady increases in house prices accelerated slightly in 2018, while there are not yet consistent signs of overvaluation. Financial sector liabilities declined in 2018 and there are no evident signs of fragility in the banking sector given the existing capital buffers. The labour market continues to perform well, with declining unemployment, including long-term unemployment, and increasing activity rates. </w:t>
      </w:r>
    </w:p>
    <w:p w:rsidR="006333DD" w:rsidRPr="00D80C5B" w:rsidRDefault="006333DD" w:rsidP="006333DD">
      <w:pPr>
        <w:pStyle w:val="Default"/>
        <w:spacing w:after="200" w:line="276" w:lineRule="auto"/>
        <w:ind w:left="0"/>
        <w:jc w:val="both"/>
        <w:rPr>
          <w:sz w:val="22"/>
          <w:szCs w:val="22"/>
        </w:rPr>
      </w:pPr>
      <w:r w:rsidRPr="00D80C5B">
        <w:rPr>
          <w:i/>
          <w:iCs/>
          <w:sz w:val="22"/>
          <w:szCs w:val="22"/>
        </w:rPr>
        <w:t>Overall, the economic reading points to a very elevated current account balance and relatively dynamic house price growth, while risks appear contained at this stage. Overall, the Commission does not see it necessary at this stage to</w:t>
      </w:r>
      <w:r w:rsidR="008E7597">
        <w:rPr>
          <w:i/>
          <w:iCs/>
          <w:sz w:val="22"/>
          <w:szCs w:val="22"/>
        </w:rPr>
        <w:t xml:space="preserve"> </w:t>
      </w:r>
      <w:r w:rsidRPr="00D80C5B">
        <w:rPr>
          <w:i/>
          <w:iCs/>
          <w:sz w:val="22"/>
          <w:szCs w:val="22"/>
        </w:rPr>
        <w:t>carry out further in-depth analysis in the context of the MIP.</w:t>
      </w:r>
    </w:p>
    <w:p w:rsidR="006333DD" w:rsidRPr="00D80C5B" w:rsidRDefault="006333DD" w:rsidP="006333DD">
      <w:pPr>
        <w:pStyle w:val="Default"/>
        <w:spacing w:after="200" w:line="276" w:lineRule="auto"/>
        <w:ind w:left="0"/>
        <w:jc w:val="both"/>
        <w:rPr>
          <w:sz w:val="22"/>
          <w:szCs w:val="22"/>
        </w:rPr>
      </w:pPr>
    </w:p>
    <w:p w:rsidR="0028135C" w:rsidRDefault="0028135C">
      <w:pPr>
        <w:rPr>
          <w:rFonts w:ascii="Times New Roman" w:hAnsi="Times New Roman"/>
          <w:b/>
        </w:rPr>
      </w:pPr>
      <w:r>
        <w:rPr>
          <w:rFonts w:ascii="Times New Roman" w:hAnsi="Times New Roman"/>
          <w:b/>
        </w:rPr>
        <w:br w:type="page"/>
      </w:r>
    </w:p>
    <w:p w:rsidR="006333DD" w:rsidRPr="00D80C5B" w:rsidRDefault="006333DD" w:rsidP="006333DD">
      <w:pPr>
        <w:spacing w:after="200"/>
        <w:ind w:left="0"/>
        <w:jc w:val="both"/>
        <w:rPr>
          <w:rFonts w:ascii="Times New Roman" w:hAnsi="Times New Roman"/>
          <w:b/>
        </w:rPr>
      </w:pPr>
      <w:r w:rsidRPr="00D80C5B">
        <w:rPr>
          <w:rFonts w:ascii="Times New Roman" w:hAnsi="Times New Roman"/>
          <w:b/>
        </w:rPr>
        <w:t>The Netherlands:</w:t>
      </w:r>
      <w:r w:rsidRPr="00D80C5B">
        <w:rPr>
          <w:rFonts w:ascii="Times New Roman" w:hAnsi="Times New Roman"/>
        </w:rPr>
        <w:t xml:space="preserve"> In February 2019, the Commission concluded that the Netherlands was experiencing </w:t>
      </w:r>
      <w:r w:rsidRPr="00D80C5B">
        <w:rPr>
          <w:rFonts w:ascii="Times New Roman" w:hAnsi="Times New Roman"/>
          <w:i/>
        </w:rPr>
        <w:t>macroeconomic imbalances</w:t>
      </w:r>
      <w:r w:rsidRPr="00D80C5B">
        <w:rPr>
          <w:rFonts w:ascii="Times New Roman" w:hAnsi="Times New Roman"/>
        </w:rPr>
        <w:t xml:space="preserve">, in particular involving a high stock of private debt and the large current account surplus. In the updated scoreboard a number of indicators are beyond the indicative threshold, namely the current account balance, private sector debt and real house price growth. </w:t>
      </w:r>
    </w:p>
    <w:p w:rsidR="006333DD" w:rsidRPr="00D80C5B" w:rsidRDefault="0028135C" w:rsidP="006333DD">
      <w:pPr>
        <w:spacing w:after="200"/>
        <w:ind w:left="0"/>
        <w:jc w:val="both"/>
        <w:rPr>
          <w:rFonts w:ascii="Times New Roman" w:hAnsi="Times New Roman"/>
        </w:rPr>
      </w:pPr>
      <w:r w:rsidRPr="00D80C5B">
        <w:rPr>
          <w:noProof/>
          <w:lang w:eastAsia="en-GB"/>
        </w:rPr>
        <w:drawing>
          <wp:anchor distT="0" distB="0" distL="114300" distR="114300" simplePos="0" relativeHeight="251658752" behindDoc="0" locked="0" layoutInCell="1" allowOverlap="1" wp14:anchorId="11739B4E" wp14:editId="1B19AFF8">
            <wp:simplePos x="0" y="0"/>
            <wp:positionH relativeFrom="column">
              <wp:posOffset>3386455</wp:posOffset>
            </wp:positionH>
            <wp:positionV relativeFrom="paragraph">
              <wp:posOffset>15827</wp:posOffset>
            </wp:positionV>
            <wp:extent cx="2599690" cy="29083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99690" cy="2908300"/>
                    </a:xfrm>
                    <a:prstGeom prst="rect">
                      <a:avLst/>
                    </a:prstGeom>
                    <a:noFill/>
                    <a:ln>
                      <a:noFill/>
                    </a:ln>
                  </pic:spPr>
                </pic:pic>
              </a:graphicData>
            </a:graphic>
          </wp:anchor>
        </w:drawing>
      </w:r>
      <w:r w:rsidR="006333DD" w:rsidRPr="00D80C5B">
        <w:rPr>
          <w:rFonts w:ascii="Times New Roman" w:hAnsi="Times New Roman"/>
        </w:rPr>
        <w:t xml:space="preserve">The current account surplus is very high and remains well above the scoreboard threshold. All economic sectors – household, government and corporate – contribute to the surplus. The increase in recent years was mainly driven by non-financial corporations, with a savings surplus related to relatively high corporate profitability and a comparatively low domestic investment rate. Unit labour cost growth has </w:t>
      </w:r>
      <w:r w:rsidR="00785746">
        <w:rPr>
          <w:rFonts w:ascii="Times New Roman" w:hAnsi="Times New Roman"/>
        </w:rPr>
        <w:t xml:space="preserve">been </w:t>
      </w:r>
      <w:r w:rsidR="0018464E">
        <w:t>contained</w:t>
      </w:r>
      <w:r w:rsidR="00785746">
        <w:rPr>
          <w:rFonts w:ascii="Times New Roman" w:hAnsi="Times New Roman"/>
        </w:rPr>
        <w:t xml:space="preserve"> as </w:t>
      </w:r>
      <w:r w:rsidR="006333DD" w:rsidRPr="00D80C5B">
        <w:rPr>
          <w:rFonts w:ascii="Times New Roman" w:hAnsi="Times New Roman"/>
        </w:rPr>
        <w:t xml:space="preserve">wage growth </w:t>
      </w:r>
      <w:r w:rsidR="0018464E">
        <w:t xml:space="preserve">has picked up but </w:t>
      </w:r>
      <w:r w:rsidR="0018464E">
        <w:rPr>
          <w:bCs/>
          <w:iCs/>
        </w:rPr>
        <w:t>remains moderate</w:t>
      </w:r>
      <w:r w:rsidR="0018464E">
        <w:t xml:space="preserve"> </w:t>
      </w:r>
      <w:r>
        <w:rPr>
          <w:rFonts w:ascii="Times New Roman" w:hAnsi="Times New Roman"/>
        </w:rPr>
        <w:t xml:space="preserve">while </w:t>
      </w:r>
      <w:r w:rsidR="006333DD" w:rsidRPr="00D80C5B">
        <w:rPr>
          <w:rFonts w:ascii="Times New Roman" w:hAnsi="Times New Roman"/>
        </w:rPr>
        <w:t>productivity growth</w:t>
      </w:r>
      <w:r w:rsidR="0018464E">
        <w:rPr>
          <w:rFonts w:ascii="Times New Roman" w:hAnsi="Times New Roman"/>
        </w:rPr>
        <w:t xml:space="preserve"> has </w:t>
      </w:r>
      <w:r>
        <w:rPr>
          <w:rFonts w:ascii="Times New Roman" w:hAnsi="Times New Roman"/>
        </w:rPr>
        <w:t>stalled</w:t>
      </w:r>
      <w:r w:rsidR="006333DD" w:rsidRPr="00D80C5B">
        <w:rPr>
          <w:rFonts w:ascii="Times New Roman" w:hAnsi="Times New Roman"/>
        </w:rPr>
        <w:t>. Private debt as a share of GDP continues to gradually decline, but remains well above the scoreboard threshold. The high level of corporate debt is principally driven by the intra-group debt of multinationals. In particular household debt is very high, mainly linked to a generous tax treatment of mortgages on owner-occupied homes and a sub-optimally functioning rental market. While household debt as a share of GDP is on a decreasing trend, nominal debt continued to grow in 2018 as the strong housing market recovery accelerated further. As a result, real house price growth increased in 2018 and reached a level beyond the scoreboard threshold. The government debt ratio is relatively low and falling. Unemployment has also reduced with strong employment growth.</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the high household debt, in turn linked to the housing market, and the large domestic savings surplus. 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jc w:val="both"/>
        <w:rPr>
          <w:rFonts w:ascii="Times New Roman" w:hAnsi="Times New Roman"/>
          <w:sz w:val="24"/>
          <w:szCs w:val="24"/>
        </w:rPr>
      </w:pPr>
    </w:p>
    <w:p w:rsidR="006333DD" w:rsidRPr="00D80C5B" w:rsidRDefault="0028135C" w:rsidP="006333DD">
      <w:pPr>
        <w:spacing w:after="200"/>
        <w:ind w:left="0"/>
        <w:jc w:val="both"/>
        <w:rPr>
          <w:rFonts w:ascii="Times New Roman" w:hAnsi="Times New Roman"/>
          <w:sz w:val="24"/>
          <w:szCs w:val="24"/>
        </w:rPr>
      </w:pPr>
      <w:r w:rsidRPr="00D80C5B">
        <w:rPr>
          <w:noProof/>
          <w:lang w:eastAsia="en-GB"/>
        </w:rPr>
        <w:drawing>
          <wp:anchor distT="0" distB="0" distL="114300" distR="114300" simplePos="0" relativeHeight="251660800" behindDoc="0" locked="0" layoutInCell="1" allowOverlap="1" wp14:anchorId="43806C26" wp14:editId="30C1CA58">
            <wp:simplePos x="0" y="0"/>
            <wp:positionH relativeFrom="column">
              <wp:posOffset>3264330</wp:posOffset>
            </wp:positionH>
            <wp:positionV relativeFrom="paragraph">
              <wp:posOffset>16223</wp:posOffset>
            </wp:positionV>
            <wp:extent cx="2599690" cy="29083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99690" cy="2908300"/>
                    </a:xfrm>
                    <a:prstGeom prst="rect">
                      <a:avLst/>
                    </a:prstGeom>
                    <a:noFill/>
                    <a:ln>
                      <a:noFill/>
                    </a:ln>
                  </pic:spPr>
                </pic:pic>
              </a:graphicData>
            </a:graphic>
          </wp:anchor>
        </w:drawing>
      </w:r>
      <w:r w:rsidR="006333DD" w:rsidRPr="00D80C5B">
        <w:rPr>
          <w:rFonts w:ascii="Times New Roman" w:hAnsi="Times New Roman"/>
          <w:b/>
          <w:lang w:eastAsia="en-GB"/>
        </w:rPr>
        <w:t>Austria:</w:t>
      </w:r>
      <w:r w:rsidR="006333DD" w:rsidRPr="00D80C5B">
        <w:rPr>
          <w:rFonts w:ascii="Times New Roman" w:hAnsi="Times New Roman"/>
          <w:lang w:eastAsia="en-GB"/>
        </w:rPr>
        <w:t xml:space="preserve"> In the previous round of the MIP, </w:t>
      </w:r>
      <w:r w:rsidR="006333DD" w:rsidRPr="00D80C5B">
        <w:rPr>
          <w:rFonts w:ascii="Times New Roman" w:hAnsi="Times New Roman"/>
          <w:i/>
          <w:lang w:eastAsia="en-GB"/>
        </w:rPr>
        <w:t>no macroeconomic imbalances</w:t>
      </w:r>
      <w:r w:rsidR="006333DD" w:rsidRPr="00D80C5B">
        <w:rPr>
          <w:rFonts w:ascii="Times New Roman" w:hAnsi="Times New Roman"/>
          <w:lang w:eastAsia="en-GB"/>
        </w:rPr>
        <w:t xml:space="preserve"> were identified in Austria. In the updated scoreboard, the government debt indicator is beyond the indicative threshold.</w:t>
      </w:r>
    </w:p>
    <w:p w:rsidR="006333DD" w:rsidRPr="00D80C5B" w:rsidRDefault="006333DD" w:rsidP="006333DD">
      <w:pPr>
        <w:spacing w:after="200"/>
        <w:ind w:left="0"/>
        <w:jc w:val="both"/>
        <w:rPr>
          <w:rFonts w:ascii="Times New Roman" w:hAnsi="Times New Roman"/>
          <w:lang w:eastAsia="en-GB"/>
        </w:rPr>
      </w:pPr>
      <w:r w:rsidRPr="00D80C5B">
        <w:rPr>
          <w:rFonts w:ascii="Times New Roman" w:hAnsi="Times New Roman"/>
          <w:lang w:eastAsia="en-GB"/>
        </w:rPr>
        <w:t xml:space="preserve">The current account surplus remained moderate and broadly stable in 2018 and the net international investment position remained marginally positive. There were some gains in export market shares. </w:t>
      </w:r>
      <w:r w:rsidRPr="00D80C5B">
        <w:rPr>
          <w:rFonts w:ascii="Times New Roman" w:hAnsi="Times New Roman"/>
        </w:rPr>
        <w:t>U</w:t>
      </w:r>
      <w:r w:rsidRPr="00D80C5B">
        <w:rPr>
          <w:rFonts w:ascii="Times New Roman" w:hAnsi="Times New Roman"/>
          <w:lang w:eastAsia="en-GB"/>
        </w:rPr>
        <w:t xml:space="preserve">nit labour cost increased as wages grew more strongly than labour productivity but remained overall relatively contained. Real house prices continued their upward trend but growth decelerated further. While this warrant monitoring, the price increase does not appear to be credit-driven. Meanwhile, both corporate and household debt ratios are continuing to decrease. Government debt continued also its downward path on the back of strong economic growth and the ongoing asset wind-down from nationalised financial institutions. The banking sector situation improved further also linked to the recovery in neighbouring countries. In these favourable economic conditions and with strong employment growth, the unemployment rate decreased notably. </w:t>
      </w:r>
    </w:p>
    <w:p w:rsidR="006333DD" w:rsidRPr="00D80C5B" w:rsidRDefault="006333DD" w:rsidP="006333DD">
      <w:pPr>
        <w:spacing w:after="200"/>
        <w:ind w:left="0"/>
        <w:jc w:val="both"/>
        <w:rPr>
          <w:rFonts w:ascii="Times New Roman" w:hAnsi="Times New Roman"/>
          <w:i/>
          <w:lang w:eastAsia="en-GB"/>
        </w:rPr>
      </w:pPr>
      <w:r w:rsidRPr="00D80C5B">
        <w:rPr>
          <w:rFonts w:ascii="Times New Roman" w:hAnsi="Times New Roman"/>
          <w:i/>
          <w:lang w:eastAsia="en-GB"/>
        </w:rPr>
        <w:t>Overall, the economic reading highlights issues relating to the housing sector, but risks appear contained. Therefore, the Commission does not see it necessary at this stage to carry out further in-depth analysis in the context of the MIP.</w:t>
      </w:r>
    </w:p>
    <w:p w:rsidR="006333DD" w:rsidRPr="00D80C5B" w:rsidRDefault="006333DD" w:rsidP="006333DD">
      <w:pPr>
        <w:spacing w:after="200"/>
        <w:ind w:left="0"/>
      </w:pPr>
    </w:p>
    <w:p w:rsidR="006333DD" w:rsidRPr="00D80C5B" w:rsidRDefault="00E12309" w:rsidP="006333DD">
      <w:pPr>
        <w:spacing w:after="200"/>
        <w:ind w:left="0"/>
        <w:jc w:val="both"/>
        <w:rPr>
          <w:rFonts w:ascii="Times New Roman" w:hAnsi="Times New Roman"/>
          <w:b/>
        </w:rPr>
      </w:pPr>
      <w:r w:rsidRPr="00D80C5B">
        <w:rPr>
          <w:noProof/>
          <w:lang w:eastAsia="en-GB"/>
        </w:rPr>
        <w:drawing>
          <wp:anchor distT="0" distB="0" distL="114300" distR="114300" simplePos="0" relativeHeight="251634176" behindDoc="0" locked="0" layoutInCell="1" allowOverlap="1" wp14:anchorId="157C51F6" wp14:editId="4CA7962E">
            <wp:simplePos x="0" y="0"/>
            <wp:positionH relativeFrom="column">
              <wp:posOffset>3331845</wp:posOffset>
            </wp:positionH>
            <wp:positionV relativeFrom="paragraph">
              <wp:posOffset>650875</wp:posOffset>
            </wp:positionV>
            <wp:extent cx="2514600" cy="297180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14600" cy="2971800"/>
                    </a:xfrm>
                    <a:prstGeom prst="rect">
                      <a:avLst/>
                    </a:prstGeom>
                    <a:noFill/>
                    <a:ln>
                      <a:noFill/>
                    </a:ln>
                  </pic:spPr>
                </pic:pic>
              </a:graphicData>
            </a:graphic>
          </wp:anchor>
        </w:drawing>
      </w:r>
      <w:r w:rsidR="006333DD" w:rsidRPr="00D80C5B">
        <w:rPr>
          <w:rFonts w:ascii="Times New Roman" w:hAnsi="Times New Roman"/>
          <w:b/>
        </w:rPr>
        <w:t>Poland</w:t>
      </w:r>
      <w:r w:rsidR="006333DD" w:rsidRPr="00D80C5B">
        <w:rPr>
          <w:rFonts w:ascii="Times New Roman" w:hAnsi="Times New Roman"/>
        </w:rPr>
        <w:t xml:space="preserve">: In the previous round of the MIP, </w:t>
      </w:r>
      <w:r w:rsidR="006333DD" w:rsidRPr="00D80C5B">
        <w:rPr>
          <w:rFonts w:ascii="Times New Roman" w:hAnsi="Times New Roman"/>
          <w:i/>
        </w:rPr>
        <w:t>no macroeconomic imbalances</w:t>
      </w:r>
      <w:r w:rsidR="006333DD" w:rsidRPr="00D80C5B">
        <w:rPr>
          <w:rFonts w:ascii="Times New Roman" w:hAnsi="Times New Roman"/>
        </w:rPr>
        <w:t xml:space="preserve"> were identified in Poland. In the updated scoreboard, the net international investment position (NIIP) is beyond the indicative threshold.</w:t>
      </w:r>
      <w:r w:rsidR="006333DD" w:rsidRPr="00D80C5B" w:rsidDel="005620B5">
        <w:rPr>
          <w:rFonts w:ascii="Times New Roman" w:hAnsi="Times New Roman"/>
        </w:rPr>
        <w:t xml:space="preserve"> </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The current account balance turned from a small surplus in 2017 to a slight deficit in 2018, while the negative NIIP narrowed visibly, yet remaining beyond the threshold. External vulnerabilities remain contained, given that foreign direct investment accounts for a major part of foreign liabilities. Further gains in export market shares were recorded in 2018. Nominal unit labour costs increased at a modest pace, as robust wage hikes were counter balanced by strong productivity growth. The growth of house prices strengthened in 2018, remaining below, but close to the threshold. The private sector debt-to-GDP ratio is broadly stable in 2018. General government debt, measured as percentage of GDP, decreased further from already relatively low levels on the back of fast nominal GDP growth and a low headline deficit. The banking sector is relatively well capitalised, liquid and profitable, although the declining but still sizeable stock of foreign-currency denominated loans remains a vulnerability. The favourable labour market situation continued, resulting in a further decline in the unemployment rate to a very low level.</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 issues related to the net international investment position but risks are limited. Thus, the Commission does not see it necessary at this stage to carry out further in-depth analysis in the context of the MIP.</w:t>
      </w:r>
    </w:p>
    <w:p w:rsidR="006333DD" w:rsidRPr="00D80C5B" w:rsidRDefault="006333DD" w:rsidP="006333DD">
      <w:pPr>
        <w:spacing w:after="200"/>
        <w:ind w:left="0"/>
      </w:pPr>
    </w:p>
    <w:p w:rsidR="0028135C" w:rsidRDefault="0028135C">
      <w:pPr>
        <w:rPr>
          <w:rFonts w:ascii="Times New Roman" w:hAnsi="Times New Roman"/>
          <w:b/>
        </w:rPr>
      </w:pPr>
      <w:r>
        <w:rPr>
          <w:rFonts w:ascii="Times New Roman" w:hAnsi="Times New Roman"/>
          <w:b/>
        </w:rPr>
        <w:br w:type="page"/>
      </w:r>
    </w:p>
    <w:p w:rsidR="006333DD" w:rsidRPr="00D80C5B" w:rsidRDefault="006333DD" w:rsidP="006333DD">
      <w:pPr>
        <w:spacing w:after="200"/>
        <w:ind w:left="0"/>
        <w:jc w:val="both"/>
        <w:rPr>
          <w:rFonts w:ascii="Times New Roman" w:hAnsi="Times New Roman"/>
          <w:b/>
        </w:rPr>
      </w:pPr>
      <w:r w:rsidRPr="00D80C5B">
        <w:rPr>
          <w:noProof/>
          <w:lang w:eastAsia="en-GB"/>
        </w:rPr>
        <w:drawing>
          <wp:anchor distT="0" distB="0" distL="114300" distR="114300" simplePos="0" relativeHeight="251680256" behindDoc="0" locked="0" layoutInCell="1" allowOverlap="1" wp14:anchorId="6DA9511F" wp14:editId="33C7CAC0">
            <wp:simplePos x="0" y="0"/>
            <wp:positionH relativeFrom="column">
              <wp:posOffset>3263900</wp:posOffset>
            </wp:positionH>
            <wp:positionV relativeFrom="paragraph">
              <wp:posOffset>1060778</wp:posOffset>
            </wp:positionV>
            <wp:extent cx="2581275" cy="2905125"/>
            <wp:effectExtent l="0" t="0" r="9525"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81275" cy="2905125"/>
                    </a:xfrm>
                    <a:prstGeom prst="rect">
                      <a:avLst/>
                    </a:prstGeom>
                    <a:noFill/>
                    <a:ln>
                      <a:noFill/>
                    </a:ln>
                  </pic:spPr>
                </pic:pic>
              </a:graphicData>
            </a:graphic>
          </wp:anchor>
        </w:drawing>
      </w:r>
      <w:r w:rsidRPr="00D80C5B">
        <w:rPr>
          <w:rFonts w:ascii="Times New Roman" w:hAnsi="Times New Roman"/>
          <w:b/>
        </w:rPr>
        <w:t>Portugal:</w:t>
      </w:r>
      <w:r w:rsidRPr="00D80C5B">
        <w:rPr>
          <w:rFonts w:ascii="Times New Roman" w:hAnsi="Times New Roman"/>
        </w:rPr>
        <w:t xml:space="preserve"> In February 2019, the Commission concluded that Portugal was experiencing </w:t>
      </w:r>
      <w:r w:rsidRPr="00D80C5B">
        <w:rPr>
          <w:rFonts w:ascii="Times New Roman" w:hAnsi="Times New Roman"/>
          <w:i/>
        </w:rPr>
        <w:t>macroeconomic imbalances</w:t>
      </w:r>
      <w:r w:rsidRPr="00D80C5B">
        <w:rPr>
          <w:rFonts w:ascii="Times New Roman" w:hAnsi="Times New Roman"/>
        </w:rPr>
        <w:t>, in particular involving the large stocks of net external liabilities, private and public debt, and a high share of non-performing loans in a context of low productivity growth. In the updated scoreboard, a number of indicators are beyond the indicative threshold, namely the net international investment position (NIIP), government debt, private debt, and real house price growth.</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The external position is vulnerable as the NIIP is deeply negative and the pace of adjustment is very slow while the current account balance has deteriorated. Price competitiveness has deteriorated slightly over recent years due to the increase in unit labour costs while exporters continue to gain market shares, albeit at a slowing pace</w:t>
      </w:r>
      <w:r w:rsidRPr="003425D8">
        <w:rPr>
          <w:rFonts w:ascii="Times New Roman" w:hAnsi="Times New Roman"/>
        </w:rPr>
        <w:t>.</w:t>
      </w:r>
      <w:r w:rsidRPr="00D80C5B">
        <w:rPr>
          <w:rFonts w:ascii="Times New Roman" w:hAnsi="Times New Roman"/>
        </w:rPr>
        <w:t xml:space="preserve"> Labour productivity remains low and is projected to improve only marginally in the coming years, hampering catching-up with more advanced euro area economies. Private sector debt deleveraging continues although debt levels are relatively high both for corporates and households. Government debt, while still very high, is projected to retain a gradual downward path. The banking sector is becoming more resilient although the stock of non-performing loans remains a concern notwithstanding its substantial decline in 2017 and 2018. House prices keep growing strongly and have accelerated, particularly in market segments affected by tourism-related activities. However, the mortgage stock is broadly stable and construction activities are gradually catching up with demand. The labour market has continued to improve and the unemployment rate is now within the threshold.</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issues relating to imbalances in stock variables, in particular external, public and private debt, banking sector vulnerabilities and weak productivity growth. 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rPr>
          <w:b/>
        </w:rPr>
      </w:pPr>
    </w:p>
    <w:p w:rsidR="006333DD" w:rsidRPr="00D80C5B" w:rsidRDefault="00203F8D" w:rsidP="006333DD">
      <w:pPr>
        <w:spacing w:after="200"/>
        <w:ind w:left="0"/>
        <w:jc w:val="both"/>
        <w:rPr>
          <w:rFonts w:ascii="Times New Roman" w:hAnsi="Times New Roman"/>
          <w:b/>
        </w:rPr>
      </w:pPr>
      <w:r w:rsidRPr="00D80C5B">
        <w:rPr>
          <w:noProof/>
          <w:lang w:eastAsia="en-GB"/>
        </w:rPr>
        <w:drawing>
          <wp:anchor distT="0" distB="0" distL="114300" distR="114300" simplePos="0" relativeHeight="251672064" behindDoc="0" locked="0" layoutInCell="1" allowOverlap="1" wp14:anchorId="14E65D78" wp14:editId="7D17DCA3">
            <wp:simplePos x="0" y="0"/>
            <wp:positionH relativeFrom="margin">
              <wp:align>right</wp:align>
            </wp:positionH>
            <wp:positionV relativeFrom="paragraph">
              <wp:posOffset>-9964</wp:posOffset>
            </wp:positionV>
            <wp:extent cx="2499429" cy="2916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99429" cy="29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3DD" w:rsidRPr="00D80C5B">
        <w:rPr>
          <w:rFonts w:ascii="Times New Roman" w:hAnsi="Times New Roman"/>
          <w:b/>
        </w:rPr>
        <w:t>Romania</w:t>
      </w:r>
      <w:r w:rsidR="006333DD" w:rsidRPr="00D80C5B">
        <w:rPr>
          <w:rFonts w:ascii="Times New Roman" w:hAnsi="Times New Roman"/>
        </w:rPr>
        <w:t xml:space="preserve">: In February 2019, the Commission concluded that Romania was experiencing </w:t>
      </w:r>
      <w:r w:rsidR="006333DD" w:rsidRPr="00D80C5B">
        <w:rPr>
          <w:rFonts w:ascii="Times New Roman" w:hAnsi="Times New Roman"/>
          <w:i/>
        </w:rPr>
        <w:t>macroeconomic</w:t>
      </w:r>
      <w:r w:rsidR="006333DD" w:rsidRPr="00D80C5B">
        <w:rPr>
          <w:rFonts w:ascii="Times New Roman" w:hAnsi="Times New Roman"/>
        </w:rPr>
        <w:t xml:space="preserve"> </w:t>
      </w:r>
      <w:r w:rsidR="006333DD" w:rsidRPr="00D80C5B">
        <w:rPr>
          <w:rFonts w:ascii="Times New Roman" w:hAnsi="Times New Roman"/>
          <w:i/>
          <w:iCs/>
        </w:rPr>
        <w:t>imbalances</w:t>
      </w:r>
      <w:r w:rsidR="006333DD" w:rsidRPr="00D80C5B">
        <w:rPr>
          <w:rFonts w:ascii="Times New Roman" w:hAnsi="Times New Roman"/>
        </w:rPr>
        <w:t>, in particular involving risk of cost competitiveness losses, a continued deterioration of the external position and risks to financial stability. In the updated scoreboard, two indicators are beyond the threshold, namely the net international investment position (NIIP) and  nominal unit labour cost growth.</w:t>
      </w:r>
    </w:p>
    <w:p w:rsidR="006333DD" w:rsidRPr="00D80C5B" w:rsidRDefault="006333DD" w:rsidP="006333DD">
      <w:pPr>
        <w:spacing w:after="200"/>
        <w:ind w:left="0"/>
        <w:jc w:val="both"/>
        <w:rPr>
          <w:rFonts w:ascii="Times New Roman" w:hAnsi="Times New Roman"/>
        </w:rPr>
      </w:pPr>
      <w:r w:rsidRPr="00D80C5B">
        <w:rPr>
          <w:rFonts w:ascii="Times New Roman" w:hAnsi="Times New Roman"/>
        </w:rPr>
        <w:t>The large current account deficit continued to widen in 2018 driven by high import and slowing export growth. The negative NIIP</w:t>
      </w:r>
      <w:r w:rsidRPr="00D80C5B">
        <w:rPr>
          <w:rFonts w:ascii="Times New Roman" w:hAnsi="Times New Roman"/>
          <w:lang w:eastAsia="en-GB"/>
        </w:rPr>
        <w:t>,</w:t>
      </w:r>
      <w:r w:rsidRPr="00D80C5B">
        <w:rPr>
          <w:rFonts w:ascii="Times New Roman" w:hAnsi="Times New Roman"/>
        </w:rPr>
        <w:t xml:space="preserve"> which consists mostly of </w:t>
      </w:r>
      <w:r w:rsidRPr="00D80C5B">
        <w:rPr>
          <w:rFonts w:ascii="Times New Roman" w:hAnsi="Times New Roman"/>
          <w:lang w:eastAsia="en-GB"/>
        </w:rPr>
        <w:t>FDI</w:t>
      </w:r>
      <w:r w:rsidRPr="00D80C5B">
        <w:rPr>
          <w:rFonts w:ascii="Times New Roman" w:hAnsi="Times New Roman"/>
        </w:rPr>
        <w:t xml:space="preserve">, improved in 2018 on the back of strong nominal GDP growth. Exports continued to perform well in 2018, with further gains in export market shares. Unit labour cost growth accelerated sharply in 2018 due to </w:t>
      </w:r>
      <w:r w:rsidRPr="00D80C5B">
        <w:rPr>
          <w:rFonts w:ascii="Times New Roman" w:hAnsi="Times New Roman"/>
          <w:lang w:eastAsia="en-GB"/>
        </w:rPr>
        <w:t>strong</w:t>
      </w:r>
      <w:r w:rsidRPr="00D80C5B">
        <w:rPr>
          <w:rFonts w:ascii="Times New Roman" w:hAnsi="Times New Roman"/>
        </w:rPr>
        <w:t xml:space="preserve"> wage growth, particularly in the public sector. Past evidence suggests that public wage growth is likely to spill over to the private sector, which could trigger cost competitiveness losses. Private debt is low and continued to decrease, while credit growth to the private sector is subdued. The business environment is affected by frequent and unpredictable legislative changes often adopted without impact assessment or stakeholder consultation. Government debt, as a percentage of GDP, is relatively low but is no longer decreasing. In the housing market, real house price growth continued to decelerate in 2018 and remains moderate. Banks are well capitalized and liquid. Risks to financial stability stemming from past legislation appear to have abated, although policy and legislative instability remains a concern. The declining unemployment rate in 2018 reflects the continued tightening of the labour market, while the activity rate, although at very low levels, continued to improve. </w:t>
      </w:r>
    </w:p>
    <w:p w:rsidR="006333DD" w:rsidRPr="00D80C5B" w:rsidRDefault="006333DD" w:rsidP="006333DD">
      <w:pPr>
        <w:spacing w:after="200"/>
        <w:ind w:left="0"/>
        <w:jc w:val="both"/>
        <w:rPr>
          <w:rFonts w:ascii="Times New Roman" w:hAnsi="Times New Roman"/>
          <w:i/>
          <w:iCs/>
        </w:rPr>
      </w:pPr>
      <w:r w:rsidRPr="00D80C5B">
        <w:rPr>
          <w:rFonts w:ascii="Times New Roman" w:hAnsi="Times New Roman"/>
          <w:i/>
          <w:iCs/>
        </w:rPr>
        <w:t>Overall, the economic reading highlights issues relating to strongly increasing unit labour costs and the deteriorating external position. Therefore, the Commission finds it opportune, also taking into account the identification of imbalances in February, to examine further the persistence of imbalances or their unwinding.</w:t>
      </w:r>
    </w:p>
    <w:p w:rsidR="006333DD" w:rsidRPr="00D80C5B" w:rsidRDefault="006333DD" w:rsidP="006333DD">
      <w:pPr>
        <w:spacing w:after="200"/>
        <w:ind w:left="0"/>
        <w:jc w:val="both"/>
        <w:rPr>
          <w:rFonts w:ascii="Times New Roman" w:hAnsi="Times New Roman"/>
          <w:i/>
          <w:iCs/>
        </w:rPr>
      </w:pPr>
    </w:p>
    <w:p w:rsidR="006333DD" w:rsidRPr="00D80C5B" w:rsidRDefault="006333DD" w:rsidP="00E12309">
      <w:pPr>
        <w:spacing w:after="200"/>
        <w:ind w:left="0"/>
        <w:jc w:val="both"/>
        <w:rPr>
          <w:rFonts w:ascii="Times New Roman" w:hAnsi="Times New Roman"/>
          <w:b/>
          <w:bCs/>
        </w:rPr>
      </w:pPr>
      <w:r w:rsidRPr="00D80C5B">
        <w:rPr>
          <w:rFonts w:ascii="Times New Roman" w:hAnsi="Times New Roman"/>
          <w:b/>
          <w:bCs/>
        </w:rPr>
        <w:t xml:space="preserve">Slovenia: </w:t>
      </w:r>
      <w:r w:rsidRPr="00D80C5B">
        <w:rPr>
          <w:rFonts w:ascii="Times New Roman" w:eastAsia="Times New Roman" w:hAnsi="Times New Roman"/>
          <w:color w:val="000000"/>
          <w:lang w:eastAsia="en-GB"/>
        </w:rPr>
        <w:t xml:space="preserve">In the previous round of the MIP, </w:t>
      </w:r>
      <w:r w:rsidRPr="00D80C5B">
        <w:rPr>
          <w:rFonts w:ascii="Times New Roman" w:eastAsia="Times New Roman" w:hAnsi="Times New Roman"/>
          <w:i/>
          <w:color w:val="000000"/>
          <w:lang w:eastAsia="en-GB"/>
        </w:rPr>
        <w:t>no macroeconomic imbalances</w:t>
      </w:r>
      <w:r w:rsidRPr="00D80C5B">
        <w:rPr>
          <w:rFonts w:ascii="Times New Roman" w:eastAsia="Times New Roman" w:hAnsi="Times New Roman"/>
          <w:color w:val="000000"/>
          <w:lang w:eastAsia="en-GB"/>
        </w:rPr>
        <w:t xml:space="preserve"> were identified in Slovenia. In the updated scoreboard, a number of indicators are beyond the indicative threshold, namely the public sector debt and house price growth.</w:t>
      </w:r>
    </w:p>
    <w:p w:rsidR="006333DD" w:rsidRPr="00D80C5B" w:rsidRDefault="006333DD" w:rsidP="006333DD">
      <w:pPr>
        <w:autoSpaceDE w:val="0"/>
        <w:autoSpaceDN w:val="0"/>
        <w:adjustRightInd w:val="0"/>
        <w:spacing w:after="200"/>
        <w:ind w:left="0"/>
        <w:jc w:val="both"/>
        <w:rPr>
          <w:rFonts w:ascii="Times New Roman" w:hAnsi="Times New Roman"/>
        </w:rPr>
      </w:pPr>
      <w:r w:rsidRPr="00D80C5B">
        <w:rPr>
          <w:noProof/>
          <w:lang w:eastAsia="en-GB"/>
        </w:rPr>
        <w:drawing>
          <wp:anchor distT="0" distB="0" distL="114300" distR="114300" simplePos="0" relativeHeight="251681280" behindDoc="0" locked="0" layoutInCell="1" allowOverlap="1" wp14:anchorId="626C3410" wp14:editId="6C162C1E">
            <wp:simplePos x="0" y="0"/>
            <wp:positionH relativeFrom="column">
              <wp:posOffset>3285964</wp:posOffset>
            </wp:positionH>
            <wp:positionV relativeFrom="paragraph">
              <wp:posOffset>6526</wp:posOffset>
            </wp:positionV>
            <wp:extent cx="2571750" cy="286702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71750" cy="2867025"/>
                    </a:xfrm>
                    <a:prstGeom prst="rect">
                      <a:avLst/>
                    </a:prstGeom>
                    <a:noFill/>
                    <a:ln>
                      <a:noFill/>
                    </a:ln>
                  </pic:spPr>
                </pic:pic>
              </a:graphicData>
            </a:graphic>
          </wp:anchor>
        </w:drawing>
      </w:r>
      <w:r w:rsidRPr="00D80C5B">
        <w:rPr>
          <w:rFonts w:ascii="Times New Roman" w:hAnsi="Times New Roman"/>
        </w:rPr>
        <w:t xml:space="preserve">The current account continues to show a strong surplus contributing to a further narrowing of the negative net international investment position. Wage increases have been relatively low and labour productivity has improved, resulting in contained unit labour cost growth while gains in export market shares have continued. Private sector debt is relatively low and falling. Private sector credit growth turned positive in 2017 but remains muted. Investment is below the EU average, particularly regarding residential construction. House price growth remains high in a context of supply shortages, which warrant attention. Although government debt-to-GDP ratio is high, it is on a clear downward trend. However, projected ageing costs put pressure on medium and long-term fiscal sustainability. The banking sector is stable and the share of non-performing loans continues its downward trend. Regarding the labour market, unemployment keeps falling, with the activity rate at a previously unseen high. </w:t>
      </w:r>
    </w:p>
    <w:p w:rsidR="006333DD" w:rsidRPr="00D80C5B" w:rsidRDefault="006333DD" w:rsidP="006333DD">
      <w:pPr>
        <w:autoSpaceDE w:val="0"/>
        <w:autoSpaceDN w:val="0"/>
        <w:adjustRightInd w:val="0"/>
        <w:spacing w:after="200"/>
        <w:ind w:left="0"/>
        <w:jc w:val="both"/>
        <w:rPr>
          <w:rFonts w:ascii="Times New Roman" w:hAnsi="Times New Roman"/>
          <w:i/>
        </w:rPr>
      </w:pPr>
      <w:r w:rsidRPr="00D80C5B">
        <w:rPr>
          <w:rFonts w:ascii="Times New Roman" w:hAnsi="Times New Roman"/>
          <w:i/>
        </w:rPr>
        <w:t>Overall, the economic reading highlights issues relating mainly to fiscal sustainability and house price growth, although risks seem contained at this stage. Therefore, the Commission does not see it necessary at this stage to carry out further in-depth analysis in the context of the MIP.</w:t>
      </w:r>
    </w:p>
    <w:p w:rsidR="00E12309" w:rsidRPr="00D80C5B" w:rsidRDefault="00E12309" w:rsidP="00E12309">
      <w:pPr>
        <w:ind w:left="0"/>
        <w:rPr>
          <w:rFonts w:ascii="Times New Roman" w:hAnsi="Times New Roman"/>
          <w:b/>
        </w:rPr>
      </w:pPr>
    </w:p>
    <w:p w:rsidR="0028135C" w:rsidRDefault="0028135C">
      <w:pPr>
        <w:rPr>
          <w:rFonts w:ascii="Times New Roman" w:hAnsi="Times New Roman"/>
          <w:b/>
        </w:rPr>
      </w:pPr>
      <w:r>
        <w:rPr>
          <w:rFonts w:ascii="Times New Roman" w:hAnsi="Times New Roman"/>
          <w:b/>
        </w:rPr>
        <w:br w:type="page"/>
      </w:r>
    </w:p>
    <w:p w:rsidR="006333DD" w:rsidRPr="00D80C5B" w:rsidRDefault="006333DD" w:rsidP="00304343">
      <w:pPr>
        <w:ind w:left="0"/>
        <w:jc w:val="both"/>
        <w:rPr>
          <w:rFonts w:ascii="Times New Roman" w:hAnsi="Times New Roman"/>
          <w:b/>
        </w:rPr>
      </w:pPr>
      <w:r w:rsidRPr="00D80C5B">
        <w:rPr>
          <w:rFonts w:ascii="Times New Roman" w:hAnsi="Times New Roman"/>
          <w:b/>
        </w:rPr>
        <w:t>Slovakia</w:t>
      </w:r>
      <w:r w:rsidRPr="00D80C5B">
        <w:rPr>
          <w:rFonts w:ascii="Times New Roman" w:hAnsi="Times New Roman"/>
        </w:rPr>
        <w:t xml:space="preserve">: In the previous round of the MIP, </w:t>
      </w:r>
      <w:r w:rsidRPr="00D80C5B">
        <w:rPr>
          <w:rFonts w:ascii="Times New Roman" w:hAnsi="Times New Roman"/>
          <w:i/>
        </w:rPr>
        <w:t>no macroeconomic imbalances</w:t>
      </w:r>
      <w:r w:rsidRPr="00D80C5B">
        <w:rPr>
          <w:rFonts w:ascii="Times New Roman" w:hAnsi="Times New Roman"/>
        </w:rPr>
        <w:t xml:space="preserve"> were identified in Slovakia. In the updated scoreboard, a number of indicators are beyond the indicative threshold, namely the net international investment position (NIIP) and nominal unit labour cost growth.</w:t>
      </w:r>
    </w:p>
    <w:p w:rsidR="006333DD" w:rsidRPr="00D80C5B" w:rsidRDefault="00E12309" w:rsidP="006333DD">
      <w:pPr>
        <w:spacing w:after="200"/>
        <w:ind w:left="0"/>
        <w:jc w:val="both"/>
        <w:rPr>
          <w:rFonts w:ascii="Times New Roman" w:hAnsi="Times New Roman"/>
        </w:rPr>
      </w:pPr>
      <w:r w:rsidRPr="00D80C5B">
        <w:rPr>
          <w:noProof/>
          <w:lang w:eastAsia="en-GB"/>
        </w:rPr>
        <w:drawing>
          <wp:anchor distT="0" distB="0" distL="114300" distR="114300" simplePos="0" relativeHeight="251637248" behindDoc="0" locked="0" layoutInCell="1" allowOverlap="1" wp14:anchorId="29A760BA" wp14:editId="153693B8">
            <wp:simplePos x="0" y="0"/>
            <wp:positionH relativeFrom="column">
              <wp:posOffset>3538220</wp:posOffset>
            </wp:positionH>
            <wp:positionV relativeFrom="paragraph">
              <wp:posOffset>173535</wp:posOffset>
            </wp:positionV>
            <wp:extent cx="2400300" cy="2933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00300" cy="2933700"/>
                    </a:xfrm>
                    <a:prstGeom prst="rect">
                      <a:avLst/>
                    </a:prstGeom>
                    <a:noFill/>
                    <a:ln>
                      <a:noFill/>
                    </a:ln>
                  </pic:spPr>
                </pic:pic>
              </a:graphicData>
            </a:graphic>
          </wp:anchor>
        </w:drawing>
      </w:r>
      <w:r w:rsidRPr="00D80C5B">
        <w:rPr>
          <w:rFonts w:ascii="Times New Roman" w:hAnsi="Times New Roman"/>
        </w:rPr>
        <w:br/>
      </w:r>
      <w:r w:rsidR="006333DD" w:rsidRPr="00D80C5B">
        <w:rPr>
          <w:rFonts w:ascii="Times New Roman" w:hAnsi="Times New Roman"/>
        </w:rPr>
        <w:t xml:space="preserve">The current account deficit widened somewhat in 2018 but remains moderate. The NIIP is strongly negative but stable, while risks are limited in view of the large inward FDI stocks which stem from the expanding automotive industry and the financial sector. Still, temporary disruptions in the automotive industry and the large role of this sector may represent a risk over the longer term.  Export market shares showed some gains and the real effective exchange rate appreciated slightly after years of moderation. Nominal unit labour cost growth accelerated markedly, driven by strong wage growth in the context of a very tight labour market and significant labour shortages and is now beyond the threshold. House prices rose noticeably in 2018 although an overvaluation is not yet evident. The buoyant housing market has contributed to a continued rise in the household debt although from relatively low levels. The largely foreign-owned banking sector is well-capitalised. Further declines in total and long-term unemployment rates have been accompanied by increases in the participation rate. </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Overall, the economic reading highlights potential issues relating to external sustainability, domestic wage pressures and possible risks from the exposure to the automotive industry. However, short-term risks appear contained</w:t>
      </w:r>
      <w:r w:rsidRPr="00D80C5B">
        <w:rPr>
          <w:rFonts w:ascii="Times New Roman" w:hAnsi="Times New Roman"/>
        </w:rPr>
        <w:t xml:space="preserve">. </w:t>
      </w:r>
      <w:r w:rsidRPr="00D80C5B">
        <w:rPr>
          <w:rFonts w:ascii="Times New Roman" w:hAnsi="Times New Roman"/>
          <w:i/>
        </w:rPr>
        <w:t>Therefore, the Commission will at this stage not carry out further in-depth analysis in the context of the MIP.</w:t>
      </w:r>
    </w:p>
    <w:p w:rsidR="006333DD" w:rsidRPr="00D80C5B" w:rsidRDefault="006333DD" w:rsidP="006333DD">
      <w:pPr>
        <w:spacing w:after="200"/>
        <w:ind w:left="0"/>
      </w:pPr>
    </w:p>
    <w:p w:rsidR="006333DD" w:rsidRPr="00D80C5B" w:rsidRDefault="006333DD" w:rsidP="006333DD">
      <w:pPr>
        <w:spacing w:after="200"/>
        <w:ind w:left="0"/>
        <w:rPr>
          <w:rFonts w:ascii="Times New Roman" w:hAnsi="Times New Roman"/>
          <w:b/>
        </w:rPr>
      </w:pPr>
      <w:r w:rsidRPr="00D80C5B">
        <w:rPr>
          <w:rFonts w:ascii="Times New Roman" w:hAnsi="Times New Roman"/>
          <w:b/>
        </w:rPr>
        <w:t>Finland:</w:t>
      </w:r>
      <w:r w:rsidRPr="00D80C5B">
        <w:rPr>
          <w:rFonts w:ascii="Times New Roman" w:hAnsi="Times New Roman"/>
        </w:rPr>
        <w:t xml:space="preserve"> In the previous round of the MIP, </w:t>
      </w:r>
      <w:r w:rsidRPr="00D80C5B">
        <w:rPr>
          <w:rFonts w:ascii="Times New Roman" w:hAnsi="Times New Roman"/>
          <w:i/>
        </w:rPr>
        <w:t>no macroeconomic imbalances</w:t>
      </w:r>
      <w:r w:rsidRPr="00D80C5B">
        <w:rPr>
          <w:rFonts w:ascii="Times New Roman" w:hAnsi="Times New Roman"/>
        </w:rPr>
        <w:t xml:space="preserve"> were identified in Finland. In the updated scoreboard, a number of indicators are beyond the indicative threshold, namely private sector debt and the change in total financial sector liabilities.</w:t>
      </w:r>
    </w:p>
    <w:p w:rsidR="006333DD" w:rsidRPr="00D80C5B" w:rsidRDefault="00B92E00" w:rsidP="006333DD">
      <w:pPr>
        <w:spacing w:after="200"/>
        <w:ind w:left="0"/>
        <w:jc w:val="both"/>
        <w:rPr>
          <w:rFonts w:ascii="Times New Roman" w:hAnsi="Times New Roman"/>
        </w:rPr>
      </w:pPr>
      <w:r w:rsidRPr="00D80C5B">
        <w:rPr>
          <w:noProof/>
          <w:lang w:eastAsia="en-GB"/>
        </w:rPr>
        <w:drawing>
          <wp:anchor distT="0" distB="0" distL="114300" distR="114300" simplePos="0" relativeHeight="251682304" behindDoc="0" locked="0" layoutInCell="1" allowOverlap="1" wp14:anchorId="69CDACA5" wp14:editId="126515A1">
            <wp:simplePos x="0" y="0"/>
            <wp:positionH relativeFrom="column">
              <wp:posOffset>3291840</wp:posOffset>
            </wp:positionH>
            <wp:positionV relativeFrom="paragraph">
              <wp:posOffset>6985</wp:posOffset>
            </wp:positionV>
            <wp:extent cx="2571750" cy="2894965"/>
            <wp:effectExtent l="0" t="0" r="0" b="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71750" cy="2894965"/>
                    </a:xfrm>
                    <a:prstGeom prst="rect">
                      <a:avLst/>
                    </a:prstGeom>
                    <a:noFill/>
                    <a:ln>
                      <a:noFill/>
                    </a:ln>
                  </pic:spPr>
                </pic:pic>
              </a:graphicData>
            </a:graphic>
            <wp14:sizeRelV relativeFrom="margin">
              <wp14:pctHeight>0</wp14:pctHeight>
            </wp14:sizeRelV>
          </wp:anchor>
        </w:drawing>
      </w:r>
      <w:r w:rsidR="006333DD" w:rsidRPr="00D80C5B">
        <w:rPr>
          <w:rFonts w:ascii="Times New Roman" w:hAnsi="Times New Roman"/>
        </w:rPr>
        <w:t>The current account deficit widened in 2018 as the trade balance reverted to negative values while the net international investment position is balanced. Export market shares recovered for a third year in a row, narrowing down cumulated losses. Unit labour costs recorded positive growth in 2018 and the real effective exchange rate appreciated slightly but developments are overall contained. Government debt came down further as GDP growth outpaced debt growth and it is now within the threshold. Private debt remains high but decreases slowly. Favourable credit conditions and low interest rates continue to support private credit growth although credit growth decreased in 2018. Household debt to GDP is relatively high and remains on a mild upward path. Real house prices were stable in 2018. Muted mortgage growth and the declining number of new building permits reduce risks to the sustainability of the household sector debt. The financial sector is well capitalised, limiting risks to financial stability. The large increase in total assets and liabilities of the banking sector at the end of 2018 is the reflection of one bank moving its headquarters from Sweden to Finland. While both employment and unemployment strongly improved in 2018, further improvement will likely be slower. The long-term and youth unemployment rates came down in 2018.</w:t>
      </w:r>
    </w:p>
    <w:p w:rsidR="006333DD" w:rsidRPr="00D80C5B" w:rsidRDefault="006333DD" w:rsidP="006333DD">
      <w:pPr>
        <w:spacing w:after="200"/>
        <w:ind w:left="0"/>
        <w:jc w:val="both"/>
        <w:rPr>
          <w:rFonts w:ascii="Times New Roman" w:hAnsi="Times New Roman"/>
          <w:i/>
        </w:rPr>
      </w:pPr>
      <w:r w:rsidRPr="00D80C5B">
        <w:rPr>
          <w:rFonts w:ascii="Times New Roman" w:hAnsi="Times New Roman"/>
          <w:i/>
        </w:rPr>
        <w:t xml:space="preserve">Overall, the economic reading highlights persistent challenges related to the private sector debt, but risks remain limited. Overall, the Commission does not see it necessary at this stage to carry out further in-depth analysis in the context of the MIP. </w:t>
      </w:r>
    </w:p>
    <w:p w:rsidR="00994B80" w:rsidRDefault="00994B80">
      <w:pPr>
        <w:rPr>
          <w:rFonts w:ascii="Times New Roman" w:hAnsi="Times New Roman"/>
          <w:b/>
          <w:bCs/>
        </w:rPr>
      </w:pPr>
    </w:p>
    <w:p w:rsidR="006333DD" w:rsidRPr="00D80C5B" w:rsidRDefault="006333DD" w:rsidP="006333DD">
      <w:pPr>
        <w:spacing w:after="200"/>
        <w:ind w:left="0"/>
        <w:jc w:val="both"/>
        <w:rPr>
          <w:rFonts w:ascii="Times New Roman" w:hAnsi="Times New Roman"/>
          <w:b/>
          <w:bCs/>
        </w:rPr>
      </w:pPr>
      <w:r w:rsidRPr="00D80C5B">
        <w:rPr>
          <w:rFonts w:ascii="Times New Roman" w:hAnsi="Times New Roman"/>
          <w:b/>
          <w:bCs/>
        </w:rPr>
        <w:t>Sweden:</w:t>
      </w:r>
      <w:r w:rsidRPr="00D80C5B">
        <w:rPr>
          <w:rFonts w:ascii="Times New Roman" w:hAnsi="Times New Roman"/>
        </w:rPr>
        <w:t xml:space="preserve"> In February 2019, the Commission concluded that Sweden was experiencing </w:t>
      </w:r>
      <w:r w:rsidRPr="00D80C5B">
        <w:rPr>
          <w:rFonts w:ascii="Times New Roman" w:hAnsi="Times New Roman"/>
          <w:i/>
        </w:rPr>
        <w:t>macroeconomic</w:t>
      </w:r>
      <w:r w:rsidRPr="00D80C5B">
        <w:rPr>
          <w:rFonts w:ascii="Times New Roman" w:hAnsi="Times New Roman"/>
        </w:rPr>
        <w:t xml:space="preserve"> </w:t>
      </w:r>
      <w:r w:rsidRPr="00D80C5B">
        <w:rPr>
          <w:rFonts w:ascii="Times New Roman" w:hAnsi="Times New Roman"/>
          <w:i/>
          <w:iCs/>
        </w:rPr>
        <w:t>imbalances</w:t>
      </w:r>
      <w:r w:rsidRPr="00D80C5B">
        <w:rPr>
          <w:rFonts w:ascii="Times New Roman" w:hAnsi="Times New Roman"/>
        </w:rPr>
        <w:t>, in particular involving overvalued house price levels coupled with a continued rise in household debt. In the updated scoreboard, a number of indicators are beyond the threshold namely, private sector debt and export market shares.</w:t>
      </w:r>
    </w:p>
    <w:p w:rsidR="006333DD" w:rsidRPr="00D80C5B" w:rsidRDefault="006333DD" w:rsidP="006333DD">
      <w:pPr>
        <w:spacing w:after="200"/>
        <w:ind w:left="0"/>
        <w:jc w:val="both"/>
        <w:rPr>
          <w:rFonts w:ascii="Times New Roman" w:hAnsi="Times New Roman"/>
        </w:rPr>
      </w:pPr>
      <w:r w:rsidRPr="00D80C5B">
        <w:rPr>
          <w:noProof/>
          <w:lang w:eastAsia="en-GB"/>
        </w:rPr>
        <w:drawing>
          <wp:anchor distT="0" distB="0" distL="114300" distR="114300" simplePos="0" relativeHeight="251679232" behindDoc="0" locked="0" layoutInCell="1" allowOverlap="1" wp14:anchorId="4AFB733E" wp14:editId="2B80DC61">
            <wp:simplePos x="0" y="0"/>
            <wp:positionH relativeFrom="column">
              <wp:posOffset>3286201</wp:posOffset>
            </wp:positionH>
            <wp:positionV relativeFrom="paragraph">
              <wp:posOffset>8668</wp:posOffset>
            </wp:positionV>
            <wp:extent cx="2571750" cy="2867025"/>
            <wp:effectExtent l="0" t="0" r="0"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71750" cy="2867025"/>
                    </a:xfrm>
                    <a:prstGeom prst="rect">
                      <a:avLst/>
                    </a:prstGeom>
                    <a:noFill/>
                    <a:ln>
                      <a:noFill/>
                    </a:ln>
                  </pic:spPr>
                </pic:pic>
              </a:graphicData>
            </a:graphic>
          </wp:anchor>
        </w:drawing>
      </w:r>
      <w:r w:rsidRPr="00D80C5B">
        <w:rPr>
          <w:rFonts w:ascii="Times New Roman" w:hAnsi="Times New Roman"/>
        </w:rPr>
        <w:t>The trend of a narrowing current account surplus continued in 2018 while the NIIP increased and is now clearly in positive territory. Export market share losses rose in 2018 and the indicator is now beyond the threshold. Nominal unit labour cost growth has accelerated while the real effective exchange rate has depreciated due to the Krona depreciation. Private sector debt is high with household debt linked to mortgages as the main driver. In 2018</w:t>
      </w:r>
      <w:r w:rsidR="00D4465E" w:rsidRPr="00D80C5B">
        <w:rPr>
          <w:rFonts w:ascii="Times New Roman" w:hAnsi="Times New Roman"/>
        </w:rPr>
        <w:t>,</w:t>
      </w:r>
      <w:r w:rsidRPr="00D80C5B">
        <w:rPr>
          <w:rFonts w:ascii="Times New Roman" w:hAnsi="Times New Roman"/>
        </w:rPr>
        <w:t xml:space="preserve"> household debt further increased slightly. House prices fell at the end of 2017 but remained flat over 2018, overall implying negative growth in 2018 on an annual basis, and are overall very high with indications of overvaluation. House prices and household indebtedness imply macro-stability risks and are being pushed up by the favourable tax treatment of home ownership, very low mortgage interest rates and specific features in the mortgage market as well as supply side restrictions implying risks for macroeconomic stability. Risks in the banking system appear contained, as asset quality and profitability remain high and household finances are generally strong, while macro-prudential policy has been tightened. In 2018, the labour market improved further and unemployment declined, but recent developments indicate a weakening. </w:t>
      </w:r>
    </w:p>
    <w:p w:rsidR="006333DD" w:rsidRPr="00D80C5B" w:rsidRDefault="006333DD" w:rsidP="006333DD">
      <w:pPr>
        <w:spacing w:after="200"/>
        <w:ind w:left="0"/>
        <w:jc w:val="both"/>
        <w:rPr>
          <w:rFonts w:ascii="Times New Roman" w:hAnsi="Times New Roman"/>
          <w:i/>
          <w:iCs/>
        </w:rPr>
      </w:pPr>
      <w:r w:rsidRPr="00D80C5B">
        <w:rPr>
          <w:rFonts w:ascii="Times New Roman" w:hAnsi="Times New Roman"/>
          <w:i/>
          <w:iCs/>
        </w:rPr>
        <w:t>Overall, the economic reading highlights issues relating to high private debt and the housing sector. Therefore, the Commission finds it opportune, also taking into account the identification of imbalances in February, to examine further the persistence of imbalances or their unwinding.</w:t>
      </w:r>
    </w:p>
    <w:p w:rsidR="00E12309" w:rsidRPr="00D80C5B" w:rsidRDefault="00E12309" w:rsidP="006333DD">
      <w:pPr>
        <w:spacing w:after="200"/>
        <w:ind w:left="0"/>
        <w:jc w:val="both"/>
        <w:rPr>
          <w:rFonts w:ascii="Times New Roman" w:hAnsi="Times New Roman"/>
          <w:b/>
          <w:bCs/>
          <w:noProof/>
        </w:rPr>
      </w:pPr>
      <w:r w:rsidRPr="00D80C5B">
        <w:rPr>
          <w:rFonts w:ascii="Times New Roman" w:hAnsi="Times New Roman"/>
          <w:b/>
          <w:bCs/>
          <w:noProof/>
        </w:rPr>
        <w:br/>
      </w:r>
    </w:p>
    <w:p w:rsidR="00E12309" w:rsidRPr="00D80C5B" w:rsidRDefault="00E12309">
      <w:pPr>
        <w:rPr>
          <w:rFonts w:ascii="Times New Roman" w:hAnsi="Times New Roman"/>
          <w:b/>
          <w:bCs/>
          <w:noProof/>
        </w:rPr>
      </w:pPr>
      <w:r w:rsidRPr="00D80C5B">
        <w:rPr>
          <w:rFonts w:ascii="Times New Roman" w:hAnsi="Times New Roman"/>
          <w:b/>
          <w:bCs/>
          <w:noProof/>
        </w:rPr>
        <w:br w:type="page"/>
      </w:r>
    </w:p>
    <w:p w:rsidR="006333DD" w:rsidRPr="00D80C5B" w:rsidRDefault="00E12309" w:rsidP="006333DD">
      <w:pPr>
        <w:spacing w:after="200"/>
        <w:ind w:left="0"/>
        <w:jc w:val="both"/>
        <w:rPr>
          <w:rFonts w:ascii="Times New Roman" w:hAnsi="Times New Roman"/>
          <w:noProof/>
        </w:rPr>
      </w:pPr>
      <w:r w:rsidRPr="00D80C5B">
        <w:rPr>
          <w:noProof/>
          <w:lang w:eastAsia="en-GB"/>
        </w:rPr>
        <w:drawing>
          <wp:anchor distT="0" distB="0" distL="114300" distR="114300" simplePos="0" relativeHeight="251650560" behindDoc="0" locked="0" layoutInCell="1" allowOverlap="1" wp14:anchorId="09933A53" wp14:editId="754FBED8">
            <wp:simplePos x="0" y="0"/>
            <wp:positionH relativeFrom="column">
              <wp:posOffset>3365500</wp:posOffset>
            </wp:positionH>
            <wp:positionV relativeFrom="paragraph">
              <wp:posOffset>783590</wp:posOffset>
            </wp:positionV>
            <wp:extent cx="2489835" cy="2974340"/>
            <wp:effectExtent l="0" t="0" r="571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89835" cy="2974340"/>
                    </a:xfrm>
                    <a:prstGeom prst="rect">
                      <a:avLst/>
                    </a:prstGeom>
                    <a:noFill/>
                    <a:ln>
                      <a:noFill/>
                    </a:ln>
                  </pic:spPr>
                </pic:pic>
              </a:graphicData>
            </a:graphic>
          </wp:anchor>
        </w:drawing>
      </w:r>
      <w:r w:rsidR="006333DD" w:rsidRPr="00D80C5B">
        <w:rPr>
          <w:rFonts w:ascii="Times New Roman" w:hAnsi="Times New Roman"/>
          <w:b/>
          <w:bCs/>
          <w:noProof/>
        </w:rPr>
        <w:t>United Kingdom</w:t>
      </w:r>
      <w:r w:rsidR="006333DD" w:rsidRPr="00D80C5B">
        <w:rPr>
          <w:rFonts w:ascii="Times New Roman" w:hAnsi="Times New Roman"/>
          <w:noProof/>
        </w:rPr>
        <w:t xml:space="preserve">: In the previous round of the MIP, </w:t>
      </w:r>
      <w:r w:rsidR="006333DD" w:rsidRPr="00D80C5B">
        <w:rPr>
          <w:rFonts w:ascii="Times New Roman" w:hAnsi="Times New Roman"/>
          <w:i/>
          <w:iCs/>
          <w:noProof/>
        </w:rPr>
        <w:t xml:space="preserve">no macroeconomic imbalances were identified </w:t>
      </w:r>
      <w:r w:rsidR="006333DD" w:rsidRPr="00D80C5B">
        <w:rPr>
          <w:rFonts w:ascii="Times New Roman" w:hAnsi="Times New Roman"/>
          <w:noProof/>
        </w:rPr>
        <w:t>in the United Kingdom. In the updated scoreboard, a number of indicators are beyond the indicative threshold, namely the current account deficit, the real effective exchange rate, private sector debt and government debt.</w:t>
      </w:r>
    </w:p>
    <w:p w:rsidR="006333DD" w:rsidRPr="00D80C5B" w:rsidRDefault="006333DD" w:rsidP="006333DD">
      <w:pPr>
        <w:spacing w:after="200"/>
        <w:ind w:left="0"/>
        <w:jc w:val="both"/>
        <w:rPr>
          <w:rFonts w:ascii="Times New Roman" w:hAnsi="Times New Roman"/>
          <w:noProof/>
        </w:rPr>
      </w:pPr>
      <w:r w:rsidRPr="00D80C5B">
        <w:rPr>
          <w:rFonts w:ascii="Times New Roman" w:hAnsi="Times New Roman"/>
          <w:noProof/>
        </w:rPr>
        <w:t xml:space="preserve">The already-large current account deficit widened in 2018, which gives rise to sizeable external financing needs. A large deficit in goods trade and smaller deficits in transfers and investment income were only partially offset by a surplus in services trade. Not withstanding persistent external deficits, the net international investment position is close to balance, also helped by the sterling depreciation in 2016. However, the net trade response to the depreciating real effective exchange rate and associated improved price competitiveness has been disappointing and there has been recent export market share losses. The private sector debt-to-GDP ratio has bottomed out at a high level, following a period of moderate post-crisis deleveraging. In particular, household debt remains high and continues to warrant close monitoring. Real house prices have flattened off, though at a high level. Government debt is high and broadly stable. Strong employment growth continued to be accompanied by low unemployment, but investment and labour productivity are weak. </w:t>
      </w:r>
    </w:p>
    <w:p w:rsidR="006333DD" w:rsidRPr="00D80C5B" w:rsidRDefault="006333DD" w:rsidP="006333DD">
      <w:pPr>
        <w:spacing w:after="200"/>
        <w:ind w:left="0"/>
        <w:jc w:val="both"/>
        <w:rPr>
          <w:rFonts w:ascii="Times New Roman" w:hAnsi="Times New Roman"/>
          <w:i/>
          <w:iCs/>
          <w:noProof/>
        </w:rPr>
      </w:pPr>
      <w:r w:rsidRPr="00D80C5B">
        <w:rPr>
          <w:rFonts w:ascii="Times New Roman" w:hAnsi="Times New Roman"/>
          <w:i/>
          <w:iCs/>
          <w:noProof/>
        </w:rPr>
        <w:t xml:space="preserve">Overall, the economic reading highlights some issues relating to the external side of the economy and private debt. These issues appear to pose limited risks to stability in the short term. Overall, the Commission does not see it necessary at this stage to carry out further in-depth analysis in the context of the MIP. </w:t>
      </w:r>
    </w:p>
    <w:p w:rsidR="006333DD" w:rsidRPr="00D80C5B" w:rsidRDefault="006333DD" w:rsidP="006333DD">
      <w:pPr>
        <w:spacing w:after="160" w:line="259" w:lineRule="auto"/>
        <w:ind w:left="0"/>
        <w:jc w:val="both"/>
        <w:rPr>
          <w:rFonts w:ascii="Times New Roman" w:hAnsi="Times New Roman"/>
          <w:i/>
          <w:iCs/>
          <w:noProof/>
        </w:rPr>
      </w:pPr>
    </w:p>
    <w:p w:rsidR="006333DD" w:rsidRPr="00D80C5B" w:rsidRDefault="006333DD" w:rsidP="006333DD">
      <w:pPr>
        <w:ind w:left="0"/>
      </w:pPr>
    </w:p>
    <w:p w:rsidR="006333DD" w:rsidRPr="00D80C5B" w:rsidRDefault="006333DD" w:rsidP="006333DD"/>
    <w:p w:rsidR="006333DD" w:rsidRPr="00D80C5B" w:rsidRDefault="006333DD" w:rsidP="006333DD">
      <w:pPr>
        <w:spacing w:after="120"/>
        <w:ind w:left="0"/>
        <w:contextualSpacing/>
        <w:jc w:val="both"/>
        <w:rPr>
          <w:rFonts w:ascii="Times New Roman" w:eastAsia="Times New Roman" w:hAnsi="Times New Roman" w:cs="Times New Roman"/>
          <w:lang w:eastAsia="en-GB"/>
        </w:rPr>
      </w:pPr>
    </w:p>
    <w:p w:rsidR="006333DD" w:rsidRPr="00D80C5B" w:rsidRDefault="006333DD" w:rsidP="006333DD">
      <w:pPr>
        <w:spacing w:after="120"/>
        <w:ind w:left="0"/>
        <w:contextualSpacing/>
        <w:jc w:val="both"/>
        <w:rPr>
          <w:rFonts w:ascii="Times New Roman" w:eastAsia="Times New Roman" w:hAnsi="Times New Roman" w:cs="Times New Roman"/>
          <w:lang w:eastAsia="en-GB"/>
        </w:rPr>
      </w:pPr>
    </w:p>
    <w:p w:rsidR="006333DD" w:rsidRPr="00D80C5B" w:rsidRDefault="006333DD" w:rsidP="006333DD">
      <w:pPr>
        <w:spacing w:after="120"/>
        <w:ind w:left="0"/>
        <w:contextualSpacing/>
        <w:jc w:val="both"/>
        <w:rPr>
          <w:rFonts w:ascii="Times New Roman" w:eastAsia="Times New Roman" w:hAnsi="Times New Roman" w:cs="Times New Roman"/>
          <w:lang w:eastAsia="en-GB"/>
        </w:rPr>
      </w:pPr>
    </w:p>
    <w:p w:rsidR="006333DD" w:rsidRPr="00D80C5B" w:rsidRDefault="006333DD" w:rsidP="006333DD">
      <w:pPr>
        <w:spacing w:before="120" w:after="120"/>
        <w:ind w:left="0"/>
        <w:jc w:val="both"/>
        <w:rPr>
          <w:rFonts w:ascii="Times New Roman" w:eastAsia="Times New Roman" w:hAnsi="Times New Roman" w:cs="Times New Roman"/>
          <w:lang w:eastAsia="en-GB"/>
        </w:rPr>
      </w:pPr>
    </w:p>
    <w:p w:rsidR="006333DD" w:rsidRPr="00D80C5B" w:rsidRDefault="006333DD" w:rsidP="006333DD">
      <w:pPr>
        <w:rPr>
          <w:rFonts w:ascii="Times New Roman" w:eastAsia="Times New Roman" w:hAnsi="Times New Roman" w:cs="Times New Roman"/>
          <w:lang w:eastAsia="en-GB"/>
        </w:rPr>
      </w:pPr>
    </w:p>
    <w:p w:rsidR="006333DD" w:rsidRPr="00D80C5B" w:rsidRDefault="006333DD" w:rsidP="006333DD">
      <w:pPr>
        <w:rPr>
          <w:rFonts w:ascii="Times New Roman" w:eastAsia="Times New Roman" w:hAnsi="Times New Roman" w:cs="Times New Roman"/>
          <w:lang w:eastAsia="en-GB"/>
        </w:rPr>
      </w:pPr>
      <w:r w:rsidRPr="00D80C5B">
        <w:rPr>
          <w:rFonts w:ascii="Times New Roman" w:eastAsia="Times New Roman" w:hAnsi="Times New Roman" w:cs="Times New Roman"/>
          <w:lang w:eastAsia="en-GB"/>
        </w:rPr>
        <w:br w:type="page"/>
      </w:r>
    </w:p>
    <w:p w:rsidR="006333DD" w:rsidRPr="00D80C5B" w:rsidRDefault="006333DD" w:rsidP="006333DD">
      <w:pPr>
        <w:spacing w:before="120" w:after="120"/>
        <w:ind w:left="0"/>
        <w:jc w:val="both"/>
        <w:rPr>
          <w:rFonts w:ascii="Times New Roman" w:hAnsi="Times New Roman" w:cs="Times New Roman"/>
          <w:b/>
        </w:rPr>
        <w:sectPr w:rsidR="006333DD" w:rsidRPr="00D80C5B" w:rsidSect="00201F15">
          <w:headerReference w:type="even" r:id="rId70"/>
          <w:headerReference w:type="default" r:id="rId71"/>
          <w:footerReference w:type="even" r:id="rId72"/>
          <w:footerReference w:type="default" r:id="rId73"/>
          <w:headerReference w:type="first" r:id="rId74"/>
          <w:footerReference w:type="first" r:id="rId75"/>
          <w:pgSz w:w="11906" w:h="16838" w:code="9"/>
          <w:pgMar w:top="1560" w:right="1274" w:bottom="1134" w:left="1417" w:header="709" w:footer="709" w:gutter="0"/>
          <w:pgNumType w:start="1"/>
          <w:cols w:space="720"/>
          <w:docGrid w:linePitch="360"/>
        </w:sectPr>
      </w:pPr>
    </w:p>
    <w:p w:rsidR="006333DD" w:rsidRPr="00D80C5B" w:rsidRDefault="00112B58" w:rsidP="006333DD">
      <w:pPr>
        <w:spacing w:before="120" w:after="120"/>
        <w:ind w:left="0"/>
        <w:jc w:val="both"/>
        <w:rPr>
          <w:rFonts w:ascii="Times New Roman" w:hAnsi="Times New Roman" w:cs="Times New Roman"/>
          <w:b/>
        </w:rPr>
      </w:pPr>
      <w:r w:rsidRPr="00D80C5B">
        <w:rPr>
          <w:noProof/>
          <w:lang w:eastAsia="en-GB"/>
        </w:rPr>
        <w:drawing>
          <wp:inline distT="0" distB="0" distL="0" distR="0" wp14:anchorId="2D9AD3DD" wp14:editId="27BE9ED4">
            <wp:extent cx="8981440" cy="5068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981440" cy="5068300"/>
                    </a:xfrm>
                    <a:prstGeom prst="rect">
                      <a:avLst/>
                    </a:prstGeom>
                    <a:noFill/>
                    <a:ln>
                      <a:noFill/>
                    </a:ln>
                  </pic:spPr>
                </pic:pic>
              </a:graphicData>
            </a:graphic>
          </wp:inline>
        </w:drawing>
      </w:r>
      <w:r w:rsidRPr="00D80C5B">
        <w:rPr>
          <w:noProof/>
          <w:lang w:val="fr-BE" w:eastAsia="fr-BE"/>
        </w:rPr>
        <w:t xml:space="preserve"> </w:t>
      </w:r>
    </w:p>
    <w:p w:rsidR="006333DD" w:rsidRPr="00D80C5B" w:rsidRDefault="006333DD" w:rsidP="006333DD">
      <w:pPr>
        <w:spacing w:before="120" w:after="120"/>
        <w:ind w:left="0"/>
        <w:jc w:val="both"/>
        <w:rPr>
          <w:rFonts w:ascii="Times New Roman" w:hAnsi="Times New Roman" w:cs="Times New Roman"/>
          <w:b/>
        </w:rPr>
      </w:pPr>
    </w:p>
    <w:p w:rsidR="006333DD" w:rsidRPr="00D80C5B" w:rsidRDefault="00112B58" w:rsidP="006333DD">
      <w:pPr>
        <w:spacing w:before="120" w:after="120"/>
        <w:ind w:left="0"/>
        <w:jc w:val="both"/>
        <w:rPr>
          <w:rFonts w:ascii="Times New Roman" w:hAnsi="Times New Roman" w:cs="Times New Roman"/>
          <w:b/>
          <w:noProof/>
          <w:lang w:val="fr-BE" w:eastAsia="fr-BE"/>
        </w:rPr>
      </w:pPr>
      <w:r w:rsidRPr="00D80C5B">
        <w:rPr>
          <w:noProof/>
          <w:lang w:eastAsia="en-GB"/>
        </w:rPr>
        <w:drawing>
          <wp:inline distT="0" distB="0" distL="0" distR="0" wp14:anchorId="56DFE0D0" wp14:editId="65C0756F">
            <wp:extent cx="8981440" cy="480612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981440" cy="4806122"/>
                    </a:xfrm>
                    <a:prstGeom prst="rect">
                      <a:avLst/>
                    </a:prstGeom>
                    <a:noFill/>
                    <a:ln>
                      <a:noFill/>
                    </a:ln>
                  </pic:spPr>
                </pic:pic>
              </a:graphicData>
            </a:graphic>
          </wp:inline>
        </w:drawing>
      </w:r>
    </w:p>
    <w:p w:rsidR="006333DD" w:rsidRPr="00D80C5B" w:rsidRDefault="006333DD" w:rsidP="006333DD">
      <w:pPr>
        <w:spacing w:before="120" w:after="120"/>
        <w:ind w:left="0"/>
        <w:jc w:val="both"/>
        <w:rPr>
          <w:rFonts w:ascii="Times New Roman" w:hAnsi="Times New Roman" w:cs="Times New Roman"/>
          <w:b/>
          <w:noProof/>
          <w:lang w:val="fr-BE" w:eastAsia="fr-BE"/>
        </w:rPr>
      </w:pPr>
    </w:p>
    <w:p w:rsidR="006333DD" w:rsidRDefault="00112B58" w:rsidP="006333DD">
      <w:pPr>
        <w:spacing w:before="120" w:after="120"/>
        <w:ind w:left="0"/>
        <w:jc w:val="both"/>
        <w:rPr>
          <w:rFonts w:ascii="Times New Roman" w:hAnsi="Times New Roman" w:cs="Times New Roman"/>
          <w:b/>
        </w:rPr>
      </w:pPr>
      <w:r w:rsidRPr="00D80C5B">
        <w:rPr>
          <w:noProof/>
          <w:lang w:eastAsia="en-GB"/>
        </w:rPr>
        <w:drawing>
          <wp:inline distT="0" distB="0" distL="0" distR="0" wp14:anchorId="2366166B" wp14:editId="1E76BA59">
            <wp:extent cx="8981440" cy="53167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981440" cy="5316772"/>
                    </a:xfrm>
                    <a:prstGeom prst="rect">
                      <a:avLst/>
                    </a:prstGeom>
                    <a:noFill/>
                    <a:ln>
                      <a:noFill/>
                    </a:ln>
                  </pic:spPr>
                </pic:pic>
              </a:graphicData>
            </a:graphic>
          </wp:inline>
        </w:drawing>
      </w:r>
    </w:p>
    <w:sectPr w:rsidR="006333DD" w:rsidSect="00A12A13">
      <w:headerReference w:type="even" r:id="rId79"/>
      <w:headerReference w:type="default" r:id="rId80"/>
      <w:footerReference w:type="even" r:id="rId81"/>
      <w:footerReference w:type="default" r:id="rId82"/>
      <w:headerReference w:type="first" r:id="rId83"/>
      <w:footerReference w:type="first" r:id="rId84"/>
      <w:pgSz w:w="16838" w:h="11906" w:orient="landscape" w:code="9"/>
      <w:pgMar w:top="1417" w:right="1560" w:bottom="1274" w:left="1134"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149D2" w16cid:durableId="21969334"/>
  <w16cid:commentId w16cid:paraId="6B7E1A89" w16cid:durableId="219697D3"/>
  <w16cid:commentId w16cid:paraId="39744508" w16cid:durableId="2196930D"/>
  <w16cid:commentId w16cid:paraId="52119034" w16cid:durableId="2196872D"/>
  <w16cid:commentId w16cid:paraId="7283560F" w16cid:durableId="2196952B"/>
  <w16cid:commentId w16cid:paraId="6B194E4D" w16cid:durableId="21968B45"/>
  <w16cid:commentId w16cid:paraId="06C11D95" w16cid:durableId="21968A17"/>
  <w16cid:commentId w16cid:paraId="2239A775" w16cid:durableId="21968A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BA" w:rsidRDefault="00B459BA" w:rsidP="00CF5192">
      <w:pPr>
        <w:spacing w:line="240" w:lineRule="auto"/>
      </w:pPr>
      <w:r>
        <w:separator/>
      </w:r>
    </w:p>
  </w:endnote>
  <w:endnote w:type="continuationSeparator" w:id="0">
    <w:p w:rsidR="00B459BA" w:rsidRDefault="00B459BA" w:rsidP="00CF5192">
      <w:pPr>
        <w:spacing w:line="240" w:lineRule="auto"/>
      </w:pPr>
      <w:r>
        <w:continuationSeparator/>
      </w:r>
    </w:p>
  </w:endnote>
  <w:endnote w:type="continuationNotice" w:id="1">
    <w:p w:rsidR="00B459BA" w:rsidRDefault="00B45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FooterCoverPage"/>
      <w:rPr>
        <w:rFonts w:ascii="Arial" w:hAnsi="Arial" w:cs="Arial"/>
        <w:b/>
        <w:sz w:val="48"/>
      </w:rPr>
    </w:pPr>
    <w:r w:rsidRPr="00023FF9">
      <w:rPr>
        <w:rFonts w:ascii="Arial" w:hAnsi="Arial" w:cs="Arial"/>
        <w:b/>
        <w:sz w:val="48"/>
      </w:rPr>
      <w:t>EN</w:t>
    </w:r>
    <w:r w:rsidRPr="00023FF9">
      <w:rPr>
        <w:rFonts w:ascii="Arial" w:hAnsi="Arial" w:cs="Arial"/>
        <w:b/>
        <w:sz w:val="48"/>
      </w:rPr>
      <w:tab/>
    </w:r>
    <w:r w:rsidRPr="00023FF9">
      <w:rPr>
        <w:rFonts w:ascii="Arial" w:hAnsi="Arial" w:cs="Arial"/>
        <w:b/>
        <w:sz w:val="48"/>
      </w:rPr>
      <w:tab/>
    </w:r>
    <w:r w:rsidRPr="00023FF9">
      <w:tab/>
    </w:r>
    <w:r w:rsidRPr="00023FF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11D44" w:rsidRDefault="00611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45909"/>
      <w:docPartObj>
        <w:docPartGallery w:val="Page Numbers (Bottom of Page)"/>
        <w:docPartUnique/>
      </w:docPartObj>
    </w:sdtPr>
    <w:sdtEndPr>
      <w:rPr>
        <w:noProof/>
      </w:rPr>
    </w:sdtEndPr>
    <w:sdtContent>
      <w:p w:rsidR="00611D44" w:rsidRDefault="00611D44">
        <w:pPr>
          <w:pStyle w:val="Footer"/>
          <w:jc w:val="center"/>
        </w:pPr>
        <w:r>
          <w:fldChar w:fldCharType="begin"/>
        </w:r>
        <w:r>
          <w:instrText xml:space="preserve"> PAGE   \* MERGEFORMAT </w:instrText>
        </w:r>
        <w:r>
          <w:fldChar w:fldCharType="separate"/>
        </w:r>
        <w:r w:rsidR="00023FF9">
          <w:rPr>
            <w:noProof/>
          </w:rPr>
          <w:t>1</w:t>
        </w:r>
        <w:r>
          <w:rPr>
            <w:noProof/>
          </w:rPr>
          <w:fldChar w:fldCharType="end"/>
        </w:r>
      </w:p>
    </w:sdtContent>
  </w:sdt>
  <w:p w:rsidR="00611D44" w:rsidRPr="0047733F" w:rsidRDefault="00611D44">
    <w:pPr>
      <w:pStyle w:val="Footer"/>
      <w:jc w:val="center"/>
      <w:rPr>
        <w:rFonts w:ascii="Arial" w:hAnsi="Arial" w:cs="Arial"/>
        <w:sz w:val="18"/>
        <w:lang w:val="es-E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11D44" w:rsidRDefault="00611D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83309"/>
      <w:docPartObj>
        <w:docPartGallery w:val="Page Numbers (Bottom of Page)"/>
        <w:docPartUnique/>
      </w:docPartObj>
    </w:sdtPr>
    <w:sdtEndPr>
      <w:rPr>
        <w:noProof/>
      </w:rPr>
    </w:sdtEndPr>
    <w:sdtContent>
      <w:p w:rsidR="00611D44" w:rsidRDefault="00611D44">
        <w:pPr>
          <w:pStyle w:val="Footer"/>
          <w:jc w:val="center"/>
        </w:pPr>
        <w:r>
          <w:fldChar w:fldCharType="begin"/>
        </w:r>
        <w:r>
          <w:instrText xml:space="preserve"> PAGE   \* MERGEFORMAT </w:instrText>
        </w:r>
        <w:r>
          <w:fldChar w:fldCharType="separate"/>
        </w:r>
        <w:r w:rsidR="00023FF9">
          <w:rPr>
            <w:noProof/>
          </w:rPr>
          <w:t>55</w:t>
        </w:r>
        <w:r>
          <w:rPr>
            <w:noProof/>
          </w:rPr>
          <w:fldChar w:fldCharType="end"/>
        </w:r>
      </w:p>
    </w:sdtContent>
  </w:sdt>
  <w:p w:rsidR="00611D44" w:rsidRDefault="00611D44">
    <w:pPr>
      <w:pStyle w:val="Footer"/>
      <w:jc w:val="center"/>
      <w:rPr>
        <w:rFonts w:ascii="Arial" w:hAnsi="Arial" w:cs="Arial"/>
        <w:b/>
        <w:sz w:val="48"/>
        <w:lang w:val="es-E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BA" w:rsidRDefault="00B459BA" w:rsidP="006308B1">
      <w:pPr>
        <w:spacing w:line="240" w:lineRule="auto"/>
        <w:ind w:left="0"/>
      </w:pPr>
      <w:r>
        <w:separator/>
      </w:r>
    </w:p>
  </w:footnote>
  <w:footnote w:type="continuationSeparator" w:id="0">
    <w:p w:rsidR="00B459BA" w:rsidRDefault="00B459BA" w:rsidP="00CF5192">
      <w:pPr>
        <w:spacing w:line="240" w:lineRule="auto"/>
      </w:pPr>
      <w:r>
        <w:continuationSeparator/>
      </w:r>
    </w:p>
  </w:footnote>
  <w:footnote w:type="continuationNotice" w:id="1">
    <w:p w:rsidR="00B459BA" w:rsidRDefault="00B459BA">
      <w:pPr>
        <w:spacing w:line="240" w:lineRule="auto"/>
      </w:pPr>
    </w:p>
  </w:footnote>
  <w:footnote w:id="2">
    <w:p w:rsidR="00611D44" w:rsidRPr="007A0FBD" w:rsidRDefault="00611D44" w:rsidP="00C63AC5">
      <w:pPr>
        <w:spacing w:line="240" w:lineRule="auto"/>
        <w:ind w:left="0"/>
        <w:jc w:val="both"/>
      </w:pPr>
      <w:r>
        <w:rPr>
          <w:rStyle w:val="FootnoteReference"/>
        </w:rPr>
        <w:footnoteRef/>
      </w:r>
      <w:r>
        <w:t xml:space="preserve"> [</w:t>
      </w:r>
      <w:r w:rsidRPr="00C63AC5">
        <w:rPr>
          <w:rFonts w:ascii="Times New Roman" w:hAnsi="Times New Roman" w:cs="Times New Roman"/>
          <w:sz w:val="20"/>
          <w:szCs w:val="20"/>
        </w:rPr>
        <w:t>In the event that the United Kingdom leaves the Union on the basis of the Agreement on the withdrawal of the United Kingdom of Great Britain and Northern Ireland from the European Union and the European Atomic Energy Community ('the Withdrawal Agreement', OJ C 384 I, 12.11.2019, p. 1), Union law will continue to apply to and in the United Kingdom, for the duration of the transition period established by the Withdrawal Agreement.</w:t>
      </w:r>
      <w:r>
        <w:rPr>
          <w:rFonts w:ascii="Times New Roman" w:hAnsi="Times New Roman" w:cs="Times New Roman"/>
          <w:sz w:val="20"/>
          <w:szCs w:val="20"/>
        </w:rPr>
        <w:t>]</w:t>
      </w:r>
    </w:p>
  </w:footnote>
  <w:footnote w:id="3">
    <w:p w:rsidR="00611D44" w:rsidRPr="002B75D5" w:rsidRDefault="00611D44" w:rsidP="00396911">
      <w:pPr>
        <w:pStyle w:val="FootnoteText"/>
        <w:ind w:left="0"/>
        <w:jc w:val="both"/>
        <w:rPr>
          <w:rFonts w:ascii="Times New Roman" w:hAnsi="Times New Roman" w:cs="Times New Roman"/>
        </w:rPr>
      </w:pPr>
      <w:r w:rsidRPr="002B75D5">
        <w:rPr>
          <w:rFonts w:ascii="Times New Roman" w:hAnsi="Times New Roman" w:cs="Times New Roman"/>
          <w:vertAlign w:val="superscript"/>
        </w:rPr>
        <w:footnoteRef/>
      </w:r>
      <w:r w:rsidRPr="002B75D5">
        <w:rPr>
          <w:rFonts w:ascii="Times New Roman" w:hAnsi="Times New Roman" w:cs="Times New Roman"/>
        </w:rPr>
        <w:t xml:space="preserve"> This report is accompanied by a </w:t>
      </w:r>
      <w:r w:rsidRPr="002B75D5">
        <w:rPr>
          <w:rFonts w:ascii="Times New Roman" w:hAnsi="Times New Roman" w:cs="Times New Roman"/>
          <w:i/>
        </w:rPr>
        <w:t>statistical annex</w:t>
      </w:r>
      <w:r w:rsidRPr="002B75D5">
        <w:rPr>
          <w:rFonts w:ascii="Times New Roman" w:hAnsi="Times New Roman" w:cs="Times New Roman"/>
        </w:rPr>
        <w:t xml:space="preserve">, which contains a wealth of statistics </w:t>
      </w:r>
      <w:r>
        <w:rPr>
          <w:rFonts w:ascii="Times New Roman" w:hAnsi="Times New Roman" w:cs="Times New Roman"/>
        </w:rPr>
        <w:t>that</w:t>
      </w:r>
      <w:r w:rsidRPr="002B75D5">
        <w:rPr>
          <w:rFonts w:ascii="Times New Roman" w:hAnsi="Times New Roman" w:cs="Times New Roman"/>
        </w:rPr>
        <w:t xml:space="preserve"> have contributed to inform this report. </w:t>
      </w:r>
    </w:p>
  </w:footnote>
  <w:footnote w:id="4">
    <w:p w:rsidR="00611D44" w:rsidRPr="002B75D5" w:rsidRDefault="00611D44" w:rsidP="00396911">
      <w:pPr>
        <w:pStyle w:val="FootnoteText"/>
        <w:ind w:left="0"/>
        <w:jc w:val="both"/>
        <w:rPr>
          <w:rFonts w:ascii="Times New Roman" w:hAnsi="Times New Roman" w:cs="Times New Roman"/>
        </w:rPr>
      </w:pPr>
      <w:r w:rsidRPr="002B75D5">
        <w:rPr>
          <w:rFonts w:ascii="Times New Roman" w:hAnsi="Times New Roman" w:cs="Times New Roman"/>
          <w:vertAlign w:val="superscript"/>
        </w:rPr>
        <w:footnoteRef/>
      </w:r>
      <w:r w:rsidRPr="002B75D5">
        <w:rPr>
          <w:rFonts w:ascii="Times New Roman" w:hAnsi="Times New Roman" w:cs="Times New Roman"/>
        </w:rPr>
        <w:t xml:space="preserve"> See Article 5 of Regulation (EU) No 1176/2011.</w:t>
      </w:r>
    </w:p>
  </w:footnote>
  <w:footnote w:id="5">
    <w:p w:rsidR="00611D44" w:rsidRPr="00647761" w:rsidRDefault="00611D44" w:rsidP="00396911">
      <w:pPr>
        <w:pStyle w:val="FootnoteText"/>
        <w:ind w:left="0"/>
        <w:jc w:val="both"/>
        <w:rPr>
          <w:rFonts w:ascii="Times New Roman" w:hAnsi="Times New Roman" w:cs="Times New Roman"/>
        </w:rPr>
      </w:pPr>
      <w:r w:rsidRPr="00647761">
        <w:rPr>
          <w:rFonts w:ascii="Times New Roman" w:hAnsi="Times New Roman" w:cs="Times New Roman"/>
          <w:vertAlign w:val="superscript"/>
        </w:rPr>
        <w:footnoteRef/>
      </w:r>
      <w:r w:rsidRPr="00647761">
        <w:rPr>
          <w:rFonts w:ascii="Times New Roman" w:hAnsi="Times New Roman" w:cs="Times New Roman"/>
        </w:rPr>
        <w:t xml:space="preserve"> More attention to the euro</w:t>
      </w:r>
      <w:r>
        <w:rPr>
          <w:rFonts w:ascii="Times New Roman" w:hAnsi="Times New Roman" w:cs="Times New Roman"/>
        </w:rPr>
        <w:t xml:space="preserve"> </w:t>
      </w:r>
      <w:r w:rsidRPr="00647761">
        <w:rPr>
          <w:rFonts w:ascii="Times New Roman" w:hAnsi="Times New Roman" w:cs="Times New Roman"/>
        </w:rPr>
        <w:t xml:space="preserve">area dimension of imbalances was proposed in the 22 June 2015 </w:t>
      </w:r>
      <w:r w:rsidRPr="00EF32D8">
        <w:rPr>
          <w:rFonts w:ascii="Times New Roman" w:hAnsi="Times New Roman" w:cs="Times New Roman"/>
        </w:rPr>
        <w:t xml:space="preserve">Report </w:t>
      </w:r>
      <w:r w:rsidRPr="00D32AD3">
        <w:rPr>
          <w:rFonts w:ascii="Times New Roman" w:hAnsi="Times New Roman" w:cs="Times New Roman"/>
        </w:rPr>
        <w:t>ʽ</w:t>
      </w:r>
      <w:r w:rsidRPr="00EF32D8">
        <w:rPr>
          <w:rFonts w:ascii="Times New Roman" w:hAnsi="Times New Roman" w:cs="Times New Roman"/>
        </w:rPr>
        <w:t>Completing</w:t>
      </w:r>
      <w:r w:rsidRPr="00647761">
        <w:rPr>
          <w:rFonts w:ascii="Times New Roman" w:hAnsi="Times New Roman" w:cs="Times New Roman"/>
        </w:rPr>
        <w:t xml:space="preserve"> Europeʼs Economic and Monetary Union</w:t>
      </w:r>
      <w:r w:rsidRPr="00D32AD3">
        <w:rPr>
          <w:rFonts w:ascii="Times New Roman" w:hAnsi="Times New Roman" w:cs="Times New Roman"/>
        </w:rPr>
        <w:t>ʼ</w:t>
      </w:r>
      <w:r w:rsidRPr="00647761">
        <w:rPr>
          <w:rFonts w:ascii="Times New Roman" w:hAnsi="Times New Roman" w:cs="Times New Roman"/>
        </w:rPr>
        <w:t xml:space="preserve"> by Jean-Claude Juncker, Donald Tusk, Jeroen Dijsselbloem, Mario Draghi and Martin Schulz. The role of interdependencies and systemic implications of imbalances is recognised in Regulation (EU) No 1176/2011, which defines imbalances with reference to "macroeconomic developments which are adversely affecting, or have the potential adversely to affect, the proper functioning of the economy of a Member State or of the economic and monetary union, or of the Union as a whole."</w:t>
      </w:r>
    </w:p>
  </w:footnote>
  <w:footnote w:id="6">
    <w:p w:rsidR="00611D44" w:rsidRPr="00C4045F" w:rsidRDefault="00611D44" w:rsidP="00396911">
      <w:pPr>
        <w:pStyle w:val="FootnoteText"/>
        <w:ind w:left="0"/>
        <w:jc w:val="both"/>
      </w:pPr>
      <w:r>
        <w:rPr>
          <w:rStyle w:val="FootnoteReference"/>
        </w:rPr>
        <w:footnoteRef/>
      </w:r>
      <w:r>
        <w:t xml:space="preserve"> </w:t>
      </w:r>
      <w:r w:rsidRPr="0053071D">
        <w:t>The World Trade Uncertainty Index shows</w:t>
      </w:r>
      <w:r>
        <w:t xml:space="preserve"> major increase in large European economies as well as in other major economic areas. </w:t>
      </w:r>
      <w:hyperlink r:id="rId1" w:history="1">
        <w:r w:rsidRPr="00C4045F">
          <w:rPr>
            <w:rStyle w:val="Hyperlink"/>
            <w:color w:val="0D0D0D" w:themeColor="text1" w:themeTint="F2"/>
          </w:rPr>
          <w:t>https://www.policyuncertainty.com/wui_quarterly.html</w:t>
        </w:r>
      </w:hyperlink>
    </w:p>
  </w:footnote>
  <w:footnote w:id="7">
    <w:p w:rsidR="00611D44" w:rsidRDefault="00611D44" w:rsidP="00396911">
      <w:pPr>
        <w:pStyle w:val="FootnoteText"/>
        <w:ind w:left="0"/>
        <w:jc w:val="both"/>
      </w:pPr>
      <w:r>
        <w:rPr>
          <w:rStyle w:val="FootnoteReference"/>
        </w:rPr>
        <w:footnoteRef/>
      </w:r>
      <w:r>
        <w:t xml:space="preserve"> See also International Monetary Fund, World Economic Outlook, October </w:t>
      </w:r>
      <w:r w:rsidRPr="007F052F">
        <w:t xml:space="preserve">2019; </w:t>
      </w:r>
      <w:r w:rsidRPr="007F052F">
        <w:rPr>
          <w:rFonts w:cstheme="minorHAnsi"/>
        </w:rPr>
        <w:t>European Commission (2019), European Economic Forecast, Autumn 2019, Institutional paper 115</w:t>
      </w:r>
      <w:r>
        <w:rPr>
          <w:rFonts w:cstheme="minorHAnsi"/>
        </w:rPr>
        <w:t xml:space="preserve">, </w:t>
      </w:r>
      <w:r w:rsidRPr="007F052F">
        <w:rPr>
          <w:rFonts w:cstheme="minorHAnsi"/>
        </w:rPr>
        <w:t>November 2019</w:t>
      </w:r>
      <w:r w:rsidRPr="007F052F">
        <w:t>.</w:t>
      </w:r>
    </w:p>
  </w:footnote>
  <w:footnote w:id="8">
    <w:p w:rsidR="00611D44" w:rsidRPr="001C51E9" w:rsidRDefault="00611D44" w:rsidP="00396911">
      <w:pPr>
        <w:pStyle w:val="FootnoteText"/>
        <w:ind w:left="0"/>
        <w:jc w:val="both"/>
        <w:rPr>
          <w:lang w:val="en-US"/>
        </w:rPr>
      </w:pPr>
      <w:r>
        <w:rPr>
          <w:rStyle w:val="FootnoteReference"/>
        </w:rPr>
        <w:footnoteRef/>
      </w:r>
      <w:r>
        <w:t xml:space="preserve"> See also Bank of International Settlements, Annual Economic Report, June 2019; and, International Monetary Fund, Global Financial Stability Report, April 2019.</w:t>
      </w:r>
    </w:p>
  </w:footnote>
  <w:footnote w:id="9">
    <w:p w:rsidR="00611D44" w:rsidRPr="00AD1ACF" w:rsidRDefault="00611D44" w:rsidP="00396911">
      <w:pPr>
        <w:pStyle w:val="FootnoteText"/>
        <w:ind w:left="0"/>
        <w:jc w:val="both"/>
      </w:pPr>
      <w:r>
        <w:rPr>
          <w:rStyle w:val="FootnoteReference"/>
        </w:rPr>
        <w:footnoteRef/>
      </w:r>
      <w:r>
        <w:t xml:space="preserve"> See Box 1</w:t>
      </w:r>
      <w:r w:rsidRPr="002B75D5">
        <w:t xml:space="preserve"> for an overview of main recent employment and social developments in the EU.</w:t>
      </w:r>
    </w:p>
  </w:footnote>
  <w:footnote w:id="10">
    <w:p w:rsidR="00611D44" w:rsidRPr="00D32AD3" w:rsidRDefault="00611D44" w:rsidP="00396911">
      <w:pPr>
        <w:pStyle w:val="FootnoteText"/>
        <w:ind w:left="0"/>
        <w:jc w:val="both"/>
        <w:rPr>
          <w:rFonts w:ascii="Times New Roman" w:hAnsi="Times New Roman" w:cs="Times New Roman"/>
        </w:rPr>
      </w:pPr>
      <w:r w:rsidRPr="00D32AD3">
        <w:rPr>
          <w:rFonts w:ascii="Times New Roman" w:hAnsi="Times New Roman" w:cs="Times New Roman"/>
          <w:vertAlign w:val="superscript"/>
        </w:rPr>
        <w:footnoteRef/>
      </w:r>
      <w:r w:rsidRPr="00D32AD3">
        <w:rPr>
          <w:rFonts w:ascii="Times New Roman" w:hAnsi="Times New Roman" w:cs="Times New Roman"/>
        </w:rPr>
        <w:t xml:space="preserve"> Article 6 of Regulation (EU) No 1176/2011.</w:t>
      </w:r>
    </w:p>
  </w:footnote>
  <w:footnote w:id="11">
    <w:p w:rsidR="00611D44" w:rsidRPr="00D32AD3" w:rsidRDefault="00611D44" w:rsidP="00396911">
      <w:pPr>
        <w:pStyle w:val="FootnoteText"/>
        <w:ind w:left="0"/>
        <w:jc w:val="both"/>
        <w:rPr>
          <w:rFonts w:ascii="Times New Roman" w:hAnsi="Times New Roman" w:cs="Times New Roman"/>
        </w:rPr>
      </w:pPr>
      <w:r w:rsidRPr="00D32AD3">
        <w:rPr>
          <w:rFonts w:ascii="Times New Roman" w:hAnsi="Times New Roman" w:cs="Times New Roman"/>
          <w:vertAlign w:val="superscript"/>
        </w:rPr>
        <w:footnoteRef/>
      </w:r>
      <w:r w:rsidRPr="00D32AD3">
        <w:rPr>
          <w:rFonts w:ascii="Times New Roman" w:hAnsi="Times New Roman" w:cs="Times New Roman"/>
        </w:rPr>
        <w:t xml:space="preserve"> See ʽ2019 European Semester: Assessment of progress on structural reforms, prevention and correction of macroeconomic imbalances, and results of in-depth reviews under Regulation (EU) No 1176/2011ʼ - COM(2019</w:t>
      </w:r>
      <w:r w:rsidRPr="00E04C42">
        <w:rPr>
          <w:rFonts w:ascii="Times New Roman" w:hAnsi="Times New Roman" w:cs="Times New Roman"/>
        </w:rPr>
        <w:t xml:space="preserve">) </w:t>
      </w:r>
      <w:r w:rsidRPr="006308B1">
        <w:rPr>
          <w:rFonts w:ascii="Times New Roman" w:hAnsi="Times New Roman" w:cs="Times New Roman"/>
        </w:rPr>
        <w:t>150 final, 27.2.2019.</w:t>
      </w:r>
      <w:r w:rsidRPr="00D32AD3">
        <w:rPr>
          <w:rFonts w:ascii="Times New Roman" w:hAnsi="Times New Roman" w:cs="Times New Roman"/>
        </w:rPr>
        <w:t xml:space="preserve"> </w:t>
      </w:r>
    </w:p>
  </w:footnote>
  <w:footnote w:id="12">
    <w:p w:rsidR="00611D44" w:rsidRPr="00C9488B" w:rsidRDefault="00611D44" w:rsidP="00396911">
      <w:pPr>
        <w:spacing w:line="240" w:lineRule="auto"/>
        <w:ind w:left="0"/>
        <w:jc w:val="both"/>
        <w:rPr>
          <w:i/>
        </w:rPr>
      </w:pPr>
      <w:r w:rsidRPr="00D32AD3">
        <w:rPr>
          <w:rStyle w:val="FootnoteReference"/>
          <w:sz w:val="20"/>
          <w:szCs w:val="20"/>
        </w:rPr>
        <w:footnoteRef/>
      </w:r>
      <w:r w:rsidRPr="00D32AD3">
        <w:rPr>
          <w:sz w:val="20"/>
          <w:szCs w:val="20"/>
        </w:rPr>
        <w:t xml:space="preserve"> </w:t>
      </w:r>
      <w:r w:rsidRPr="00D32AD3">
        <w:rPr>
          <w:rFonts w:ascii="Times New Roman" w:hAnsi="Times New Roman" w:cs="Times New Roman"/>
          <w:sz w:val="20"/>
          <w:szCs w:val="20"/>
        </w:rPr>
        <w:t>In September 2019, the European Systemic Risk Board (ESRB) issued country-specific warnings and recommendations on medium-term vulnerabilities in the residential real estate sector to nine Member States: recommendations to Belgium, Denmark, Finland, Luxembourg</w:t>
      </w:r>
      <w:r w:rsidRPr="007A1748">
        <w:rPr>
          <w:rFonts w:ascii="Times New Roman" w:hAnsi="Times New Roman" w:cs="Times New Roman"/>
          <w:sz w:val="20"/>
          <w:szCs w:val="20"/>
        </w:rPr>
        <w:t>, the Netherlands, and Sweden,</w:t>
      </w:r>
      <w:r w:rsidRPr="00D32AD3">
        <w:rPr>
          <w:rFonts w:ascii="Times New Roman" w:hAnsi="Times New Roman" w:cs="Times New Roman"/>
          <w:sz w:val="20"/>
          <w:szCs w:val="20"/>
        </w:rPr>
        <w:t xml:space="preserve"> and warnings to Czechia, France, and Germany. Of the former group of countries, all had already received warnings by the ESRB in November 2016, and the same held for Austria and the United Kingdom. </w:t>
      </w:r>
      <w:r w:rsidRPr="00D32AD3">
        <w:rPr>
          <w:rFonts w:ascii="Times New Roman" w:hAnsi="Times New Roman" w:cs="Times New Roman"/>
          <w:sz w:val="20"/>
          <w:szCs w:val="20"/>
          <w:lang w:val="en-US"/>
        </w:rPr>
        <w:t xml:space="preserve">The MIP </w:t>
      </w:r>
      <w:r>
        <w:rPr>
          <w:rFonts w:ascii="Times New Roman" w:hAnsi="Times New Roman" w:cs="Times New Roman"/>
          <w:sz w:val="20"/>
          <w:szCs w:val="20"/>
          <w:lang w:val="en-US"/>
        </w:rPr>
        <w:t>r</w:t>
      </w:r>
      <w:r w:rsidRPr="00D32AD3">
        <w:rPr>
          <w:rFonts w:ascii="Times New Roman" w:hAnsi="Times New Roman" w:cs="Times New Roman"/>
          <w:sz w:val="20"/>
          <w:szCs w:val="20"/>
          <w:lang w:val="en-US"/>
        </w:rPr>
        <w:t xml:space="preserve">egulation (Regulation (EU) No 1176/2011) calls on the Commission to take into account any </w:t>
      </w:r>
      <w:r w:rsidRPr="00D32AD3">
        <w:rPr>
          <w:rFonts w:ascii="Times New Roman" w:hAnsi="Times New Roman" w:cs="Times New Roman"/>
          <w:sz w:val="20"/>
          <w:szCs w:val="20"/>
        </w:rPr>
        <w:t>warnings or recommendations addressed by the ESRB to Member States subject to an IDR.</w:t>
      </w:r>
    </w:p>
  </w:footnote>
  <w:footnote w:id="13">
    <w:p w:rsidR="00611D44" w:rsidRPr="000E5A24" w:rsidRDefault="00611D44" w:rsidP="001419AE">
      <w:pPr>
        <w:pStyle w:val="FootnoteText"/>
        <w:ind w:left="0"/>
        <w:jc w:val="both"/>
      </w:pPr>
      <w:r>
        <w:rPr>
          <w:rStyle w:val="FootnoteReference"/>
        </w:rPr>
        <w:footnoteRef/>
      </w:r>
      <w:r>
        <w:t xml:space="preserve"> The figures for the euro area current account mentioned and used here refer to the euro area "adjusted" current account balance reported vis-à-vis the rest of the world (from euro area balance of payments statistics), which report a euro area aggregate current account balance of 3.1% of GDP for 2018, and is consistent with the current accounts Member States report </w:t>
      </w:r>
      <w:r w:rsidRPr="003B357D">
        <w:t>(</w:t>
      </w:r>
      <w:r>
        <w:t xml:space="preserve">under the so-called "community concept"). </w:t>
      </w:r>
      <w:r w:rsidRPr="003B357D">
        <w:t xml:space="preserve">However, Member States headline current account balances sum up to 4% of </w:t>
      </w:r>
      <w:r w:rsidRPr="002533B2">
        <w:t xml:space="preserve">the </w:t>
      </w:r>
      <w:r w:rsidRPr="003B357D">
        <w:t>euro area GDP (balance of payments figures)</w:t>
      </w:r>
      <w:r w:rsidRPr="002533B2">
        <w:t xml:space="preserve"> and</w:t>
      </w:r>
      <w:r w:rsidRPr="003B357D">
        <w:t xml:space="preserve"> 3.8% of GDP (national accounts</w:t>
      </w:r>
      <w:r w:rsidRPr="002533B2">
        <w:t xml:space="preserve"> statistics</w:t>
      </w:r>
      <w:r w:rsidRPr="003B357D">
        <w:t>), due to asymmetries in the intra-euro area balances reported</w:t>
      </w:r>
      <w:r>
        <w:t xml:space="preserve"> by the different national statistical authorities</w:t>
      </w:r>
      <w:r w:rsidRPr="003B357D">
        <w:t>. The euro area figures both reported from balance of payments and national accounts statistics were revised in October 2019, which hardly affected the reading for 2018, but broadly revised downward the euro area current account balance for the years 2009-2015</w:t>
      </w:r>
      <w:r>
        <w:t>.</w:t>
      </w:r>
    </w:p>
  </w:footnote>
  <w:footnote w:id="14">
    <w:p w:rsidR="00611D44" w:rsidRDefault="00611D44" w:rsidP="001419AE">
      <w:pPr>
        <w:pStyle w:val="FootnoteText"/>
        <w:ind w:left="0"/>
        <w:jc w:val="both"/>
      </w:pPr>
      <w:r w:rsidRPr="00927159">
        <w:rPr>
          <w:rStyle w:val="FootnoteReference"/>
        </w:rPr>
        <w:footnoteRef/>
      </w:r>
      <w:r w:rsidRPr="00927159">
        <w:t xml:space="preserve"> The </w:t>
      </w:r>
      <w:r>
        <w:t>IMF (External Sector Report 2019</w:t>
      </w:r>
      <w:r w:rsidRPr="00927159">
        <w:t xml:space="preserve">) suggests the euro area current </w:t>
      </w:r>
      <w:r>
        <w:t>account "norm" to be around 1.6</w:t>
      </w:r>
      <w:r w:rsidRPr="00927159">
        <w:t>% of GDP.</w:t>
      </w:r>
    </w:p>
  </w:footnote>
  <w:footnote w:id="15">
    <w:p w:rsidR="00611D44" w:rsidRPr="00B9338C" w:rsidRDefault="00611D44" w:rsidP="001419AE">
      <w:pPr>
        <w:pStyle w:val="FootnoteText"/>
        <w:ind w:left="0"/>
        <w:jc w:val="both"/>
      </w:pPr>
      <w:r w:rsidRPr="00E40054">
        <w:rPr>
          <w:rStyle w:val="FootnoteReference"/>
        </w:rPr>
        <w:footnoteRef/>
      </w:r>
      <w:r w:rsidRPr="00E40054">
        <w:t xml:space="preserve"> Note that while the difference between GDP and domestic demand should equal the trade balance by definition, data are not fully aligned due to intra-euro area reporting discrepancies (see footnote </w:t>
      </w:r>
      <w:r w:rsidRPr="00E40054">
        <w:fldChar w:fldCharType="begin"/>
      </w:r>
      <w:r w:rsidRPr="00E40054">
        <w:instrText xml:space="preserve"> NOTEREF _Ref24022562 \h  \* MERGEFORMAT </w:instrText>
      </w:r>
      <w:r w:rsidRPr="00E40054">
        <w:fldChar w:fldCharType="separate"/>
      </w:r>
      <w:r w:rsidR="008D55C0">
        <w:t>12</w:t>
      </w:r>
      <w:r w:rsidRPr="00E40054">
        <w:fldChar w:fldCharType="end"/>
      </w:r>
      <w:r w:rsidRPr="00E40054">
        <w:t>).</w:t>
      </w:r>
    </w:p>
  </w:footnote>
  <w:footnote w:id="16">
    <w:p w:rsidR="00611D44" w:rsidRPr="00B65194" w:rsidRDefault="00611D44" w:rsidP="001419AE">
      <w:pPr>
        <w:pStyle w:val="FootnoteText"/>
        <w:ind w:left="0"/>
        <w:jc w:val="both"/>
        <w:rPr>
          <w:lang w:val="en-IE"/>
        </w:rPr>
      </w:pPr>
      <w:r>
        <w:rPr>
          <w:rStyle w:val="FootnoteReference"/>
        </w:rPr>
        <w:footnoteRef/>
      </w:r>
      <w:r>
        <w:t xml:space="preserve"> </w:t>
      </w:r>
      <w:r>
        <w:rPr>
          <w:lang w:val="en-IE"/>
        </w:rPr>
        <w:t>E.g., ECB, Financial Stability Review, May 2018, May 2019.</w:t>
      </w:r>
    </w:p>
  </w:footnote>
  <w:footnote w:id="17">
    <w:p w:rsidR="00611D44" w:rsidRPr="00E85D77" w:rsidRDefault="00611D44" w:rsidP="00E85D77">
      <w:pPr>
        <w:pStyle w:val="FootnoteText"/>
        <w:ind w:left="0"/>
        <w:jc w:val="both"/>
        <w:rPr>
          <w:lang w:val="en-US"/>
        </w:rPr>
      </w:pPr>
      <w:r>
        <w:rPr>
          <w:rStyle w:val="FootnoteReference"/>
        </w:rPr>
        <w:footnoteRef/>
      </w:r>
      <w:r>
        <w:t xml:space="preserve"> In 2019, </w:t>
      </w:r>
      <w:r w:rsidRPr="00B65194">
        <w:t xml:space="preserve">the </w:t>
      </w:r>
      <w:r>
        <w:t xml:space="preserve">French </w:t>
      </w:r>
      <w:r w:rsidRPr="00B65194">
        <w:t xml:space="preserve">tax credit for employment and competitiveness </w:t>
      </w:r>
      <w:r>
        <w:t>("C</w:t>
      </w:r>
      <w:r w:rsidRPr="00B65194">
        <w:t>ICE</w:t>
      </w:r>
      <w:r>
        <w:t>"</w:t>
      </w:r>
      <w:r w:rsidRPr="00B65194">
        <w:t>) was replaced by a permanent cut in employers’ social security contributions in the first quarter</w:t>
      </w:r>
      <w:r>
        <w:t>, implying a considerable drop in French labour costs observed in the change in the unit labour costs for the group of countries with intermediate NIIP in Graph 5.</w:t>
      </w:r>
    </w:p>
  </w:footnote>
  <w:footnote w:id="18">
    <w:p w:rsidR="00611D44" w:rsidRPr="00B65194" w:rsidRDefault="00611D44" w:rsidP="001419AE">
      <w:pPr>
        <w:pStyle w:val="FootnoteText"/>
        <w:ind w:left="0"/>
        <w:jc w:val="both"/>
        <w:rPr>
          <w:lang w:val="en-IE"/>
        </w:rPr>
      </w:pPr>
      <w:r>
        <w:rPr>
          <w:rStyle w:val="FootnoteReference"/>
        </w:rPr>
        <w:footnoteRef/>
      </w:r>
      <w:r>
        <w:t xml:space="preserve"> </w:t>
      </w:r>
      <w:r>
        <w:rPr>
          <w:lang w:val="en-IE"/>
        </w:rPr>
        <w:t xml:space="preserve">Graph 6 presents countries ordered according to current account. </w:t>
      </w:r>
    </w:p>
  </w:footnote>
  <w:footnote w:id="19">
    <w:p w:rsidR="00611D44" w:rsidRPr="00B65194" w:rsidRDefault="00611D44" w:rsidP="001419AE">
      <w:pPr>
        <w:pStyle w:val="FootnoteText"/>
        <w:ind w:left="0"/>
        <w:jc w:val="both"/>
        <w:rPr>
          <w:lang w:val="en-IE"/>
        </w:rPr>
      </w:pPr>
      <w:r>
        <w:rPr>
          <w:rStyle w:val="FootnoteReference"/>
        </w:rPr>
        <w:footnoteRef/>
      </w:r>
      <w:r>
        <w:t xml:space="preserve"> </w:t>
      </w:r>
      <w:r>
        <w:rPr>
          <w:lang w:val="en-IE"/>
        </w:rPr>
        <w:t>The evidence is based on the share of agriculture, manufacturing, and trade, transport and communication services on total value added. The indicator does not take into account that services are becoming increasingly tradable and are accounting for a growing share of total value added.</w:t>
      </w:r>
    </w:p>
  </w:footnote>
  <w:footnote w:id="20">
    <w:p w:rsidR="00611D44" w:rsidRPr="00BE37C6" w:rsidRDefault="00611D44" w:rsidP="0029295D">
      <w:pPr>
        <w:pStyle w:val="FootnoteText"/>
        <w:ind w:left="0"/>
        <w:jc w:val="both"/>
        <w:rPr>
          <w:rFonts w:ascii="Times New Roman" w:hAnsi="Times New Roman" w:cs="Times New Roman"/>
        </w:rPr>
      </w:pPr>
      <w:r w:rsidRPr="00BE37C6">
        <w:rPr>
          <w:rStyle w:val="FootnoteReference"/>
          <w:rFonts w:ascii="Times New Roman" w:eastAsia="SimSun" w:hAnsi="Times New Roman" w:cs="Times New Roman"/>
        </w:rPr>
        <w:footnoteRef/>
      </w:r>
      <w:r w:rsidRPr="00BE37C6">
        <w:rPr>
          <w:rFonts w:ascii="Times New Roman" w:hAnsi="Times New Roman" w:cs="Times New Roman"/>
        </w:rPr>
        <w:t xml:space="preserve"> On the rationale underlying the construction of the AMR scoreboard and its reading see European Commission (2016)</w:t>
      </w:r>
      <w:r>
        <w:rPr>
          <w:rFonts w:ascii="Times New Roman" w:hAnsi="Times New Roman" w:cs="Times New Roman"/>
        </w:rPr>
        <w:t>,</w:t>
      </w:r>
      <w:r w:rsidRPr="00BE37C6">
        <w:rPr>
          <w:rFonts w:ascii="Times New Roman" w:hAnsi="Times New Roman" w:cs="Times New Roman"/>
        </w:rPr>
        <w:t xml:space="preserve"> </w:t>
      </w:r>
      <w:r w:rsidRPr="0047733F">
        <w:rPr>
          <w:rFonts w:ascii="Times New Roman" w:hAnsi="Times New Roman" w:cs="Times New Roman"/>
        </w:rPr>
        <w:t>"The Macroeconomic Imbalance Procedure. Rationale, Process, Application: A Compendium</w:t>
      </w:r>
      <w:r>
        <w:rPr>
          <w:rFonts w:ascii="Times New Roman" w:hAnsi="Times New Roman" w:cs="Times New Roman"/>
        </w:rPr>
        <w:t>"</w:t>
      </w:r>
      <w:r w:rsidRPr="00BE37C6">
        <w:rPr>
          <w:rFonts w:ascii="Times New Roman" w:hAnsi="Times New Roman" w:cs="Times New Roman"/>
        </w:rPr>
        <w:t>, European Economy, Institutional Paper 039</w:t>
      </w:r>
      <w:r>
        <w:rPr>
          <w:rFonts w:ascii="Times New Roman" w:hAnsi="Times New Roman" w:cs="Times New Roman"/>
        </w:rPr>
        <w:t>, November 2016</w:t>
      </w:r>
      <w:r w:rsidRPr="00BE37C6">
        <w:rPr>
          <w:rFonts w:ascii="Times New Roman" w:hAnsi="Times New Roman" w:cs="Times New Roman"/>
        </w:rPr>
        <w:t>.</w:t>
      </w:r>
    </w:p>
  </w:footnote>
  <w:footnote w:id="21">
    <w:p w:rsidR="00611D44" w:rsidRPr="005509A7" w:rsidRDefault="00611D44" w:rsidP="0029295D">
      <w:pPr>
        <w:pStyle w:val="FootnoteText"/>
        <w:ind w:left="0"/>
        <w:jc w:val="both"/>
        <w:rPr>
          <w:rFonts w:ascii="Times New Roman" w:hAnsi="Times New Roman" w:cs="Times New Roman"/>
          <w:sz w:val="18"/>
          <w:szCs w:val="18"/>
        </w:rPr>
      </w:pPr>
      <w:r w:rsidRPr="00BE37C6">
        <w:rPr>
          <w:rStyle w:val="FootnoteReference"/>
          <w:rFonts w:ascii="Times New Roman" w:eastAsia="SimSun" w:hAnsi="Times New Roman" w:cs="Times New Roman"/>
        </w:rPr>
        <w:footnoteRef/>
      </w:r>
      <w:r w:rsidRPr="00BE37C6">
        <w:rPr>
          <w:rFonts w:ascii="Times New Roman" w:hAnsi="Times New Roman" w:cs="Times New Roman"/>
        </w:rPr>
        <w:t xml:space="preserve"> The detailed scoreboard indicators, together with the respective indicative thresholds, are displayed in Table 1.1 in annex</w:t>
      </w:r>
      <w:r>
        <w:rPr>
          <w:rFonts w:ascii="Times New Roman" w:hAnsi="Times New Roman" w:cs="Times New Roman"/>
        </w:rPr>
        <w:t xml:space="preserve">; auxiliary indicators are displayed in Table 2.1. </w:t>
      </w:r>
      <w:r w:rsidRPr="00BE37C6">
        <w:rPr>
          <w:rFonts w:ascii="Times New Roman" w:hAnsi="Times New Roman" w:cs="Times New Roman"/>
        </w:rPr>
        <w:t xml:space="preserve">As explained in the note to Graph </w:t>
      </w:r>
      <w:r>
        <w:rPr>
          <w:rFonts w:ascii="Times New Roman" w:hAnsi="Times New Roman" w:cs="Times New Roman"/>
        </w:rPr>
        <w:t>9</w:t>
      </w:r>
      <w:r w:rsidRPr="00BE37C6">
        <w:rPr>
          <w:rFonts w:ascii="Times New Roman" w:hAnsi="Times New Roman" w:cs="Times New Roman"/>
        </w:rPr>
        <w:t>, the reading of the evolution of the scoreboard data is based on the data available at the time of each AMR. The cut-off date for data for th</w:t>
      </w:r>
      <w:r>
        <w:rPr>
          <w:rFonts w:ascii="Times New Roman" w:hAnsi="Times New Roman" w:cs="Times New Roman"/>
        </w:rPr>
        <w:t xml:space="preserve">is </w:t>
      </w:r>
      <w:r w:rsidRPr="00BE37C6">
        <w:rPr>
          <w:rFonts w:ascii="Times New Roman" w:hAnsi="Times New Roman" w:cs="Times New Roman"/>
        </w:rPr>
        <w:t xml:space="preserve">AMR </w:t>
      </w:r>
      <w:r w:rsidRPr="003425D8">
        <w:rPr>
          <w:rFonts w:ascii="Times New Roman" w:hAnsi="Times New Roman" w:cs="Times New Roman"/>
        </w:rPr>
        <w:t>was 25 October 2019.</w:t>
      </w:r>
    </w:p>
  </w:footnote>
  <w:footnote w:id="22">
    <w:p w:rsidR="00611D44" w:rsidRPr="008653BC" w:rsidRDefault="00611D44" w:rsidP="0029295D">
      <w:pPr>
        <w:pStyle w:val="FootnoteText"/>
        <w:ind w:left="0"/>
        <w:jc w:val="both"/>
        <w:rPr>
          <w:rFonts w:ascii="Times New Roman" w:hAnsi="Times New Roman" w:cs="Times New Roman"/>
        </w:rPr>
      </w:pPr>
      <w:r w:rsidRPr="00DD4768">
        <w:rPr>
          <w:rStyle w:val="FootnoteReference"/>
          <w:rFonts w:ascii="Times New Roman" w:hAnsi="Times New Roman" w:cs="Times New Roman"/>
        </w:rPr>
        <w:footnoteRef/>
      </w:r>
      <w:r w:rsidRPr="00DD4768">
        <w:rPr>
          <w:rFonts w:ascii="Times New Roman" w:hAnsi="Times New Roman" w:cs="Times New Roman"/>
        </w:rPr>
        <w:t xml:space="preserve"> Current accounts in line with fundamentals (</w:t>
      </w:r>
      <w:r>
        <w:rPr>
          <w:rFonts w:ascii="Times New Roman" w:hAnsi="Times New Roman" w:cs="Times New Roman"/>
        </w:rPr>
        <w:t>"</w:t>
      </w:r>
      <w:r w:rsidRPr="00DD4768">
        <w:rPr>
          <w:rFonts w:ascii="Times New Roman" w:hAnsi="Times New Roman" w:cs="Times New Roman"/>
        </w:rPr>
        <w:t>current account norms</w:t>
      </w:r>
      <w:r>
        <w:rPr>
          <w:rFonts w:ascii="Times New Roman" w:hAnsi="Times New Roman" w:cs="Times New Roman"/>
        </w:rPr>
        <w:t>"</w:t>
      </w:r>
      <w:r w:rsidRPr="00DD4768">
        <w:rPr>
          <w:rFonts w:ascii="Times New Roman" w:hAnsi="Times New Roman" w:cs="Times New Roman"/>
        </w:rPr>
        <w:t>) are derived from reduced-form regressions capturing the main determinants of the saving-investment balance, including fundamental determinants, policy factors and global financial conditions</w:t>
      </w:r>
      <w:r>
        <w:rPr>
          <w:rFonts w:ascii="Times New Roman" w:hAnsi="Times New Roman" w:cs="Times New Roman"/>
        </w:rPr>
        <w:t>.</w:t>
      </w:r>
      <w:r w:rsidRPr="00DD4768">
        <w:rPr>
          <w:rFonts w:ascii="Times New Roman" w:hAnsi="Times New Roman" w:cs="Times New Roman"/>
        </w:rPr>
        <w:t xml:space="preserve"> </w:t>
      </w:r>
      <w:r>
        <w:rPr>
          <w:rFonts w:ascii="Times New Roman" w:hAnsi="Times New Roman" w:cs="Times New Roman"/>
        </w:rPr>
        <w:t>S</w:t>
      </w:r>
      <w:r w:rsidRPr="00DD4768">
        <w:rPr>
          <w:rFonts w:ascii="Times New Roman" w:hAnsi="Times New Roman" w:cs="Times New Roman"/>
        </w:rPr>
        <w:t xml:space="preserve">ee </w:t>
      </w:r>
      <w:r>
        <w:rPr>
          <w:rFonts w:ascii="Times New Roman" w:hAnsi="Times New Roman" w:cs="Times New Roman"/>
        </w:rPr>
        <w:t xml:space="preserve">L. </w:t>
      </w:r>
      <w:r w:rsidRPr="00DD4768">
        <w:rPr>
          <w:rFonts w:ascii="Times New Roman" w:hAnsi="Times New Roman" w:cs="Times New Roman"/>
        </w:rPr>
        <w:t>Coutinho et al.</w:t>
      </w:r>
      <w:r>
        <w:rPr>
          <w:rFonts w:ascii="Times New Roman" w:hAnsi="Times New Roman" w:cs="Times New Roman"/>
        </w:rPr>
        <w:t xml:space="preserve"> (2018)</w:t>
      </w:r>
      <w:r w:rsidRPr="00DD4768">
        <w:rPr>
          <w:rFonts w:ascii="Times New Roman" w:hAnsi="Times New Roman" w:cs="Times New Roman"/>
        </w:rPr>
        <w:t>, "Methodologies for the assessment of current account benchmarks", European Economy, Discussion Paper 86</w:t>
      </w:r>
      <w:r>
        <w:rPr>
          <w:rFonts w:ascii="Times New Roman" w:hAnsi="Times New Roman" w:cs="Times New Roman"/>
        </w:rPr>
        <w:t>/</w:t>
      </w:r>
      <w:r w:rsidRPr="00DD4768">
        <w:rPr>
          <w:rFonts w:ascii="Times New Roman" w:hAnsi="Times New Roman" w:cs="Times New Roman"/>
        </w:rPr>
        <w:t>2018</w:t>
      </w:r>
      <w:r>
        <w:rPr>
          <w:rFonts w:ascii="Times New Roman" w:hAnsi="Times New Roman" w:cs="Times New Roman"/>
        </w:rPr>
        <w:t>,</w:t>
      </w:r>
      <w:r w:rsidRPr="00DD4768">
        <w:rPr>
          <w:rFonts w:ascii="Times New Roman" w:hAnsi="Times New Roman" w:cs="Times New Roman"/>
        </w:rPr>
        <w:t xml:space="preserve"> for the description of the methodology for the computation of the fundamentals-based current account used in this AMR</w:t>
      </w:r>
      <w:r>
        <w:rPr>
          <w:rFonts w:ascii="Times New Roman" w:hAnsi="Times New Roman" w:cs="Times New Roman"/>
        </w:rPr>
        <w:t>; t</w:t>
      </w:r>
      <w:r w:rsidRPr="00DD4768">
        <w:rPr>
          <w:rFonts w:ascii="Times New Roman" w:hAnsi="Times New Roman" w:cs="Times New Roman"/>
        </w:rPr>
        <w:t xml:space="preserve">he methodology is akin to </w:t>
      </w:r>
      <w:r>
        <w:rPr>
          <w:rFonts w:ascii="Times New Roman" w:hAnsi="Times New Roman" w:cs="Times New Roman"/>
        </w:rPr>
        <w:t xml:space="preserve">S. </w:t>
      </w:r>
      <w:r w:rsidRPr="00DD4768">
        <w:rPr>
          <w:rFonts w:ascii="Times New Roman" w:hAnsi="Times New Roman" w:cs="Times New Roman"/>
        </w:rPr>
        <w:t>Phillips et al.</w:t>
      </w:r>
      <w:r>
        <w:rPr>
          <w:rFonts w:ascii="Times New Roman" w:hAnsi="Times New Roman" w:cs="Times New Roman"/>
        </w:rPr>
        <w:t xml:space="preserve"> (2013)</w:t>
      </w:r>
      <w:r w:rsidRPr="00DD4768">
        <w:rPr>
          <w:rFonts w:ascii="Times New Roman" w:hAnsi="Times New Roman" w:cs="Times New Roman"/>
        </w:rPr>
        <w:t>, "The External Balance Assessment (EBA) Methodology", IMF Working Paper, 13/272.</w:t>
      </w:r>
    </w:p>
  </w:footnote>
  <w:footnote w:id="23">
    <w:p w:rsidR="00611D44" w:rsidRPr="00DD4768" w:rsidRDefault="00611D44" w:rsidP="0029295D">
      <w:pPr>
        <w:pStyle w:val="FootnoteText"/>
        <w:ind w:left="0"/>
        <w:jc w:val="both"/>
        <w:rPr>
          <w:rFonts w:ascii="Times New Roman" w:hAnsi="Times New Roman" w:cs="Times New Roman"/>
        </w:rPr>
      </w:pPr>
      <w:r w:rsidRPr="00DD4768">
        <w:rPr>
          <w:rStyle w:val="FootnoteReference"/>
          <w:rFonts w:ascii="Times New Roman" w:hAnsi="Times New Roman" w:cs="Times New Roman"/>
        </w:rPr>
        <w:footnoteRef/>
      </w:r>
      <w:r w:rsidRPr="00DD4768">
        <w:rPr>
          <w:rFonts w:ascii="Times New Roman" w:hAnsi="Times New Roman" w:cs="Times New Roman"/>
        </w:rPr>
        <w:t xml:space="preserve"> Cyclically-adjusted current account balances take into account the impact of the cycle by adjusting for the domestic output gap and that in trading partners, see </w:t>
      </w:r>
      <w:r>
        <w:rPr>
          <w:rFonts w:ascii="Times New Roman" w:hAnsi="Times New Roman" w:cs="Times New Roman"/>
        </w:rPr>
        <w:t xml:space="preserve">M. </w:t>
      </w:r>
      <w:r w:rsidRPr="00DD4768">
        <w:rPr>
          <w:rFonts w:ascii="Times New Roman" w:hAnsi="Times New Roman" w:cs="Times New Roman"/>
        </w:rPr>
        <w:t xml:space="preserve">Salto and </w:t>
      </w:r>
      <w:r>
        <w:rPr>
          <w:rFonts w:ascii="Times New Roman" w:hAnsi="Times New Roman" w:cs="Times New Roman"/>
        </w:rPr>
        <w:t xml:space="preserve">A. </w:t>
      </w:r>
      <w:r w:rsidRPr="00DD4768">
        <w:rPr>
          <w:rFonts w:ascii="Times New Roman" w:hAnsi="Times New Roman" w:cs="Times New Roman"/>
        </w:rPr>
        <w:t>Turrini (2010), "Comparing alternative methodologies for real exchange rate assessment", European Economy, Discussion Paper 427/2010.</w:t>
      </w:r>
    </w:p>
  </w:footnote>
  <w:footnote w:id="24">
    <w:p w:rsidR="00611D44" w:rsidRPr="004814DF" w:rsidRDefault="00611D44" w:rsidP="002533B2">
      <w:pPr>
        <w:pStyle w:val="FootnoteText"/>
        <w:ind w:left="0"/>
        <w:jc w:val="both"/>
      </w:pPr>
      <w:r w:rsidRPr="00F133C6">
        <w:rPr>
          <w:rStyle w:val="FootnoteReference"/>
        </w:rPr>
        <w:footnoteRef/>
      </w:r>
      <w:r w:rsidRPr="00F133C6">
        <w:t xml:space="preserve"> </w:t>
      </w:r>
      <w:r>
        <w:t>Data for Cyprus current account were revised since last year's AMR and now show a current account deficit within the lower threshold in the three years to 2017, which was not the case last year.</w:t>
      </w:r>
    </w:p>
  </w:footnote>
  <w:footnote w:id="25">
    <w:p w:rsidR="00611D44" w:rsidRPr="005E40D9" w:rsidRDefault="00611D44" w:rsidP="001A79DF">
      <w:pPr>
        <w:pStyle w:val="FootnoteText"/>
        <w:ind w:left="0"/>
        <w:jc w:val="both"/>
        <w:rPr>
          <w:lang w:val="en-US"/>
        </w:rPr>
      </w:pPr>
      <w:r>
        <w:rPr>
          <w:rStyle w:val="FootnoteReference"/>
        </w:rPr>
        <w:footnoteRef/>
      </w:r>
      <w:r>
        <w:t xml:space="preserve"> </w:t>
      </w:r>
      <w:r w:rsidRPr="00482377">
        <w:rPr>
          <w:rFonts w:cstheme="minorHAnsi"/>
        </w:rPr>
        <w:t xml:space="preserve">For </w:t>
      </w:r>
      <w:r w:rsidRPr="00CD0613">
        <w:rPr>
          <w:rFonts w:cstheme="minorHAnsi"/>
        </w:rPr>
        <w:t xml:space="preserve">the methodologies for country-specific NIIP </w:t>
      </w:r>
      <w:r w:rsidRPr="008A6C2E">
        <w:rPr>
          <w:rFonts w:cstheme="minorHAnsi"/>
        </w:rPr>
        <w:t xml:space="preserve">prudential thresholds see footnote </w:t>
      </w:r>
      <w:r w:rsidRPr="008A6C2E">
        <w:rPr>
          <w:rFonts w:cstheme="minorHAnsi"/>
        </w:rPr>
        <w:fldChar w:fldCharType="begin"/>
      </w:r>
      <w:r w:rsidRPr="008A6C2E">
        <w:rPr>
          <w:rFonts w:cstheme="minorHAnsi"/>
        </w:rPr>
        <w:instrText xml:space="preserve"> NOTEREF _Ref21014141 \h </w:instrText>
      </w:r>
      <w:r>
        <w:rPr>
          <w:rFonts w:cstheme="minorHAnsi"/>
        </w:rPr>
        <w:instrText xml:space="preserve"> \* MERGEFORMAT </w:instrText>
      </w:r>
      <w:r w:rsidRPr="008A6C2E">
        <w:rPr>
          <w:rFonts w:cstheme="minorHAnsi"/>
        </w:rPr>
      </w:r>
      <w:r w:rsidRPr="008A6C2E">
        <w:rPr>
          <w:rFonts w:cstheme="minorHAnsi"/>
        </w:rPr>
        <w:fldChar w:fldCharType="separate"/>
      </w:r>
      <w:r w:rsidR="008D55C0">
        <w:rPr>
          <w:rFonts w:cstheme="minorHAnsi"/>
        </w:rPr>
        <w:t>25</w:t>
      </w:r>
      <w:r w:rsidRPr="008A6C2E">
        <w:rPr>
          <w:rFonts w:cstheme="minorHAnsi"/>
        </w:rPr>
        <w:fldChar w:fldCharType="end"/>
      </w:r>
      <w:r w:rsidRPr="008A6C2E">
        <w:rPr>
          <w:rFonts w:cstheme="minorHAnsi"/>
        </w:rPr>
        <w:t>.</w:t>
      </w:r>
      <w:r w:rsidR="00F25498">
        <w:rPr>
          <w:rFonts w:ascii="Times New Roman" w:hAnsi="Times New Roman" w:cs="Times New Roman"/>
        </w:rPr>
        <w:t xml:space="preserve"> </w:t>
      </w:r>
      <w:r w:rsidR="00EF1052">
        <w:rPr>
          <w:lang w:val="en-US"/>
        </w:rPr>
        <w:t>Th</w:t>
      </w:r>
      <w:r w:rsidR="00D95240">
        <w:rPr>
          <w:lang w:val="en-US"/>
        </w:rPr>
        <w:t xml:space="preserve">e </w:t>
      </w:r>
      <w:r w:rsidR="00EF1052">
        <w:rPr>
          <w:lang w:val="en-US"/>
        </w:rPr>
        <w:t xml:space="preserve">gap </w:t>
      </w:r>
      <w:r w:rsidR="00D95240">
        <w:rPr>
          <w:lang w:val="en-US"/>
        </w:rPr>
        <w:t>between the actual current accounts and those required to stabilise the NIIP crucially depends on the time frame considered. For instance, the current account required to stabili</w:t>
      </w:r>
      <w:r w:rsidR="001A79DF">
        <w:rPr>
          <w:lang w:val="en-US"/>
        </w:rPr>
        <w:t>s</w:t>
      </w:r>
      <w:r w:rsidR="00D95240">
        <w:rPr>
          <w:lang w:val="en-US"/>
        </w:rPr>
        <w:t xml:space="preserve">e the NIIP of Greece </w:t>
      </w:r>
      <w:r w:rsidR="00EF1052" w:rsidRPr="0066714C">
        <w:rPr>
          <w:lang w:val="en-US"/>
        </w:rPr>
        <w:t>above the -35% of GDP</w:t>
      </w:r>
      <w:r w:rsidR="00D95240">
        <w:rPr>
          <w:lang w:val="en-US"/>
        </w:rPr>
        <w:t xml:space="preserve"> scoreboard threshold</w:t>
      </w:r>
      <w:r w:rsidR="00EF1052" w:rsidRPr="0066714C">
        <w:rPr>
          <w:lang w:val="en-US"/>
        </w:rPr>
        <w:t xml:space="preserve"> </w:t>
      </w:r>
      <w:r w:rsidR="00EF1052" w:rsidRPr="002F1E99">
        <w:rPr>
          <w:lang w:val="en-US"/>
        </w:rPr>
        <w:t xml:space="preserve">within </w:t>
      </w:r>
      <w:r w:rsidR="00D95240">
        <w:rPr>
          <w:lang w:val="en-US"/>
        </w:rPr>
        <w:t xml:space="preserve">a </w:t>
      </w:r>
      <w:r w:rsidR="00EF1052" w:rsidRPr="002F1E99">
        <w:rPr>
          <w:lang w:val="en-US"/>
        </w:rPr>
        <w:t>20</w:t>
      </w:r>
      <w:r w:rsidR="00D95240">
        <w:rPr>
          <w:lang w:val="en-US"/>
        </w:rPr>
        <w:t xml:space="preserve">-year horizon would be </w:t>
      </w:r>
      <w:r w:rsidR="00EF1052" w:rsidRPr="0066714C">
        <w:rPr>
          <w:lang w:val="en-US"/>
        </w:rPr>
        <w:t>a surplus close</w:t>
      </w:r>
      <w:r w:rsidR="00EF1052">
        <w:rPr>
          <w:lang w:val="en-US"/>
        </w:rPr>
        <w:t xml:space="preserve"> </w:t>
      </w:r>
      <w:r w:rsidR="00EF1052" w:rsidRPr="0066714C">
        <w:rPr>
          <w:lang w:val="en-US"/>
        </w:rPr>
        <w:t>to 1% of GDP</w:t>
      </w:r>
      <w:r w:rsidR="00EF1052">
        <w:rPr>
          <w:lang w:val="en-US"/>
        </w:rPr>
        <w:t>; see European Commission (2019), "Enhanced Surveillance Report: Greece, November 2019", European Economy, Institutional Paper 116, November 2019.</w:t>
      </w:r>
    </w:p>
  </w:footnote>
  <w:footnote w:id="26">
    <w:p w:rsidR="00611D44" w:rsidRPr="00C97F39" w:rsidRDefault="00611D44" w:rsidP="00FB1CF4">
      <w:pPr>
        <w:pStyle w:val="FootnoteText"/>
        <w:ind w:left="0"/>
        <w:jc w:val="both"/>
      </w:pPr>
      <w:r w:rsidRPr="00B66BA8">
        <w:rPr>
          <w:rStyle w:val="FootnoteReference"/>
        </w:rPr>
        <w:footnoteRef/>
      </w:r>
      <w:r w:rsidRPr="00B66BA8">
        <w:t xml:space="preserve"> </w:t>
      </w:r>
      <w:r w:rsidRPr="00B66BA8" w:rsidDel="00F25498">
        <w:rPr>
          <w:rFonts w:ascii="Times New Roman" w:hAnsi="Times New Roman" w:cs="Times New Roman"/>
        </w:rPr>
        <w:t>NIIP in line with fundamentals (</w:t>
      </w:r>
      <w:r w:rsidDel="00F25498">
        <w:rPr>
          <w:rFonts w:ascii="Times New Roman" w:hAnsi="Times New Roman" w:cs="Times New Roman"/>
        </w:rPr>
        <w:t>"</w:t>
      </w:r>
      <w:r w:rsidRPr="00B66BA8" w:rsidDel="00F25498">
        <w:rPr>
          <w:rFonts w:ascii="Times New Roman" w:hAnsi="Times New Roman" w:cs="Times New Roman"/>
        </w:rPr>
        <w:t>NIIP norms</w:t>
      </w:r>
      <w:r w:rsidDel="00F25498">
        <w:rPr>
          <w:rFonts w:ascii="Times New Roman" w:hAnsi="Times New Roman" w:cs="Times New Roman"/>
        </w:rPr>
        <w:t>"</w:t>
      </w:r>
      <w:r w:rsidRPr="00B66BA8" w:rsidDel="00F25498">
        <w:rPr>
          <w:rFonts w:ascii="Times New Roman" w:hAnsi="Times New Roman" w:cs="Times New Roman"/>
        </w:rPr>
        <w:t xml:space="preserve">) are obtained as the cumulation over time of current account norms (see also footnote </w:t>
      </w:r>
      <w:r w:rsidRPr="00B66BA8" w:rsidDel="00F25498">
        <w:rPr>
          <w:rFonts w:ascii="Times New Roman" w:hAnsi="Times New Roman" w:cs="Times New Roman"/>
        </w:rPr>
        <w:fldChar w:fldCharType="begin"/>
      </w:r>
      <w:r w:rsidRPr="00B66BA8" w:rsidDel="00F25498">
        <w:rPr>
          <w:rFonts w:ascii="Times New Roman" w:hAnsi="Times New Roman" w:cs="Times New Roman"/>
        </w:rPr>
        <w:instrText xml:space="preserve"> NOTEREF _Ref20488444 \h </w:instrText>
      </w:r>
      <w:r w:rsidDel="00F25498">
        <w:rPr>
          <w:rFonts w:ascii="Times New Roman" w:hAnsi="Times New Roman" w:cs="Times New Roman"/>
        </w:rPr>
        <w:instrText xml:space="preserve"> \* MERGEFORMAT </w:instrText>
      </w:r>
      <w:r w:rsidRPr="00B66BA8" w:rsidDel="00F25498">
        <w:rPr>
          <w:rFonts w:ascii="Times New Roman" w:hAnsi="Times New Roman" w:cs="Times New Roman"/>
        </w:rPr>
      </w:r>
      <w:r w:rsidRPr="00B66BA8" w:rsidDel="00F25498">
        <w:rPr>
          <w:rFonts w:ascii="Times New Roman" w:hAnsi="Times New Roman" w:cs="Times New Roman"/>
        </w:rPr>
        <w:fldChar w:fldCharType="separate"/>
      </w:r>
      <w:r w:rsidR="008D55C0">
        <w:rPr>
          <w:rFonts w:ascii="Times New Roman" w:hAnsi="Times New Roman" w:cs="Times New Roman"/>
        </w:rPr>
        <w:t>21</w:t>
      </w:r>
      <w:r w:rsidRPr="00B66BA8" w:rsidDel="00F25498">
        <w:rPr>
          <w:rFonts w:ascii="Times New Roman" w:hAnsi="Times New Roman" w:cs="Times New Roman"/>
        </w:rPr>
        <w:fldChar w:fldCharType="end"/>
      </w:r>
      <w:r w:rsidRPr="00B66BA8" w:rsidDel="00F25498">
        <w:rPr>
          <w:rFonts w:ascii="Times New Roman" w:hAnsi="Times New Roman" w:cs="Times New Roman"/>
        </w:rPr>
        <w:t xml:space="preserve">). NIIP prudential thresholds are determined from the maximisation of the signal power in predicting a balance of payment crisis, taking into account country-specific information summarised by per-capita income. For the methodology for the computation of NIIP </w:t>
      </w:r>
      <w:r w:rsidRPr="00B66BA8">
        <w:rPr>
          <w:rFonts w:ascii="Times New Roman" w:hAnsi="Times New Roman" w:cs="Times New Roman"/>
        </w:rPr>
        <w:t xml:space="preserve">stocks </w:t>
      </w:r>
      <w:r w:rsidRPr="00B66BA8" w:rsidDel="00F25498">
        <w:rPr>
          <w:rFonts w:ascii="Times New Roman" w:hAnsi="Times New Roman" w:cs="Times New Roman"/>
        </w:rPr>
        <w:t>in line with fundamentals see A. Turrini and S. Zeugner</w:t>
      </w:r>
      <w:r w:rsidDel="00F25498">
        <w:rPr>
          <w:rFonts w:ascii="Times New Roman" w:hAnsi="Times New Roman" w:cs="Times New Roman"/>
        </w:rPr>
        <w:t xml:space="preserve"> (2019)</w:t>
      </w:r>
      <w:r w:rsidRPr="00B66BA8" w:rsidDel="00F25498">
        <w:rPr>
          <w:rFonts w:ascii="Times New Roman" w:hAnsi="Times New Roman" w:cs="Times New Roman"/>
        </w:rPr>
        <w:t>, "Benchmarks for Net International Investment Positions", European Economy, Discussion Paper</w:t>
      </w:r>
      <w:r w:rsidDel="00F25498">
        <w:rPr>
          <w:rFonts w:ascii="Times New Roman" w:hAnsi="Times New Roman" w:cs="Times New Roman"/>
        </w:rPr>
        <w:t xml:space="preserve"> 097/2019</w:t>
      </w:r>
      <w:r w:rsidRPr="00B66BA8" w:rsidDel="00F25498">
        <w:rPr>
          <w:rFonts w:ascii="Times New Roman" w:hAnsi="Times New Roman" w:cs="Times New Roman"/>
        </w:rPr>
        <w:t>.</w:t>
      </w:r>
    </w:p>
  </w:footnote>
  <w:footnote w:id="27">
    <w:p w:rsidR="00611D44" w:rsidRPr="00F133C6" w:rsidRDefault="00611D44" w:rsidP="00EE06A8">
      <w:pPr>
        <w:pStyle w:val="FootnoteText"/>
        <w:ind w:left="0"/>
        <w:jc w:val="both"/>
        <w:rPr>
          <w:lang w:val="en-US"/>
        </w:rPr>
      </w:pPr>
      <w:r>
        <w:rPr>
          <w:rStyle w:val="FootnoteReference"/>
        </w:rPr>
        <w:footnoteRef/>
      </w:r>
      <w:r>
        <w:t xml:space="preserve"> NENDI</w:t>
      </w:r>
      <w:r w:rsidRPr="001F5371">
        <w:t xml:space="preserve"> is a subset of the NIIP that abstracts from its pure equity-related components, i.e. foreign direct investment (FDI) equity and equity shares, and from intracompany cross-border FDI debt, and represents the NIIP excluding instruments that cannot be subject to default. </w:t>
      </w:r>
      <w:r>
        <w:t>S</w:t>
      </w:r>
      <w:r w:rsidRPr="00C9488B">
        <w:t xml:space="preserve">ee </w:t>
      </w:r>
      <w:r>
        <w:t xml:space="preserve">also </w:t>
      </w:r>
      <w:r w:rsidRPr="00C9488B">
        <w:t>European Commission, "Envisaged revision of selected auxiliary indicators of the MIP scoreboard",</w:t>
      </w:r>
      <w:r>
        <w:t xml:space="preserve"> Technical note; </w:t>
      </w:r>
      <w:hyperlink r:id="rId2" w:history="1">
        <w:r w:rsidRPr="00DD60B5">
          <w:rPr>
            <w:rStyle w:val="Hyperlink"/>
          </w:rPr>
          <w:t>https://ec.europa.eu/info/business-economy-euro/economic-and-fiscal-policy-coordination/eu-economic-governance-monitoring-prevention-correction/macroeconomic-imbalance-procedure/scoreboard_en</w:t>
        </w:r>
      </w:hyperlink>
      <w:r>
        <w:t xml:space="preserve">. </w:t>
      </w:r>
    </w:p>
  </w:footnote>
  <w:footnote w:id="28">
    <w:p w:rsidR="00611D44" w:rsidRPr="004B4848" w:rsidRDefault="00611D44" w:rsidP="00FB1CF4">
      <w:pPr>
        <w:pStyle w:val="FootnoteText"/>
        <w:ind w:left="0"/>
        <w:jc w:val="both"/>
      </w:pPr>
      <w:r>
        <w:rPr>
          <w:rStyle w:val="FootnoteReference"/>
        </w:rPr>
        <w:footnoteRef/>
      </w:r>
      <w:r>
        <w:t xml:space="preserve"> Looking at the data by institutional sectors, government NIIP accounts for the whole of the very negative NIIP in Greece – as public debt is largely owned by foreigners, crucially including official lenders – while the rest of the economy, i.e., households, non-financial and financial corporations, including Monetary Financial Institutions, posts a positive NIIP. In Cyprus, Portugal, and Spain, the government's NIIP accounts for a large share of the economy's NIIP but the rest of the economy still shows a clearly negative NIIP.</w:t>
      </w:r>
    </w:p>
  </w:footnote>
  <w:footnote w:id="29">
    <w:p w:rsidR="00611D44" w:rsidRPr="00743694" w:rsidRDefault="00611D44" w:rsidP="00532655">
      <w:pPr>
        <w:pStyle w:val="FootnoteText"/>
        <w:ind w:left="0"/>
        <w:jc w:val="both"/>
      </w:pPr>
      <w:r>
        <w:rPr>
          <w:rStyle w:val="FootnoteReference"/>
        </w:rPr>
        <w:footnoteRef/>
      </w:r>
      <w:r>
        <w:t xml:space="preserve"> </w:t>
      </w:r>
      <w:r w:rsidRPr="00F133C6">
        <w:rPr>
          <w:rFonts w:eastAsia="Times New Roman" w:cstheme="minorHAnsi"/>
          <w:lang w:eastAsia="en-GB"/>
        </w:rPr>
        <w:t xml:space="preserve">Current account developments are consistent with stability of the external position for these countries, except Romania, where the expected further current account deterioration is likely to lead also to a worsening of the NIIP. </w:t>
      </w:r>
    </w:p>
  </w:footnote>
  <w:footnote w:id="30">
    <w:p w:rsidR="00611D44" w:rsidRDefault="00611D44" w:rsidP="00E60A1F">
      <w:pPr>
        <w:pStyle w:val="FootnoteText"/>
        <w:ind w:left="0"/>
        <w:jc w:val="both"/>
      </w:pPr>
      <w:r>
        <w:rPr>
          <w:rStyle w:val="FootnoteReference"/>
        </w:rPr>
        <w:footnoteRef/>
      </w:r>
      <w:r>
        <w:t xml:space="preserve"> </w:t>
      </w:r>
      <w:r w:rsidRPr="001F474D">
        <w:t>The relevance of the NENDI varies considerably across th</w:t>
      </w:r>
      <w:r>
        <w:t>is</w:t>
      </w:r>
      <w:r w:rsidRPr="001F474D">
        <w:t xml:space="preserve"> group of countries, reflecting also the relevance of their financial centres, like in Luxembourg and Malta, or the external debt liabilities of banks and multinationals' headquarters as in the Netherlands.</w:t>
      </w:r>
    </w:p>
  </w:footnote>
  <w:footnote w:id="31">
    <w:p w:rsidR="00611D44" w:rsidRPr="008C4249" w:rsidRDefault="00611D44" w:rsidP="00CD2DC4">
      <w:pPr>
        <w:pStyle w:val="FootnoteText"/>
        <w:ind w:left="0"/>
        <w:jc w:val="both"/>
        <w:rPr>
          <w:lang w:val="en-IE"/>
        </w:rPr>
      </w:pPr>
      <w:r>
        <w:rPr>
          <w:rStyle w:val="FootnoteReference"/>
        </w:rPr>
        <w:footnoteRef/>
      </w:r>
      <w:r>
        <w:t xml:space="preserve"> </w:t>
      </w:r>
      <w:r>
        <w:rPr>
          <w:lang w:val="en-IE"/>
        </w:rPr>
        <w:t>E.g., G. Brunello and P. Wruuck, "Skill mismatch in Europe: A survey of the literature", IZA Discussion Paper Series 12346, 2019; A. Kiss and A. Vandeplas, "</w:t>
      </w:r>
      <w:r w:rsidRPr="0015618A">
        <w:rPr>
          <w:lang w:val="en-IE"/>
        </w:rPr>
        <w:t>Measuring skills mismatch. DG</w:t>
      </w:r>
      <w:r>
        <w:rPr>
          <w:lang w:val="en-IE"/>
        </w:rPr>
        <w:t xml:space="preserve"> EMPL Analytical webnote 7/2015, </w:t>
      </w:r>
      <w:r w:rsidRPr="0015618A">
        <w:rPr>
          <w:lang w:val="en-IE"/>
        </w:rPr>
        <w:t>European Commission</w:t>
      </w:r>
      <w:r>
        <w:rPr>
          <w:lang w:val="en-IE"/>
        </w:rPr>
        <w:t>, 2015; European Commission (2018), Labour M</w:t>
      </w:r>
      <w:r w:rsidRPr="00CD2DC4">
        <w:rPr>
          <w:lang w:val="en-IE"/>
        </w:rPr>
        <w:t>ar</w:t>
      </w:r>
      <w:r>
        <w:rPr>
          <w:lang w:val="en-IE"/>
        </w:rPr>
        <w:t>ket and Wage Developments in E</w:t>
      </w:r>
      <w:r w:rsidRPr="00CD2DC4">
        <w:rPr>
          <w:lang w:val="en-IE"/>
        </w:rPr>
        <w:t>urope</w:t>
      </w:r>
      <w:r>
        <w:rPr>
          <w:lang w:val="en-IE"/>
        </w:rPr>
        <w:t>; Annual Reviews</w:t>
      </w:r>
      <w:r w:rsidRPr="00CD2DC4">
        <w:rPr>
          <w:lang w:val="en-IE"/>
        </w:rPr>
        <w:t xml:space="preserve"> 2018</w:t>
      </w:r>
      <w:r>
        <w:rPr>
          <w:lang w:val="en-IE"/>
        </w:rPr>
        <w:t xml:space="preserve"> and 2019</w:t>
      </w:r>
      <w:r w:rsidRPr="0015618A">
        <w:rPr>
          <w:lang w:val="en-IE"/>
        </w:rPr>
        <w:t>.</w:t>
      </w:r>
    </w:p>
  </w:footnote>
  <w:footnote w:id="32">
    <w:p w:rsidR="00611D44" w:rsidRDefault="00611D44" w:rsidP="006333DD">
      <w:pPr>
        <w:pStyle w:val="FootnoteText"/>
        <w:ind w:left="0"/>
        <w:jc w:val="both"/>
      </w:pPr>
      <w:r>
        <w:rPr>
          <w:rStyle w:val="FootnoteReference"/>
        </w:rPr>
        <w:footnoteRef/>
      </w:r>
      <w:r>
        <w:t xml:space="preserve"> While margin compression prevents cost competitiveness to affect the terms of trade, thereby containing the impact on trade flows in industries characterised by product differentiation and pricing-to-market, persistent reduced profitability would over time imply a shrinking tradable </w:t>
      </w:r>
      <w:r w:rsidRPr="00F655AE">
        <w:t>sector.</w:t>
      </w:r>
    </w:p>
  </w:footnote>
  <w:footnote w:id="33">
    <w:p w:rsidR="00611D44" w:rsidRDefault="00611D44" w:rsidP="006333DD">
      <w:pPr>
        <w:pStyle w:val="FootnoteText"/>
        <w:ind w:left="0"/>
        <w:jc w:val="both"/>
      </w:pPr>
      <w:r>
        <w:rPr>
          <w:rStyle w:val="FootnoteReference"/>
        </w:rPr>
        <w:footnoteRef/>
      </w:r>
      <w:r>
        <w:t xml:space="preserve"> Those factors are taken into account in country-specific benchmarks developed by the European Commission in cooperation with the EPC LIME Working Group (European Commission, "Benchmarks for the assessment of private debt", Note for the Economic Policy Committee, ARES (2017) 4970814) and subsequent updates. </w:t>
      </w:r>
      <w:r w:rsidRPr="00BB0D67">
        <w:rPr>
          <w:i/>
        </w:rPr>
        <w:t>Fundamentals-based benchmarks</w:t>
      </w:r>
      <w:r w:rsidRPr="006B0B0A">
        <w:t xml:space="preserve"> allow assessing private debt against values that can be explained on the basis of economic fundamentals, and are derived from regressions capturing the main determinants of credit growth and taking into account a given initial stock of debt. </w:t>
      </w:r>
      <w:r w:rsidRPr="00BB0D67">
        <w:rPr>
          <w:i/>
        </w:rPr>
        <w:t>Prudential thresholds</w:t>
      </w:r>
      <w:r w:rsidRPr="006B0B0A">
        <w:t xml:space="preserve"> represent the debt level beyond which the probability of a banking crisis is relatively high; those levels are based on the maximisation of the signal power in predicting banking crises by minimising the probability of missed crisis and of false alerts and incorporating country-specific information on bank capitalisation, government debt, level of economic development. </w:t>
      </w:r>
    </w:p>
  </w:footnote>
  <w:footnote w:id="34">
    <w:p w:rsidR="00611D44" w:rsidRDefault="00611D44" w:rsidP="006333DD">
      <w:pPr>
        <w:pStyle w:val="FootnoteText"/>
        <w:ind w:left="0"/>
        <w:jc w:val="both"/>
      </w:pPr>
      <w:r>
        <w:rPr>
          <w:rStyle w:val="FootnoteReference"/>
        </w:rPr>
        <w:footnoteRef/>
      </w:r>
      <w:r>
        <w:t xml:space="preserve"> </w:t>
      </w:r>
      <w:r w:rsidRPr="00216F90">
        <w:t>In Ireland, net credit flows were negative and nominal GDP growth favourable, but positive valuation changes outweighed these effects rendering the deleveraging (in non-consolidated terms) unsuccessful in the period 2018Q1-2019Q1, possibly reflecting the ac</w:t>
      </w:r>
      <w:r>
        <w:t>tivity of multinational enterprises</w:t>
      </w:r>
      <w:r w:rsidRPr="00216F90">
        <w:t>.</w:t>
      </w:r>
    </w:p>
  </w:footnote>
  <w:footnote w:id="35">
    <w:p w:rsidR="00611D44" w:rsidRPr="00276D88" w:rsidRDefault="00611D44" w:rsidP="006333DD">
      <w:pPr>
        <w:pStyle w:val="FootnoteText"/>
        <w:ind w:left="0"/>
        <w:jc w:val="both"/>
        <w:rPr>
          <w:rFonts w:ascii="Times New Roman" w:hAnsi="Times New Roman" w:cs="Times New Roman"/>
        </w:rPr>
      </w:pPr>
      <w:r w:rsidRPr="001D7718">
        <w:rPr>
          <w:rStyle w:val="FootnoteReference"/>
          <w:rFonts w:ascii="Times New Roman" w:hAnsi="Times New Roman" w:cs="Times New Roman"/>
        </w:rPr>
        <w:footnoteRef/>
      </w:r>
      <w:r w:rsidRPr="001D7718">
        <w:rPr>
          <w:rFonts w:ascii="Times New Roman" w:hAnsi="Times New Roman" w:cs="Times New Roman"/>
        </w:rPr>
        <w:t xml:space="preserve"> This increase in Finland in 2018 coincided with </w:t>
      </w:r>
      <w:r w:rsidRPr="00B33300">
        <w:rPr>
          <w:rFonts w:ascii="Times New Roman" w:hAnsi="Times New Roman" w:cs="Times New Roman"/>
        </w:rPr>
        <w:t>one bank moving its headquarters from Sweden to Finland</w:t>
      </w:r>
      <w:r w:rsidRPr="001D7718">
        <w:rPr>
          <w:rFonts w:ascii="Times New Roman" w:hAnsi="Times New Roman" w:cs="Times New Roman"/>
        </w:rPr>
        <w:t>.</w:t>
      </w:r>
    </w:p>
  </w:footnote>
  <w:footnote w:id="36">
    <w:p w:rsidR="00611D44" w:rsidRPr="00E85F54" w:rsidRDefault="00611D44" w:rsidP="006333DD">
      <w:pPr>
        <w:pStyle w:val="FootnoteText"/>
        <w:ind w:left="0"/>
        <w:jc w:val="both"/>
      </w:pPr>
      <w:r>
        <w:rPr>
          <w:rStyle w:val="FootnoteReference"/>
        </w:rPr>
        <w:footnoteRef/>
      </w:r>
      <w:r>
        <w:t xml:space="preserve"> As reported by the euro area bank lending survey, see ECB, Economic Bulletin, August 2019.</w:t>
      </w:r>
    </w:p>
  </w:footnote>
  <w:footnote w:id="37">
    <w:p w:rsidR="00611D44" w:rsidRDefault="00611D44" w:rsidP="006333DD">
      <w:pPr>
        <w:pStyle w:val="FootnoteText"/>
        <w:ind w:left="0"/>
        <w:jc w:val="both"/>
      </w:pPr>
      <w:r>
        <w:rPr>
          <w:rStyle w:val="FootnoteReference"/>
        </w:rPr>
        <w:footnoteRef/>
      </w:r>
      <w:r>
        <w:t xml:space="preserve"> NPLs in the set of the scoreboard auxiliary indicators is defined as total gross NPLs and advances as percentage of total gross loans and advances (gross carrying amount), for the reporting sector "domestic banking groups and stand-alone banks, foreign controlled subsidiaries and foreign controlled branches, all institutions”. Values are provided in Table 2.1 in annex. </w:t>
      </w:r>
      <w:r w:rsidRPr="00B33300">
        <w:t>Harmonised data on NPL ratios are available only since 2014</w:t>
      </w:r>
      <w:r w:rsidRPr="00572EDA">
        <w:t>. Thus, for the</w:t>
      </w:r>
      <w:r w:rsidRPr="00B33300">
        <w:t xml:space="preserve"> </w:t>
      </w:r>
      <w:r w:rsidRPr="00572EDA">
        <w:t xml:space="preserve">data concerning 2008 and the "increase to peak", </w:t>
      </w:r>
      <w:r w:rsidRPr="00B33300">
        <w:t xml:space="preserve">Graph </w:t>
      </w:r>
      <w:r>
        <w:t>23</w:t>
      </w:r>
      <w:r w:rsidRPr="00B33300">
        <w:t xml:space="preserve"> displays </w:t>
      </w:r>
      <w:r w:rsidRPr="00572EDA">
        <w:t xml:space="preserve">data for </w:t>
      </w:r>
      <w:r w:rsidRPr="00B33300">
        <w:t xml:space="preserve">the ratio of gross non-performing debt instruments </w:t>
      </w:r>
      <w:r>
        <w:t xml:space="preserve">(NPDs) </w:t>
      </w:r>
      <w:r w:rsidRPr="00B33300">
        <w:t>o</w:t>
      </w:r>
      <w:r>
        <w:t>ver</w:t>
      </w:r>
      <w:r w:rsidRPr="00B33300">
        <w:t xml:space="preserve"> total gross debt instruments, which is available in longer time series, and that refers, besides loans, also to other debt instruments held by the banking sector</w:t>
      </w:r>
      <w:r w:rsidRPr="007C2E5D">
        <w:t>. The latter is typically slightly lower than NPL ratios</w:t>
      </w:r>
      <w:r>
        <w:t xml:space="preserve">, much because the denominator is larger, i.e., </w:t>
      </w:r>
      <w:r w:rsidRPr="00B33300">
        <w:t>total gross debt instruments</w:t>
      </w:r>
      <w:r>
        <w:t xml:space="preserve"> are larger than total loans</w:t>
      </w:r>
      <w:r w:rsidRPr="007C2E5D">
        <w:t>. The maximum difference between the two ratios currently amount</w:t>
      </w:r>
      <w:r w:rsidRPr="001410E1">
        <w:t>s to 4 p</w:t>
      </w:r>
      <w:r>
        <w:t>ercentage points</w:t>
      </w:r>
      <w:r w:rsidRPr="001410E1">
        <w:t xml:space="preserve"> (for Greece), while for most </w:t>
      </w:r>
      <w:r>
        <w:t xml:space="preserve">countries </w:t>
      </w:r>
      <w:r w:rsidRPr="001410E1">
        <w:t>it is below 1 p.p.</w:t>
      </w:r>
    </w:p>
  </w:footnote>
  <w:footnote w:id="38">
    <w:p w:rsidR="00611D44" w:rsidRPr="00C91485" w:rsidRDefault="00611D44" w:rsidP="006333DD">
      <w:pPr>
        <w:pStyle w:val="FootnoteText"/>
        <w:ind w:left="0"/>
        <w:jc w:val="both"/>
        <w:rPr>
          <w:rStyle w:val="FootnoteReference"/>
          <w:rFonts w:ascii="Times New Roman" w:hAnsi="Times New Roman" w:cs="Times New Roman"/>
          <w:sz w:val="22"/>
          <w:szCs w:val="22"/>
        </w:rPr>
      </w:pPr>
      <w:r w:rsidRPr="00C91485">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ECB, </w:t>
      </w:r>
      <w:r w:rsidRPr="00C91485">
        <w:rPr>
          <w:rFonts w:ascii="Times New Roman" w:hAnsi="Times New Roman" w:cs="Times New Roman"/>
        </w:rPr>
        <w:t xml:space="preserve">Financial </w:t>
      </w:r>
      <w:r>
        <w:rPr>
          <w:rFonts w:ascii="Times New Roman" w:hAnsi="Times New Roman" w:cs="Times New Roman"/>
        </w:rPr>
        <w:t>Stability Review,</w:t>
      </w:r>
      <w:r w:rsidRPr="00C91485">
        <w:rPr>
          <w:rFonts w:ascii="Times New Roman" w:hAnsi="Times New Roman" w:cs="Times New Roman"/>
        </w:rPr>
        <w:t xml:space="preserve"> May 201</w:t>
      </w:r>
      <w:r>
        <w:rPr>
          <w:rFonts w:ascii="Times New Roman" w:hAnsi="Times New Roman" w:cs="Times New Roman"/>
        </w:rPr>
        <w:t>9</w:t>
      </w:r>
      <w:r w:rsidRPr="007C2E5D">
        <w:rPr>
          <w:rFonts w:ascii="Times New Roman" w:hAnsi="Times New Roman" w:cs="Times New Roman"/>
        </w:rPr>
        <w:t xml:space="preserve">. </w:t>
      </w:r>
    </w:p>
  </w:footnote>
  <w:footnote w:id="39">
    <w:p w:rsidR="00611D44" w:rsidRPr="00ED0D9F" w:rsidRDefault="00611D44" w:rsidP="006333DD">
      <w:pPr>
        <w:pStyle w:val="FootnoteText"/>
        <w:ind w:left="0"/>
        <w:jc w:val="both"/>
        <w:rPr>
          <w:rFonts w:ascii="Times New Roman" w:hAnsi="Times New Roman" w:cs="Times New Roman"/>
        </w:rPr>
      </w:pPr>
      <w:r w:rsidRPr="00ED0D9F">
        <w:rPr>
          <w:rStyle w:val="FootnoteReference"/>
          <w:rFonts w:ascii="Times New Roman" w:hAnsi="Times New Roman" w:cs="Times New Roman"/>
        </w:rPr>
        <w:footnoteRef/>
      </w:r>
      <w:r w:rsidRPr="00ED0D9F">
        <w:rPr>
          <w:rFonts w:ascii="Times New Roman" w:hAnsi="Times New Roman" w:cs="Times New Roman"/>
        </w:rPr>
        <w:t xml:space="preserve"> House price</w:t>
      </w:r>
      <w:r>
        <w:rPr>
          <w:rFonts w:ascii="Times New Roman" w:hAnsi="Times New Roman" w:cs="Times New Roman"/>
        </w:rPr>
        <w:t xml:space="preserve"> benchmarks allow to gauge the extent of overvaluation or undervaluation of house prices based on </w:t>
      </w:r>
      <w:r w:rsidRPr="00ED0D9F">
        <w:rPr>
          <w:rFonts w:ascii="Times New Roman" w:eastAsia="Times New Roman" w:hAnsi="Times New Roman" w:cs="Times New Roman"/>
          <w:lang w:eastAsia="en-GB"/>
        </w:rPr>
        <w:t>country-specific characteristics</w:t>
      </w:r>
      <w:r>
        <w:rPr>
          <w:rFonts w:ascii="Times New Roman" w:eastAsia="Times New Roman" w:hAnsi="Times New Roman" w:cs="Times New Roman"/>
          <w:lang w:eastAsia="en-GB"/>
        </w:rPr>
        <w:t>.</w:t>
      </w:r>
      <w:r w:rsidRPr="00ED0D9F">
        <w:rPr>
          <w:rFonts w:ascii="Times New Roman" w:eastAsia="Times New Roman" w:hAnsi="Times New Roman" w:cs="Times New Roman"/>
          <w:lang w:eastAsia="en-GB"/>
        </w:rPr>
        <w:t xml:space="preserve"> </w:t>
      </w:r>
      <w:r>
        <w:rPr>
          <w:rFonts w:ascii="Times New Roman" w:hAnsi="Times New Roman" w:cs="Times New Roman"/>
        </w:rPr>
        <w:t>Synthetic valuations gaps are based on the gap obtained from different benchmarks</w:t>
      </w:r>
      <w:r w:rsidRPr="00ED0D9F">
        <w:rPr>
          <w:rFonts w:ascii="Times New Roman" w:hAnsi="Times New Roman" w:cs="Times New Roman"/>
        </w:rPr>
        <w:t xml:space="preserve">: (i) price-to-income deviation with respect to its long-term average; (ii) price-to-rent deviation from its long-term average; (iii) </w:t>
      </w:r>
      <w:r>
        <w:rPr>
          <w:rFonts w:ascii="Times New Roman" w:hAnsi="Times New Roman" w:cs="Times New Roman"/>
        </w:rPr>
        <w:t xml:space="preserve">deviation from regressions-based benchmarks taking into account </w:t>
      </w:r>
      <w:r w:rsidRPr="00ED0D9F">
        <w:rPr>
          <w:rFonts w:ascii="Times New Roman" w:hAnsi="Times New Roman" w:cs="Times New Roman"/>
        </w:rPr>
        <w:t xml:space="preserve">demand and supply </w:t>
      </w:r>
      <w:r>
        <w:rPr>
          <w:rFonts w:ascii="Times New Roman" w:hAnsi="Times New Roman" w:cs="Times New Roman"/>
        </w:rPr>
        <w:t xml:space="preserve">economic </w:t>
      </w:r>
      <w:r w:rsidRPr="00ED0D9F">
        <w:rPr>
          <w:rFonts w:ascii="Times New Roman" w:hAnsi="Times New Roman" w:cs="Times New Roman"/>
        </w:rPr>
        <w:t>fundamentals</w:t>
      </w:r>
      <w:r>
        <w:rPr>
          <w:rFonts w:ascii="Times New Roman" w:hAnsi="Times New Roman" w:cs="Times New Roman"/>
        </w:rPr>
        <w:t xml:space="preserve"> (s</w:t>
      </w:r>
      <w:r w:rsidRPr="00ED0D9F">
        <w:rPr>
          <w:rFonts w:ascii="Times New Roman" w:hAnsi="Times New Roman" w:cs="Times New Roman"/>
        </w:rPr>
        <w:t>ee N. Philiponnet and A. Turrini</w:t>
      </w:r>
      <w:r>
        <w:rPr>
          <w:rFonts w:ascii="Times New Roman" w:hAnsi="Times New Roman" w:cs="Times New Roman"/>
        </w:rPr>
        <w:t xml:space="preserve"> (2017),</w:t>
      </w:r>
      <w:r w:rsidRPr="00ED0D9F">
        <w:rPr>
          <w:rFonts w:ascii="Times New Roman" w:hAnsi="Times New Roman" w:cs="Times New Roman"/>
        </w:rPr>
        <w:t xml:space="preserve"> "Assessing House Price Developments in the EU", European Commission Discussion Paper 048, May 2017</w:t>
      </w:r>
      <w:r>
        <w:rPr>
          <w:rFonts w:ascii="Times New Roman" w:hAnsi="Times New Roman" w:cs="Times New Roman"/>
        </w:rPr>
        <w:t>)</w:t>
      </w:r>
      <w:r w:rsidRPr="00ED0D9F">
        <w:rPr>
          <w:rFonts w:ascii="Times New Roman" w:hAnsi="Times New Roman" w:cs="Times New Roman"/>
        </w:rPr>
        <w:t xml:space="preserve">. </w:t>
      </w:r>
      <w:r>
        <w:rPr>
          <w:rFonts w:ascii="Times New Roman" w:hAnsi="Times New Roman" w:cs="Times New Roman"/>
        </w:rPr>
        <w:t xml:space="preserve">In the computation of the regression-based benchmarks, cyclical explanatory variables are HP filtered to contain their volatility. </w:t>
      </w:r>
    </w:p>
  </w:footnote>
  <w:footnote w:id="40">
    <w:p w:rsidR="00611D44" w:rsidRPr="00B54456" w:rsidRDefault="00611D44" w:rsidP="006333DD">
      <w:pPr>
        <w:pStyle w:val="FootnoteText"/>
        <w:ind w:left="0"/>
        <w:jc w:val="both"/>
      </w:pPr>
      <w:r>
        <w:rPr>
          <w:rStyle w:val="FootnoteReference"/>
        </w:rPr>
        <w:footnoteRef/>
      </w:r>
      <w:r>
        <w:t xml:space="preserve"> Price level estimates are obtained on the basis of national account and census data or, when not available, information published on real estate agents websites. See J. C. Bricongne et al. (2019),” </w:t>
      </w:r>
      <w:r w:rsidRPr="00DF6BEC">
        <w:t>Assessing House Prices: Insights from "Houselev", a Dataset of Price Level Estimates</w:t>
      </w:r>
      <w:r>
        <w:t xml:space="preserve">”, European Economy, Discussion Paper No. 101, July 2019. </w:t>
      </w:r>
    </w:p>
  </w:footnote>
  <w:footnote w:id="41">
    <w:p w:rsidR="00611D44" w:rsidRPr="00246E26" w:rsidRDefault="00611D44" w:rsidP="00246E26">
      <w:pPr>
        <w:pStyle w:val="FootnoteText"/>
        <w:ind w:left="0"/>
      </w:pPr>
      <w:r>
        <w:rPr>
          <w:rStyle w:val="FootnoteReference"/>
        </w:rPr>
        <w:footnoteRef/>
      </w:r>
      <w:r>
        <w:t xml:space="preserve"> European Commission (2019), Employment and Social Developments in Europe, Annual Review</w:t>
      </w:r>
      <w:r w:rsidRPr="00676576">
        <w:rPr>
          <w:caps/>
        </w:rPr>
        <w:t xml:space="preserve"> </w:t>
      </w:r>
      <w:r w:rsidRPr="00676576">
        <w:t>2</w:t>
      </w:r>
      <w:r>
        <w:t>019, Chapter 4.</w:t>
      </w:r>
    </w:p>
  </w:footnote>
  <w:footnote w:id="42">
    <w:p w:rsidR="00611D44" w:rsidRPr="00B54456" w:rsidRDefault="00611D44" w:rsidP="006333DD">
      <w:pPr>
        <w:pStyle w:val="FootnoteText"/>
        <w:ind w:left="0"/>
        <w:jc w:val="both"/>
      </w:pPr>
      <w:r>
        <w:rPr>
          <w:rStyle w:val="FootnoteReference"/>
        </w:rPr>
        <w:footnoteRef/>
      </w:r>
      <w:r>
        <w:t xml:space="preserve"> Construction i</w:t>
      </w:r>
      <w:r w:rsidRPr="00F610D8">
        <w:t xml:space="preserve">nvestment </w:t>
      </w:r>
      <w:r>
        <w:t>has been growing at faster rates since 2015 across the EU, with highest growth rates observed where house price growth is stronger. Building permits are also on the rise in a majority of EU countries. A number of macro-prudential policies recently put in place across the EU could have affected the speed at which house prices have been growing. This is the case especially for caps to loan-to-value ratios and debt service-to-income ratios. Housing taxation has been reformed in recent years in a number of EU Member States notably with a view to contain the extent of mortgage tax relief.</w:t>
      </w:r>
    </w:p>
  </w:footnote>
  <w:footnote w:id="43">
    <w:p w:rsidR="00611D44" w:rsidRDefault="00611D44" w:rsidP="006333DD">
      <w:pPr>
        <w:pStyle w:val="FootnoteText"/>
        <w:ind w:left="0"/>
        <w:jc w:val="both"/>
      </w:pPr>
      <w:r>
        <w:rPr>
          <w:rStyle w:val="FootnoteReference"/>
        </w:rPr>
        <w:footnoteRef/>
      </w:r>
      <w:r>
        <w:t xml:space="preserve"> In most euro area countries, house price accelerations taking place after the crisis predated the acceleration in mortgage growth. See, e.g., European Commission, “Euro-area housing markets: Ongoing trends, challenges, and policy responses”, note to the Economic Policy committee - Euro Area, </w:t>
      </w:r>
      <w:r w:rsidRPr="00DF6BEC">
        <w:t>Ares(2019)922432</w:t>
      </w:r>
      <w:r>
        <w:t>, February 2019; and European Commission, “Euro-area housing markets: Ongoing trends, challenges, and policy responses”, technical note to the Eurogroup, February 2019:</w:t>
      </w:r>
    </w:p>
    <w:p w:rsidR="00611D44" w:rsidRPr="00B54456" w:rsidRDefault="00023FF9" w:rsidP="006333DD">
      <w:pPr>
        <w:pStyle w:val="FootnoteText"/>
        <w:ind w:left="0"/>
        <w:jc w:val="both"/>
      </w:pPr>
      <w:hyperlink r:id="rId3" w:history="1">
        <w:r w:rsidR="00611D44" w:rsidRPr="002F54A9">
          <w:rPr>
            <w:rStyle w:val="Hyperlink"/>
          </w:rPr>
          <w:t>https://www.consilium.europa.eu/media/38387/housing-note-eg-26-02-2019-technical-note.pdf</w:t>
        </w:r>
      </w:hyperlink>
    </w:p>
  </w:footnote>
  <w:footnote w:id="44">
    <w:p w:rsidR="00611D44" w:rsidRPr="00236805" w:rsidRDefault="00611D44" w:rsidP="006333DD">
      <w:pPr>
        <w:pStyle w:val="FootnoteText"/>
        <w:ind w:left="0"/>
        <w:jc w:val="both"/>
        <w:rPr>
          <w:lang w:val="en-US"/>
        </w:rPr>
      </w:pPr>
      <w:r>
        <w:rPr>
          <w:rStyle w:val="FootnoteReference"/>
        </w:rPr>
        <w:footnoteRef/>
      </w:r>
      <w:r>
        <w:t xml:space="preserve"> </w:t>
      </w:r>
      <w:r>
        <w:rPr>
          <w:rFonts w:ascii="Times New Roman" w:hAnsi="Times New Roman" w:cs="Times New Roman"/>
          <w:sz w:val="18"/>
        </w:rPr>
        <w:t xml:space="preserve">The indicator </w:t>
      </w:r>
      <w:r w:rsidRPr="00F74FDC">
        <w:rPr>
          <w:rFonts w:ascii="Times New Roman" w:hAnsi="Times New Roman" w:cs="Times New Roman"/>
          <w:i/>
          <w:sz w:val="18"/>
        </w:rPr>
        <w:t>At risk of poverty or social exclusion (AROPE)</w:t>
      </w:r>
      <w:r>
        <w:rPr>
          <w:rFonts w:ascii="Times New Roman" w:hAnsi="Times New Roman" w:cs="Times New Roman"/>
          <w:sz w:val="18"/>
        </w:rPr>
        <w:t xml:space="preserve"> </w:t>
      </w:r>
      <w:r w:rsidRPr="003432FD">
        <w:rPr>
          <w:rFonts w:ascii="Times New Roman" w:hAnsi="Times New Roman" w:cs="Times New Roman"/>
          <w:sz w:val="18"/>
        </w:rPr>
        <w:t xml:space="preserve">corresponds to the </w:t>
      </w:r>
      <w:r>
        <w:rPr>
          <w:rFonts w:ascii="Times New Roman" w:hAnsi="Times New Roman" w:cs="Times New Roman"/>
          <w:sz w:val="18"/>
        </w:rPr>
        <w:t xml:space="preserve">share of </w:t>
      </w:r>
      <w:r w:rsidRPr="003432FD">
        <w:rPr>
          <w:rFonts w:ascii="Times New Roman" w:hAnsi="Times New Roman" w:cs="Times New Roman"/>
          <w:sz w:val="18"/>
        </w:rPr>
        <w:t>persons who</w:t>
      </w:r>
      <w:r w:rsidRPr="000C428D">
        <w:rPr>
          <w:rFonts w:ascii="Times New Roman" w:hAnsi="Times New Roman" w:cs="Times New Roman"/>
          <w:sz w:val="18"/>
        </w:rPr>
        <w:t xml:space="preserve"> are vulnerable according to at least one of three social indicators</w:t>
      </w:r>
      <w:r>
        <w:rPr>
          <w:rFonts w:ascii="Times New Roman" w:hAnsi="Times New Roman" w:cs="Times New Roman"/>
          <w:sz w:val="18"/>
        </w:rPr>
        <w:t xml:space="preserve">: (1) </w:t>
      </w:r>
      <w:r w:rsidRPr="00F74FDC">
        <w:rPr>
          <w:rFonts w:ascii="Times New Roman" w:hAnsi="Times New Roman" w:cs="Times New Roman"/>
          <w:i/>
          <w:sz w:val="18"/>
        </w:rPr>
        <w:t>At risk-of-poverty (AROP)</w:t>
      </w:r>
      <w:r>
        <w:rPr>
          <w:rFonts w:ascii="Times New Roman" w:hAnsi="Times New Roman" w:cs="Times New Roman"/>
          <w:sz w:val="18"/>
        </w:rPr>
        <w:t xml:space="preserve">, which measures </w:t>
      </w:r>
      <w:r w:rsidRPr="00557FD4">
        <w:rPr>
          <w:rFonts w:ascii="Times New Roman" w:hAnsi="Times New Roman" w:cs="Times New Roman"/>
          <w:sz w:val="18"/>
        </w:rPr>
        <w:t>monetary poverty relative to the national income distribution</w:t>
      </w:r>
      <w:r w:rsidRPr="00493AD2">
        <w:rPr>
          <w:rFonts w:ascii="Times New Roman" w:hAnsi="Times New Roman" w:cs="Times New Roman"/>
          <w:sz w:val="18"/>
        </w:rPr>
        <w:t xml:space="preserve"> </w:t>
      </w:r>
      <w:r>
        <w:rPr>
          <w:rFonts w:ascii="Times New Roman" w:hAnsi="Times New Roman" w:cs="Times New Roman"/>
          <w:sz w:val="18"/>
        </w:rPr>
        <w:t>and is calculated as the share of</w:t>
      </w:r>
      <w:r w:rsidRPr="00493AD2">
        <w:rPr>
          <w:rFonts w:ascii="Times New Roman" w:hAnsi="Times New Roman" w:cs="Times New Roman"/>
          <w:sz w:val="18"/>
        </w:rPr>
        <w:t xml:space="preserve"> persons with </w:t>
      </w:r>
      <w:r>
        <w:rPr>
          <w:rFonts w:ascii="Times New Roman" w:hAnsi="Times New Roman" w:cs="Times New Roman"/>
          <w:sz w:val="18"/>
        </w:rPr>
        <w:t xml:space="preserve">disposable </w:t>
      </w:r>
      <w:r w:rsidRPr="00493AD2">
        <w:rPr>
          <w:rFonts w:ascii="Times New Roman" w:hAnsi="Times New Roman" w:cs="Times New Roman"/>
          <w:sz w:val="18"/>
        </w:rPr>
        <w:t xml:space="preserve">income </w:t>
      </w:r>
      <w:r>
        <w:rPr>
          <w:rFonts w:ascii="Times New Roman" w:hAnsi="Times New Roman" w:cs="Times New Roman"/>
          <w:sz w:val="18"/>
        </w:rPr>
        <w:t xml:space="preserve">(adjusted for household composition) </w:t>
      </w:r>
      <w:r w:rsidRPr="00493AD2">
        <w:rPr>
          <w:rFonts w:ascii="Times New Roman" w:hAnsi="Times New Roman" w:cs="Times New Roman"/>
          <w:sz w:val="18"/>
        </w:rPr>
        <w:t xml:space="preserve">below </w:t>
      </w:r>
      <w:r>
        <w:rPr>
          <w:rFonts w:ascii="Times New Roman" w:hAnsi="Times New Roman" w:cs="Times New Roman"/>
          <w:sz w:val="18"/>
        </w:rPr>
        <w:t>60</w:t>
      </w:r>
      <w:r w:rsidRPr="00493AD2">
        <w:rPr>
          <w:rFonts w:ascii="Times New Roman" w:hAnsi="Times New Roman" w:cs="Times New Roman"/>
          <w:sz w:val="18"/>
        </w:rPr>
        <w:t>% of the national median</w:t>
      </w:r>
      <w:r>
        <w:rPr>
          <w:rFonts w:ascii="Times New Roman" w:hAnsi="Times New Roman" w:cs="Times New Roman"/>
          <w:sz w:val="18"/>
        </w:rPr>
        <w:t>;</w:t>
      </w:r>
      <w:r w:rsidRPr="00493AD2">
        <w:rPr>
          <w:rFonts w:ascii="Times New Roman" w:hAnsi="Times New Roman" w:cs="Times New Roman"/>
          <w:sz w:val="18"/>
        </w:rPr>
        <w:t xml:space="preserve"> </w:t>
      </w:r>
      <w:r>
        <w:rPr>
          <w:rFonts w:ascii="Times New Roman" w:hAnsi="Times New Roman" w:cs="Times New Roman"/>
          <w:sz w:val="18"/>
        </w:rPr>
        <w:t xml:space="preserve">(2) </w:t>
      </w:r>
      <w:r w:rsidRPr="00F74FDC">
        <w:rPr>
          <w:rFonts w:ascii="Times New Roman" w:hAnsi="Times New Roman" w:cs="Times New Roman"/>
          <w:i/>
          <w:sz w:val="18"/>
        </w:rPr>
        <w:t>Severe material deprivation (SMD)</w:t>
      </w:r>
      <w:r>
        <w:rPr>
          <w:rFonts w:ascii="Times New Roman" w:hAnsi="Times New Roman" w:cs="Times New Roman"/>
          <w:sz w:val="18"/>
        </w:rPr>
        <w:t xml:space="preserve">, which </w:t>
      </w:r>
      <w:r w:rsidRPr="00350D2C">
        <w:rPr>
          <w:rFonts w:ascii="Times New Roman" w:hAnsi="Times New Roman" w:cs="Times New Roman"/>
          <w:sz w:val="18"/>
          <w:szCs w:val="18"/>
        </w:rPr>
        <w:t>c</w:t>
      </w:r>
      <w:r>
        <w:rPr>
          <w:rFonts w:ascii="Times New Roman" w:hAnsi="Times New Roman" w:cs="Times New Roman"/>
          <w:sz w:val="18"/>
        </w:rPr>
        <w:t>overs indicators related</w:t>
      </w:r>
      <w:r w:rsidRPr="00493AD2">
        <w:rPr>
          <w:rFonts w:ascii="Times New Roman" w:hAnsi="Times New Roman" w:cs="Times New Roman"/>
          <w:sz w:val="18"/>
        </w:rPr>
        <w:t xml:space="preserve"> to a lack of resources, </w:t>
      </w:r>
      <w:r>
        <w:rPr>
          <w:rFonts w:ascii="Times New Roman" w:hAnsi="Times New Roman" w:cs="Times New Roman"/>
          <w:sz w:val="18"/>
        </w:rPr>
        <w:t>and represents the share of people experiencing</w:t>
      </w:r>
      <w:r w:rsidRPr="00493AD2">
        <w:rPr>
          <w:rFonts w:ascii="Times New Roman" w:hAnsi="Times New Roman" w:cs="Times New Roman"/>
          <w:sz w:val="18"/>
        </w:rPr>
        <w:t xml:space="preserve"> at least 4 out of 9 </w:t>
      </w:r>
      <w:r>
        <w:rPr>
          <w:rFonts w:ascii="Times New Roman" w:hAnsi="Times New Roman" w:cs="Times New Roman"/>
          <w:sz w:val="18"/>
        </w:rPr>
        <w:t xml:space="preserve">deprivations items, </w:t>
      </w:r>
      <w:r w:rsidRPr="00995E68">
        <w:rPr>
          <w:rFonts w:ascii="Times New Roman" w:hAnsi="Times New Roman" w:cs="Times New Roman"/>
          <w:sz w:val="18"/>
          <w:szCs w:val="18"/>
        </w:rPr>
        <w:t xml:space="preserve">based on the </w:t>
      </w:r>
      <w:r>
        <w:rPr>
          <w:rFonts w:ascii="Times New Roman" w:hAnsi="Times New Roman" w:cs="Times New Roman"/>
          <w:sz w:val="18"/>
          <w:szCs w:val="18"/>
        </w:rPr>
        <w:t>inability to afford some specific</w:t>
      </w:r>
      <w:r w:rsidRPr="00995E68">
        <w:rPr>
          <w:rFonts w:ascii="Times New Roman" w:hAnsi="Times New Roman" w:cs="Times New Roman"/>
          <w:sz w:val="18"/>
          <w:szCs w:val="18"/>
        </w:rPr>
        <w:t xml:space="preserve"> </w:t>
      </w:r>
      <w:r>
        <w:rPr>
          <w:rFonts w:ascii="Times New Roman" w:hAnsi="Times New Roman" w:cs="Times New Roman"/>
          <w:sz w:val="18"/>
          <w:szCs w:val="18"/>
        </w:rPr>
        <w:t>types of expenses</w:t>
      </w:r>
      <w:r>
        <w:rPr>
          <w:rFonts w:ascii="Times New Roman" w:hAnsi="Times New Roman" w:cs="Times New Roman"/>
          <w:sz w:val="18"/>
        </w:rPr>
        <w:t>;</w:t>
      </w:r>
      <w:r w:rsidRPr="00493AD2">
        <w:rPr>
          <w:rFonts w:ascii="Times New Roman" w:hAnsi="Times New Roman" w:cs="Times New Roman"/>
          <w:sz w:val="18"/>
        </w:rPr>
        <w:t xml:space="preserve"> </w:t>
      </w:r>
      <w:r>
        <w:rPr>
          <w:rFonts w:ascii="Times New Roman" w:hAnsi="Times New Roman" w:cs="Times New Roman"/>
          <w:sz w:val="18"/>
        </w:rPr>
        <w:t xml:space="preserve">(3) </w:t>
      </w:r>
      <w:r w:rsidRPr="00F74FDC">
        <w:rPr>
          <w:rFonts w:ascii="Times New Roman" w:hAnsi="Times New Roman" w:cs="Times New Roman"/>
          <w:i/>
          <w:sz w:val="18"/>
        </w:rPr>
        <w:t>People living in households with very low work intensity</w:t>
      </w:r>
      <w:r w:rsidRPr="00493AD2">
        <w:rPr>
          <w:rFonts w:ascii="Times New Roman" w:hAnsi="Times New Roman" w:cs="Times New Roman"/>
          <w:sz w:val="18"/>
        </w:rPr>
        <w:t xml:space="preserve"> are those aged 0-59 living in households </w:t>
      </w:r>
      <w:r>
        <w:rPr>
          <w:rFonts w:ascii="Times New Roman" w:hAnsi="Times New Roman" w:cs="Times New Roman"/>
          <w:sz w:val="18"/>
        </w:rPr>
        <w:t xml:space="preserve">in which </w:t>
      </w:r>
      <w:r w:rsidRPr="00493AD2">
        <w:rPr>
          <w:rFonts w:ascii="Times New Roman" w:hAnsi="Times New Roman" w:cs="Times New Roman"/>
          <w:sz w:val="18"/>
        </w:rPr>
        <w:t>adults (aged 18-59) work</w:t>
      </w:r>
      <w:r>
        <w:rPr>
          <w:rFonts w:ascii="Times New Roman" w:hAnsi="Times New Roman" w:cs="Times New Roman"/>
          <w:sz w:val="18"/>
        </w:rPr>
        <w:t>ed</w:t>
      </w:r>
      <w:r w:rsidRPr="00493AD2">
        <w:rPr>
          <w:rFonts w:ascii="Times New Roman" w:hAnsi="Times New Roman" w:cs="Times New Roman"/>
          <w:sz w:val="18"/>
        </w:rPr>
        <w:t xml:space="preserve"> less than 20% of their total work potential during the past yea</w:t>
      </w:r>
      <w:r w:rsidRPr="009C0391">
        <w:rPr>
          <w:rFonts w:ascii="Times New Roman" w:hAnsi="Times New Roman" w:cs="Times New Roman"/>
          <w:sz w:val="18"/>
        </w:rPr>
        <w:t xml:space="preserve">r. The income reference period for </w:t>
      </w:r>
      <w:r w:rsidRPr="00147801">
        <w:rPr>
          <w:rFonts w:ascii="Times New Roman" w:hAnsi="Times New Roman" w:cs="Times New Roman"/>
          <w:sz w:val="18"/>
        </w:rPr>
        <w:t>the data behind these measures is a fixed 12-month period, such as the previous calendar or tax year to which the data refer for all countries, except the U</w:t>
      </w:r>
      <w:r>
        <w:rPr>
          <w:rFonts w:ascii="Times New Roman" w:hAnsi="Times New Roman" w:cs="Times New Roman"/>
          <w:sz w:val="18"/>
        </w:rPr>
        <w:t>nited Kingdom</w:t>
      </w:r>
      <w:r w:rsidRPr="00147801">
        <w:rPr>
          <w:rFonts w:ascii="Times New Roman" w:hAnsi="Times New Roman" w:cs="Times New Roman"/>
          <w:sz w:val="18"/>
        </w:rPr>
        <w:t xml:space="preserve"> for which the income reference period is the current year and Ireland</w:t>
      </w:r>
      <w:r w:rsidRPr="009C0391">
        <w:rPr>
          <w:rFonts w:ascii="Times New Roman" w:hAnsi="Times New Roman" w:cs="Times New Roman"/>
          <w:sz w:val="18"/>
        </w:rPr>
        <w:t xml:space="preserve"> for which the survey is continuous and income is collected for the last twelve months.</w:t>
      </w:r>
      <w:r>
        <w:rPr>
          <w:rFonts w:ascii="Times New Roman" w:hAnsi="Times New Roman" w:cs="Times New Roman"/>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F9" w:rsidRPr="00023FF9" w:rsidRDefault="00023FF9" w:rsidP="00023FF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jc w:val="center"/>
    </w:pPr>
  </w:p>
  <w:p w:rsidR="00611D44" w:rsidRDefault="00611D4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jc w:val="center"/>
    </w:pPr>
  </w:p>
  <w:p w:rsidR="00611D44" w:rsidRDefault="00611D44"/>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44" w:rsidRDefault="0061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77C"/>
    <w:multiLevelType w:val="hybridMultilevel"/>
    <w:tmpl w:val="6D8E5B9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5537B24"/>
    <w:multiLevelType w:val="hybridMultilevel"/>
    <w:tmpl w:val="E8326410"/>
    <w:lvl w:ilvl="0" w:tplc="D6A04EA0">
      <w:start w:val="1"/>
      <w:numFmt w:val="decimal"/>
      <w:lvlText w:val="%1."/>
      <w:lvlJc w:val="left"/>
      <w:pPr>
        <w:ind w:left="719" w:hanging="492"/>
      </w:pPr>
      <w:rPr>
        <w:rFonts w:ascii="Times New Roman" w:eastAsiaTheme="minorHAnsi" w:hAnsi="Times New Roman" w:hint="default"/>
      </w:rPr>
    </w:lvl>
    <w:lvl w:ilvl="1" w:tplc="080C0019" w:tentative="1">
      <w:start w:val="1"/>
      <w:numFmt w:val="lowerLetter"/>
      <w:lvlText w:val="%2."/>
      <w:lvlJc w:val="left"/>
      <w:pPr>
        <w:ind w:left="1307" w:hanging="360"/>
      </w:pPr>
    </w:lvl>
    <w:lvl w:ilvl="2" w:tplc="080C001B" w:tentative="1">
      <w:start w:val="1"/>
      <w:numFmt w:val="lowerRoman"/>
      <w:lvlText w:val="%3."/>
      <w:lvlJc w:val="right"/>
      <w:pPr>
        <w:ind w:left="2027" w:hanging="180"/>
      </w:pPr>
    </w:lvl>
    <w:lvl w:ilvl="3" w:tplc="080C000F" w:tentative="1">
      <w:start w:val="1"/>
      <w:numFmt w:val="decimal"/>
      <w:lvlText w:val="%4."/>
      <w:lvlJc w:val="left"/>
      <w:pPr>
        <w:ind w:left="2747" w:hanging="360"/>
      </w:pPr>
    </w:lvl>
    <w:lvl w:ilvl="4" w:tplc="080C0019" w:tentative="1">
      <w:start w:val="1"/>
      <w:numFmt w:val="lowerLetter"/>
      <w:lvlText w:val="%5."/>
      <w:lvlJc w:val="left"/>
      <w:pPr>
        <w:ind w:left="3467" w:hanging="360"/>
      </w:pPr>
    </w:lvl>
    <w:lvl w:ilvl="5" w:tplc="080C001B" w:tentative="1">
      <w:start w:val="1"/>
      <w:numFmt w:val="lowerRoman"/>
      <w:lvlText w:val="%6."/>
      <w:lvlJc w:val="right"/>
      <w:pPr>
        <w:ind w:left="4187" w:hanging="180"/>
      </w:pPr>
    </w:lvl>
    <w:lvl w:ilvl="6" w:tplc="080C000F" w:tentative="1">
      <w:start w:val="1"/>
      <w:numFmt w:val="decimal"/>
      <w:lvlText w:val="%7."/>
      <w:lvlJc w:val="left"/>
      <w:pPr>
        <w:ind w:left="4907" w:hanging="360"/>
      </w:pPr>
    </w:lvl>
    <w:lvl w:ilvl="7" w:tplc="080C0019" w:tentative="1">
      <w:start w:val="1"/>
      <w:numFmt w:val="lowerLetter"/>
      <w:lvlText w:val="%8."/>
      <w:lvlJc w:val="left"/>
      <w:pPr>
        <w:ind w:left="5627" w:hanging="360"/>
      </w:pPr>
    </w:lvl>
    <w:lvl w:ilvl="8" w:tplc="080C001B" w:tentative="1">
      <w:start w:val="1"/>
      <w:numFmt w:val="lowerRoman"/>
      <w:lvlText w:val="%9."/>
      <w:lvlJc w:val="right"/>
      <w:pPr>
        <w:ind w:left="6347" w:hanging="180"/>
      </w:pPr>
    </w:lvl>
  </w:abstractNum>
  <w:abstractNum w:abstractNumId="2" w15:restartNumberingAfterBreak="0">
    <w:nsid w:val="0E5F1726"/>
    <w:multiLevelType w:val="hybridMultilevel"/>
    <w:tmpl w:val="8AAED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655F25"/>
    <w:multiLevelType w:val="hybridMultilevel"/>
    <w:tmpl w:val="C9765E5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F7A7296"/>
    <w:multiLevelType w:val="hybridMultilevel"/>
    <w:tmpl w:val="445E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D791B"/>
    <w:multiLevelType w:val="hybridMultilevel"/>
    <w:tmpl w:val="94F0558A"/>
    <w:lvl w:ilvl="0" w:tplc="080C000F">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6" w15:restartNumberingAfterBreak="0">
    <w:nsid w:val="14C92108"/>
    <w:multiLevelType w:val="hybridMultilevel"/>
    <w:tmpl w:val="F2A41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5802"/>
    <w:multiLevelType w:val="hybridMultilevel"/>
    <w:tmpl w:val="071066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7F4DE3"/>
    <w:multiLevelType w:val="hybridMultilevel"/>
    <w:tmpl w:val="2BD61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25B56"/>
    <w:multiLevelType w:val="hybridMultilevel"/>
    <w:tmpl w:val="B49093F2"/>
    <w:lvl w:ilvl="0" w:tplc="0809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7C7184">
      <w:start w:val="2"/>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67030"/>
    <w:multiLevelType w:val="hybridMultilevel"/>
    <w:tmpl w:val="733885B0"/>
    <w:lvl w:ilvl="0" w:tplc="04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C3C70C6"/>
    <w:multiLevelType w:val="hybridMultilevel"/>
    <w:tmpl w:val="1C541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6DCD"/>
    <w:multiLevelType w:val="hybridMultilevel"/>
    <w:tmpl w:val="74A2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E518B"/>
    <w:multiLevelType w:val="hybridMultilevel"/>
    <w:tmpl w:val="0522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42AE7"/>
    <w:multiLevelType w:val="hybridMultilevel"/>
    <w:tmpl w:val="5464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C44E0"/>
    <w:multiLevelType w:val="hybridMultilevel"/>
    <w:tmpl w:val="0D62B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7C7184">
      <w:start w:val="2"/>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9344DC"/>
    <w:multiLevelType w:val="hybridMultilevel"/>
    <w:tmpl w:val="F7D07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D4055"/>
    <w:multiLevelType w:val="hybridMultilevel"/>
    <w:tmpl w:val="85AE05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40D058C"/>
    <w:multiLevelType w:val="hybridMultilevel"/>
    <w:tmpl w:val="13B2F428"/>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49F6702"/>
    <w:multiLevelType w:val="hybridMultilevel"/>
    <w:tmpl w:val="014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163E3"/>
    <w:multiLevelType w:val="hybridMultilevel"/>
    <w:tmpl w:val="9CA60DE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662560"/>
    <w:multiLevelType w:val="hybridMultilevel"/>
    <w:tmpl w:val="10529C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FD3823"/>
    <w:multiLevelType w:val="hybridMultilevel"/>
    <w:tmpl w:val="B262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14B34"/>
    <w:multiLevelType w:val="hybridMultilevel"/>
    <w:tmpl w:val="A7C23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4416A3"/>
    <w:multiLevelType w:val="hybridMultilevel"/>
    <w:tmpl w:val="9F62F6B4"/>
    <w:lvl w:ilvl="0" w:tplc="8958849A">
      <w:numFmt w:val="bullet"/>
      <w:lvlText w:val="-"/>
      <w:lvlJc w:val="left"/>
      <w:pPr>
        <w:ind w:left="587" w:hanging="360"/>
      </w:pPr>
      <w:rPr>
        <w:rFonts w:ascii="Times New Roman" w:eastAsiaTheme="minorHAnsi" w:hAnsi="Times New Roman" w:cs="Times New Roman" w:hint="default"/>
      </w:rPr>
    </w:lvl>
    <w:lvl w:ilvl="1" w:tplc="080C0003" w:tentative="1">
      <w:start w:val="1"/>
      <w:numFmt w:val="bullet"/>
      <w:lvlText w:val="o"/>
      <w:lvlJc w:val="left"/>
      <w:pPr>
        <w:ind w:left="1307" w:hanging="360"/>
      </w:pPr>
      <w:rPr>
        <w:rFonts w:ascii="Courier New" w:hAnsi="Courier New" w:cs="Courier New" w:hint="default"/>
      </w:rPr>
    </w:lvl>
    <w:lvl w:ilvl="2" w:tplc="080C0005" w:tentative="1">
      <w:start w:val="1"/>
      <w:numFmt w:val="bullet"/>
      <w:lvlText w:val=""/>
      <w:lvlJc w:val="left"/>
      <w:pPr>
        <w:ind w:left="2027" w:hanging="360"/>
      </w:pPr>
      <w:rPr>
        <w:rFonts w:ascii="Wingdings" w:hAnsi="Wingdings" w:hint="default"/>
      </w:rPr>
    </w:lvl>
    <w:lvl w:ilvl="3" w:tplc="080C0001" w:tentative="1">
      <w:start w:val="1"/>
      <w:numFmt w:val="bullet"/>
      <w:lvlText w:val=""/>
      <w:lvlJc w:val="left"/>
      <w:pPr>
        <w:ind w:left="2747" w:hanging="360"/>
      </w:pPr>
      <w:rPr>
        <w:rFonts w:ascii="Symbol" w:hAnsi="Symbol" w:hint="default"/>
      </w:rPr>
    </w:lvl>
    <w:lvl w:ilvl="4" w:tplc="080C0003" w:tentative="1">
      <w:start w:val="1"/>
      <w:numFmt w:val="bullet"/>
      <w:lvlText w:val="o"/>
      <w:lvlJc w:val="left"/>
      <w:pPr>
        <w:ind w:left="3467" w:hanging="360"/>
      </w:pPr>
      <w:rPr>
        <w:rFonts w:ascii="Courier New" w:hAnsi="Courier New" w:cs="Courier New" w:hint="default"/>
      </w:rPr>
    </w:lvl>
    <w:lvl w:ilvl="5" w:tplc="080C0005" w:tentative="1">
      <w:start w:val="1"/>
      <w:numFmt w:val="bullet"/>
      <w:lvlText w:val=""/>
      <w:lvlJc w:val="left"/>
      <w:pPr>
        <w:ind w:left="4187" w:hanging="360"/>
      </w:pPr>
      <w:rPr>
        <w:rFonts w:ascii="Wingdings" w:hAnsi="Wingdings" w:hint="default"/>
      </w:rPr>
    </w:lvl>
    <w:lvl w:ilvl="6" w:tplc="080C0001" w:tentative="1">
      <w:start w:val="1"/>
      <w:numFmt w:val="bullet"/>
      <w:lvlText w:val=""/>
      <w:lvlJc w:val="left"/>
      <w:pPr>
        <w:ind w:left="4907" w:hanging="360"/>
      </w:pPr>
      <w:rPr>
        <w:rFonts w:ascii="Symbol" w:hAnsi="Symbol" w:hint="default"/>
      </w:rPr>
    </w:lvl>
    <w:lvl w:ilvl="7" w:tplc="080C0003" w:tentative="1">
      <w:start w:val="1"/>
      <w:numFmt w:val="bullet"/>
      <w:lvlText w:val="o"/>
      <w:lvlJc w:val="left"/>
      <w:pPr>
        <w:ind w:left="5627" w:hanging="360"/>
      </w:pPr>
      <w:rPr>
        <w:rFonts w:ascii="Courier New" w:hAnsi="Courier New" w:cs="Courier New" w:hint="default"/>
      </w:rPr>
    </w:lvl>
    <w:lvl w:ilvl="8" w:tplc="080C0005" w:tentative="1">
      <w:start w:val="1"/>
      <w:numFmt w:val="bullet"/>
      <w:lvlText w:val=""/>
      <w:lvlJc w:val="left"/>
      <w:pPr>
        <w:ind w:left="6347" w:hanging="360"/>
      </w:pPr>
      <w:rPr>
        <w:rFonts w:ascii="Wingdings" w:hAnsi="Wingdings" w:hint="default"/>
      </w:rPr>
    </w:lvl>
  </w:abstractNum>
  <w:abstractNum w:abstractNumId="25" w15:restartNumberingAfterBreak="0">
    <w:nsid w:val="46656148"/>
    <w:multiLevelType w:val="hybridMultilevel"/>
    <w:tmpl w:val="2EB42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3E7247"/>
    <w:multiLevelType w:val="hybridMultilevel"/>
    <w:tmpl w:val="C1B4A32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4F302FEF"/>
    <w:multiLevelType w:val="hybridMultilevel"/>
    <w:tmpl w:val="545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B28BF"/>
    <w:multiLevelType w:val="hybridMultilevel"/>
    <w:tmpl w:val="B054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3329C"/>
    <w:multiLevelType w:val="hybridMultilevel"/>
    <w:tmpl w:val="B1E40B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17604"/>
    <w:multiLevelType w:val="hybridMultilevel"/>
    <w:tmpl w:val="860052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B0804DC"/>
    <w:multiLevelType w:val="hybridMultilevel"/>
    <w:tmpl w:val="A04887A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D531DE"/>
    <w:multiLevelType w:val="hybridMultilevel"/>
    <w:tmpl w:val="A6EAEB4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DB0023B"/>
    <w:multiLevelType w:val="hybridMultilevel"/>
    <w:tmpl w:val="B082ECD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6068492C"/>
    <w:multiLevelType w:val="hybridMultilevel"/>
    <w:tmpl w:val="F6D0283E"/>
    <w:lvl w:ilvl="0" w:tplc="30BC21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6E0C9C"/>
    <w:multiLevelType w:val="hybridMultilevel"/>
    <w:tmpl w:val="C658D2C4"/>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44E53C1"/>
    <w:multiLevelType w:val="hybridMultilevel"/>
    <w:tmpl w:val="9412DFB4"/>
    <w:lvl w:ilvl="0" w:tplc="04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64C93A02"/>
    <w:multiLevelType w:val="hybridMultilevel"/>
    <w:tmpl w:val="B9CC5D34"/>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38" w15:restartNumberingAfterBreak="0">
    <w:nsid w:val="688B6530"/>
    <w:multiLevelType w:val="hybridMultilevel"/>
    <w:tmpl w:val="76A415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B14270A"/>
    <w:multiLevelType w:val="hybridMultilevel"/>
    <w:tmpl w:val="FFEE133A"/>
    <w:lvl w:ilvl="0" w:tplc="EB3CDDE8">
      <w:start w:val="1"/>
      <w:numFmt w:val="decimal"/>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6B764E67"/>
    <w:multiLevelType w:val="hybridMultilevel"/>
    <w:tmpl w:val="3780896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53B1E"/>
    <w:multiLevelType w:val="hybridMultilevel"/>
    <w:tmpl w:val="5CD0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D47C8"/>
    <w:multiLevelType w:val="hybridMultilevel"/>
    <w:tmpl w:val="2D34A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D995CFB"/>
    <w:multiLevelType w:val="hybridMultilevel"/>
    <w:tmpl w:val="861EBD7A"/>
    <w:lvl w:ilvl="0" w:tplc="080C0001">
      <w:start w:val="1"/>
      <w:numFmt w:val="bullet"/>
      <w:lvlText w:val=""/>
      <w:lvlJc w:val="left"/>
      <w:pPr>
        <w:ind w:left="947" w:hanging="360"/>
      </w:pPr>
      <w:rPr>
        <w:rFonts w:ascii="Symbol" w:hAnsi="Symbol" w:hint="default"/>
      </w:rPr>
    </w:lvl>
    <w:lvl w:ilvl="1" w:tplc="080C0003" w:tentative="1">
      <w:start w:val="1"/>
      <w:numFmt w:val="bullet"/>
      <w:lvlText w:val="o"/>
      <w:lvlJc w:val="left"/>
      <w:pPr>
        <w:ind w:left="1667" w:hanging="360"/>
      </w:pPr>
      <w:rPr>
        <w:rFonts w:ascii="Courier New" w:hAnsi="Courier New" w:cs="Courier New" w:hint="default"/>
      </w:rPr>
    </w:lvl>
    <w:lvl w:ilvl="2" w:tplc="080C0005" w:tentative="1">
      <w:start w:val="1"/>
      <w:numFmt w:val="bullet"/>
      <w:lvlText w:val=""/>
      <w:lvlJc w:val="left"/>
      <w:pPr>
        <w:ind w:left="2387" w:hanging="360"/>
      </w:pPr>
      <w:rPr>
        <w:rFonts w:ascii="Wingdings" w:hAnsi="Wingdings" w:hint="default"/>
      </w:rPr>
    </w:lvl>
    <w:lvl w:ilvl="3" w:tplc="080C0001" w:tentative="1">
      <w:start w:val="1"/>
      <w:numFmt w:val="bullet"/>
      <w:lvlText w:val=""/>
      <w:lvlJc w:val="left"/>
      <w:pPr>
        <w:ind w:left="3107" w:hanging="360"/>
      </w:pPr>
      <w:rPr>
        <w:rFonts w:ascii="Symbol" w:hAnsi="Symbol" w:hint="default"/>
      </w:rPr>
    </w:lvl>
    <w:lvl w:ilvl="4" w:tplc="080C0003" w:tentative="1">
      <w:start w:val="1"/>
      <w:numFmt w:val="bullet"/>
      <w:lvlText w:val="o"/>
      <w:lvlJc w:val="left"/>
      <w:pPr>
        <w:ind w:left="3827" w:hanging="360"/>
      </w:pPr>
      <w:rPr>
        <w:rFonts w:ascii="Courier New" w:hAnsi="Courier New" w:cs="Courier New" w:hint="default"/>
      </w:rPr>
    </w:lvl>
    <w:lvl w:ilvl="5" w:tplc="080C0005" w:tentative="1">
      <w:start w:val="1"/>
      <w:numFmt w:val="bullet"/>
      <w:lvlText w:val=""/>
      <w:lvlJc w:val="left"/>
      <w:pPr>
        <w:ind w:left="4547" w:hanging="360"/>
      </w:pPr>
      <w:rPr>
        <w:rFonts w:ascii="Wingdings" w:hAnsi="Wingdings" w:hint="default"/>
      </w:rPr>
    </w:lvl>
    <w:lvl w:ilvl="6" w:tplc="080C0001" w:tentative="1">
      <w:start w:val="1"/>
      <w:numFmt w:val="bullet"/>
      <w:lvlText w:val=""/>
      <w:lvlJc w:val="left"/>
      <w:pPr>
        <w:ind w:left="5267" w:hanging="360"/>
      </w:pPr>
      <w:rPr>
        <w:rFonts w:ascii="Symbol" w:hAnsi="Symbol" w:hint="default"/>
      </w:rPr>
    </w:lvl>
    <w:lvl w:ilvl="7" w:tplc="080C0003" w:tentative="1">
      <w:start w:val="1"/>
      <w:numFmt w:val="bullet"/>
      <w:lvlText w:val="o"/>
      <w:lvlJc w:val="left"/>
      <w:pPr>
        <w:ind w:left="5987" w:hanging="360"/>
      </w:pPr>
      <w:rPr>
        <w:rFonts w:ascii="Courier New" w:hAnsi="Courier New" w:cs="Courier New" w:hint="default"/>
      </w:rPr>
    </w:lvl>
    <w:lvl w:ilvl="8" w:tplc="080C0005" w:tentative="1">
      <w:start w:val="1"/>
      <w:numFmt w:val="bullet"/>
      <w:lvlText w:val=""/>
      <w:lvlJc w:val="left"/>
      <w:pPr>
        <w:ind w:left="6707" w:hanging="360"/>
      </w:pPr>
      <w:rPr>
        <w:rFonts w:ascii="Wingdings" w:hAnsi="Wingdings" w:hint="default"/>
      </w:rPr>
    </w:lvl>
  </w:abstractNum>
  <w:abstractNum w:abstractNumId="44" w15:restartNumberingAfterBreak="0">
    <w:nsid w:val="70A11531"/>
    <w:multiLevelType w:val="hybridMultilevel"/>
    <w:tmpl w:val="5D2CC6D2"/>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8E00856"/>
    <w:multiLevelType w:val="hybridMultilevel"/>
    <w:tmpl w:val="016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648A6"/>
    <w:multiLevelType w:val="hybridMultilevel"/>
    <w:tmpl w:val="B0E034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D295BC6"/>
    <w:multiLevelType w:val="hybridMultilevel"/>
    <w:tmpl w:val="099C20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D741E0B"/>
    <w:multiLevelType w:val="hybridMultilevel"/>
    <w:tmpl w:val="862847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7E3926CC"/>
    <w:multiLevelType w:val="hybridMultilevel"/>
    <w:tmpl w:val="130865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27"/>
  </w:num>
  <w:num w:numId="2">
    <w:abstractNumId w:val="6"/>
  </w:num>
  <w:num w:numId="3">
    <w:abstractNumId w:val="4"/>
  </w:num>
  <w:num w:numId="4">
    <w:abstractNumId w:val="0"/>
  </w:num>
  <w:num w:numId="5">
    <w:abstractNumId w:val="22"/>
  </w:num>
  <w:num w:numId="6">
    <w:abstractNumId w:val="41"/>
  </w:num>
  <w:num w:numId="7">
    <w:abstractNumId w:val="15"/>
  </w:num>
  <w:num w:numId="8">
    <w:abstractNumId w:val="20"/>
  </w:num>
  <w:num w:numId="9">
    <w:abstractNumId w:val="0"/>
  </w:num>
  <w:num w:numId="10">
    <w:abstractNumId w:val="22"/>
  </w:num>
  <w:num w:numId="11">
    <w:abstractNumId w:val="25"/>
  </w:num>
  <w:num w:numId="12">
    <w:abstractNumId w:val="23"/>
  </w:num>
  <w:num w:numId="13">
    <w:abstractNumId w:val="6"/>
  </w:num>
  <w:num w:numId="14">
    <w:abstractNumId w:val="28"/>
  </w:num>
  <w:num w:numId="15">
    <w:abstractNumId w:val="13"/>
  </w:num>
  <w:num w:numId="16">
    <w:abstractNumId w:val="48"/>
  </w:num>
  <w:num w:numId="17">
    <w:abstractNumId w:val="45"/>
  </w:num>
  <w:num w:numId="18">
    <w:abstractNumId w:val="12"/>
  </w:num>
  <w:num w:numId="19">
    <w:abstractNumId w:val="34"/>
  </w:num>
  <w:num w:numId="20">
    <w:abstractNumId w:val="16"/>
  </w:num>
  <w:num w:numId="21">
    <w:abstractNumId w:val="40"/>
  </w:num>
  <w:num w:numId="22">
    <w:abstractNumId w:val="25"/>
  </w:num>
  <w:num w:numId="23">
    <w:abstractNumId w:val="2"/>
  </w:num>
  <w:num w:numId="24">
    <w:abstractNumId w:val="14"/>
  </w:num>
  <w:num w:numId="25">
    <w:abstractNumId w:val="7"/>
  </w:num>
  <w:num w:numId="26">
    <w:abstractNumId w:val="9"/>
  </w:num>
  <w:num w:numId="27">
    <w:abstractNumId w:val="32"/>
  </w:num>
  <w:num w:numId="28">
    <w:abstractNumId w:val="11"/>
  </w:num>
  <w:num w:numId="29">
    <w:abstractNumId w:val="39"/>
  </w:num>
  <w:num w:numId="30">
    <w:abstractNumId w:val="5"/>
  </w:num>
  <w:num w:numId="31">
    <w:abstractNumId w:val="8"/>
  </w:num>
  <w:num w:numId="32">
    <w:abstractNumId w:val="19"/>
  </w:num>
  <w:num w:numId="33">
    <w:abstractNumId w:val="18"/>
  </w:num>
  <w:num w:numId="34">
    <w:abstractNumId w:val="44"/>
  </w:num>
  <w:num w:numId="35">
    <w:abstractNumId w:val="10"/>
  </w:num>
  <w:num w:numId="36">
    <w:abstractNumId w:val="21"/>
  </w:num>
  <w:num w:numId="37">
    <w:abstractNumId w:val="47"/>
  </w:num>
  <w:num w:numId="38">
    <w:abstractNumId w:val="42"/>
  </w:num>
  <w:num w:numId="39">
    <w:abstractNumId w:val="46"/>
  </w:num>
  <w:num w:numId="40">
    <w:abstractNumId w:val="17"/>
  </w:num>
  <w:num w:numId="41">
    <w:abstractNumId w:val="37"/>
  </w:num>
  <w:num w:numId="42">
    <w:abstractNumId w:val="1"/>
  </w:num>
  <w:num w:numId="43">
    <w:abstractNumId w:val="30"/>
  </w:num>
  <w:num w:numId="44">
    <w:abstractNumId w:val="38"/>
  </w:num>
  <w:num w:numId="45">
    <w:abstractNumId w:val="43"/>
  </w:num>
  <w:num w:numId="46">
    <w:abstractNumId w:val="50"/>
  </w:num>
  <w:num w:numId="47">
    <w:abstractNumId w:val="33"/>
  </w:num>
  <w:num w:numId="48">
    <w:abstractNumId w:val="3"/>
  </w:num>
  <w:num w:numId="49">
    <w:abstractNumId w:val="49"/>
  </w:num>
  <w:num w:numId="50">
    <w:abstractNumId w:val="35"/>
  </w:num>
  <w:num w:numId="51">
    <w:abstractNumId w:val="36"/>
  </w:num>
  <w:num w:numId="52">
    <w:abstractNumId w:val="2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DateAndTime/>
  <w:activeWritingStyle w:appName="MSWord" w:lang="en-GB" w:vendorID="64" w:dllVersion="6" w:nlCheck="1" w:checkStyle="0"/>
  <w:activeWritingStyle w:appName="MSWord" w:lang="fr-FR" w:vendorID="64" w:dllVersion="6" w:nlCheck="1" w:checkStyle="0"/>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7F56ED3-0451-48C5-8172-7970829FC31C"/>
    <w:docVar w:name="LW_COVERPAGE_TYPE" w:val="1"/>
    <w:docVar w:name="LW_CROSSREFERENCE" w:val="{SWD(2019) 630}"/>
    <w:docVar w:name="LW_DocType" w:val="NORMAL"/>
    <w:docVar w:name="LW_EMISSION" w:val="17.12.2019"/>
    <w:docVar w:name="LW_EMISSION_ISODATE" w:val="2019-12-17"/>
    <w:docVar w:name="LW_EMISSION_LOCATION" w:val="STR"/>
    <w:docVar w:name="LW_EMISSION_PREFIX" w:val="Strasbourg,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9) 65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 THE COUNCIL, THE EUROPEAN CENTRAL BANK AND THE EUROPEAN ECONOMIC AND SOCIAL COMMITTEE_x000d__x000d__x000d__x000d__x000d__x000d__x000d__x000d__x000b__x000d__x000d__x000d__x000d__x000d__x000d__x000d__x000d__x000b_Alert Mechanism Report 2020_x000d__x000d__x000d__x000d__x000d__x000d__x000d__x000d__x000b__x000d__x000d__x000d__x000d__x000d__x000d__x000d__x000d__x000b_(prepared in accordance with Articles 3 and 4 of Regulation (EU) No 1176/2011 on the prevention and correction of macroeconomic imbalances)"/>
    <w:docVar w:name="LW_TYPE.DOC.CP" w:val="REPORT FROM THE COMMISSION"/>
  </w:docVars>
  <w:rsids>
    <w:rsidRoot w:val="00CF5192"/>
    <w:rsid w:val="00000886"/>
    <w:rsid w:val="00002816"/>
    <w:rsid w:val="000030B0"/>
    <w:rsid w:val="0000353A"/>
    <w:rsid w:val="0000428B"/>
    <w:rsid w:val="00004E31"/>
    <w:rsid w:val="00005A3E"/>
    <w:rsid w:val="0000615C"/>
    <w:rsid w:val="000061F9"/>
    <w:rsid w:val="00006A80"/>
    <w:rsid w:val="0001070D"/>
    <w:rsid w:val="00010E49"/>
    <w:rsid w:val="00011969"/>
    <w:rsid w:val="00011C58"/>
    <w:rsid w:val="00012F25"/>
    <w:rsid w:val="00013B1E"/>
    <w:rsid w:val="0001687C"/>
    <w:rsid w:val="00016E65"/>
    <w:rsid w:val="00016F89"/>
    <w:rsid w:val="0001762C"/>
    <w:rsid w:val="0001797B"/>
    <w:rsid w:val="000209C2"/>
    <w:rsid w:val="000216CF"/>
    <w:rsid w:val="000218C0"/>
    <w:rsid w:val="0002190E"/>
    <w:rsid w:val="00022A61"/>
    <w:rsid w:val="00022FCA"/>
    <w:rsid w:val="000231D3"/>
    <w:rsid w:val="000233EA"/>
    <w:rsid w:val="00023FF9"/>
    <w:rsid w:val="00026D1D"/>
    <w:rsid w:val="000274FD"/>
    <w:rsid w:val="00030C5C"/>
    <w:rsid w:val="00030F89"/>
    <w:rsid w:val="0003180D"/>
    <w:rsid w:val="00031E40"/>
    <w:rsid w:val="000339EE"/>
    <w:rsid w:val="00033E5D"/>
    <w:rsid w:val="00033F61"/>
    <w:rsid w:val="00034575"/>
    <w:rsid w:val="00034D48"/>
    <w:rsid w:val="000357DC"/>
    <w:rsid w:val="00035827"/>
    <w:rsid w:val="00036D37"/>
    <w:rsid w:val="00040712"/>
    <w:rsid w:val="00041998"/>
    <w:rsid w:val="00042903"/>
    <w:rsid w:val="00043177"/>
    <w:rsid w:val="0004483A"/>
    <w:rsid w:val="00046089"/>
    <w:rsid w:val="00046717"/>
    <w:rsid w:val="00046A6B"/>
    <w:rsid w:val="000474B9"/>
    <w:rsid w:val="000475EC"/>
    <w:rsid w:val="0004793C"/>
    <w:rsid w:val="00050BB3"/>
    <w:rsid w:val="00050C59"/>
    <w:rsid w:val="00050E1F"/>
    <w:rsid w:val="00051691"/>
    <w:rsid w:val="00052E7F"/>
    <w:rsid w:val="00053044"/>
    <w:rsid w:val="00053ACE"/>
    <w:rsid w:val="00053D3F"/>
    <w:rsid w:val="00056214"/>
    <w:rsid w:val="00057035"/>
    <w:rsid w:val="000615B3"/>
    <w:rsid w:val="00061BAA"/>
    <w:rsid w:val="00062144"/>
    <w:rsid w:val="00062149"/>
    <w:rsid w:val="00063844"/>
    <w:rsid w:val="0006505C"/>
    <w:rsid w:val="000657F3"/>
    <w:rsid w:val="00065995"/>
    <w:rsid w:val="00065E0A"/>
    <w:rsid w:val="000668B7"/>
    <w:rsid w:val="00067241"/>
    <w:rsid w:val="000675CB"/>
    <w:rsid w:val="00070216"/>
    <w:rsid w:val="00071C4E"/>
    <w:rsid w:val="00071EF3"/>
    <w:rsid w:val="00072CFE"/>
    <w:rsid w:val="000748E8"/>
    <w:rsid w:val="00074FE7"/>
    <w:rsid w:val="00075C57"/>
    <w:rsid w:val="00080A49"/>
    <w:rsid w:val="000825BB"/>
    <w:rsid w:val="00082639"/>
    <w:rsid w:val="00082AE3"/>
    <w:rsid w:val="00082CB4"/>
    <w:rsid w:val="0008398E"/>
    <w:rsid w:val="00084BF0"/>
    <w:rsid w:val="00085178"/>
    <w:rsid w:val="0008534D"/>
    <w:rsid w:val="00085A99"/>
    <w:rsid w:val="00085CBB"/>
    <w:rsid w:val="0008611F"/>
    <w:rsid w:val="0008616E"/>
    <w:rsid w:val="00086816"/>
    <w:rsid w:val="0008700B"/>
    <w:rsid w:val="00087275"/>
    <w:rsid w:val="00090F95"/>
    <w:rsid w:val="000913D5"/>
    <w:rsid w:val="00091482"/>
    <w:rsid w:val="000915FA"/>
    <w:rsid w:val="00091749"/>
    <w:rsid w:val="00092D1B"/>
    <w:rsid w:val="00093CCA"/>
    <w:rsid w:val="00093DC6"/>
    <w:rsid w:val="0009630B"/>
    <w:rsid w:val="0009630C"/>
    <w:rsid w:val="000964CD"/>
    <w:rsid w:val="00096CFF"/>
    <w:rsid w:val="00097045"/>
    <w:rsid w:val="00097352"/>
    <w:rsid w:val="00097356"/>
    <w:rsid w:val="000A09D7"/>
    <w:rsid w:val="000A0BD7"/>
    <w:rsid w:val="000A146D"/>
    <w:rsid w:val="000A2D4E"/>
    <w:rsid w:val="000A34DB"/>
    <w:rsid w:val="000A39BE"/>
    <w:rsid w:val="000A57BC"/>
    <w:rsid w:val="000A5974"/>
    <w:rsid w:val="000A6536"/>
    <w:rsid w:val="000A6858"/>
    <w:rsid w:val="000A6FCD"/>
    <w:rsid w:val="000A7658"/>
    <w:rsid w:val="000B0ADE"/>
    <w:rsid w:val="000B2F9D"/>
    <w:rsid w:val="000B40A6"/>
    <w:rsid w:val="000B4317"/>
    <w:rsid w:val="000B54AD"/>
    <w:rsid w:val="000B5598"/>
    <w:rsid w:val="000B5C72"/>
    <w:rsid w:val="000B7106"/>
    <w:rsid w:val="000C289D"/>
    <w:rsid w:val="000C29F1"/>
    <w:rsid w:val="000C2CB2"/>
    <w:rsid w:val="000C5EC5"/>
    <w:rsid w:val="000C7146"/>
    <w:rsid w:val="000C7481"/>
    <w:rsid w:val="000D0FE7"/>
    <w:rsid w:val="000D24EE"/>
    <w:rsid w:val="000D2E35"/>
    <w:rsid w:val="000D32C7"/>
    <w:rsid w:val="000D354D"/>
    <w:rsid w:val="000D4E11"/>
    <w:rsid w:val="000D5276"/>
    <w:rsid w:val="000D5DEC"/>
    <w:rsid w:val="000D7211"/>
    <w:rsid w:val="000D7358"/>
    <w:rsid w:val="000D7796"/>
    <w:rsid w:val="000E0012"/>
    <w:rsid w:val="000E17D8"/>
    <w:rsid w:val="000E1F5C"/>
    <w:rsid w:val="000E3858"/>
    <w:rsid w:val="000E3D29"/>
    <w:rsid w:val="000E5181"/>
    <w:rsid w:val="000E5216"/>
    <w:rsid w:val="000E58D2"/>
    <w:rsid w:val="000E5A24"/>
    <w:rsid w:val="000E625C"/>
    <w:rsid w:val="000E6593"/>
    <w:rsid w:val="000E65F6"/>
    <w:rsid w:val="000E6B4C"/>
    <w:rsid w:val="000E7AB9"/>
    <w:rsid w:val="000F01AA"/>
    <w:rsid w:val="000F032B"/>
    <w:rsid w:val="000F05D5"/>
    <w:rsid w:val="000F0D2F"/>
    <w:rsid w:val="000F2660"/>
    <w:rsid w:val="000F3C30"/>
    <w:rsid w:val="000F4B5A"/>
    <w:rsid w:val="001022F9"/>
    <w:rsid w:val="00102733"/>
    <w:rsid w:val="00103678"/>
    <w:rsid w:val="00106CD2"/>
    <w:rsid w:val="0010726E"/>
    <w:rsid w:val="001111DD"/>
    <w:rsid w:val="00111553"/>
    <w:rsid w:val="00111899"/>
    <w:rsid w:val="0011194A"/>
    <w:rsid w:val="001123E7"/>
    <w:rsid w:val="00112B58"/>
    <w:rsid w:val="001146BD"/>
    <w:rsid w:val="00115887"/>
    <w:rsid w:val="00116722"/>
    <w:rsid w:val="00117F90"/>
    <w:rsid w:val="00123886"/>
    <w:rsid w:val="00123B92"/>
    <w:rsid w:val="00123DBF"/>
    <w:rsid w:val="00124058"/>
    <w:rsid w:val="001253BD"/>
    <w:rsid w:val="001274EB"/>
    <w:rsid w:val="001275D9"/>
    <w:rsid w:val="00130234"/>
    <w:rsid w:val="001318F4"/>
    <w:rsid w:val="0013195E"/>
    <w:rsid w:val="00131C58"/>
    <w:rsid w:val="00132DB2"/>
    <w:rsid w:val="00133365"/>
    <w:rsid w:val="00133862"/>
    <w:rsid w:val="0013498E"/>
    <w:rsid w:val="00135FD6"/>
    <w:rsid w:val="00136EEF"/>
    <w:rsid w:val="00137355"/>
    <w:rsid w:val="001410E1"/>
    <w:rsid w:val="001419AE"/>
    <w:rsid w:val="00141B46"/>
    <w:rsid w:val="00142621"/>
    <w:rsid w:val="001427AD"/>
    <w:rsid w:val="00144E84"/>
    <w:rsid w:val="00145448"/>
    <w:rsid w:val="00147801"/>
    <w:rsid w:val="001479CC"/>
    <w:rsid w:val="001515D5"/>
    <w:rsid w:val="00151EDE"/>
    <w:rsid w:val="00152E76"/>
    <w:rsid w:val="0015358C"/>
    <w:rsid w:val="001547B2"/>
    <w:rsid w:val="0015605B"/>
    <w:rsid w:val="0015618A"/>
    <w:rsid w:val="00157141"/>
    <w:rsid w:val="00157907"/>
    <w:rsid w:val="00160C97"/>
    <w:rsid w:val="0016107C"/>
    <w:rsid w:val="00162723"/>
    <w:rsid w:val="0016417C"/>
    <w:rsid w:val="00164353"/>
    <w:rsid w:val="00164577"/>
    <w:rsid w:val="0016486C"/>
    <w:rsid w:val="00164C39"/>
    <w:rsid w:val="00164CB2"/>
    <w:rsid w:val="00164F7D"/>
    <w:rsid w:val="001656A5"/>
    <w:rsid w:val="001657B6"/>
    <w:rsid w:val="001659F3"/>
    <w:rsid w:val="00170222"/>
    <w:rsid w:val="0017089C"/>
    <w:rsid w:val="001717C3"/>
    <w:rsid w:val="00172485"/>
    <w:rsid w:val="00172F0F"/>
    <w:rsid w:val="0017489D"/>
    <w:rsid w:val="001765C6"/>
    <w:rsid w:val="001770C4"/>
    <w:rsid w:val="0017717C"/>
    <w:rsid w:val="00180DC2"/>
    <w:rsid w:val="00181FFB"/>
    <w:rsid w:val="00182461"/>
    <w:rsid w:val="001826FD"/>
    <w:rsid w:val="00182704"/>
    <w:rsid w:val="00182AC6"/>
    <w:rsid w:val="0018301E"/>
    <w:rsid w:val="00183360"/>
    <w:rsid w:val="0018464E"/>
    <w:rsid w:val="00184C69"/>
    <w:rsid w:val="00185BC9"/>
    <w:rsid w:val="00187871"/>
    <w:rsid w:val="00190322"/>
    <w:rsid w:val="001907E5"/>
    <w:rsid w:val="00191069"/>
    <w:rsid w:val="00193AB4"/>
    <w:rsid w:val="001968F4"/>
    <w:rsid w:val="00196BAC"/>
    <w:rsid w:val="00196C6D"/>
    <w:rsid w:val="001A025F"/>
    <w:rsid w:val="001A0A8C"/>
    <w:rsid w:val="001A1924"/>
    <w:rsid w:val="001A192E"/>
    <w:rsid w:val="001A4F3B"/>
    <w:rsid w:val="001A53FC"/>
    <w:rsid w:val="001A6937"/>
    <w:rsid w:val="001A7491"/>
    <w:rsid w:val="001A79DF"/>
    <w:rsid w:val="001B129D"/>
    <w:rsid w:val="001B17AA"/>
    <w:rsid w:val="001B1D0C"/>
    <w:rsid w:val="001B1D1A"/>
    <w:rsid w:val="001B2FBF"/>
    <w:rsid w:val="001B41E8"/>
    <w:rsid w:val="001B45B0"/>
    <w:rsid w:val="001B5CF5"/>
    <w:rsid w:val="001B6513"/>
    <w:rsid w:val="001B6940"/>
    <w:rsid w:val="001B6CFF"/>
    <w:rsid w:val="001B7257"/>
    <w:rsid w:val="001C0DC4"/>
    <w:rsid w:val="001C17B2"/>
    <w:rsid w:val="001C1A5E"/>
    <w:rsid w:val="001C270A"/>
    <w:rsid w:val="001C2DEE"/>
    <w:rsid w:val="001C2F6B"/>
    <w:rsid w:val="001C2F73"/>
    <w:rsid w:val="001C3002"/>
    <w:rsid w:val="001C305F"/>
    <w:rsid w:val="001C345B"/>
    <w:rsid w:val="001C447D"/>
    <w:rsid w:val="001C5385"/>
    <w:rsid w:val="001C60BC"/>
    <w:rsid w:val="001C6166"/>
    <w:rsid w:val="001D0171"/>
    <w:rsid w:val="001D1CF4"/>
    <w:rsid w:val="001D20D0"/>
    <w:rsid w:val="001D2374"/>
    <w:rsid w:val="001D2F1C"/>
    <w:rsid w:val="001D4DCC"/>
    <w:rsid w:val="001D7718"/>
    <w:rsid w:val="001D787D"/>
    <w:rsid w:val="001E1382"/>
    <w:rsid w:val="001E1737"/>
    <w:rsid w:val="001E1CD8"/>
    <w:rsid w:val="001E3257"/>
    <w:rsid w:val="001E3CE2"/>
    <w:rsid w:val="001E4E2A"/>
    <w:rsid w:val="001E584F"/>
    <w:rsid w:val="001E5DD5"/>
    <w:rsid w:val="001E6B78"/>
    <w:rsid w:val="001F087F"/>
    <w:rsid w:val="001F0A76"/>
    <w:rsid w:val="001F0FE5"/>
    <w:rsid w:val="001F11F2"/>
    <w:rsid w:val="001F2CF5"/>
    <w:rsid w:val="001F31F4"/>
    <w:rsid w:val="001F37D2"/>
    <w:rsid w:val="001F4514"/>
    <w:rsid w:val="001F474D"/>
    <w:rsid w:val="001F5371"/>
    <w:rsid w:val="001F602B"/>
    <w:rsid w:val="001F6C2C"/>
    <w:rsid w:val="002004E4"/>
    <w:rsid w:val="00200A9C"/>
    <w:rsid w:val="00200CA2"/>
    <w:rsid w:val="00201F15"/>
    <w:rsid w:val="002024FC"/>
    <w:rsid w:val="00202C7F"/>
    <w:rsid w:val="00203132"/>
    <w:rsid w:val="002033E2"/>
    <w:rsid w:val="00203F8D"/>
    <w:rsid w:val="00204AEA"/>
    <w:rsid w:val="00204D25"/>
    <w:rsid w:val="00211C25"/>
    <w:rsid w:val="002139E7"/>
    <w:rsid w:val="00215647"/>
    <w:rsid w:val="002171C4"/>
    <w:rsid w:val="0022076E"/>
    <w:rsid w:val="00222252"/>
    <w:rsid w:val="002223AA"/>
    <w:rsid w:val="00222758"/>
    <w:rsid w:val="002269C9"/>
    <w:rsid w:val="00226B1D"/>
    <w:rsid w:val="00226D65"/>
    <w:rsid w:val="00231778"/>
    <w:rsid w:val="00232096"/>
    <w:rsid w:val="002327B3"/>
    <w:rsid w:val="00233CCC"/>
    <w:rsid w:val="002340B0"/>
    <w:rsid w:val="00234551"/>
    <w:rsid w:val="00234B8A"/>
    <w:rsid w:val="0023621E"/>
    <w:rsid w:val="00236352"/>
    <w:rsid w:val="00236930"/>
    <w:rsid w:val="00237889"/>
    <w:rsid w:val="00237FED"/>
    <w:rsid w:val="002401EA"/>
    <w:rsid w:val="002404A4"/>
    <w:rsid w:val="00240C90"/>
    <w:rsid w:val="00242EA4"/>
    <w:rsid w:val="00243219"/>
    <w:rsid w:val="00243B29"/>
    <w:rsid w:val="00243C0F"/>
    <w:rsid w:val="002443D2"/>
    <w:rsid w:val="002455E3"/>
    <w:rsid w:val="002456CC"/>
    <w:rsid w:val="00245CC7"/>
    <w:rsid w:val="0024607F"/>
    <w:rsid w:val="00246CB9"/>
    <w:rsid w:val="00246CF7"/>
    <w:rsid w:val="00246E26"/>
    <w:rsid w:val="002471F0"/>
    <w:rsid w:val="00247342"/>
    <w:rsid w:val="00247690"/>
    <w:rsid w:val="00247885"/>
    <w:rsid w:val="002533B2"/>
    <w:rsid w:val="00256E09"/>
    <w:rsid w:val="002627C9"/>
    <w:rsid w:val="00262D1D"/>
    <w:rsid w:val="00263774"/>
    <w:rsid w:val="002641B0"/>
    <w:rsid w:val="002674B0"/>
    <w:rsid w:val="00271D69"/>
    <w:rsid w:val="00272AE3"/>
    <w:rsid w:val="002734B0"/>
    <w:rsid w:val="002737A7"/>
    <w:rsid w:val="00273AE0"/>
    <w:rsid w:val="00274308"/>
    <w:rsid w:val="00274329"/>
    <w:rsid w:val="0027592C"/>
    <w:rsid w:val="002761F9"/>
    <w:rsid w:val="002765C6"/>
    <w:rsid w:val="00276876"/>
    <w:rsid w:val="002769A4"/>
    <w:rsid w:val="00276CA4"/>
    <w:rsid w:val="00276F6B"/>
    <w:rsid w:val="0027797F"/>
    <w:rsid w:val="0028135C"/>
    <w:rsid w:val="002874D1"/>
    <w:rsid w:val="0028762D"/>
    <w:rsid w:val="00287F23"/>
    <w:rsid w:val="00290A91"/>
    <w:rsid w:val="00290BBE"/>
    <w:rsid w:val="00290D25"/>
    <w:rsid w:val="0029295D"/>
    <w:rsid w:val="00292A62"/>
    <w:rsid w:val="00292FC1"/>
    <w:rsid w:val="00293381"/>
    <w:rsid w:val="00294822"/>
    <w:rsid w:val="00295F6B"/>
    <w:rsid w:val="00296B60"/>
    <w:rsid w:val="002A2397"/>
    <w:rsid w:val="002A7DAF"/>
    <w:rsid w:val="002B084E"/>
    <w:rsid w:val="002B0C5D"/>
    <w:rsid w:val="002B20BF"/>
    <w:rsid w:val="002B3182"/>
    <w:rsid w:val="002B3638"/>
    <w:rsid w:val="002B3C98"/>
    <w:rsid w:val="002B561F"/>
    <w:rsid w:val="002B6344"/>
    <w:rsid w:val="002B6536"/>
    <w:rsid w:val="002B6E8E"/>
    <w:rsid w:val="002B75D5"/>
    <w:rsid w:val="002C0CDE"/>
    <w:rsid w:val="002C18B2"/>
    <w:rsid w:val="002C1BEC"/>
    <w:rsid w:val="002C1EF0"/>
    <w:rsid w:val="002C22B8"/>
    <w:rsid w:val="002C2CA4"/>
    <w:rsid w:val="002C40C4"/>
    <w:rsid w:val="002C43E1"/>
    <w:rsid w:val="002C4631"/>
    <w:rsid w:val="002C62AE"/>
    <w:rsid w:val="002C684F"/>
    <w:rsid w:val="002C7167"/>
    <w:rsid w:val="002C78D7"/>
    <w:rsid w:val="002D107F"/>
    <w:rsid w:val="002D1D43"/>
    <w:rsid w:val="002D28D8"/>
    <w:rsid w:val="002D2EFB"/>
    <w:rsid w:val="002D345F"/>
    <w:rsid w:val="002D351E"/>
    <w:rsid w:val="002D3939"/>
    <w:rsid w:val="002D3AF6"/>
    <w:rsid w:val="002D4474"/>
    <w:rsid w:val="002D4DC6"/>
    <w:rsid w:val="002D5421"/>
    <w:rsid w:val="002D6165"/>
    <w:rsid w:val="002D753D"/>
    <w:rsid w:val="002E1336"/>
    <w:rsid w:val="002E13FC"/>
    <w:rsid w:val="002E3A1B"/>
    <w:rsid w:val="002E44EB"/>
    <w:rsid w:val="002E543B"/>
    <w:rsid w:val="002E5B61"/>
    <w:rsid w:val="002E6A77"/>
    <w:rsid w:val="002E764D"/>
    <w:rsid w:val="002F00DE"/>
    <w:rsid w:val="002F0100"/>
    <w:rsid w:val="002F13B6"/>
    <w:rsid w:val="002F1E99"/>
    <w:rsid w:val="002F3260"/>
    <w:rsid w:val="002F3FFE"/>
    <w:rsid w:val="002F5187"/>
    <w:rsid w:val="002F5A11"/>
    <w:rsid w:val="002F5F26"/>
    <w:rsid w:val="002F61B1"/>
    <w:rsid w:val="002F7D39"/>
    <w:rsid w:val="00301E5C"/>
    <w:rsid w:val="00301F02"/>
    <w:rsid w:val="003021BC"/>
    <w:rsid w:val="00303D68"/>
    <w:rsid w:val="00304343"/>
    <w:rsid w:val="00304478"/>
    <w:rsid w:val="00306F82"/>
    <w:rsid w:val="0030718A"/>
    <w:rsid w:val="003077E2"/>
    <w:rsid w:val="00307B22"/>
    <w:rsid w:val="0031011E"/>
    <w:rsid w:val="00310469"/>
    <w:rsid w:val="00310CDC"/>
    <w:rsid w:val="00313794"/>
    <w:rsid w:val="00314356"/>
    <w:rsid w:val="003153E8"/>
    <w:rsid w:val="00315DFA"/>
    <w:rsid w:val="003161B3"/>
    <w:rsid w:val="00316E9B"/>
    <w:rsid w:val="00317248"/>
    <w:rsid w:val="00317276"/>
    <w:rsid w:val="00317B83"/>
    <w:rsid w:val="00320331"/>
    <w:rsid w:val="003204D5"/>
    <w:rsid w:val="0032057D"/>
    <w:rsid w:val="003207F0"/>
    <w:rsid w:val="003220EA"/>
    <w:rsid w:val="00322D5D"/>
    <w:rsid w:val="003240A9"/>
    <w:rsid w:val="00324330"/>
    <w:rsid w:val="003243BA"/>
    <w:rsid w:val="00324D67"/>
    <w:rsid w:val="00325D9A"/>
    <w:rsid w:val="003270D1"/>
    <w:rsid w:val="00330E55"/>
    <w:rsid w:val="00331073"/>
    <w:rsid w:val="0033222B"/>
    <w:rsid w:val="00333270"/>
    <w:rsid w:val="003342E3"/>
    <w:rsid w:val="00334654"/>
    <w:rsid w:val="00335987"/>
    <w:rsid w:val="003372BD"/>
    <w:rsid w:val="0033773A"/>
    <w:rsid w:val="003377FC"/>
    <w:rsid w:val="003404F5"/>
    <w:rsid w:val="00340DE9"/>
    <w:rsid w:val="003425D8"/>
    <w:rsid w:val="0034389D"/>
    <w:rsid w:val="00343B9F"/>
    <w:rsid w:val="00343BC6"/>
    <w:rsid w:val="003456D5"/>
    <w:rsid w:val="00345B1C"/>
    <w:rsid w:val="0034690F"/>
    <w:rsid w:val="003469D3"/>
    <w:rsid w:val="00347474"/>
    <w:rsid w:val="0034755C"/>
    <w:rsid w:val="003504CF"/>
    <w:rsid w:val="003520B9"/>
    <w:rsid w:val="003534E7"/>
    <w:rsid w:val="00354673"/>
    <w:rsid w:val="00355EE5"/>
    <w:rsid w:val="00356C31"/>
    <w:rsid w:val="00356E7D"/>
    <w:rsid w:val="0035747E"/>
    <w:rsid w:val="00360184"/>
    <w:rsid w:val="003606C0"/>
    <w:rsid w:val="003608A2"/>
    <w:rsid w:val="00361F95"/>
    <w:rsid w:val="00361F96"/>
    <w:rsid w:val="003631A5"/>
    <w:rsid w:val="00363403"/>
    <w:rsid w:val="00364AA5"/>
    <w:rsid w:val="003665DD"/>
    <w:rsid w:val="0036761F"/>
    <w:rsid w:val="00367D00"/>
    <w:rsid w:val="003705F4"/>
    <w:rsid w:val="003708A4"/>
    <w:rsid w:val="0037183C"/>
    <w:rsid w:val="003720CE"/>
    <w:rsid w:val="0037257C"/>
    <w:rsid w:val="00373058"/>
    <w:rsid w:val="00373370"/>
    <w:rsid w:val="00373F9A"/>
    <w:rsid w:val="00374678"/>
    <w:rsid w:val="00374DE0"/>
    <w:rsid w:val="003751C8"/>
    <w:rsid w:val="003754B2"/>
    <w:rsid w:val="00375A11"/>
    <w:rsid w:val="0037629E"/>
    <w:rsid w:val="00377219"/>
    <w:rsid w:val="00377CDF"/>
    <w:rsid w:val="0038026C"/>
    <w:rsid w:val="003809E3"/>
    <w:rsid w:val="00380CF8"/>
    <w:rsid w:val="00381311"/>
    <w:rsid w:val="0038172C"/>
    <w:rsid w:val="00381770"/>
    <w:rsid w:val="0038192C"/>
    <w:rsid w:val="00381F10"/>
    <w:rsid w:val="00383F8C"/>
    <w:rsid w:val="0038455A"/>
    <w:rsid w:val="00384B1F"/>
    <w:rsid w:val="00385513"/>
    <w:rsid w:val="003857F0"/>
    <w:rsid w:val="003860A9"/>
    <w:rsid w:val="0038676C"/>
    <w:rsid w:val="00391CCF"/>
    <w:rsid w:val="00392043"/>
    <w:rsid w:val="00395012"/>
    <w:rsid w:val="00395DCB"/>
    <w:rsid w:val="003960CA"/>
    <w:rsid w:val="00396911"/>
    <w:rsid w:val="00397745"/>
    <w:rsid w:val="0039781B"/>
    <w:rsid w:val="00397882"/>
    <w:rsid w:val="003A1294"/>
    <w:rsid w:val="003A19D8"/>
    <w:rsid w:val="003A1C21"/>
    <w:rsid w:val="003A276E"/>
    <w:rsid w:val="003A3918"/>
    <w:rsid w:val="003A42F5"/>
    <w:rsid w:val="003A5032"/>
    <w:rsid w:val="003A5AE2"/>
    <w:rsid w:val="003A5C4E"/>
    <w:rsid w:val="003A7E7E"/>
    <w:rsid w:val="003B0405"/>
    <w:rsid w:val="003B0557"/>
    <w:rsid w:val="003B1BBD"/>
    <w:rsid w:val="003B1C2B"/>
    <w:rsid w:val="003B1F0B"/>
    <w:rsid w:val="003B357D"/>
    <w:rsid w:val="003B71AE"/>
    <w:rsid w:val="003B71D8"/>
    <w:rsid w:val="003B75D7"/>
    <w:rsid w:val="003B7FE9"/>
    <w:rsid w:val="003C01D7"/>
    <w:rsid w:val="003C1005"/>
    <w:rsid w:val="003C11F2"/>
    <w:rsid w:val="003C1278"/>
    <w:rsid w:val="003C1E87"/>
    <w:rsid w:val="003C2AD0"/>
    <w:rsid w:val="003C2B08"/>
    <w:rsid w:val="003C2E73"/>
    <w:rsid w:val="003C3DE7"/>
    <w:rsid w:val="003C3EF0"/>
    <w:rsid w:val="003C4D0B"/>
    <w:rsid w:val="003C6A88"/>
    <w:rsid w:val="003C754F"/>
    <w:rsid w:val="003C7C53"/>
    <w:rsid w:val="003D0772"/>
    <w:rsid w:val="003D0A6C"/>
    <w:rsid w:val="003D1547"/>
    <w:rsid w:val="003D1619"/>
    <w:rsid w:val="003D1E9B"/>
    <w:rsid w:val="003D4D68"/>
    <w:rsid w:val="003D56CD"/>
    <w:rsid w:val="003D71AE"/>
    <w:rsid w:val="003D7299"/>
    <w:rsid w:val="003E0A4F"/>
    <w:rsid w:val="003E13E2"/>
    <w:rsid w:val="003E2E40"/>
    <w:rsid w:val="003E34B7"/>
    <w:rsid w:val="003E3F6A"/>
    <w:rsid w:val="003E4DE4"/>
    <w:rsid w:val="003E4FF7"/>
    <w:rsid w:val="003E5C5A"/>
    <w:rsid w:val="003E70AA"/>
    <w:rsid w:val="003E7E78"/>
    <w:rsid w:val="003F176E"/>
    <w:rsid w:val="003F1A9B"/>
    <w:rsid w:val="003F2630"/>
    <w:rsid w:val="003F39FB"/>
    <w:rsid w:val="003F404D"/>
    <w:rsid w:val="003F41B0"/>
    <w:rsid w:val="003F55E2"/>
    <w:rsid w:val="003F574B"/>
    <w:rsid w:val="003F7EAF"/>
    <w:rsid w:val="00400C06"/>
    <w:rsid w:val="00400DAA"/>
    <w:rsid w:val="00401AAB"/>
    <w:rsid w:val="00401BF1"/>
    <w:rsid w:val="00401DF0"/>
    <w:rsid w:val="004027D9"/>
    <w:rsid w:val="00403649"/>
    <w:rsid w:val="00405816"/>
    <w:rsid w:val="00406341"/>
    <w:rsid w:val="004068DB"/>
    <w:rsid w:val="00406E25"/>
    <w:rsid w:val="00410482"/>
    <w:rsid w:val="00410F3A"/>
    <w:rsid w:val="00411E7C"/>
    <w:rsid w:val="00412139"/>
    <w:rsid w:val="0041347E"/>
    <w:rsid w:val="00413A37"/>
    <w:rsid w:val="00413F95"/>
    <w:rsid w:val="004146DF"/>
    <w:rsid w:val="004150A2"/>
    <w:rsid w:val="00415162"/>
    <w:rsid w:val="0041599A"/>
    <w:rsid w:val="00415A38"/>
    <w:rsid w:val="00415E74"/>
    <w:rsid w:val="00416032"/>
    <w:rsid w:val="00417365"/>
    <w:rsid w:val="00417584"/>
    <w:rsid w:val="00417BF0"/>
    <w:rsid w:val="004202FF"/>
    <w:rsid w:val="00420902"/>
    <w:rsid w:val="00420E9D"/>
    <w:rsid w:val="00421CFA"/>
    <w:rsid w:val="00421E4A"/>
    <w:rsid w:val="0042208F"/>
    <w:rsid w:val="004221A3"/>
    <w:rsid w:val="004226F2"/>
    <w:rsid w:val="00422C37"/>
    <w:rsid w:val="00423B74"/>
    <w:rsid w:val="004257D6"/>
    <w:rsid w:val="004259E9"/>
    <w:rsid w:val="00425BAA"/>
    <w:rsid w:val="00427E1C"/>
    <w:rsid w:val="00430F2E"/>
    <w:rsid w:val="004311A3"/>
    <w:rsid w:val="00431370"/>
    <w:rsid w:val="00431DC1"/>
    <w:rsid w:val="00432715"/>
    <w:rsid w:val="00433224"/>
    <w:rsid w:val="00434380"/>
    <w:rsid w:val="004351EF"/>
    <w:rsid w:val="00436569"/>
    <w:rsid w:val="004368EE"/>
    <w:rsid w:val="004368F1"/>
    <w:rsid w:val="00437303"/>
    <w:rsid w:val="0043796D"/>
    <w:rsid w:val="00437EB1"/>
    <w:rsid w:val="00442158"/>
    <w:rsid w:val="004421FB"/>
    <w:rsid w:val="004423EC"/>
    <w:rsid w:val="00442489"/>
    <w:rsid w:val="004434A6"/>
    <w:rsid w:val="00443D03"/>
    <w:rsid w:val="00443FF1"/>
    <w:rsid w:val="004441C4"/>
    <w:rsid w:val="0044474D"/>
    <w:rsid w:val="00444DA8"/>
    <w:rsid w:val="00445907"/>
    <w:rsid w:val="00445BC3"/>
    <w:rsid w:val="00446815"/>
    <w:rsid w:val="00447D16"/>
    <w:rsid w:val="00450483"/>
    <w:rsid w:val="00451AFE"/>
    <w:rsid w:val="00452021"/>
    <w:rsid w:val="004521B7"/>
    <w:rsid w:val="00452209"/>
    <w:rsid w:val="0045234E"/>
    <w:rsid w:val="004524D2"/>
    <w:rsid w:val="00452CA5"/>
    <w:rsid w:val="004539C5"/>
    <w:rsid w:val="00456DAF"/>
    <w:rsid w:val="00457184"/>
    <w:rsid w:val="0046074E"/>
    <w:rsid w:val="00460E61"/>
    <w:rsid w:val="00460EF0"/>
    <w:rsid w:val="00462250"/>
    <w:rsid w:val="00462A70"/>
    <w:rsid w:val="00462D18"/>
    <w:rsid w:val="00463D29"/>
    <w:rsid w:val="00465898"/>
    <w:rsid w:val="00466652"/>
    <w:rsid w:val="00466698"/>
    <w:rsid w:val="004669DE"/>
    <w:rsid w:val="004678D0"/>
    <w:rsid w:val="00470BDA"/>
    <w:rsid w:val="00470C18"/>
    <w:rsid w:val="00471F89"/>
    <w:rsid w:val="004724A5"/>
    <w:rsid w:val="00473CAF"/>
    <w:rsid w:val="00474D17"/>
    <w:rsid w:val="00474D7F"/>
    <w:rsid w:val="00475463"/>
    <w:rsid w:val="004759EE"/>
    <w:rsid w:val="00475F50"/>
    <w:rsid w:val="00476319"/>
    <w:rsid w:val="00476E5A"/>
    <w:rsid w:val="0047733F"/>
    <w:rsid w:val="00480233"/>
    <w:rsid w:val="004809A8"/>
    <w:rsid w:val="00480FA7"/>
    <w:rsid w:val="004814DF"/>
    <w:rsid w:val="00481A95"/>
    <w:rsid w:val="00481C7B"/>
    <w:rsid w:val="00482377"/>
    <w:rsid w:val="004833C5"/>
    <w:rsid w:val="00483AEB"/>
    <w:rsid w:val="00483BDA"/>
    <w:rsid w:val="0048465E"/>
    <w:rsid w:val="00486385"/>
    <w:rsid w:val="0048639A"/>
    <w:rsid w:val="00490CEB"/>
    <w:rsid w:val="004911DA"/>
    <w:rsid w:val="00491310"/>
    <w:rsid w:val="00491C4F"/>
    <w:rsid w:val="00493C62"/>
    <w:rsid w:val="004941A2"/>
    <w:rsid w:val="004952D0"/>
    <w:rsid w:val="00495E90"/>
    <w:rsid w:val="004963F5"/>
    <w:rsid w:val="004A1ABC"/>
    <w:rsid w:val="004A2433"/>
    <w:rsid w:val="004A33DF"/>
    <w:rsid w:val="004A3EA9"/>
    <w:rsid w:val="004A3ECC"/>
    <w:rsid w:val="004A4997"/>
    <w:rsid w:val="004A64AD"/>
    <w:rsid w:val="004A6826"/>
    <w:rsid w:val="004A7FBB"/>
    <w:rsid w:val="004B0CD0"/>
    <w:rsid w:val="004B14FA"/>
    <w:rsid w:val="004B1542"/>
    <w:rsid w:val="004B19B9"/>
    <w:rsid w:val="004B20F8"/>
    <w:rsid w:val="004B2E8E"/>
    <w:rsid w:val="004B3309"/>
    <w:rsid w:val="004B3ADC"/>
    <w:rsid w:val="004B3B9D"/>
    <w:rsid w:val="004B3BA6"/>
    <w:rsid w:val="004B3CB8"/>
    <w:rsid w:val="004B4848"/>
    <w:rsid w:val="004B4CD9"/>
    <w:rsid w:val="004B511E"/>
    <w:rsid w:val="004B5437"/>
    <w:rsid w:val="004B5550"/>
    <w:rsid w:val="004B6188"/>
    <w:rsid w:val="004B6715"/>
    <w:rsid w:val="004B686D"/>
    <w:rsid w:val="004B7252"/>
    <w:rsid w:val="004C0125"/>
    <w:rsid w:val="004C023D"/>
    <w:rsid w:val="004C02C9"/>
    <w:rsid w:val="004C1F4A"/>
    <w:rsid w:val="004C2D5C"/>
    <w:rsid w:val="004C4720"/>
    <w:rsid w:val="004C60C5"/>
    <w:rsid w:val="004C63A9"/>
    <w:rsid w:val="004C6BC4"/>
    <w:rsid w:val="004C7121"/>
    <w:rsid w:val="004C75F1"/>
    <w:rsid w:val="004C766A"/>
    <w:rsid w:val="004D0723"/>
    <w:rsid w:val="004D1B18"/>
    <w:rsid w:val="004D2280"/>
    <w:rsid w:val="004D2331"/>
    <w:rsid w:val="004D2ACB"/>
    <w:rsid w:val="004D3B87"/>
    <w:rsid w:val="004D3C31"/>
    <w:rsid w:val="004D4FCE"/>
    <w:rsid w:val="004D50D3"/>
    <w:rsid w:val="004D6DD7"/>
    <w:rsid w:val="004D7187"/>
    <w:rsid w:val="004E03AC"/>
    <w:rsid w:val="004E041E"/>
    <w:rsid w:val="004E2597"/>
    <w:rsid w:val="004E27FB"/>
    <w:rsid w:val="004E2A0B"/>
    <w:rsid w:val="004E2BD4"/>
    <w:rsid w:val="004E2E0E"/>
    <w:rsid w:val="004E3B6D"/>
    <w:rsid w:val="004E40A4"/>
    <w:rsid w:val="004E582B"/>
    <w:rsid w:val="004E6DFF"/>
    <w:rsid w:val="004E7290"/>
    <w:rsid w:val="004F003A"/>
    <w:rsid w:val="004F05D2"/>
    <w:rsid w:val="004F0953"/>
    <w:rsid w:val="004F0E8F"/>
    <w:rsid w:val="004F1011"/>
    <w:rsid w:val="004F143B"/>
    <w:rsid w:val="004F2A79"/>
    <w:rsid w:val="004F33C7"/>
    <w:rsid w:val="004F3E04"/>
    <w:rsid w:val="004F4664"/>
    <w:rsid w:val="004F5CE4"/>
    <w:rsid w:val="004F5E69"/>
    <w:rsid w:val="004F694C"/>
    <w:rsid w:val="00500E50"/>
    <w:rsid w:val="005012C5"/>
    <w:rsid w:val="005013B1"/>
    <w:rsid w:val="00502766"/>
    <w:rsid w:val="00502A1D"/>
    <w:rsid w:val="0050367B"/>
    <w:rsid w:val="00506747"/>
    <w:rsid w:val="00507856"/>
    <w:rsid w:val="00507DE1"/>
    <w:rsid w:val="00511D3C"/>
    <w:rsid w:val="00512314"/>
    <w:rsid w:val="005125F9"/>
    <w:rsid w:val="0051278E"/>
    <w:rsid w:val="00513070"/>
    <w:rsid w:val="00513BC0"/>
    <w:rsid w:val="00514DA9"/>
    <w:rsid w:val="00515F5B"/>
    <w:rsid w:val="005166D7"/>
    <w:rsid w:val="00516756"/>
    <w:rsid w:val="00516CFE"/>
    <w:rsid w:val="00517D00"/>
    <w:rsid w:val="0052110A"/>
    <w:rsid w:val="00521431"/>
    <w:rsid w:val="0052176F"/>
    <w:rsid w:val="0052298B"/>
    <w:rsid w:val="00523C49"/>
    <w:rsid w:val="00524907"/>
    <w:rsid w:val="00527276"/>
    <w:rsid w:val="00527790"/>
    <w:rsid w:val="00527F1F"/>
    <w:rsid w:val="005305FE"/>
    <w:rsid w:val="005306CD"/>
    <w:rsid w:val="00530945"/>
    <w:rsid w:val="00530F14"/>
    <w:rsid w:val="0053105C"/>
    <w:rsid w:val="00531AFD"/>
    <w:rsid w:val="00532655"/>
    <w:rsid w:val="00532994"/>
    <w:rsid w:val="00532EAE"/>
    <w:rsid w:val="0053373D"/>
    <w:rsid w:val="00533B62"/>
    <w:rsid w:val="0053414B"/>
    <w:rsid w:val="0053415E"/>
    <w:rsid w:val="00534289"/>
    <w:rsid w:val="00535C14"/>
    <w:rsid w:val="0053732C"/>
    <w:rsid w:val="005373FD"/>
    <w:rsid w:val="00537826"/>
    <w:rsid w:val="00537C0A"/>
    <w:rsid w:val="00537F9E"/>
    <w:rsid w:val="00537FFA"/>
    <w:rsid w:val="005404F6"/>
    <w:rsid w:val="0054111F"/>
    <w:rsid w:val="00541BE5"/>
    <w:rsid w:val="0054254B"/>
    <w:rsid w:val="00544158"/>
    <w:rsid w:val="00545DCE"/>
    <w:rsid w:val="00546A07"/>
    <w:rsid w:val="005509A7"/>
    <w:rsid w:val="005513CF"/>
    <w:rsid w:val="005525D9"/>
    <w:rsid w:val="00552A0D"/>
    <w:rsid w:val="0055365A"/>
    <w:rsid w:val="00553F87"/>
    <w:rsid w:val="00555F85"/>
    <w:rsid w:val="00557C19"/>
    <w:rsid w:val="005649D4"/>
    <w:rsid w:val="00565627"/>
    <w:rsid w:val="005657E4"/>
    <w:rsid w:val="00565D33"/>
    <w:rsid w:val="00570273"/>
    <w:rsid w:val="005709F0"/>
    <w:rsid w:val="005715AB"/>
    <w:rsid w:val="005716FD"/>
    <w:rsid w:val="005717E3"/>
    <w:rsid w:val="005718DE"/>
    <w:rsid w:val="00572841"/>
    <w:rsid w:val="005728F8"/>
    <w:rsid w:val="00572B57"/>
    <w:rsid w:val="00572B5A"/>
    <w:rsid w:val="00572EDA"/>
    <w:rsid w:val="00574077"/>
    <w:rsid w:val="00575883"/>
    <w:rsid w:val="00575C00"/>
    <w:rsid w:val="005764CE"/>
    <w:rsid w:val="0057695A"/>
    <w:rsid w:val="00577FC5"/>
    <w:rsid w:val="00581359"/>
    <w:rsid w:val="005817B1"/>
    <w:rsid w:val="0058281C"/>
    <w:rsid w:val="00582A9A"/>
    <w:rsid w:val="00582CFA"/>
    <w:rsid w:val="00582E2D"/>
    <w:rsid w:val="00585296"/>
    <w:rsid w:val="00586231"/>
    <w:rsid w:val="005864E2"/>
    <w:rsid w:val="0058662E"/>
    <w:rsid w:val="00586980"/>
    <w:rsid w:val="00586A90"/>
    <w:rsid w:val="00586B18"/>
    <w:rsid w:val="00586EB8"/>
    <w:rsid w:val="00587A14"/>
    <w:rsid w:val="00587B55"/>
    <w:rsid w:val="005902FA"/>
    <w:rsid w:val="0059065D"/>
    <w:rsid w:val="00590EE7"/>
    <w:rsid w:val="0059399A"/>
    <w:rsid w:val="00595E33"/>
    <w:rsid w:val="00596EFC"/>
    <w:rsid w:val="00597EB6"/>
    <w:rsid w:val="005A2671"/>
    <w:rsid w:val="005A3259"/>
    <w:rsid w:val="005A381B"/>
    <w:rsid w:val="005A578A"/>
    <w:rsid w:val="005A5D85"/>
    <w:rsid w:val="005A7156"/>
    <w:rsid w:val="005A7203"/>
    <w:rsid w:val="005A7AF2"/>
    <w:rsid w:val="005B0911"/>
    <w:rsid w:val="005B10B5"/>
    <w:rsid w:val="005B232D"/>
    <w:rsid w:val="005B247B"/>
    <w:rsid w:val="005B29AF"/>
    <w:rsid w:val="005B2CF7"/>
    <w:rsid w:val="005B4588"/>
    <w:rsid w:val="005B50FA"/>
    <w:rsid w:val="005B5A7C"/>
    <w:rsid w:val="005B6094"/>
    <w:rsid w:val="005B6DEE"/>
    <w:rsid w:val="005B7BB8"/>
    <w:rsid w:val="005C240C"/>
    <w:rsid w:val="005C4D42"/>
    <w:rsid w:val="005C56B9"/>
    <w:rsid w:val="005C6338"/>
    <w:rsid w:val="005D0504"/>
    <w:rsid w:val="005D1445"/>
    <w:rsid w:val="005D14D6"/>
    <w:rsid w:val="005D3266"/>
    <w:rsid w:val="005D3708"/>
    <w:rsid w:val="005D3B93"/>
    <w:rsid w:val="005D44C4"/>
    <w:rsid w:val="005D4AB0"/>
    <w:rsid w:val="005D5A83"/>
    <w:rsid w:val="005D5DBD"/>
    <w:rsid w:val="005D5E6B"/>
    <w:rsid w:val="005D643E"/>
    <w:rsid w:val="005D68D1"/>
    <w:rsid w:val="005D7325"/>
    <w:rsid w:val="005E0140"/>
    <w:rsid w:val="005E045C"/>
    <w:rsid w:val="005E05BF"/>
    <w:rsid w:val="005E0892"/>
    <w:rsid w:val="005E248C"/>
    <w:rsid w:val="005E25E5"/>
    <w:rsid w:val="005E26E7"/>
    <w:rsid w:val="005E3539"/>
    <w:rsid w:val="005E3A65"/>
    <w:rsid w:val="005E40D9"/>
    <w:rsid w:val="005E55CE"/>
    <w:rsid w:val="005E563D"/>
    <w:rsid w:val="005E77E4"/>
    <w:rsid w:val="005E7974"/>
    <w:rsid w:val="005F1129"/>
    <w:rsid w:val="005F3147"/>
    <w:rsid w:val="005F3C7A"/>
    <w:rsid w:val="005F43AD"/>
    <w:rsid w:val="005F4D18"/>
    <w:rsid w:val="005F4E0A"/>
    <w:rsid w:val="005F549E"/>
    <w:rsid w:val="005F5F3B"/>
    <w:rsid w:val="005F6582"/>
    <w:rsid w:val="005F65A1"/>
    <w:rsid w:val="005F67DD"/>
    <w:rsid w:val="005F6E2F"/>
    <w:rsid w:val="005F7166"/>
    <w:rsid w:val="005F755C"/>
    <w:rsid w:val="0060225C"/>
    <w:rsid w:val="00603808"/>
    <w:rsid w:val="00603CCC"/>
    <w:rsid w:val="00603D48"/>
    <w:rsid w:val="00603F29"/>
    <w:rsid w:val="00604969"/>
    <w:rsid w:val="00604EDC"/>
    <w:rsid w:val="006060E4"/>
    <w:rsid w:val="00606EBC"/>
    <w:rsid w:val="00607265"/>
    <w:rsid w:val="0060732A"/>
    <w:rsid w:val="00607DEA"/>
    <w:rsid w:val="00610B68"/>
    <w:rsid w:val="00610FA6"/>
    <w:rsid w:val="00611374"/>
    <w:rsid w:val="00611D44"/>
    <w:rsid w:val="00613878"/>
    <w:rsid w:val="00613C29"/>
    <w:rsid w:val="0061614C"/>
    <w:rsid w:val="006168A8"/>
    <w:rsid w:val="00616DEA"/>
    <w:rsid w:val="00617140"/>
    <w:rsid w:val="00617C51"/>
    <w:rsid w:val="00617FD1"/>
    <w:rsid w:val="0062066A"/>
    <w:rsid w:val="00620936"/>
    <w:rsid w:val="006210F2"/>
    <w:rsid w:val="00621351"/>
    <w:rsid w:val="006225B4"/>
    <w:rsid w:val="006225E2"/>
    <w:rsid w:val="0062393F"/>
    <w:rsid w:val="00624B9B"/>
    <w:rsid w:val="00625D41"/>
    <w:rsid w:val="006263A5"/>
    <w:rsid w:val="0062650B"/>
    <w:rsid w:val="00626676"/>
    <w:rsid w:val="00626B95"/>
    <w:rsid w:val="00626DAE"/>
    <w:rsid w:val="00626F88"/>
    <w:rsid w:val="00630488"/>
    <w:rsid w:val="00630809"/>
    <w:rsid w:val="006308B1"/>
    <w:rsid w:val="00631212"/>
    <w:rsid w:val="00631902"/>
    <w:rsid w:val="0063296C"/>
    <w:rsid w:val="006333DD"/>
    <w:rsid w:val="0063355B"/>
    <w:rsid w:val="00633630"/>
    <w:rsid w:val="00633D35"/>
    <w:rsid w:val="006346BB"/>
    <w:rsid w:val="006371F1"/>
    <w:rsid w:val="00637455"/>
    <w:rsid w:val="00640DF1"/>
    <w:rsid w:val="006411D8"/>
    <w:rsid w:val="00641373"/>
    <w:rsid w:val="00641933"/>
    <w:rsid w:val="00641AA8"/>
    <w:rsid w:val="0064280F"/>
    <w:rsid w:val="006430DF"/>
    <w:rsid w:val="00643A2C"/>
    <w:rsid w:val="00643EBC"/>
    <w:rsid w:val="006446FF"/>
    <w:rsid w:val="00645058"/>
    <w:rsid w:val="00645DE6"/>
    <w:rsid w:val="00646306"/>
    <w:rsid w:val="00646327"/>
    <w:rsid w:val="00647724"/>
    <w:rsid w:val="00647761"/>
    <w:rsid w:val="00647C7C"/>
    <w:rsid w:val="00651AD4"/>
    <w:rsid w:val="00652AEC"/>
    <w:rsid w:val="006531D6"/>
    <w:rsid w:val="00654062"/>
    <w:rsid w:val="00654416"/>
    <w:rsid w:val="00655B39"/>
    <w:rsid w:val="00655BAC"/>
    <w:rsid w:val="00656344"/>
    <w:rsid w:val="00657FFC"/>
    <w:rsid w:val="006603D4"/>
    <w:rsid w:val="00660F95"/>
    <w:rsid w:val="00661272"/>
    <w:rsid w:val="0066221F"/>
    <w:rsid w:val="00663821"/>
    <w:rsid w:val="006639C6"/>
    <w:rsid w:val="0066427B"/>
    <w:rsid w:val="006646D3"/>
    <w:rsid w:val="006649EB"/>
    <w:rsid w:val="00665F4B"/>
    <w:rsid w:val="00666923"/>
    <w:rsid w:val="00666DB1"/>
    <w:rsid w:val="00667CA7"/>
    <w:rsid w:val="00670CF2"/>
    <w:rsid w:val="006733C4"/>
    <w:rsid w:val="00674E13"/>
    <w:rsid w:val="00675847"/>
    <w:rsid w:val="00675C75"/>
    <w:rsid w:val="00675D2B"/>
    <w:rsid w:val="00676576"/>
    <w:rsid w:val="006765D0"/>
    <w:rsid w:val="00676C31"/>
    <w:rsid w:val="00676F02"/>
    <w:rsid w:val="006773B3"/>
    <w:rsid w:val="00677503"/>
    <w:rsid w:val="0068030E"/>
    <w:rsid w:val="006806B3"/>
    <w:rsid w:val="00680E67"/>
    <w:rsid w:val="006811E1"/>
    <w:rsid w:val="0068154D"/>
    <w:rsid w:val="0068332B"/>
    <w:rsid w:val="00684B5B"/>
    <w:rsid w:val="00684D1B"/>
    <w:rsid w:val="00684D26"/>
    <w:rsid w:val="00684DD3"/>
    <w:rsid w:val="00685135"/>
    <w:rsid w:val="006858DB"/>
    <w:rsid w:val="006874C9"/>
    <w:rsid w:val="00687995"/>
    <w:rsid w:val="00687FA0"/>
    <w:rsid w:val="00690261"/>
    <w:rsid w:val="006903A7"/>
    <w:rsid w:val="006904EC"/>
    <w:rsid w:val="00690632"/>
    <w:rsid w:val="00691392"/>
    <w:rsid w:val="0069163C"/>
    <w:rsid w:val="00693217"/>
    <w:rsid w:val="006957CB"/>
    <w:rsid w:val="00695860"/>
    <w:rsid w:val="006A1611"/>
    <w:rsid w:val="006A1A68"/>
    <w:rsid w:val="006A44FF"/>
    <w:rsid w:val="006A47CC"/>
    <w:rsid w:val="006A6591"/>
    <w:rsid w:val="006A6852"/>
    <w:rsid w:val="006A6A7A"/>
    <w:rsid w:val="006B03C8"/>
    <w:rsid w:val="006B08AE"/>
    <w:rsid w:val="006B0B0A"/>
    <w:rsid w:val="006B27A4"/>
    <w:rsid w:val="006B2825"/>
    <w:rsid w:val="006B2BBC"/>
    <w:rsid w:val="006B2DB7"/>
    <w:rsid w:val="006B40AA"/>
    <w:rsid w:val="006B4AE0"/>
    <w:rsid w:val="006B512D"/>
    <w:rsid w:val="006B5158"/>
    <w:rsid w:val="006B6CFA"/>
    <w:rsid w:val="006B6FD5"/>
    <w:rsid w:val="006B7A3A"/>
    <w:rsid w:val="006B7FC9"/>
    <w:rsid w:val="006C0BFE"/>
    <w:rsid w:val="006C117D"/>
    <w:rsid w:val="006C1781"/>
    <w:rsid w:val="006C39D0"/>
    <w:rsid w:val="006C46BA"/>
    <w:rsid w:val="006C4BB1"/>
    <w:rsid w:val="006C4C07"/>
    <w:rsid w:val="006C5248"/>
    <w:rsid w:val="006C55C1"/>
    <w:rsid w:val="006C591A"/>
    <w:rsid w:val="006C5EFA"/>
    <w:rsid w:val="006C625A"/>
    <w:rsid w:val="006C68EA"/>
    <w:rsid w:val="006C6BAC"/>
    <w:rsid w:val="006C6C03"/>
    <w:rsid w:val="006D0247"/>
    <w:rsid w:val="006D1712"/>
    <w:rsid w:val="006D2B9A"/>
    <w:rsid w:val="006D669A"/>
    <w:rsid w:val="006D73E4"/>
    <w:rsid w:val="006D7690"/>
    <w:rsid w:val="006E32AF"/>
    <w:rsid w:val="006E3B76"/>
    <w:rsid w:val="006E6187"/>
    <w:rsid w:val="006E68E1"/>
    <w:rsid w:val="006F0ED2"/>
    <w:rsid w:val="006F1438"/>
    <w:rsid w:val="006F1548"/>
    <w:rsid w:val="006F1BD6"/>
    <w:rsid w:val="006F23CA"/>
    <w:rsid w:val="006F261D"/>
    <w:rsid w:val="006F311F"/>
    <w:rsid w:val="006F41C7"/>
    <w:rsid w:val="006F4868"/>
    <w:rsid w:val="006F4A22"/>
    <w:rsid w:val="006F5C33"/>
    <w:rsid w:val="006F64F6"/>
    <w:rsid w:val="006F6C23"/>
    <w:rsid w:val="006F735A"/>
    <w:rsid w:val="006F750B"/>
    <w:rsid w:val="0070124A"/>
    <w:rsid w:val="007012BC"/>
    <w:rsid w:val="0070366A"/>
    <w:rsid w:val="00703C61"/>
    <w:rsid w:val="00705C7D"/>
    <w:rsid w:val="00706FE3"/>
    <w:rsid w:val="00707C2E"/>
    <w:rsid w:val="00710572"/>
    <w:rsid w:val="007105D9"/>
    <w:rsid w:val="00710955"/>
    <w:rsid w:val="00711380"/>
    <w:rsid w:val="00711383"/>
    <w:rsid w:val="007114AE"/>
    <w:rsid w:val="00711813"/>
    <w:rsid w:val="00712392"/>
    <w:rsid w:val="00712696"/>
    <w:rsid w:val="0071304D"/>
    <w:rsid w:val="0071369D"/>
    <w:rsid w:val="00714EC3"/>
    <w:rsid w:val="007168D8"/>
    <w:rsid w:val="007169D2"/>
    <w:rsid w:val="0071737E"/>
    <w:rsid w:val="00720EB3"/>
    <w:rsid w:val="00721CAB"/>
    <w:rsid w:val="00721D16"/>
    <w:rsid w:val="00723460"/>
    <w:rsid w:val="007236F3"/>
    <w:rsid w:val="00723D56"/>
    <w:rsid w:val="007265F2"/>
    <w:rsid w:val="0072676B"/>
    <w:rsid w:val="00727B92"/>
    <w:rsid w:val="00727F04"/>
    <w:rsid w:val="0073239C"/>
    <w:rsid w:val="00732EA0"/>
    <w:rsid w:val="00734617"/>
    <w:rsid w:val="00734C5D"/>
    <w:rsid w:val="00735343"/>
    <w:rsid w:val="00735BE6"/>
    <w:rsid w:val="00735EF5"/>
    <w:rsid w:val="007365F8"/>
    <w:rsid w:val="00736FD2"/>
    <w:rsid w:val="007375B3"/>
    <w:rsid w:val="00737FB4"/>
    <w:rsid w:val="00737FC7"/>
    <w:rsid w:val="00740907"/>
    <w:rsid w:val="00742DE3"/>
    <w:rsid w:val="00743694"/>
    <w:rsid w:val="00743AE0"/>
    <w:rsid w:val="00743BD4"/>
    <w:rsid w:val="0074496D"/>
    <w:rsid w:val="00744DB9"/>
    <w:rsid w:val="00745101"/>
    <w:rsid w:val="00747683"/>
    <w:rsid w:val="00747FEC"/>
    <w:rsid w:val="00751C00"/>
    <w:rsid w:val="00751EFB"/>
    <w:rsid w:val="00752C17"/>
    <w:rsid w:val="00754AAE"/>
    <w:rsid w:val="00754F14"/>
    <w:rsid w:val="00755230"/>
    <w:rsid w:val="00755F0B"/>
    <w:rsid w:val="00756D75"/>
    <w:rsid w:val="00757BEC"/>
    <w:rsid w:val="007640B0"/>
    <w:rsid w:val="00764932"/>
    <w:rsid w:val="00764B43"/>
    <w:rsid w:val="00764B71"/>
    <w:rsid w:val="007652E9"/>
    <w:rsid w:val="00765C5B"/>
    <w:rsid w:val="00765F17"/>
    <w:rsid w:val="007665F0"/>
    <w:rsid w:val="00766845"/>
    <w:rsid w:val="00770A24"/>
    <w:rsid w:val="00770F88"/>
    <w:rsid w:val="0077143E"/>
    <w:rsid w:val="007716E4"/>
    <w:rsid w:val="00771B99"/>
    <w:rsid w:val="007729D4"/>
    <w:rsid w:val="00772E9D"/>
    <w:rsid w:val="00772EA6"/>
    <w:rsid w:val="00773C41"/>
    <w:rsid w:val="00773C59"/>
    <w:rsid w:val="007744BF"/>
    <w:rsid w:val="00774977"/>
    <w:rsid w:val="007766EA"/>
    <w:rsid w:val="0077681E"/>
    <w:rsid w:val="00777668"/>
    <w:rsid w:val="0078007E"/>
    <w:rsid w:val="00780559"/>
    <w:rsid w:val="00781A99"/>
    <w:rsid w:val="00782FAC"/>
    <w:rsid w:val="00783AC5"/>
    <w:rsid w:val="007844D1"/>
    <w:rsid w:val="00785746"/>
    <w:rsid w:val="007863C3"/>
    <w:rsid w:val="00790243"/>
    <w:rsid w:val="00791894"/>
    <w:rsid w:val="00791D15"/>
    <w:rsid w:val="00791F91"/>
    <w:rsid w:val="00792350"/>
    <w:rsid w:val="00792F06"/>
    <w:rsid w:val="00794645"/>
    <w:rsid w:val="00794E94"/>
    <w:rsid w:val="0079553C"/>
    <w:rsid w:val="00795AD1"/>
    <w:rsid w:val="00796041"/>
    <w:rsid w:val="00797BD9"/>
    <w:rsid w:val="00797E43"/>
    <w:rsid w:val="007A04E3"/>
    <w:rsid w:val="007A0B3A"/>
    <w:rsid w:val="007A0FBD"/>
    <w:rsid w:val="007A11FE"/>
    <w:rsid w:val="007A1748"/>
    <w:rsid w:val="007A1A98"/>
    <w:rsid w:val="007A2101"/>
    <w:rsid w:val="007A2AC5"/>
    <w:rsid w:val="007A31B7"/>
    <w:rsid w:val="007A497E"/>
    <w:rsid w:val="007A5773"/>
    <w:rsid w:val="007A645F"/>
    <w:rsid w:val="007A65B4"/>
    <w:rsid w:val="007A7407"/>
    <w:rsid w:val="007A74CE"/>
    <w:rsid w:val="007A7C6A"/>
    <w:rsid w:val="007B043C"/>
    <w:rsid w:val="007B0D1A"/>
    <w:rsid w:val="007B1EAB"/>
    <w:rsid w:val="007B2026"/>
    <w:rsid w:val="007B2359"/>
    <w:rsid w:val="007B2711"/>
    <w:rsid w:val="007B355B"/>
    <w:rsid w:val="007B3705"/>
    <w:rsid w:val="007B3E99"/>
    <w:rsid w:val="007B460F"/>
    <w:rsid w:val="007B48AB"/>
    <w:rsid w:val="007B4B4D"/>
    <w:rsid w:val="007B5040"/>
    <w:rsid w:val="007B6EDB"/>
    <w:rsid w:val="007B7878"/>
    <w:rsid w:val="007C190F"/>
    <w:rsid w:val="007C1E98"/>
    <w:rsid w:val="007C2666"/>
    <w:rsid w:val="007C2D1F"/>
    <w:rsid w:val="007C2E5D"/>
    <w:rsid w:val="007C3F93"/>
    <w:rsid w:val="007C4520"/>
    <w:rsid w:val="007C4676"/>
    <w:rsid w:val="007C4CF8"/>
    <w:rsid w:val="007C549F"/>
    <w:rsid w:val="007C6D03"/>
    <w:rsid w:val="007C7685"/>
    <w:rsid w:val="007C7700"/>
    <w:rsid w:val="007C79CA"/>
    <w:rsid w:val="007C7AE2"/>
    <w:rsid w:val="007C7BF0"/>
    <w:rsid w:val="007D05F2"/>
    <w:rsid w:val="007D0DB4"/>
    <w:rsid w:val="007D3E15"/>
    <w:rsid w:val="007D616A"/>
    <w:rsid w:val="007D7330"/>
    <w:rsid w:val="007E0239"/>
    <w:rsid w:val="007E1084"/>
    <w:rsid w:val="007E1856"/>
    <w:rsid w:val="007E23BF"/>
    <w:rsid w:val="007E3E8E"/>
    <w:rsid w:val="007E6253"/>
    <w:rsid w:val="007E63DD"/>
    <w:rsid w:val="007F052F"/>
    <w:rsid w:val="007F0712"/>
    <w:rsid w:val="007F0AF4"/>
    <w:rsid w:val="007F105C"/>
    <w:rsid w:val="007F144C"/>
    <w:rsid w:val="007F198E"/>
    <w:rsid w:val="007F2D33"/>
    <w:rsid w:val="007F3482"/>
    <w:rsid w:val="007F40D5"/>
    <w:rsid w:val="007F4141"/>
    <w:rsid w:val="007F48EA"/>
    <w:rsid w:val="007F5423"/>
    <w:rsid w:val="007F6D2A"/>
    <w:rsid w:val="007F6F13"/>
    <w:rsid w:val="008003F4"/>
    <w:rsid w:val="00800468"/>
    <w:rsid w:val="008011F3"/>
    <w:rsid w:val="0080162B"/>
    <w:rsid w:val="00802887"/>
    <w:rsid w:val="0080496B"/>
    <w:rsid w:val="00804C32"/>
    <w:rsid w:val="00804CB1"/>
    <w:rsid w:val="008050A7"/>
    <w:rsid w:val="00805B80"/>
    <w:rsid w:val="008063A9"/>
    <w:rsid w:val="00806767"/>
    <w:rsid w:val="00807340"/>
    <w:rsid w:val="00811BBE"/>
    <w:rsid w:val="008134A3"/>
    <w:rsid w:val="008138D3"/>
    <w:rsid w:val="00815FB4"/>
    <w:rsid w:val="00817016"/>
    <w:rsid w:val="00817C1D"/>
    <w:rsid w:val="00820971"/>
    <w:rsid w:val="00821328"/>
    <w:rsid w:val="00821C70"/>
    <w:rsid w:val="00821FC0"/>
    <w:rsid w:val="0082311F"/>
    <w:rsid w:val="008266AB"/>
    <w:rsid w:val="008268A5"/>
    <w:rsid w:val="00826A43"/>
    <w:rsid w:val="00826F7E"/>
    <w:rsid w:val="00827BD6"/>
    <w:rsid w:val="00830032"/>
    <w:rsid w:val="008302B9"/>
    <w:rsid w:val="0083031E"/>
    <w:rsid w:val="008308A6"/>
    <w:rsid w:val="00831431"/>
    <w:rsid w:val="008322AD"/>
    <w:rsid w:val="00832637"/>
    <w:rsid w:val="0083411C"/>
    <w:rsid w:val="00834AA9"/>
    <w:rsid w:val="008372D6"/>
    <w:rsid w:val="008373A3"/>
    <w:rsid w:val="0083766B"/>
    <w:rsid w:val="00837780"/>
    <w:rsid w:val="0083791F"/>
    <w:rsid w:val="00837EAA"/>
    <w:rsid w:val="00841292"/>
    <w:rsid w:val="00842B0B"/>
    <w:rsid w:val="00842EAA"/>
    <w:rsid w:val="00843A5B"/>
    <w:rsid w:val="00844314"/>
    <w:rsid w:val="00845975"/>
    <w:rsid w:val="0084700A"/>
    <w:rsid w:val="008475D9"/>
    <w:rsid w:val="00850EA8"/>
    <w:rsid w:val="00851707"/>
    <w:rsid w:val="008524B2"/>
    <w:rsid w:val="00853879"/>
    <w:rsid w:val="00854D09"/>
    <w:rsid w:val="008556F4"/>
    <w:rsid w:val="0085608B"/>
    <w:rsid w:val="008568B3"/>
    <w:rsid w:val="00860006"/>
    <w:rsid w:val="008614A1"/>
    <w:rsid w:val="00862096"/>
    <w:rsid w:val="0086251E"/>
    <w:rsid w:val="00862855"/>
    <w:rsid w:val="00862FAA"/>
    <w:rsid w:val="00864641"/>
    <w:rsid w:val="008650F3"/>
    <w:rsid w:val="00865394"/>
    <w:rsid w:val="00866AEA"/>
    <w:rsid w:val="00867B04"/>
    <w:rsid w:val="00867C99"/>
    <w:rsid w:val="00871132"/>
    <w:rsid w:val="00872E4A"/>
    <w:rsid w:val="00873691"/>
    <w:rsid w:val="00874811"/>
    <w:rsid w:val="00875745"/>
    <w:rsid w:val="00875B0D"/>
    <w:rsid w:val="008769CF"/>
    <w:rsid w:val="00876F3B"/>
    <w:rsid w:val="0087725B"/>
    <w:rsid w:val="008774E7"/>
    <w:rsid w:val="00880687"/>
    <w:rsid w:val="008819A9"/>
    <w:rsid w:val="008824DD"/>
    <w:rsid w:val="0088295C"/>
    <w:rsid w:val="00882A42"/>
    <w:rsid w:val="00883969"/>
    <w:rsid w:val="00883B29"/>
    <w:rsid w:val="00884073"/>
    <w:rsid w:val="008843D5"/>
    <w:rsid w:val="008843F2"/>
    <w:rsid w:val="008848B0"/>
    <w:rsid w:val="00884AE0"/>
    <w:rsid w:val="00884BC3"/>
    <w:rsid w:val="0088527C"/>
    <w:rsid w:val="00885FED"/>
    <w:rsid w:val="00886280"/>
    <w:rsid w:val="00886680"/>
    <w:rsid w:val="008877E2"/>
    <w:rsid w:val="00891E55"/>
    <w:rsid w:val="00892C87"/>
    <w:rsid w:val="0089420E"/>
    <w:rsid w:val="008943E3"/>
    <w:rsid w:val="00894702"/>
    <w:rsid w:val="00894737"/>
    <w:rsid w:val="008948D4"/>
    <w:rsid w:val="008961C6"/>
    <w:rsid w:val="008964D8"/>
    <w:rsid w:val="00897611"/>
    <w:rsid w:val="008A05C4"/>
    <w:rsid w:val="008A096D"/>
    <w:rsid w:val="008A09B9"/>
    <w:rsid w:val="008A110A"/>
    <w:rsid w:val="008A1930"/>
    <w:rsid w:val="008A1A16"/>
    <w:rsid w:val="008A229E"/>
    <w:rsid w:val="008A2F49"/>
    <w:rsid w:val="008A43C7"/>
    <w:rsid w:val="008A5548"/>
    <w:rsid w:val="008A6189"/>
    <w:rsid w:val="008A6C2E"/>
    <w:rsid w:val="008B032B"/>
    <w:rsid w:val="008B1366"/>
    <w:rsid w:val="008B2561"/>
    <w:rsid w:val="008B2E93"/>
    <w:rsid w:val="008B509E"/>
    <w:rsid w:val="008B582B"/>
    <w:rsid w:val="008B6557"/>
    <w:rsid w:val="008B680C"/>
    <w:rsid w:val="008C01EE"/>
    <w:rsid w:val="008C06C2"/>
    <w:rsid w:val="008C0BC2"/>
    <w:rsid w:val="008C1F1F"/>
    <w:rsid w:val="008C273C"/>
    <w:rsid w:val="008C3392"/>
    <w:rsid w:val="008C3E55"/>
    <w:rsid w:val="008C4249"/>
    <w:rsid w:val="008C72C7"/>
    <w:rsid w:val="008C7371"/>
    <w:rsid w:val="008C7E73"/>
    <w:rsid w:val="008D052C"/>
    <w:rsid w:val="008D0D25"/>
    <w:rsid w:val="008D27F5"/>
    <w:rsid w:val="008D29E9"/>
    <w:rsid w:val="008D55C0"/>
    <w:rsid w:val="008D5C7B"/>
    <w:rsid w:val="008D6A0D"/>
    <w:rsid w:val="008D6FBE"/>
    <w:rsid w:val="008E21CA"/>
    <w:rsid w:val="008E249D"/>
    <w:rsid w:val="008E27C6"/>
    <w:rsid w:val="008E36C5"/>
    <w:rsid w:val="008E3FE1"/>
    <w:rsid w:val="008E422B"/>
    <w:rsid w:val="008E4DD7"/>
    <w:rsid w:val="008E674F"/>
    <w:rsid w:val="008E697B"/>
    <w:rsid w:val="008E7597"/>
    <w:rsid w:val="008E7723"/>
    <w:rsid w:val="008E77CB"/>
    <w:rsid w:val="008E7C47"/>
    <w:rsid w:val="008F0BD7"/>
    <w:rsid w:val="008F1CC0"/>
    <w:rsid w:val="008F4CC9"/>
    <w:rsid w:val="008F59CD"/>
    <w:rsid w:val="008F5AE2"/>
    <w:rsid w:val="008F6191"/>
    <w:rsid w:val="008F72BB"/>
    <w:rsid w:val="008F7C6C"/>
    <w:rsid w:val="008F7EFB"/>
    <w:rsid w:val="008F7F62"/>
    <w:rsid w:val="00900099"/>
    <w:rsid w:val="009001CC"/>
    <w:rsid w:val="00902D37"/>
    <w:rsid w:val="00903951"/>
    <w:rsid w:val="009058F5"/>
    <w:rsid w:val="00905C65"/>
    <w:rsid w:val="00906211"/>
    <w:rsid w:val="00906AAF"/>
    <w:rsid w:val="009111EA"/>
    <w:rsid w:val="009116DB"/>
    <w:rsid w:val="009119F2"/>
    <w:rsid w:val="00911CAB"/>
    <w:rsid w:val="00911F50"/>
    <w:rsid w:val="00912ED0"/>
    <w:rsid w:val="00913107"/>
    <w:rsid w:val="00913133"/>
    <w:rsid w:val="00913B07"/>
    <w:rsid w:val="00914C6E"/>
    <w:rsid w:val="009152A2"/>
    <w:rsid w:val="00915ECC"/>
    <w:rsid w:val="009170E4"/>
    <w:rsid w:val="00917C9B"/>
    <w:rsid w:val="00921272"/>
    <w:rsid w:val="009214D5"/>
    <w:rsid w:val="009224D2"/>
    <w:rsid w:val="009227F5"/>
    <w:rsid w:val="009238F6"/>
    <w:rsid w:val="00924201"/>
    <w:rsid w:val="00924488"/>
    <w:rsid w:val="00924732"/>
    <w:rsid w:val="0092520B"/>
    <w:rsid w:val="009257B7"/>
    <w:rsid w:val="0092635E"/>
    <w:rsid w:val="00926651"/>
    <w:rsid w:val="0092687B"/>
    <w:rsid w:val="00927159"/>
    <w:rsid w:val="009276F5"/>
    <w:rsid w:val="00927A78"/>
    <w:rsid w:val="0093114F"/>
    <w:rsid w:val="009325F5"/>
    <w:rsid w:val="00932717"/>
    <w:rsid w:val="00932924"/>
    <w:rsid w:val="00932F42"/>
    <w:rsid w:val="00932FB0"/>
    <w:rsid w:val="00933CAA"/>
    <w:rsid w:val="0093440B"/>
    <w:rsid w:val="009347FB"/>
    <w:rsid w:val="009359FE"/>
    <w:rsid w:val="00937918"/>
    <w:rsid w:val="00937A35"/>
    <w:rsid w:val="00937FAA"/>
    <w:rsid w:val="0094148B"/>
    <w:rsid w:val="009418E2"/>
    <w:rsid w:val="00941F0C"/>
    <w:rsid w:val="0094284A"/>
    <w:rsid w:val="009429C1"/>
    <w:rsid w:val="00943119"/>
    <w:rsid w:val="009433AA"/>
    <w:rsid w:val="00943557"/>
    <w:rsid w:val="00945055"/>
    <w:rsid w:val="009450E1"/>
    <w:rsid w:val="00945AED"/>
    <w:rsid w:val="00945D26"/>
    <w:rsid w:val="00946328"/>
    <w:rsid w:val="00947E1E"/>
    <w:rsid w:val="009518DD"/>
    <w:rsid w:val="00951FE5"/>
    <w:rsid w:val="00953A5D"/>
    <w:rsid w:val="00953D34"/>
    <w:rsid w:val="009559E2"/>
    <w:rsid w:val="0095637E"/>
    <w:rsid w:val="009564B6"/>
    <w:rsid w:val="00956C10"/>
    <w:rsid w:val="00956CB8"/>
    <w:rsid w:val="009570B8"/>
    <w:rsid w:val="00957106"/>
    <w:rsid w:val="00960B9F"/>
    <w:rsid w:val="00961040"/>
    <w:rsid w:val="0096131C"/>
    <w:rsid w:val="00961748"/>
    <w:rsid w:val="00961781"/>
    <w:rsid w:val="00962103"/>
    <w:rsid w:val="00962E12"/>
    <w:rsid w:val="00963A07"/>
    <w:rsid w:val="00964F43"/>
    <w:rsid w:val="00966849"/>
    <w:rsid w:val="00966BF0"/>
    <w:rsid w:val="009671A2"/>
    <w:rsid w:val="009674AB"/>
    <w:rsid w:val="009674B9"/>
    <w:rsid w:val="00970636"/>
    <w:rsid w:val="00971982"/>
    <w:rsid w:val="00975634"/>
    <w:rsid w:val="009765D4"/>
    <w:rsid w:val="00977071"/>
    <w:rsid w:val="00977365"/>
    <w:rsid w:val="00977F30"/>
    <w:rsid w:val="00980DA8"/>
    <w:rsid w:val="009814B7"/>
    <w:rsid w:val="009832B5"/>
    <w:rsid w:val="009836C4"/>
    <w:rsid w:val="009843F2"/>
    <w:rsid w:val="0098498B"/>
    <w:rsid w:val="00986094"/>
    <w:rsid w:val="0098622E"/>
    <w:rsid w:val="00986BDF"/>
    <w:rsid w:val="00991C1A"/>
    <w:rsid w:val="00991C35"/>
    <w:rsid w:val="00992D55"/>
    <w:rsid w:val="00993664"/>
    <w:rsid w:val="0099415F"/>
    <w:rsid w:val="00994B80"/>
    <w:rsid w:val="00995732"/>
    <w:rsid w:val="00995DB2"/>
    <w:rsid w:val="009962C8"/>
    <w:rsid w:val="00996CBD"/>
    <w:rsid w:val="00997A9E"/>
    <w:rsid w:val="009A29A6"/>
    <w:rsid w:val="009A2A30"/>
    <w:rsid w:val="009A2FF5"/>
    <w:rsid w:val="009A3357"/>
    <w:rsid w:val="009A3A05"/>
    <w:rsid w:val="009A3CCD"/>
    <w:rsid w:val="009A4AF9"/>
    <w:rsid w:val="009A5172"/>
    <w:rsid w:val="009A6340"/>
    <w:rsid w:val="009A634B"/>
    <w:rsid w:val="009A6B63"/>
    <w:rsid w:val="009A6F47"/>
    <w:rsid w:val="009A7019"/>
    <w:rsid w:val="009A7449"/>
    <w:rsid w:val="009B0795"/>
    <w:rsid w:val="009B09E2"/>
    <w:rsid w:val="009B0B2C"/>
    <w:rsid w:val="009B16FA"/>
    <w:rsid w:val="009B1F5B"/>
    <w:rsid w:val="009B2139"/>
    <w:rsid w:val="009B265C"/>
    <w:rsid w:val="009B32A4"/>
    <w:rsid w:val="009B443C"/>
    <w:rsid w:val="009B571D"/>
    <w:rsid w:val="009B6656"/>
    <w:rsid w:val="009C0391"/>
    <w:rsid w:val="009C1638"/>
    <w:rsid w:val="009C1CE5"/>
    <w:rsid w:val="009C2567"/>
    <w:rsid w:val="009C4235"/>
    <w:rsid w:val="009C5D7C"/>
    <w:rsid w:val="009C5E7F"/>
    <w:rsid w:val="009C69E3"/>
    <w:rsid w:val="009D1379"/>
    <w:rsid w:val="009D20AD"/>
    <w:rsid w:val="009D2465"/>
    <w:rsid w:val="009D29FB"/>
    <w:rsid w:val="009D35E4"/>
    <w:rsid w:val="009D3FF2"/>
    <w:rsid w:val="009D4004"/>
    <w:rsid w:val="009D45CF"/>
    <w:rsid w:val="009D4881"/>
    <w:rsid w:val="009D5045"/>
    <w:rsid w:val="009D6B3B"/>
    <w:rsid w:val="009E0850"/>
    <w:rsid w:val="009E0A02"/>
    <w:rsid w:val="009E0B45"/>
    <w:rsid w:val="009E1BFF"/>
    <w:rsid w:val="009E28B4"/>
    <w:rsid w:val="009E2D01"/>
    <w:rsid w:val="009E364E"/>
    <w:rsid w:val="009E4338"/>
    <w:rsid w:val="009E4E09"/>
    <w:rsid w:val="009E4FA2"/>
    <w:rsid w:val="009E52E9"/>
    <w:rsid w:val="009E7DCF"/>
    <w:rsid w:val="009F1D5F"/>
    <w:rsid w:val="009F3E96"/>
    <w:rsid w:val="009F4373"/>
    <w:rsid w:val="009F53CC"/>
    <w:rsid w:val="009F6E84"/>
    <w:rsid w:val="009F77E5"/>
    <w:rsid w:val="009F7BD9"/>
    <w:rsid w:val="00A008D5"/>
    <w:rsid w:val="00A00F23"/>
    <w:rsid w:val="00A01E8F"/>
    <w:rsid w:val="00A02812"/>
    <w:rsid w:val="00A02BE6"/>
    <w:rsid w:val="00A03567"/>
    <w:rsid w:val="00A0486D"/>
    <w:rsid w:val="00A05C72"/>
    <w:rsid w:val="00A06B22"/>
    <w:rsid w:val="00A10D1C"/>
    <w:rsid w:val="00A11FDD"/>
    <w:rsid w:val="00A12A13"/>
    <w:rsid w:val="00A1336A"/>
    <w:rsid w:val="00A1372A"/>
    <w:rsid w:val="00A13E63"/>
    <w:rsid w:val="00A14735"/>
    <w:rsid w:val="00A14B82"/>
    <w:rsid w:val="00A15023"/>
    <w:rsid w:val="00A17735"/>
    <w:rsid w:val="00A179C1"/>
    <w:rsid w:val="00A17F06"/>
    <w:rsid w:val="00A20081"/>
    <w:rsid w:val="00A22E26"/>
    <w:rsid w:val="00A234F2"/>
    <w:rsid w:val="00A24AA6"/>
    <w:rsid w:val="00A24E41"/>
    <w:rsid w:val="00A25D8C"/>
    <w:rsid w:val="00A25F1D"/>
    <w:rsid w:val="00A268DB"/>
    <w:rsid w:val="00A26E4F"/>
    <w:rsid w:val="00A27775"/>
    <w:rsid w:val="00A308EF"/>
    <w:rsid w:val="00A3191B"/>
    <w:rsid w:val="00A3378E"/>
    <w:rsid w:val="00A33D7B"/>
    <w:rsid w:val="00A33FA5"/>
    <w:rsid w:val="00A344B4"/>
    <w:rsid w:val="00A35949"/>
    <w:rsid w:val="00A36BAA"/>
    <w:rsid w:val="00A3779B"/>
    <w:rsid w:val="00A37C36"/>
    <w:rsid w:val="00A37DC1"/>
    <w:rsid w:val="00A41879"/>
    <w:rsid w:val="00A42610"/>
    <w:rsid w:val="00A42950"/>
    <w:rsid w:val="00A43315"/>
    <w:rsid w:val="00A43FE0"/>
    <w:rsid w:val="00A446A6"/>
    <w:rsid w:val="00A46275"/>
    <w:rsid w:val="00A4724A"/>
    <w:rsid w:val="00A503DF"/>
    <w:rsid w:val="00A50859"/>
    <w:rsid w:val="00A509FE"/>
    <w:rsid w:val="00A50CD5"/>
    <w:rsid w:val="00A5491A"/>
    <w:rsid w:val="00A55B57"/>
    <w:rsid w:val="00A5610B"/>
    <w:rsid w:val="00A5709C"/>
    <w:rsid w:val="00A60371"/>
    <w:rsid w:val="00A6090E"/>
    <w:rsid w:val="00A60D75"/>
    <w:rsid w:val="00A66C00"/>
    <w:rsid w:val="00A66F58"/>
    <w:rsid w:val="00A7006E"/>
    <w:rsid w:val="00A7112C"/>
    <w:rsid w:val="00A71D24"/>
    <w:rsid w:val="00A7282E"/>
    <w:rsid w:val="00A73110"/>
    <w:rsid w:val="00A733F9"/>
    <w:rsid w:val="00A73950"/>
    <w:rsid w:val="00A743E5"/>
    <w:rsid w:val="00A7551C"/>
    <w:rsid w:val="00A764D2"/>
    <w:rsid w:val="00A7671B"/>
    <w:rsid w:val="00A77290"/>
    <w:rsid w:val="00A77D83"/>
    <w:rsid w:val="00A81954"/>
    <w:rsid w:val="00A82F3F"/>
    <w:rsid w:val="00A84734"/>
    <w:rsid w:val="00A84C4D"/>
    <w:rsid w:val="00A85F91"/>
    <w:rsid w:val="00A870EC"/>
    <w:rsid w:val="00A903BE"/>
    <w:rsid w:val="00A91612"/>
    <w:rsid w:val="00A91CB2"/>
    <w:rsid w:val="00A91D77"/>
    <w:rsid w:val="00A91E20"/>
    <w:rsid w:val="00A92277"/>
    <w:rsid w:val="00A9286A"/>
    <w:rsid w:val="00A93FCD"/>
    <w:rsid w:val="00A9501D"/>
    <w:rsid w:val="00A95C54"/>
    <w:rsid w:val="00A96AB1"/>
    <w:rsid w:val="00A975A8"/>
    <w:rsid w:val="00AA0970"/>
    <w:rsid w:val="00AA0FAC"/>
    <w:rsid w:val="00AA1241"/>
    <w:rsid w:val="00AA14C1"/>
    <w:rsid w:val="00AA22FB"/>
    <w:rsid w:val="00AA24AB"/>
    <w:rsid w:val="00AA31FE"/>
    <w:rsid w:val="00AA396B"/>
    <w:rsid w:val="00AA414C"/>
    <w:rsid w:val="00AA4BA8"/>
    <w:rsid w:val="00AA4E06"/>
    <w:rsid w:val="00AA4E07"/>
    <w:rsid w:val="00AA55E5"/>
    <w:rsid w:val="00AA5B7E"/>
    <w:rsid w:val="00AA6919"/>
    <w:rsid w:val="00AA77B7"/>
    <w:rsid w:val="00AA7A79"/>
    <w:rsid w:val="00AA7D02"/>
    <w:rsid w:val="00AB16D5"/>
    <w:rsid w:val="00AB31F2"/>
    <w:rsid w:val="00AB4397"/>
    <w:rsid w:val="00AB478F"/>
    <w:rsid w:val="00AB49DA"/>
    <w:rsid w:val="00AB4C76"/>
    <w:rsid w:val="00AB4D82"/>
    <w:rsid w:val="00AB65E8"/>
    <w:rsid w:val="00AB6785"/>
    <w:rsid w:val="00AB688F"/>
    <w:rsid w:val="00AB7028"/>
    <w:rsid w:val="00AB75E4"/>
    <w:rsid w:val="00AC03BC"/>
    <w:rsid w:val="00AC0601"/>
    <w:rsid w:val="00AC1F5C"/>
    <w:rsid w:val="00AC2CB8"/>
    <w:rsid w:val="00AC3D15"/>
    <w:rsid w:val="00AC42CF"/>
    <w:rsid w:val="00AC55E8"/>
    <w:rsid w:val="00AC5DC7"/>
    <w:rsid w:val="00AC5EF0"/>
    <w:rsid w:val="00AC5F8A"/>
    <w:rsid w:val="00AC62B9"/>
    <w:rsid w:val="00AC7C61"/>
    <w:rsid w:val="00AD1586"/>
    <w:rsid w:val="00AD17E6"/>
    <w:rsid w:val="00AD1ACF"/>
    <w:rsid w:val="00AD36DF"/>
    <w:rsid w:val="00AD47B7"/>
    <w:rsid w:val="00AD47BC"/>
    <w:rsid w:val="00AD5274"/>
    <w:rsid w:val="00AD5607"/>
    <w:rsid w:val="00AD5EED"/>
    <w:rsid w:val="00AD6DAC"/>
    <w:rsid w:val="00AD6F27"/>
    <w:rsid w:val="00AD75D7"/>
    <w:rsid w:val="00AD7831"/>
    <w:rsid w:val="00AE0797"/>
    <w:rsid w:val="00AE1172"/>
    <w:rsid w:val="00AE14E7"/>
    <w:rsid w:val="00AE1B30"/>
    <w:rsid w:val="00AE37F5"/>
    <w:rsid w:val="00AE46D8"/>
    <w:rsid w:val="00AE476E"/>
    <w:rsid w:val="00AE53E4"/>
    <w:rsid w:val="00AE5888"/>
    <w:rsid w:val="00AE5A5E"/>
    <w:rsid w:val="00AE665B"/>
    <w:rsid w:val="00AE669E"/>
    <w:rsid w:val="00AE75A5"/>
    <w:rsid w:val="00AE7E3A"/>
    <w:rsid w:val="00AF12A9"/>
    <w:rsid w:val="00AF15DE"/>
    <w:rsid w:val="00AF23CA"/>
    <w:rsid w:val="00AF32FB"/>
    <w:rsid w:val="00AF3381"/>
    <w:rsid w:val="00AF3B5F"/>
    <w:rsid w:val="00AF6B50"/>
    <w:rsid w:val="00B00055"/>
    <w:rsid w:val="00B0049E"/>
    <w:rsid w:val="00B02075"/>
    <w:rsid w:val="00B0223D"/>
    <w:rsid w:val="00B02569"/>
    <w:rsid w:val="00B02B21"/>
    <w:rsid w:val="00B03C29"/>
    <w:rsid w:val="00B03FAD"/>
    <w:rsid w:val="00B04438"/>
    <w:rsid w:val="00B0474A"/>
    <w:rsid w:val="00B04B16"/>
    <w:rsid w:val="00B04E07"/>
    <w:rsid w:val="00B05099"/>
    <w:rsid w:val="00B05380"/>
    <w:rsid w:val="00B06344"/>
    <w:rsid w:val="00B06CD1"/>
    <w:rsid w:val="00B07752"/>
    <w:rsid w:val="00B10AEF"/>
    <w:rsid w:val="00B1119B"/>
    <w:rsid w:val="00B1180E"/>
    <w:rsid w:val="00B11B69"/>
    <w:rsid w:val="00B158F2"/>
    <w:rsid w:val="00B16167"/>
    <w:rsid w:val="00B16260"/>
    <w:rsid w:val="00B21154"/>
    <w:rsid w:val="00B227B1"/>
    <w:rsid w:val="00B23C4B"/>
    <w:rsid w:val="00B2426E"/>
    <w:rsid w:val="00B245B5"/>
    <w:rsid w:val="00B248D4"/>
    <w:rsid w:val="00B2593E"/>
    <w:rsid w:val="00B2708D"/>
    <w:rsid w:val="00B30136"/>
    <w:rsid w:val="00B31988"/>
    <w:rsid w:val="00B33300"/>
    <w:rsid w:val="00B33CA1"/>
    <w:rsid w:val="00B34A39"/>
    <w:rsid w:val="00B3545A"/>
    <w:rsid w:val="00B3774E"/>
    <w:rsid w:val="00B40BD3"/>
    <w:rsid w:val="00B41045"/>
    <w:rsid w:val="00B41171"/>
    <w:rsid w:val="00B4125B"/>
    <w:rsid w:val="00B417FC"/>
    <w:rsid w:val="00B41D8E"/>
    <w:rsid w:val="00B41E30"/>
    <w:rsid w:val="00B41F72"/>
    <w:rsid w:val="00B422B4"/>
    <w:rsid w:val="00B438BB"/>
    <w:rsid w:val="00B4421A"/>
    <w:rsid w:val="00B4445B"/>
    <w:rsid w:val="00B44FEE"/>
    <w:rsid w:val="00B459BA"/>
    <w:rsid w:val="00B460DF"/>
    <w:rsid w:val="00B46315"/>
    <w:rsid w:val="00B47EA5"/>
    <w:rsid w:val="00B50421"/>
    <w:rsid w:val="00B505D7"/>
    <w:rsid w:val="00B50902"/>
    <w:rsid w:val="00B5156E"/>
    <w:rsid w:val="00B51FD3"/>
    <w:rsid w:val="00B53218"/>
    <w:rsid w:val="00B5403F"/>
    <w:rsid w:val="00B543C0"/>
    <w:rsid w:val="00B54DA2"/>
    <w:rsid w:val="00B54E4D"/>
    <w:rsid w:val="00B55D33"/>
    <w:rsid w:val="00B56EEC"/>
    <w:rsid w:val="00B6089C"/>
    <w:rsid w:val="00B6152A"/>
    <w:rsid w:val="00B6223F"/>
    <w:rsid w:val="00B63B37"/>
    <w:rsid w:val="00B65F9D"/>
    <w:rsid w:val="00B6618E"/>
    <w:rsid w:val="00B66BA8"/>
    <w:rsid w:val="00B66C6F"/>
    <w:rsid w:val="00B66DA9"/>
    <w:rsid w:val="00B66DAB"/>
    <w:rsid w:val="00B67FA1"/>
    <w:rsid w:val="00B7088C"/>
    <w:rsid w:val="00B70CE8"/>
    <w:rsid w:val="00B712A4"/>
    <w:rsid w:val="00B71846"/>
    <w:rsid w:val="00B71B22"/>
    <w:rsid w:val="00B72C64"/>
    <w:rsid w:val="00B736D9"/>
    <w:rsid w:val="00B73778"/>
    <w:rsid w:val="00B74034"/>
    <w:rsid w:val="00B7473C"/>
    <w:rsid w:val="00B74AB4"/>
    <w:rsid w:val="00B74C45"/>
    <w:rsid w:val="00B761B0"/>
    <w:rsid w:val="00B77034"/>
    <w:rsid w:val="00B7739E"/>
    <w:rsid w:val="00B77B4C"/>
    <w:rsid w:val="00B8044D"/>
    <w:rsid w:val="00B8125D"/>
    <w:rsid w:val="00B82541"/>
    <w:rsid w:val="00B86B83"/>
    <w:rsid w:val="00B87338"/>
    <w:rsid w:val="00B87D1E"/>
    <w:rsid w:val="00B9030B"/>
    <w:rsid w:val="00B90A2C"/>
    <w:rsid w:val="00B9106B"/>
    <w:rsid w:val="00B91366"/>
    <w:rsid w:val="00B91A4D"/>
    <w:rsid w:val="00B91EFB"/>
    <w:rsid w:val="00B9257C"/>
    <w:rsid w:val="00B9260A"/>
    <w:rsid w:val="00B92BAB"/>
    <w:rsid w:val="00B92E00"/>
    <w:rsid w:val="00B9320C"/>
    <w:rsid w:val="00B938C8"/>
    <w:rsid w:val="00B957A3"/>
    <w:rsid w:val="00B96468"/>
    <w:rsid w:val="00B97C9F"/>
    <w:rsid w:val="00BA1BD9"/>
    <w:rsid w:val="00BA20FE"/>
    <w:rsid w:val="00BA21B4"/>
    <w:rsid w:val="00BA21CF"/>
    <w:rsid w:val="00BA27B2"/>
    <w:rsid w:val="00BA2B93"/>
    <w:rsid w:val="00BA2D3A"/>
    <w:rsid w:val="00BA35A4"/>
    <w:rsid w:val="00BA3E52"/>
    <w:rsid w:val="00BA4D10"/>
    <w:rsid w:val="00BA6082"/>
    <w:rsid w:val="00BA6540"/>
    <w:rsid w:val="00BA678E"/>
    <w:rsid w:val="00BA6A7F"/>
    <w:rsid w:val="00BB02E1"/>
    <w:rsid w:val="00BB08DA"/>
    <w:rsid w:val="00BB0C1D"/>
    <w:rsid w:val="00BB1967"/>
    <w:rsid w:val="00BB253E"/>
    <w:rsid w:val="00BB4ED1"/>
    <w:rsid w:val="00BB563F"/>
    <w:rsid w:val="00BB576B"/>
    <w:rsid w:val="00BB582D"/>
    <w:rsid w:val="00BB6266"/>
    <w:rsid w:val="00BB723B"/>
    <w:rsid w:val="00BB74E6"/>
    <w:rsid w:val="00BC0321"/>
    <w:rsid w:val="00BC0D4E"/>
    <w:rsid w:val="00BC19C9"/>
    <w:rsid w:val="00BC20AB"/>
    <w:rsid w:val="00BC2935"/>
    <w:rsid w:val="00BC63B3"/>
    <w:rsid w:val="00BC6716"/>
    <w:rsid w:val="00BC6FDF"/>
    <w:rsid w:val="00BC7017"/>
    <w:rsid w:val="00BC7670"/>
    <w:rsid w:val="00BD0C11"/>
    <w:rsid w:val="00BD11D4"/>
    <w:rsid w:val="00BD1253"/>
    <w:rsid w:val="00BD1B72"/>
    <w:rsid w:val="00BD33A4"/>
    <w:rsid w:val="00BD35A9"/>
    <w:rsid w:val="00BD5D77"/>
    <w:rsid w:val="00BD6030"/>
    <w:rsid w:val="00BD688B"/>
    <w:rsid w:val="00BD6D35"/>
    <w:rsid w:val="00BD7221"/>
    <w:rsid w:val="00BD7E71"/>
    <w:rsid w:val="00BE0028"/>
    <w:rsid w:val="00BE09A3"/>
    <w:rsid w:val="00BE1915"/>
    <w:rsid w:val="00BE2937"/>
    <w:rsid w:val="00BE32C7"/>
    <w:rsid w:val="00BE34B9"/>
    <w:rsid w:val="00BE37C6"/>
    <w:rsid w:val="00BE3FB9"/>
    <w:rsid w:val="00BE5C8C"/>
    <w:rsid w:val="00BE7B4E"/>
    <w:rsid w:val="00BF1696"/>
    <w:rsid w:val="00BF198D"/>
    <w:rsid w:val="00BF2B5B"/>
    <w:rsid w:val="00BF4340"/>
    <w:rsid w:val="00BF4F6F"/>
    <w:rsid w:val="00BF50BB"/>
    <w:rsid w:val="00BF696E"/>
    <w:rsid w:val="00BF69E7"/>
    <w:rsid w:val="00BF7A8A"/>
    <w:rsid w:val="00C00DC6"/>
    <w:rsid w:val="00C01593"/>
    <w:rsid w:val="00C0185F"/>
    <w:rsid w:val="00C01EA8"/>
    <w:rsid w:val="00C020C0"/>
    <w:rsid w:val="00C0251F"/>
    <w:rsid w:val="00C026DF"/>
    <w:rsid w:val="00C04BEF"/>
    <w:rsid w:val="00C04FC0"/>
    <w:rsid w:val="00C057D3"/>
    <w:rsid w:val="00C05C0A"/>
    <w:rsid w:val="00C06BB0"/>
    <w:rsid w:val="00C0764E"/>
    <w:rsid w:val="00C07BDA"/>
    <w:rsid w:val="00C07D17"/>
    <w:rsid w:val="00C112B9"/>
    <w:rsid w:val="00C14A95"/>
    <w:rsid w:val="00C158CC"/>
    <w:rsid w:val="00C165F2"/>
    <w:rsid w:val="00C16847"/>
    <w:rsid w:val="00C1797A"/>
    <w:rsid w:val="00C20963"/>
    <w:rsid w:val="00C21E25"/>
    <w:rsid w:val="00C2209B"/>
    <w:rsid w:val="00C24F39"/>
    <w:rsid w:val="00C25051"/>
    <w:rsid w:val="00C25C43"/>
    <w:rsid w:val="00C26711"/>
    <w:rsid w:val="00C276A6"/>
    <w:rsid w:val="00C27824"/>
    <w:rsid w:val="00C30103"/>
    <w:rsid w:val="00C31ABD"/>
    <w:rsid w:val="00C33199"/>
    <w:rsid w:val="00C33313"/>
    <w:rsid w:val="00C340E4"/>
    <w:rsid w:val="00C34EC8"/>
    <w:rsid w:val="00C35412"/>
    <w:rsid w:val="00C35512"/>
    <w:rsid w:val="00C35764"/>
    <w:rsid w:val="00C35833"/>
    <w:rsid w:val="00C358D8"/>
    <w:rsid w:val="00C35936"/>
    <w:rsid w:val="00C369B2"/>
    <w:rsid w:val="00C36BB9"/>
    <w:rsid w:val="00C3726A"/>
    <w:rsid w:val="00C373F5"/>
    <w:rsid w:val="00C376BE"/>
    <w:rsid w:val="00C4045F"/>
    <w:rsid w:val="00C408A0"/>
    <w:rsid w:val="00C41A3C"/>
    <w:rsid w:val="00C43081"/>
    <w:rsid w:val="00C43688"/>
    <w:rsid w:val="00C43A38"/>
    <w:rsid w:val="00C452F0"/>
    <w:rsid w:val="00C45426"/>
    <w:rsid w:val="00C45BAB"/>
    <w:rsid w:val="00C47C15"/>
    <w:rsid w:val="00C47FF3"/>
    <w:rsid w:val="00C50130"/>
    <w:rsid w:val="00C51043"/>
    <w:rsid w:val="00C51519"/>
    <w:rsid w:val="00C5198D"/>
    <w:rsid w:val="00C519F0"/>
    <w:rsid w:val="00C5316C"/>
    <w:rsid w:val="00C5680B"/>
    <w:rsid w:val="00C57F4A"/>
    <w:rsid w:val="00C60BFC"/>
    <w:rsid w:val="00C61521"/>
    <w:rsid w:val="00C616DF"/>
    <w:rsid w:val="00C61AA6"/>
    <w:rsid w:val="00C63237"/>
    <w:rsid w:val="00C63AC5"/>
    <w:rsid w:val="00C645D4"/>
    <w:rsid w:val="00C64C4E"/>
    <w:rsid w:val="00C65191"/>
    <w:rsid w:val="00C65E02"/>
    <w:rsid w:val="00C65FBC"/>
    <w:rsid w:val="00C66AA9"/>
    <w:rsid w:val="00C70164"/>
    <w:rsid w:val="00C70BB4"/>
    <w:rsid w:val="00C711C5"/>
    <w:rsid w:val="00C728C4"/>
    <w:rsid w:val="00C733C3"/>
    <w:rsid w:val="00C73D06"/>
    <w:rsid w:val="00C73E98"/>
    <w:rsid w:val="00C7530D"/>
    <w:rsid w:val="00C75562"/>
    <w:rsid w:val="00C75BAB"/>
    <w:rsid w:val="00C80253"/>
    <w:rsid w:val="00C80B52"/>
    <w:rsid w:val="00C81188"/>
    <w:rsid w:val="00C812DD"/>
    <w:rsid w:val="00C819E6"/>
    <w:rsid w:val="00C82C60"/>
    <w:rsid w:val="00C8336E"/>
    <w:rsid w:val="00C83967"/>
    <w:rsid w:val="00C83B24"/>
    <w:rsid w:val="00C83E45"/>
    <w:rsid w:val="00C84408"/>
    <w:rsid w:val="00C846B2"/>
    <w:rsid w:val="00C84A51"/>
    <w:rsid w:val="00C85EB2"/>
    <w:rsid w:val="00C86994"/>
    <w:rsid w:val="00C8787A"/>
    <w:rsid w:val="00C9020B"/>
    <w:rsid w:val="00C90371"/>
    <w:rsid w:val="00C903AD"/>
    <w:rsid w:val="00C906AF"/>
    <w:rsid w:val="00C917BD"/>
    <w:rsid w:val="00C91ADD"/>
    <w:rsid w:val="00C91BFC"/>
    <w:rsid w:val="00C91C1F"/>
    <w:rsid w:val="00C91D4E"/>
    <w:rsid w:val="00C9488B"/>
    <w:rsid w:val="00C95C90"/>
    <w:rsid w:val="00C961B6"/>
    <w:rsid w:val="00C97BE9"/>
    <w:rsid w:val="00C97F39"/>
    <w:rsid w:val="00CA024A"/>
    <w:rsid w:val="00CA1B2D"/>
    <w:rsid w:val="00CA1D45"/>
    <w:rsid w:val="00CA1FAC"/>
    <w:rsid w:val="00CA3756"/>
    <w:rsid w:val="00CA4294"/>
    <w:rsid w:val="00CA4A1F"/>
    <w:rsid w:val="00CA4DB5"/>
    <w:rsid w:val="00CA5161"/>
    <w:rsid w:val="00CA53DE"/>
    <w:rsid w:val="00CA5D2E"/>
    <w:rsid w:val="00CA6009"/>
    <w:rsid w:val="00CA6E12"/>
    <w:rsid w:val="00CA73BE"/>
    <w:rsid w:val="00CB027D"/>
    <w:rsid w:val="00CB0DB8"/>
    <w:rsid w:val="00CB1EEE"/>
    <w:rsid w:val="00CB27C4"/>
    <w:rsid w:val="00CB2CB8"/>
    <w:rsid w:val="00CB4F02"/>
    <w:rsid w:val="00CB50C6"/>
    <w:rsid w:val="00CB61C0"/>
    <w:rsid w:val="00CB688A"/>
    <w:rsid w:val="00CC052D"/>
    <w:rsid w:val="00CC18AB"/>
    <w:rsid w:val="00CC2499"/>
    <w:rsid w:val="00CC25A8"/>
    <w:rsid w:val="00CC350F"/>
    <w:rsid w:val="00CC566F"/>
    <w:rsid w:val="00CC5DF4"/>
    <w:rsid w:val="00CC6963"/>
    <w:rsid w:val="00CC714E"/>
    <w:rsid w:val="00CC749B"/>
    <w:rsid w:val="00CC7A54"/>
    <w:rsid w:val="00CC7BD7"/>
    <w:rsid w:val="00CD0222"/>
    <w:rsid w:val="00CD0613"/>
    <w:rsid w:val="00CD074C"/>
    <w:rsid w:val="00CD1113"/>
    <w:rsid w:val="00CD187D"/>
    <w:rsid w:val="00CD1ACF"/>
    <w:rsid w:val="00CD1B59"/>
    <w:rsid w:val="00CD216E"/>
    <w:rsid w:val="00CD2DC4"/>
    <w:rsid w:val="00CD3822"/>
    <w:rsid w:val="00CD50D9"/>
    <w:rsid w:val="00CD6418"/>
    <w:rsid w:val="00CD6B21"/>
    <w:rsid w:val="00CD7135"/>
    <w:rsid w:val="00CD79F7"/>
    <w:rsid w:val="00CD7D5F"/>
    <w:rsid w:val="00CE14AC"/>
    <w:rsid w:val="00CE15A1"/>
    <w:rsid w:val="00CE517A"/>
    <w:rsid w:val="00CE707A"/>
    <w:rsid w:val="00CF02E4"/>
    <w:rsid w:val="00CF03FF"/>
    <w:rsid w:val="00CF045C"/>
    <w:rsid w:val="00CF062B"/>
    <w:rsid w:val="00CF1205"/>
    <w:rsid w:val="00CF125C"/>
    <w:rsid w:val="00CF157F"/>
    <w:rsid w:val="00CF199A"/>
    <w:rsid w:val="00CF1E3C"/>
    <w:rsid w:val="00CF3611"/>
    <w:rsid w:val="00CF401E"/>
    <w:rsid w:val="00CF5192"/>
    <w:rsid w:val="00CF51F0"/>
    <w:rsid w:val="00CF5D95"/>
    <w:rsid w:val="00CF5E5D"/>
    <w:rsid w:val="00CF60F8"/>
    <w:rsid w:val="00CF6453"/>
    <w:rsid w:val="00CF697D"/>
    <w:rsid w:val="00CF6CB6"/>
    <w:rsid w:val="00CF74E7"/>
    <w:rsid w:val="00CF7613"/>
    <w:rsid w:val="00D00117"/>
    <w:rsid w:val="00D0045F"/>
    <w:rsid w:val="00D01870"/>
    <w:rsid w:val="00D02D8A"/>
    <w:rsid w:val="00D104F3"/>
    <w:rsid w:val="00D11951"/>
    <w:rsid w:val="00D12607"/>
    <w:rsid w:val="00D12D19"/>
    <w:rsid w:val="00D13B99"/>
    <w:rsid w:val="00D14B8A"/>
    <w:rsid w:val="00D14F21"/>
    <w:rsid w:val="00D150CD"/>
    <w:rsid w:val="00D175C4"/>
    <w:rsid w:val="00D17838"/>
    <w:rsid w:val="00D17A3E"/>
    <w:rsid w:val="00D201AE"/>
    <w:rsid w:val="00D22460"/>
    <w:rsid w:val="00D23117"/>
    <w:rsid w:val="00D23221"/>
    <w:rsid w:val="00D2334B"/>
    <w:rsid w:val="00D237B3"/>
    <w:rsid w:val="00D2406E"/>
    <w:rsid w:val="00D25519"/>
    <w:rsid w:val="00D25A62"/>
    <w:rsid w:val="00D264C5"/>
    <w:rsid w:val="00D2737A"/>
    <w:rsid w:val="00D27809"/>
    <w:rsid w:val="00D30464"/>
    <w:rsid w:val="00D306FE"/>
    <w:rsid w:val="00D31545"/>
    <w:rsid w:val="00D31711"/>
    <w:rsid w:val="00D3219F"/>
    <w:rsid w:val="00D33713"/>
    <w:rsid w:val="00D350EB"/>
    <w:rsid w:val="00D359E7"/>
    <w:rsid w:val="00D35CDD"/>
    <w:rsid w:val="00D35F76"/>
    <w:rsid w:val="00D37167"/>
    <w:rsid w:val="00D37F5E"/>
    <w:rsid w:val="00D40FC3"/>
    <w:rsid w:val="00D41734"/>
    <w:rsid w:val="00D41AD1"/>
    <w:rsid w:val="00D420CD"/>
    <w:rsid w:val="00D42156"/>
    <w:rsid w:val="00D4257B"/>
    <w:rsid w:val="00D432BD"/>
    <w:rsid w:val="00D4340C"/>
    <w:rsid w:val="00D4465E"/>
    <w:rsid w:val="00D46E0F"/>
    <w:rsid w:val="00D47253"/>
    <w:rsid w:val="00D47CA3"/>
    <w:rsid w:val="00D501E8"/>
    <w:rsid w:val="00D50D11"/>
    <w:rsid w:val="00D5102C"/>
    <w:rsid w:val="00D5109A"/>
    <w:rsid w:val="00D51177"/>
    <w:rsid w:val="00D52290"/>
    <w:rsid w:val="00D52CE7"/>
    <w:rsid w:val="00D53E2D"/>
    <w:rsid w:val="00D54D14"/>
    <w:rsid w:val="00D55714"/>
    <w:rsid w:val="00D5655E"/>
    <w:rsid w:val="00D600E5"/>
    <w:rsid w:val="00D601AA"/>
    <w:rsid w:val="00D60D31"/>
    <w:rsid w:val="00D617CE"/>
    <w:rsid w:val="00D6256D"/>
    <w:rsid w:val="00D62E2E"/>
    <w:rsid w:val="00D63068"/>
    <w:rsid w:val="00D6335B"/>
    <w:rsid w:val="00D63C7C"/>
    <w:rsid w:val="00D6452F"/>
    <w:rsid w:val="00D6461F"/>
    <w:rsid w:val="00D677F4"/>
    <w:rsid w:val="00D708EC"/>
    <w:rsid w:val="00D71940"/>
    <w:rsid w:val="00D729E8"/>
    <w:rsid w:val="00D73258"/>
    <w:rsid w:val="00D737B3"/>
    <w:rsid w:val="00D75FCF"/>
    <w:rsid w:val="00D769E0"/>
    <w:rsid w:val="00D773CA"/>
    <w:rsid w:val="00D77A6A"/>
    <w:rsid w:val="00D80027"/>
    <w:rsid w:val="00D8067C"/>
    <w:rsid w:val="00D80C5B"/>
    <w:rsid w:val="00D810A0"/>
    <w:rsid w:val="00D82062"/>
    <w:rsid w:val="00D829AC"/>
    <w:rsid w:val="00D82CA5"/>
    <w:rsid w:val="00D84265"/>
    <w:rsid w:val="00D8608D"/>
    <w:rsid w:val="00D86516"/>
    <w:rsid w:val="00D86995"/>
    <w:rsid w:val="00D86C6C"/>
    <w:rsid w:val="00D91FDB"/>
    <w:rsid w:val="00D92D51"/>
    <w:rsid w:val="00D9315B"/>
    <w:rsid w:val="00D93274"/>
    <w:rsid w:val="00D93440"/>
    <w:rsid w:val="00D939DF"/>
    <w:rsid w:val="00D95240"/>
    <w:rsid w:val="00D95334"/>
    <w:rsid w:val="00D95914"/>
    <w:rsid w:val="00D95D53"/>
    <w:rsid w:val="00D95FC2"/>
    <w:rsid w:val="00D96D15"/>
    <w:rsid w:val="00D96EC5"/>
    <w:rsid w:val="00D97453"/>
    <w:rsid w:val="00D974A2"/>
    <w:rsid w:val="00D97588"/>
    <w:rsid w:val="00D97B21"/>
    <w:rsid w:val="00DA053C"/>
    <w:rsid w:val="00DA0CCF"/>
    <w:rsid w:val="00DA0E98"/>
    <w:rsid w:val="00DA0F17"/>
    <w:rsid w:val="00DA23A8"/>
    <w:rsid w:val="00DA2EF6"/>
    <w:rsid w:val="00DA3D43"/>
    <w:rsid w:val="00DA41FE"/>
    <w:rsid w:val="00DA45DC"/>
    <w:rsid w:val="00DA47B7"/>
    <w:rsid w:val="00DA4EC8"/>
    <w:rsid w:val="00DA5AF2"/>
    <w:rsid w:val="00DA6033"/>
    <w:rsid w:val="00DA67A2"/>
    <w:rsid w:val="00DA799A"/>
    <w:rsid w:val="00DA7A9A"/>
    <w:rsid w:val="00DA7FD0"/>
    <w:rsid w:val="00DB020C"/>
    <w:rsid w:val="00DB050E"/>
    <w:rsid w:val="00DB0E20"/>
    <w:rsid w:val="00DB135F"/>
    <w:rsid w:val="00DB13FD"/>
    <w:rsid w:val="00DB1576"/>
    <w:rsid w:val="00DB1D04"/>
    <w:rsid w:val="00DB1D30"/>
    <w:rsid w:val="00DB27AF"/>
    <w:rsid w:val="00DB4A50"/>
    <w:rsid w:val="00DB4C7F"/>
    <w:rsid w:val="00DB4EC4"/>
    <w:rsid w:val="00DB683C"/>
    <w:rsid w:val="00DB6A4D"/>
    <w:rsid w:val="00DC12C6"/>
    <w:rsid w:val="00DC186E"/>
    <w:rsid w:val="00DC1A1B"/>
    <w:rsid w:val="00DC2A62"/>
    <w:rsid w:val="00DC2FD2"/>
    <w:rsid w:val="00DC3D89"/>
    <w:rsid w:val="00DC3FEF"/>
    <w:rsid w:val="00DC40A0"/>
    <w:rsid w:val="00DC46C3"/>
    <w:rsid w:val="00DC53EB"/>
    <w:rsid w:val="00DC704E"/>
    <w:rsid w:val="00DC7313"/>
    <w:rsid w:val="00DD15DF"/>
    <w:rsid w:val="00DD1E56"/>
    <w:rsid w:val="00DD2199"/>
    <w:rsid w:val="00DD2F67"/>
    <w:rsid w:val="00DD39D7"/>
    <w:rsid w:val="00DD4768"/>
    <w:rsid w:val="00DD5316"/>
    <w:rsid w:val="00DD5D5C"/>
    <w:rsid w:val="00DD608F"/>
    <w:rsid w:val="00DD6094"/>
    <w:rsid w:val="00DD7346"/>
    <w:rsid w:val="00DD7C78"/>
    <w:rsid w:val="00DE11F9"/>
    <w:rsid w:val="00DE1638"/>
    <w:rsid w:val="00DE34C4"/>
    <w:rsid w:val="00DE356B"/>
    <w:rsid w:val="00DE4954"/>
    <w:rsid w:val="00DE4FDC"/>
    <w:rsid w:val="00DE5B35"/>
    <w:rsid w:val="00DE5B74"/>
    <w:rsid w:val="00DE69D3"/>
    <w:rsid w:val="00DE7EC9"/>
    <w:rsid w:val="00DF0358"/>
    <w:rsid w:val="00DF05E6"/>
    <w:rsid w:val="00DF28C8"/>
    <w:rsid w:val="00DF52F3"/>
    <w:rsid w:val="00DF5B94"/>
    <w:rsid w:val="00DF5E36"/>
    <w:rsid w:val="00DF6576"/>
    <w:rsid w:val="00DF6BEC"/>
    <w:rsid w:val="00DF74B7"/>
    <w:rsid w:val="00E00107"/>
    <w:rsid w:val="00E001EF"/>
    <w:rsid w:val="00E0025F"/>
    <w:rsid w:val="00E00E13"/>
    <w:rsid w:val="00E01696"/>
    <w:rsid w:val="00E01F28"/>
    <w:rsid w:val="00E02026"/>
    <w:rsid w:val="00E02C1C"/>
    <w:rsid w:val="00E0353F"/>
    <w:rsid w:val="00E04C42"/>
    <w:rsid w:val="00E04C72"/>
    <w:rsid w:val="00E05FF0"/>
    <w:rsid w:val="00E06354"/>
    <w:rsid w:val="00E064D3"/>
    <w:rsid w:val="00E07A8D"/>
    <w:rsid w:val="00E10A38"/>
    <w:rsid w:val="00E111E2"/>
    <w:rsid w:val="00E121A5"/>
    <w:rsid w:val="00E12309"/>
    <w:rsid w:val="00E12B0F"/>
    <w:rsid w:val="00E12D4B"/>
    <w:rsid w:val="00E1382E"/>
    <w:rsid w:val="00E14326"/>
    <w:rsid w:val="00E158FD"/>
    <w:rsid w:val="00E15CD6"/>
    <w:rsid w:val="00E17117"/>
    <w:rsid w:val="00E177DE"/>
    <w:rsid w:val="00E215C2"/>
    <w:rsid w:val="00E23A3D"/>
    <w:rsid w:val="00E23B43"/>
    <w:rsid w:val="00E26070"/>
    <w:rsid w:val="00E26A36"/>
    <w:rsid w:val="00E27756"/>
    <w:rsid w:val="00E27CD7"/>
    <w:rsid w:val="00E27D4D"/>
    <w:rsid w:val="00E27DBC"/>
    <w:rsid w:val="00E3040B"/>
    <w:rsid w:val="00E30B22"/>
    <w:rsid w:val="00E311FA"/>
    <w:rsid w:val="00E31FAE"/>
    <w:rsid w:val="00E33C31"/>
    <w:rsid w:val="00E34DB7"/>
    <w:rsid w:val="00E37147"/>
    <w:rsid w:val="00E37AFC"/>
    <w:rsid w:val="00E37DA2"/>
    <w:rsid w:val="00E40054"/>
    <w:rsid w:val="00E41117"/>
    <w:rsid w:val="00E419DA"/>
    <w:rsid w:val="00E41E25"/>
    <w:rsid w:val="00E42F3E"/>
    <w:rsid w:val="00E4381D"/>
    <w:rsid w:val="00E44993"/>
    <w:rsid w:val="00E44C81"/>
    <w:rsid w:val="00E461A3"/>
    <w:rsid w:val="00E46609"/>
    <w:rsid w:val="00E467F0"/>
    <w:rsid w:val="00E46E42"/>
    <w:rsid w:val="00E5001D"/>
    <w:rsid w:val="00E5010D"/>
    <w:rsid w:val="00E5108A"/>
    <w:rsid w:val="00E51731"/>
    <w:rsid w:val="00E51DAA"/>
    <w:rsid w:val="00E5392E"/>
    <w:rsid w:val="00E544C1"/>
    <w:rsid w:val="00E54A57"/>
    <w:rsid w:val="00E54F40"/>
    <w:rsid w:val="00E561B6"/>
    <w:rsid w:val="00E562B7"/>
    <w:rsid w:val="00E56DA1"/>
    <w:rsid w:val="00E56EAD"/>
    <w:rsid w:val="00E57743"/>
    <w:rsid w:val="00E60A1F"/>
    <w:rsid w:val="00E6225F"/>
    <w:rsid w:val="00E63900"/>
    <w:rsid w:val="00E643C2"/>
    <w:rsid w:val="00E644C6"/>
    <w:rsid w:val="00E655CE"/>
    <w:rsid w:val="00E663CC"/>
    <w:rsid w:val="00E6665F"/>
    <w:rsid w:val="00E66DB7"/>
    <w:rsid w:val="00E67599"/>
    <w:rsid w:val="00E67707"/>
    <w:rsid w:val="00E67DEC"/>
    <w:rsid w:val="00E711DC"/>
    <w:rsid w:val="00E728CF"/>
    <w:rsid w:val="00E72B98"/>
    <w:rsid w:val="00E72D72"/>
    <w:rsid w:val="00E752C9"/>
    <w:rsid w:val="00E76A36"/>
    <w:rsid w:val="00E76C2D"/>
    <w:rsid w:val="00E80D5A"/>
    <w:rsid w:val="00E80DF6"/>
    <w:rsid w:val="00E817D7"/>
    <w:rsid w:val="00E82B37"/>
    <w:rsid w:val="00E833AA"/>
    <w:rsid w:val="00E83904"/>
    <w:rsid w:val="00E839C7"/>
    <w:rsid w:val="00E84437"/>
    <w:rsid w:val="00E85D02"/>
    <w:rsid w:val="00E85D77"/>
    <w:rsid w:val="00E85F54"/>
    <w:rsid w:val="00E87629"/>
    <w:rsid w:val="00E91171"/>
    <w:rsid w:val="00E92406"/>
    <w:rsid w:val="00E925EA"/>
    <w:rsid w:val="00E931C2"/>
    <w:rsid w:val="00E94016"/>
    <w:rsid w:val="00E9441E"/>
    <w:rsid w:val="00E95E09"/>
    <w:rsid w:val="00E95F50"/>
    <w:rsid w:val="00E97039"/>
    <w:rsid w:val="00E97886"/>
    <w:rsid w:val="00E97F52"/>
    <w:rsid w:val="00EA0604"/>
    <w:rsid w:val="00EA0C51"/>
    <w:rsid w:val="00EA12E7"/>
    <w:rsid w:val="00EA17F8"/>
    <w:rsid w:val="00EA1ECF"/>
    <w:rsid w:val="00EA20C1"/>
    <w:rsid w:val="00EA303B"/>
    <w:rsid w:val="00EA3804"/>
    <w:rsid w:val="00EA3CC8"/>
    <w:rsid w:val="00EA403A"/>
    <w:rsid w:val="00EA5F7B"/>
    <w:rsid w:val="00EA6F9D"/>
    <w:rsid w:val="00EB1F1C"/>
    <w:rsid w:val="00EB4DBC"/>
    <w:rsid w:val="00EB5938"/>
    <w:rsid w:val="00EB5D9D"/>
    <w:rsid w:val="00EB68DB"/>
    <w:rsid w:val="00EB692B"/>
    <w:rsid w:val="00EB76E0"/>
    <w:rsid w:val="00EB7D9F"/>
    <w:rsid w:val="00EC0193"/>
    <w:rsid w:val="00EC3F61"/>
    <w:rsid w:val="00EC4A79"/>
    <w:rsid w:val="00EC57B6"/>
    <w:rsid w:val="00EC59B5"/>
    <w:rsid w:val="00EC61AA"/>
    <w:rsid w:val="00EC7029"/>
    <w:rsid w:val="00EC724C"/>
    <w:rsid w:val="00EC757E"/>
    <w:rsid w:val="00ED052B"/>
    <w:rsid w:val="00ED0DFC"/>
    <w:rsid w:val="00ED1CF0"/>
    <w:rsid w:val="00ED211D"/>
    <w:rsid w:val="00ED2A76"/>
    <w:rsid w:val="00ED44A6"/>
    <w:rsid w:val="00ED4992"/>
    <w:rsid w:val="00ED65F7"/>
    <w:rsid w:val="00ED738E"/>
    <w:rsid w:val="00EE0619"/>
    <w:rsid w:val="00EE06A8"/>
    <w:rsid w:val="00EE080F"/>
    <w:rsid w:val="00EE25BA"/>
    <w:rsid w:val="00EE2F04"/>
    <w:rsid w:val="00EE3F06"/>
    <w:rsid w:val="00EE675B"/>
    <w:rsid w:val="00EE7403"/>
    <w:rsid w:val="00EF08A1"/>
    <w:rsid w:val="00EF1052"/>
    <w:rsid w:val="00EF18B3"/>
    <w:rsid w:val="00EF2652"/>
    <w:rsid w:val="00EF32D8"/>
    <w:rsid w:val="00EF3CE0"/>
    <w:rsid w:val="00EF4DFD"/>
    <w:rsid w:val="00EF5021"/>
    <w:rsid w:val="00EF560B"/>
    <w:rsid w:val="00EF5EEB"/>
    <w:rsid w:val="00F01068"/>
    <w:rsid w:val="00F0118E"/>
    <w:rsid w:val="00F0158A"/>
    <w:rsid w:val="00F01FC9"/>
    <w:rsid w:val="00F033BD"/>
    <w:rsid w:val="00F041F0"/>
    <w:rsid w:val="00F04BB1"/>
    <w:rsid w:val="00F05079"/>
    <w:rsid w:val="00F05EEC"/>
    <w:rsid w:val="00F06074"/>
    <w:rsid w:val="00F0617F"/>
    <w:rsid w:val="00F063D2"/>
    <w:rsid w:val="00F06B8B"/>
    <w:rsid w:val="00F071D5"/>
    <w:rsid w:val="00F07B89"/>
    <w:rsid w:val="00F07D57"/>
    <w:rsid w:val="00F1019F"/>
    <w:rsid w:val="00F10A21"/>
    <w:rsid w:val="00F112F6"/>
    <w:rsid w:val="00F11F4E"/>
    <w:rsid w:val="00F1254F"/>
    <w:rsid w:val="00F12B6A"/>
    <w:rsid w:val="00F12B7E"/>
    <w:rsid w:val="00F13076"/>
    <w:rsid w:val="00F133C6"/>
    <w:rsid w:val="00F139B2"/>
    <w:rsid w:val="00F1484E"/>
    <w:rsid w:val="00F17007"/>
    <w:rsid w:val="00F17106"/>
    <w:rsid w:val="00F2132E"/>
    <w:rsid w:val="00F21763"/>
    <w:rsid w:val="00F22330"/>
    <w:rsid w:val="00F23276"/>
    <w:rsid w:val="00F241C7"/>
    <w:rsid w:val="00F2429A"/>
    <w:rsid w:val="00F25498"/>
    <w:rsid w:val="00F25558"/>
    <w:rsid w:val="00F25C41"/>
    <w:rsid w:val="00F26740"/>
    <w:rsid w:val="00F26F23"/>
    <w:rsid w:val="00F277B5"/>
    <w:rsid w:val="00F3020C"/>
    <w:rsid w:val="00F31BD0"/>
    <w:rsid w:val="00F31EAF"/>
    <w:rsid w:val="00F334B4"/>
    <w:rsid w:val="00F339E4"/>
    <w:rsid w:val="00F33EFA"/>
    <w:rsid w:val="00F350FD"/>
    <w:rsid w:val="00F3684F"/>
    <w:rsid w:val="00F36AA9"/>
    <w:rsid w:val="00F3729E"/>
    <w:rsid w:val="00F37C5A"/>
    <w:rsid w:val="00F37D47"/>
    <w:rsid w:val="00F42880"/>
    <w:rsid w:val="00F42CA5"/>
    <w:rsid w:val="00F432A1"/>
    <w:rsid w:val="00F459DF"/>
    <w:rsid w:val="00F474EB"/>
    <w:rsid w:val="00F50695"/>
    <w:rsid w:val="00F50702"/>
    <w:rsid w:val="00F50BEB"/>
    <w:rsid w:val="00F51196"/>
    <w:rsid w:val="00F51F4F"/>
    <w:rsid w:val="00F5225B"/>
    <w:rsid w:val="00F530C6"/>
    <w:rsid w:val="00F53905"/>
    <w:rsid w:val="00F53F46"/>
    <w:rsid w:val="00F545B1"/>
    <w:rsid w:val="00F54D6D"/>
    <w:rsid w:val="00F55538"/>
    <w:rsid w:val="00F55AD7"/>
    <w:rsid w:val="00F55B29"/>
    <w:rsid w:val="00F56295"/>
    <w:rsid w:val="00F56559"/>
    <w:rsid w:val="00F56A8D"/>
    <w:rsid w:val="00F56B4E"/>
    <w:rsid w:val="00F60578"/>
    <w:rsid w:val="00F608A8"/>
    <w:rsid w:val="00F608F7"/>
    <w:rsid w:val="00F61029"/>
    <w:rsid w:val="00F610D8"/>
    <w:rsid w:val="00F623ED"/>
    <w:rsid w:val="00F64163"/>
    <w:rsid w:val="00F64B85"/>
    <w:rsid w:val="00F652B6"/>
    <w:rsid w:val="00F655AE"/>
    <w:rsid w:val="00F65EAF"/>
    <w:rsid w:val="00F669F2"/>
    <w:rsid w:val="00F67383"/>
    <w:rsid w:val="00F70952"/>
    <w:rsid w:val="00F718AC"/>
    <w:rsid w:val="00F74053"/>
    <w:rsid w:val="00F75D22"/>
    <w:rsid w:val="00F76E3F"/>
    <w:rsid w:val="00F76F64"/>
    <w:rsid w:val="00F81052"/>
    <w:rsid w:val="00F81607"/>
    <w:rsid w:val="00F81AC1"/>
    <w:rsid w:val="00F81CDD"/>
    <w:rsid w:val="00F82BDA"/>
    <w:rsid w:val="00F8348E"/>
    <w:rsid w:val="00F8450B"/>
    <w:rsid w:val="00F84FE2"/>
    <w:rsid w:val="00F85898"/>
    <w:rsid w:val="00F859EB"/>
    <w:rsid w:val="00F85D20"/>
    <w:rsid w:val="00F86224"/>
    <w:rsid w:val="00F87993"/>
    <w:rsid w:val="00F904A9"/>
    <w:rsid w:val="00F90CC3"/>
    <w:rsid w:val="00F92674"/>
    <w:rsid w:val="00F92A00"/>
    <w:rsid w:val="00F9380D"/>
    <w:rsid w:val="00F9399B"/>
    <w:rsid w:val="00F944C5"/>
    <w:rsid w:val="00F94B78"/>
    <w:rsid w:val="00F95D65"/>
    <w:rsid w:val="00F963EB"/>
    <w:rsid w:val="00FA15D6"/>
    <w:rsid w:val="00FA1FEF"/>
    <w:rsid w:val="00FA228F"/>
    <w:rsid w:val="00FA25BA"/>
    <w:rsid w:val="00FA2B15"/>
    <w:rsid w:val="00FA2DEA"/>
    <w:rsid w:val="00FA3112"/>
    <w:rsid w:val="00FA3187"/>
    <w:rsid w:val="00FA4218"/>
    <w:rsid w:val="00FA4765"/>
    <w:rsid w:val="00FA4E19"/>
    <w:rsid w:val="00FA4EBC"/>
    <w:rsid w:val="00FA5324"/>
    <w:rsid w:val="00FA59EB"/>
    <w:rsid w:val="00FA5FC0"/>
    <w:rsid w:val="00FA63AD"/>
    <w:rsid w:val="00FA681D"/>
    <w:rsid w:val="00FA6E84"/>
    <w:rsid w:val="00FA762F"/>
    <w:rsid w:val="00FA7708"/>
    <w:rsid w:val="00FB0500"/>
    <w:rsid w:val="00FB05E4"/>
    <w:rsid w:val="00FB1A3B"/>
    <w:rsid w:val="00FB1CF4"/>
    <w:rsid w:val="00FB42E7"/>
    <w:rsid w:val="00FB432F"/>
    <w:rsid w:val="00FB4565"/>
    <w:rsid w:val="00FB6095"/>
    <w:rsid w:val="00FB6801"/>
    <w:rsid w:val="00FB6D03"/>
    <w:rsid w:val="00FB7F81"/>
    <w:rsid w:val="00FB7FF6"/>
    <w:rsid w:val="00FC02B3"/>
    <w:rsid w:val="00FC21AD"/>
    <w:rsid w:val="00FC22C0"/>
    <w:rsid w:val="00FC2AEA"/>
    <w:rsid w:val="00FC3379"/>
    <w:rsid w:val="00FC3591"/>
    <w:rsid w:val="00FC374D"/>
    <w:rsid w:val="00FC46F8"/>
    <w:rsid w:val="00FC56B7"/>
    <w:rsid w:val="00FC6416"/>
    <w:rsid w:val="00FC7C36"/>
    <w:rsid w:val="00FC7E4F"/>
    <w:rsid w:val="00FD090F"/>
    <w:rsid w:val="00FD0926"/>
    <w:rsid w:val="00FD0B82"/>
    <w:rsid w:val="00FD0CCD"/>
    <w:rsid w:val="00FD124E"/>
    <w:rsid w:val="00FD1391"/>
    <w:rsid w:val="00FD153D"/>
    <w:rsid w:val="00FD1E98"/>
    <w:rsid w:val="00FD1E99"/>
    <w:rsid w:val="00FD2C55"/>
    <w:rsid w:val="00FD3841"/>
    <w:rsid w:val="00FD5139"/>
    <w:rsid w:val="00FD7A90"/>
    <w:rsid w:val="00FD7B55"/>
    <w:rsid w:val="00FD7E95"/>
    <w:rsid w:val="00FE06E1"/>
    <w:rsid w:val="00FE2FCC"/>
    <w:rsid w:val="00FE3970"/>
    <w:rsid w:val="00FE41CE"/>
    <w:rsid w:val="00FE4823"/>
    <w:rsid w:val="00FE4A08"/>
    <w:rsid w:val="00FE4FB2"/>
    <w:rsid w:val="00FE574D"/>
    <w:rsid w:val="00FE6998"/>
    <w:rsid w:val="00FE70AF"/>
    <w:rsid w:val="00FE79BA"/>
    <w:rsid w:val="00FF07F7"/>
    <w:rsid w:val="00FF0B85"/>
    <w:rsid w:val="00FF1A5E"/>
    <w:rsid w:val="00FF1B2D"/>
    <w:rsid w:val="00FF2085"/>
    <w:rsid w:val="00FF28F2"/>
    <w:rsid w:val="00FF38E2"/>
    <w:rsid w:val="00FF4A6B"/>
    <w:rsid w:val="00FF563F"/>
    <w:rsid w:val="00FF6111"/>
    <w:rsid w:val="00FF70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F7961A-85B0-4CAA-B441-EAEEADF8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ind w:left="22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7BDA"/>
    <w:pPr>
      <w:keepNext/>
      <w:keepLines/>
      <w:spacing w:before="240" w:after="240" w:line="240" w:lineRule="auto"/>
      <w:jc w:val="both"/>
      <w:outlineLvl w:val="0"/>
    </w:pPr>
    <w:rPr>
      <w:rFonts w:ascii="Times New Roman Bold" w:eastAsia="MS Gothic" w:hAnsi="Times New Roman Bold" w:cs="Times New Roman"/>
      <w:b/>
      <w:bCs/>
      <w:smallCaps/>
      <w:noProof/>
      <w:sz w:val="24"/>
      <w:szCs w:val="24"/>
      <w:lang w:eastAsia="en-GB"/>
    </w:rPr>
  </w:style>
  <w:style w:type="paragraph" w:styleId="Heading2">
    <w:name w:val="heading 2"/>
    <w:basedOn w:val="Normal"/>
    <w:next w:val="Normal"/>
    <w:link w:val="Heading2Char"/>
    <w:uiPriority w:val="9"/>
    <w:semiHidden/>
    <w:unhideWhenUsed/>
    <w:qFormat/>
    <w:rsid w:val="000D52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1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fn,o"/>
    <w:basedOn w:val="Normal"/>
    <w:link w:val="FootnoteTextChar"/>
    <w:uiPriority w:val="99"/>
    <w:unhideWhenUsed/>
    <w:qFormat/>
    <w:rsid w:val="00CF5192"/>
    <w:pPr>
      <w:spacing w:line="240" w:lineRule="auto"/>
    </w:pPr>
    <w:rPr>
      <w:sz w:val="20"/>
      <w:szCs w:val="20"/>
    </w:rPr>
  </w:style>
  <w:style w:type="character" w:customStyle="1" w:styleId="FootnoteTextChar">
    <w:name w:val="Footnote Text Char"/>
    <w:aliases w:val="Footnote Text Char1 Char Char1,Footnote Text Char Char Char Char1,Footnote Text Char2 Char Char Char Char1,Footnote Text Char1 Char Char Char Char Char1,Footnote Text Char Char Char Char Char Char Char1,Plonk Char1,Footnote text Char"/>
    <w:basedOn w:val="DefaultParagraphFont"/>
    <w:link w:val="FootnoteText"/>
    <w:uiPriority w:val="99"/>
    <w:rsid w:val="00CF5192"/>
    <w:rPr>
      <w:sz w:val="20"/>
      <w:szCs w:val="20"/>
    </w:rPr>
  </w:style>
  <w:style w:type="paragraph" w:styleId="Footer">
    <w:name w:val="footer"/>
    <w:basedOn w:val="Normal"/>
    <w:link w:val="FooterChar"/>
    <w:uiPriority w:val="99"/>
    <w:unhideWhenUsed/>
    <w:rsid w:val="00CF5192"/>
    <w:pPr>
      <w:tabs>
        <w:tab w:val="center" w:pos="4536"/>
        <w:tab w:val="right" w:pos="9072"/>
      </w:tabs>
      <w:spacing w:line="240" w:lineRule="auto"/>
    </w:pPr>
  </w:style>
  <w:style w:type="character" w:customStyle="1" w:styleId="FooterChar">
    <w:name w:val="Footer Char"/>
    <w:basedOn w:val="DefaultParagraphFont"/>
    <w:link w:val="Footer"/>
    <w:uiPriority w:val="99"/>
    <w:rsid w:val="00CF5192"/>
  </w:style>
  <w:style w:type="paragraph" w:styleId="Header">
    <w:name w:val="header"/>
    <w:basedOn w:val="Normal"/>
    <w:link w:val="HeaderChar"/>
    <w:uiPriority w:val="99"/>
    <w:unhideWhenUsed/>
    <w:rsid w:val="00CF5192"/>
    <w:pPr>
      <w:tabs>
        <w:tab w:val="center" w:pos="4536"/>
        <w:tab w:val="right" w:pos="9072"/>
      </w:tabs>
      <w:spacing w:line="240" w:lineRule="auto"/>
    </w:pPr>
  </w:style>
  <w:style w:type="character" w:customStyle="1" w:styleId="HeaderChar">
    <w:name w:val="Header Char"/>
    <w:basedOn w:val="DefaultParagraphFont"/>
    <w:link w:val="Header"/>
    <w:uiPriority w:val="99"/>
    <w:rsid w:val="00CF5192"/>
  </w:style>
  <w:style w:type="character" w:styleId="PageNumber">
    <w:name w:val="page number"/>
    <w:basedOn w:val="DefaultParagraphFont"/>
    <w:rsid w:val="00CF5192"/>
  </w:style>
  <w:style w:type="paragraph" w:styleId="BalloonText">
    <w:name w:val="Balloon Text"/>
    <w:basedOn w:val="Normal"/>
    <w:link w:val="BalloonTextChar"/>
    <w:uiPriority w:val="99"/>
    <w:semiHidden/>
    <w:unhideWhenUsed/>
    <w:rsid w:val="00CF51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92"/>
    <w:rPr>
      <w:rFonts w:ascii="Tahoma" w:hAnsi="Tahoma" w:cs="Tahoma"/>
      <w:sz w:val="16"/>
      <w:szCs w:val="16"/>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w:basedOn w:val="DefaultParagraphFont"/>
    <w:link w:val="FootnotesymbolCarZchn"/>
    <w:uiPriority w:val="99"/>
    <w:unhideWhenUsed/>
    <w:qFormat/>
    <w:rsid w:val="00347474"/>
    <w:rPr>
      <w:vertAlign w:val="superscript"/>
    </w:rPr>
  </w:style>
  <w:style w:type="paragraph" w:styleId="ListParagraph">
    <w:name w:val="List Paragraph"/>
    <w:aliases w:val="Mummuga loetelu,Bullet alinea,Dot pt,F5 List Paragraph,List Paragraph1,No Spacing1,List Paragraph Char Char Char,Indicator Text,Numbered Para 1,Bullet 1,Bullet Points,MAIN CONTENT,Recommendation,List Paragraph2"/>
    <w:basedOn w:val="Normal"/>
    <w:link w:val="ListParagraphChar"/>
    <w:uiPriority w:val="34"/>
    <w:qFormat/>
    <w:rsid w:val="00F56B4E"/>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13BC0"/>
    <w:pPr>
      <w:spacing w:before="120" w:after="160" w:line="240" w:lineRule="exact"/>
      <w:jc w:val="both"/>
    </w:pPr>
    <w:rPr>
      <w:vertAlign w:val="superscript"/>
    </w:rPr>
  </w:style>
  <w:style w:type="table" w:customStyle="1" w:styleId="TableGrid1">
    <w:name w:val="Table Grid1"/>
    <w:basedOn w:val="TableNormal"/>
    <w:next w:val="TableGrid"/>
    <w:rsid w:val="00513BC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uiPriority w:val="99"/>
    <w:locked/>
    <w:rsid w:val="001B2FBF"/>
    <w:rPr>
      <w:lang w:val="en-GB" w:eastAsia="en-US" w:bidi="ar-SA"/>
    </w:rPr>
  </w:style>
  <w:style w:type="character" w:styleId="CommentReference">
    <w:name w:val="annotation reference"/>
    <w:basedOn w:val="DefaultParagraphFont"/>
    <w:uiPriority w:val="99"/>
    <w:semiHidden/>
    <w:unhideWhenUsed/>
    <w:rsid w:val="00C07D17"/>
    <w:rPr>
      <w:sz w:val="16"/>
      <w:szCs w:val="16"/>
    </w:rPr>
  </w:style>
  <w:style w:type="paragraph" w:styleId="CommentText">
    <w:name w:val="annotation text"/>
    <w:basedOn w:val="Normal"/>
    <w:link w:val="CommentTextChar"/>
    <w:uiPriority w:val="99"/>
    <w:unhideWhenUsed/>
    <w:rsid w:val="00C07D17"/>
    <w:pPr>
      <w:spacing w:line="240" w:lineRule="auto"/>
    </w:pPr>
    <w:rPr>
      <w:sz w:val="20"/>
      <w:szCs w:val="20"/>
    </w:rPr>
  </w:style>
  <w:style w:type="character" w:customStyle="1" w:styleId="CommentTextChar">
    <w:name w:val="Comment Text Char"/>
    <w:basedOn w:val="DefaultParagraphFont"/>
    <w:link w:val="CommentText"/>
    <w:uiPriority w:val="99"/>
    <w:rsid w:val="00C07D17"/>
    <w:rPr>
      <w:sz w:val="20"/>
      <w:szCs w:val="20"/>
    </w:rPr>
  </w:style>
  <w:style w:type="paragraph" w:styleId="CommentSubject">
    <w:name w:val="annotation subject"/>
    <w:basedOn w:val="CommentText"/>
    <w:next w:val="CommentText"/>
    <w:link w:val="CommentSubjectChar"/>
    <w:uiPriority w:val="99"/>
    <w:semiHidden/>
    <w:unhideWhenUsed/>
    <w:rsid w:val="00610B68"/>
    <w:rPr>
      <w:b/>
      <w:bCs/>
    </w:rPr>
  </w:style>
  <w:style w:type="character" w:customStyle="1" w:styleId="CommentSubjectChar">
    <w:name w:val="Comment Subject Char"/>
    <w:basedOn w:val="CommentTextChar"/>
    <w:link w:val="CommentSubject"/>
    <w:uiPriority w:val="99"/>
    <w:semiHidden/>
    <w:rsid w:val="00610B68"/>
    <w:rPr>
      <w:b/>
      <w:bCs/>
      <w:sz w:val="20"/>
      <w:szCs w:val="20"/>
    </w:rPr>
  </w:style>
  <w:style w:type="paragraph" w:styleId="Revision">
    <w:name w:val="Revision"/>
    <w:hidden/>
    <w:uiPriority w:val="99"/>
    <w:semiHidden/>
    <w:rsid w:val="00FA15D6"/>
    <w:pPr>
      <w:spacing w:line="240" w:lineRule="auto"/>
    </w:pPr>
  </w:style>
  <w:style w:type="paragraph" w:styleId="Caption">
    <w:name w:val="caption"/>
    <w:basedOn w:val="Normal"/>
    <w:next w:val="Normal"/>
    <w:uiPriority w:val="35"/>
    <w:unhideWhenUsed/>
    <w:qFormat/>
    <w:rsid w:val="00FA15D6"/>
    <w:pPr>
      <w:spacing w:line="240" w:lineRule="auto"/>
    </w:pPr>
    <w:rPr>
      <w:b/>
      <w:bCs/>
      <w:color w:val="4F81BD" w:themeColor="accent1"/>
      <w:sz w:val="18"/>
      <w:szCs w:val="18"/>
    </w:rPr>
  </w:style>
  <w:style w:type="character" w:customStyle="1" w:styleId="Heading1Char">
    <w:name w:val="Heading 1 Char"/>
    <w:basedOn w:val="DefaultParagraphFont"/>
    <w:link w:val="Heading1"/>
    <w:rsid w:val="00C07BDA"/>
    <w:rPr>
      <w:rFonts w:ascii="Times New Roman Bold" w:eastAsia="MS Gothic" w:hAnsi="Times New Roman Bold" w:cs="Times New Roman"/>
      <w:b/>
      <w:bCs/>
      <w:smallCaps/>
      <w:noProof/>
      <w:sz w:val="24"/>
      <w:szCs w:val="24"/>
      <w:lang w:eastAsia="en-GB"/>
    </w:rPr>
  </w:style>
  <w:style w:type="paragraph" w:customStyle="1" w:styleId="Default">
    <w:name w:val="Default"/>
    <w:rsid w:val="00F655AE"/>
    <w:pPr>
      <w:autoSpaceDE w:val="0"/>
      <w:autoSpaceDN w:val="0"/>
      <w:adjustRightInd w:val="0"/>
      <w:spacing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rsid w:val="00F655AE"/>
    <w:pPr>
      <w:spacing w:after="240" w:line="240" w:lineRule="auto"/>
    </w:pPr>
    <w:rPr>
      <w:rFonts w:ascii="Times New Roman" w:eastAsia="Times New Roman" w:hAnsi="Times New Roman"/>
      <w:sz w:val="24"/>
      <w:szCs w:val="24"/>
      <w:lang w:eastAsia="en-GB"/>
    </w:rPr>
  </w:style>
  <w:style w:type="character" w:customStyle="1" w:styleId="Marker">
    <w:name w:val="Marker"/>
    <w:basedOn w:val="DefaultParagraphFont"/>
    <w:rsid w:val="00CA5161"/>
    <w:rPr>
      <w:color w:val="0000FF"/>
      <w:shd w:val="clear" w:color="auto" w:fill="auto"/>
    </w:rPr>
  </w:style>
  <w:style w:type="paragraph" w:customStyle="1" w:styleId="Pagedecouverture">
    <w:name w:val="Page de couverture"/>
    <w:basedOn w:val="Normal"/>
    <w:next w:val="Normal"/>
    <w:rsid w:val="00CA5161"/>
    <w:pPr>
      <w:spacing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A5161"/>
    <w:pPr>
      <w:tabs>
        <w:tab w:val="center" w:pos="4535"/>
        <w:tab w:val="right" w:pos="9071"/>
        <w:tab w:val="right" w:pos="9921"/>
      </w:tabs>
      <w:spacing w:before="360" w:line="240" w:lineRule="auto"/>
      <w:ind w:left="-850" w:right="-850"/>
    </w:pPr>
    <w:rPr>
      <w:sz w:val="24"/>
    </w:rPr>
  </w:style>
  <w:style w:type="character" w:customStyle="1" w:styleId="FooterCoverPageChar">
    <w:name w:val="Footer Cover Page Char"/>
    <w:basedOn w:val="DefaultParagraphFont"/>
    <w:link w:val="FooterCoverPage"/>
    <w:rsid w:val="00CA5161"/>
    <w:rPr>
      <w:sz w:val="24"/>
    </w:rPr>
  </w:style>
  <w:style w:type="paragraph" w:customStyle="1" w:styleId="FooterSensitivity">
    <w:name w:val="Footer Sensitivity"/>
    <w:basedOn w:val="Normal"/>
    <w:link w:val="FooterSensitivityChar"/>
    <w:rsid w:val="00CA5161"/>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CA5161"/>
    <w:rPr>
      <w:b/>
      <w:sz w:val="32"/>
    </w:rPr>
  </w:style>
  <w:style w:type="paragraph" w:customStyle="1" w:styleId="HeaderCoverPage">
    <w:name w:val="Header Cover Page"/>
    <w:basedOn w:val="Normal"/>
    <w:link w:val="HeaderCoverPageChar"/>
    <w:rsid w:val="00CA5161"/>
    <w:pPr>
      <w:tabs>
        <w:tab w:val="center" w:pos="4535"/>
        <w:tab w:val="right" w:pos="9071"/>
      </w:tabs>
      <w:spacing w:after="120" w:line="240" w:lineRule="auto"/>
      <w:ind w:left="0"/>
      <w:jc w:val="both"/>
    </w:pPr>
    <w:rPr>
      <w:sz w:val="24"/>
    </w:rPr>
  </w:style>
  <w:style w:type="character" w:customStyle="1" w:styleId="HeaderCoverPageChar">
    <w:name w:val="Header Cover Page Char"/>
    <w:basedOn w:val="DefaultParagraphFont"/>
    <w:link w:val="HeaderCoverPage"/>
    <w:rsid w:val="00CA5161"/>
    <w:rPr>
      <w:sz w:val="24"/>
    </w:rPr>
  </w:style>
  <w:style w:type="paragraph" w:customStyle="1" w:styleId="HeaderSensitivity">
    <w:name w:val="Header Sensitivity"/>
    <w:basedOn w:val="Normal"/>
    <w:link w:val="HeaderSensitivityChar"/>
    <w:rsid w:val="00CA516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CA5161"/>
    <w:rPr>
      <w:b/>
      <w:sz w:val="32"/>
    </w:rPr>
  </w:style>
  <w:style w:type="character" w:customStyle="1" w:styleId="Heading2Char">
    <w:name w:val="Heading 2 Char"/>
    <w:basedOn w:val="DefaultParagraphFont"/>
    <w:link w:val="Heading2"/>
    <w:uiPriority w:val="9"/>
    <w:semiHidden/>
    <w:rsid w:val="000D527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D5276"/>
    <w:rPr>
      <w:color w:val="0000FF"/>
      <w:u w:val="single"/>
    </w:rPr>
  </w:style>
  <w:style w:type="paragraph" w:customStyle="1" w:styleId="bodytext">
    <w:name w:val="bodytext"/>
    <w:basedOn w:val="Normal"/>
    <w:rsid w:val="000D5276"/>
    <w:pPr>
      <w:spacing w:before="100" w:beforeAutospacing="1" w:after="100" w:afterAutospacing="1" w:line="240" w:lineRule="auto"/>
      <w:ind w:left="0"/>
    </w:pPr>
    <w:rPr>
      <w:rFonts w:ascii="Times New Roman" w:hAnsi="Times New Roman" w:cs="Times New Roman"/>
      <w:sz w:val="24"/>
      <w:szCs w:val="24"/>
      <w:lang w:val="fr-BE" w:eastAsia="fr-BE"/>
    </w:rPr>
  </w:style>
  <w:style w:type="paragraph" w:customStyle="1" w:styleId="GraphTitle">
    <w:name w:val="Graph Title"/>
    <w:basedOn w:val="Normal"/>
    <w:next w:val="Normal"/>
    <w:rsid w:val="00D12D19"/>
    <w:pPr>
      <w:keepNext/>
      <w:pBdr>
        <w:top w:val="single" w:sz="6" w:space="2" w:color="auto"/>
        <w:bottom w:val="single" w:sz="6" w:space="2" w:color="auto"/>
      </w:pBdr>
      <w:spacing w:after="40" w:line="240" w:lineRule="auto"/>
      <w:ind w:left="935" w:hanging="935"/>
    </w:pPr>
    <w:rPr>
      <w:rFonts w:ascii="Times New Roman" w:hAnsi="Times New Roman" w:cs="Times New Roman"/>
      <w:color w:val="333399"/>
      <w:sz w:val="14"/>
    </w:rPr>
  </w:style>
  <w:style w:type="paragraph" w:customStyle="1" w:styleId="GraphSource">
    <w:name w:val="Graph Source"/>
    <w:basedOn w:val="Normal"/>
    <w:rsid w:val="00D12D19"/>
    <w:pPr>
      <w:pBdr>
        <w:top w:val="single" w:sz="6" w:space="2" w:color="auto"/>
        <w:bottom w:val="single" w:sz="6" w:space="2" w:color="auto"/>
      </w:pBdr>
      <w:spacing w:line="240" w:lineRule="auto"/>
      <w:ind w:left="0"/>
    </w:pPr>
    <w:rPr>
      <w:rFonts w:ascii="Times New Roman" w:hAnsi="Times New Roman" w:cs="Times New Roman"/>
      <w:color w:val="000000"/>
      <w:sz w:val="14"/>
    </w:rPr>
  </w:style>
  <w:style w:type="paragraph" w:customStyle="1" w:styleId="GraphShape">
    <w:name w:val="Graph Shape"/>
    <w:basedOn w:val="Normal"/>
    <w:next w:val="Normal"/>
    <w:rsid w:val="00D12D19"/>
    <w:pPr>
      <w:keepNext/>
      <w:spacing w:line="240" w:lineRule="auto"/>
      <w:ind w:left="0"/>
      <w:jc w:val="center"/>
    </w:pPr>
    <w:rPr>
      <w:rFonts w:ascii="Times New Roman" w:hAnsi="Times New Roman" w:cs="Times New Roman"/>
      <w:color w:val="000000"/>
      <w:sz w:val="20"/>
    </w:rPr>
  </w:style>
  <w:style w:type="paragraph" w:customStyle="1" w:styleId="NumberedList">
    <w:name w:val="Numbered List"/>
    <w:basedOn w:val="Normal"/>
    <w:rsid w:val="00E57743"/>
    <w:pPr>
      <w:numPr>
        <w:numId w:val="46"/>
      </w:numPr>
      <w:spacing w:after="240" w:line="240" w:lineRule="atLeast"/>
      <w:jc w:val="both"/>
    </w:pPr>
    <w:rPr>
      <w:rFonts w:ascii="Times New Roman" w:hAnsi="Times New Roman" w:cs="Times New Roman"/>
      <w:color w:val="000000"/>
      <w:sz w:val="20"/>
    </w:rPr>
  </w:style>
  <w:style w:type="paragraph" w:customStyle="1" w:styleId="SecurityMarking">
    <w:name w:val="SecurityMarking"/>
    <w:basedOn w:val="Normal"/>
    <w:rsid w:val="004B6188"/>
    <w:pPr>
      <w:ind w:left="5103"/>
    </w:pPr>
    <w:rPr>
      <w:rFonts w:ascii="Times New Roman" w:hAnsi="Times New Roman" w:cs="Times New Roman"/>
      <w:sz w:val="28"/>
    </w:rPr>
  </w:style>
  <w:style w:type="paragraph" w:customStyle="1" w:styleId="DateMarking">
    <w:name w:val="DateMarking"/>
    <w:basedOn w:val="Normal"/>
    <w:rsid w:val="004B6188"/>
    <w:pPr>
      <w:ind w:left="5103"/>
    </w:pPr>
    <w:rPr>
      <w:rFonts w:ascii="Times New Roman" w:hAnsi="Times New Roman" w:cs="Times New Roman"/>
      <w:i/>
      <w:sz w:val="28"/>
    </w:rPr>
  </w:style>
  <w:style w:type="paragraph" w:customStyle="1" w:styleId="ReleasableTo">
    <w:name w:val="ReleasableTo"/>
    <w:basedOn w:val="Normal"/>
    <w:rsid w:val="004B6188"/>
    <w:pPr>
      <w:ind w:left="5103"/>
    </w:pPr>
    <w:rPr>
      <w:rFonts w:ascii="Times New Roman" w:hAnsi="Times New Roman" w:cs="Times New Roman"/>
      <w:i/>
      <w:sz w:val="28"/>
    </w:rPr>
  </w:style>
  <w:style w:type="paragraph" w:customStyle="1" w:styleId="HeaderSensitivityRight">
    <w:name w:val="Header Sensitivity Right"/>
    <w:basedOn w:val="Normal"/>
    <w:rsid w:val="004B6188"/>
    <w:pPr>
      <w:spacing w:after="120" w:line="240" w:lineRule="auto"/>
      <w:ind w:left="0"/>
      <w:jc w:val="right"/>
    </w:pPr>
    <w:rPr>
      <w:sz w:val="28"/>
    </w:rPr>
  </w:style>
  <w:style w:type="table" w:customStyle="1" w:styleId="TableGrid2">
    <w:name w:val="Table Grid2"/>
    <w:basedOn w:val="TableNormal"/>
    <w:next w:val="TableGrid"/>
    <w:uiPriority w:val="59"/>
    <w:rsid w:val="00572ED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1 Char,Bullet Points Char"/>
    <w:basedOn w:val="DefaultParagraphFont"/>
    <w:link w:val="ListParagraph"/>
    <w:uiPriority w:val="34"/>
    <w:qFormat/>
    <w:locked/>
    <w:rsid w:val="00512314"/>
  </w:style>
  <w:style w:type="paragraph" w:customStyle="1" w:styleId="Disclaimer">
    <w:name w:val="Disclaimer"/>
    <w:basedOn w:val="Normal"/>
    <w:rsid w:val="004B618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ind w:left="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8693">
      <w:bodyDiv w:val="1"/>
      <w:marLeft w:val="0"/>
      <w:marRight w:val="0"/>
      <w:marTop w:val="0"/>
      <w:marBottom w:val="0"/>
      <w:divBdr>
        <w:top w:val="none" w:sz="0" w:space="0" w:color="auto"/>
        <w:left w:val="none" w:sz="0" w:space="0" w:color="auto"/>
        <w:bottom w:val="none" w:sz="0" w:space="0" w:color="auto"/>
        <w:right w:val="none" w:sz="0" w:space="0" w:color="auto"/>
      </w:divBdr>
    </w:div>
    <w:div w:id="138810810">
      <w:bodyDiv w:val="1"/>
      <w:marLeft w:val="0"/>
      <w:marRight w:val="0"/>
      <w:marTop w:val="0"/>
      <w:marBottom w:val="0"/>
      <w:divBdr>
        <w:top w:val="none" w:sz="0" w:space="0" w:color="auto"/>
        <w:left w:val="none" w:sz="0" w:space="0" w:color="auto"/>
        <w:bottom w:val="none" w:sz="0" w:space="0" w:color="auto"/>
        <w:right w:val="none" w:sz="0" w:space="0" w:color="auto"/>
      </w:divBdr>
    </w:div>
    <w:div w:id="160581979">
      <w:bodyDiv w:val="1"/>
      <w:marLeft w:val="0"/>
      <w:marRight w:val="0"/>
      <w:marTop w:val="0"/>
      <w:marBottom w:val="0"/>
      <w:divBdr>
        <w:top w:val="none" w:sz="0" w:space="0" w:color="auto"/>
        <w:left w:val="none" w:sz="0" w:space="0" w:color="auto"/>
        <w:bottom w:val="none" w:sz="0" w:space="0" w:color="auto"/>
        <w:right w:val="none" w:sz="0" w:space="0" w:color="auto"/>
      </w:divBdr>
    </w:div>
    <w:div w:id="290210317">
      <w:bodyDiv w:val="1"/>
      <w:marLeft w:val="0"/>
      <w:marRight w:val="0"/>
      <w:marTop w:val="0"/>
      <w:marBottom w:val="0"/>
      <w:divBdr>
        <w:top w:val="none" w:sz="0" w:space="0" w:color="auto"/>
        <w:left w:val="none" w:sz="0" w:space="0" w:color="auto"/>
        <w:bottom w:val="none" w:sz="0" w:space="0" w:color="auto"/>
        <w:right w:val="none" w:sz="0" w:space="0" w:color="auto"/>
      </w:divBdr>
    </w:div>
    <w:div w:id="317461813">
      <w:bodyDiv w:val="1"/>
      <w:marLeft w:val="0"/>
      <w:marRight w:val="0"/>
      <w:marTop w:val="0"/>
      <w:marBottom w:val="0"/>
      <w:divBdr>
        <w:top w:val="none" w:sz="0" w:space="0" w:color="auto"/>
        <w:left w:val="none" w:sz="0" w:space="0" w:color="auto"/>
        <w:bottom w:val="none" w:sz="0" w:space="0" w:color="auto"/>
        <w:right w:val="none" w:sz="0" w:space="0" w:color="auto"/>
      </w:divBdr>
    </w:div>
    <w:div w:id="414206980">
      <w:bodyDiv w:val="1"/>
      <w:marLeft w:val="0"/>
      <w:marRight w:val="0"/>
      <w:marTop w:val="0"/>
      <w:marBottom w:val="0"/>
      <w:divBdr>
        <w:top w:val="none" w:sz="0" w:space="0" w:color="auto"/>
        <w:left w:val="none" w:sz="0" w:space="0" w:color="auto"/>
        <w:bottom w:val="none" w:sz="0" w:space="0" w:color="auto"/>
        <w:right w:val="none" w:sz="0" w:space="0" w:color="auto"/>
      </w:divBdr>
    </w:div>
    <w:div w:id="601643259">
      <w:bodyDiv w:val="1"/>
      <w:marLeft w:val="0"/>
      <w:marRight w:val="0"/>
      <w:marTop w:val="0"/>
      <w:marBottom w:val="0"/>
      <w:divBdr>
        <w:top w:val="none" w:sz="0" w:space="0" w:color="auto"/>
        <w:left w:val="none" w:sz="0" w:space="0" w:color="auto"/>
        <w:bottom w:val="none" w:sz="0" w:space="0" w:color="auto"/>
        <w:right w:val="none" w:sz="0" w:space="0" w:color="auto"/>
      </w:divBdr>
    </w:div>
    <w:div w:id="705252343">
      <w:bodyDiv w:val="1"/>
      <w:marLeft w:val="0"/>
      <w:marRight w:val="0"/>
      <w:marTop w:val="0"/>
      <w:marBottom w:val="0"/>
      <w:divBdr>
        <w:top w:val="none" w:sz="0" w:space="0" w:color="auto"/>
        <w:left w:val="none" w:sz="0" w:space="0" w:color="auto"/>
        <w:bottom w:val="none" w:sz="0" w:space="0" w:color="auto"/>
        <w:right w:val="none" w:sz="0" w:space="0" w:color="auto"/>
      </w:divBdr>
    </w:div>
    <w:div w:id="720641078">
      <w:bodyDiv w:val="1"/>
      <w:marLeft w:val="0"/>
      <w:marRight w:val="0"/>
      <w:marTop w:val="0"/>
      <w:marBottom w:val="0"/>
      <w:divBdr>
        <w:top w:val="none" w:sz="0" w:space="0" w:color="auto"/>
        <w:left w:val="none" w:sz="0" w:space="0" w:color="auto"/>
        <w:bottom w:val="none" w:sz="0" w:space="0" w:color="auto"/>
        <w:right w:val="none" w:sz="0" w:space="0" w:color="auto"/>
      </w:divBdr>
    </w:div>
    <w:div w:id="773593049">
      <w:bodyDiv w:val="1"/>
      <w:marLeft w:val="0"/>
      <w:marRight w:val="0"/>
      <w:marTop w:val="0"/>
      <w:marBottom w:val="0"/>
      <w:divBdr>
        <w:top w:val="none" w:sz="0" w:space="0" w:color="auto"/>
        <w:left w:val="none" w:sz="0" w:space="0" w:color="auto"/>
        <w:bottom w:val="none" w:sz="0" w:space="0" w:color="auto"/>
        <w:right w:val="none" w:sz="0" w:space="0" w:color="auto"/>
      </w:divBdr>
    </w:div>
    <w:div w:id="799153832">
      <w:bodyDiv w:val="1"/>
      <w:marLeft w:val="0"/>
      <w:marRight w:val="0"/>
      <w:marTop w:val="0"/>
      <w:marBottom w:val="0"/>
      <w:divBdr>
        <w:top w:val="none" w:sz="0" w:space="0" w:color="auto"/>
        <w:left w:val="none" w:sz="0" w:space="0" w:color="auto"/>
        <w:bottom w:val="none" w:sz="0" w:space="0" w:color="auto"/>
        <w:right w:val="none" w:sz="0" w:space="0" w:color="auto"/>
      </w:divBdr>
    </w:div>
    <w:div w:id="856963744">
      <w:bodyDiv w:val="1"/>
      <w:marLeft w:val="0"/>
      <w:marRight w:val="0"/>
      <w:marTop w:val="0"/>
      <w:marBottom w:val="0"/>
      <w:divBdr>
        <w:top w:val="none" w:sz="0" w:space="0" w:color="auto"/>
        <w:left w:val="none" w:sz="0" w:space="0" w:color="auto"/>
        <w:bottom w:val="none" w:sz="0" w:space="0" w:color="auto"/>
        <w:right w:val="none" w:sz="0" w:space="0" w:color="auto"/>
      </w:divBdr>
    </w:div>
    <w:div w:id="890455733">
      <w:bodyDiv w:val="1"/>
      <w:marLeft w:val="0"/>
      <w:marRight w:val="0"/>
      <w:marTop w:val="0"/>
      <w:marBottom w:val="0"/>
      <w:divBdr>
        <w:top w:val="none" w:sz="0" w:space="0" w:color="auto"/>
        <w:left w:val="none" w:sz="0" w:space="0" w:color="auto"/>
        <w:bottom w:val="none" w:sz="0" w:space="0" w:color="auto"/>
        <w:right w:val="none" w:sz="0" w:space="0" w:color="auto"/>
      </w:divBdr>
    </w:div>
    <w:div w:id="1174806743">
      <w:bodyDiv w:val="1"/>
      <w:marLeft w:val="0"/>
      <w:marRight w:val="0"/>
      <w:marTop w:val="0"/>
      <w:marBottom w:val="0"/>
      <w:divBdr>
        <w:top w:val="none" w:sz="0" w:space="0" w:color="auto"/>
        <w:left w:val="none" w:sz="0" w:space="0" w:color="auto"/>
        <w:bottom w:val="none" w:sz="0" w:space="0" w:color="auto"/>
        <w:right w:val="none" w:sz="0" w:space="0" w:color="auto"/>
      </w:divBdr>
    </w:div>
    <w:div w:id="1195384713">
      <w:bodyDiv w:val="1"/>
      <w:marLeft w:val="0"/>
      <w:marRight w:val="0"/>
      <w:marTop w:val="0"/>
      <w:marBottom w:val="0"/>
      <w:divBdr>
        <w:top w:val="none" w:sz="0" w:space="0" w:color="auto"/>
        <w:left w:val="none" w:sz="0" w:space="0" w:color="auto"/>
        <w:bottom w:val="none" w:sz="0" w:space="0" w:color="auto"/>
        <w:right w:val="none" w:sz="0" w:space="0" w:color="auto"/>
      </w:divBdr>
    </w:div>
    <w:div w:id="1208954805">
      <w:bodyDiv w:val="1"/>
      <w:marLeft w:val="0"/>
      <w:marRight w:val="0"/>
      <w:marTop w:val="0"/>
      <w:marBottom w:val="0"/>
      <w:divBdr>
        <w:top w:val="none" w:sz="0" w:space="0" w:color="auto"/>
        <w:left w:val="none" w:sz="0" w:space="0" w:color="auto"/>
        <w:bottom w:val="none" w:sz="0" w:space="0" w:color="auto"/>
        <w:right w:val="none" w:sz="0" w:space="0" w:color="auto"/>
      </w:divBdr>
    </w:div>
    <w:div w:id="1214191235">
      <w:bodyDiv w:val="1"/>
      <w:marLeft w:val="0"/>
      <w:marRight w:val="0"/>
      <w:marTop w:val="0"/>
      <w:marBottom w:val="0"/>
      <w:divBdr>
        <w:top w:val="none" w:sz="0" w:space="0" w:color="auto"/>
        <w:left w:val="none" w:sz="0" w:space="0" w:color="auto"/>
        <w:bottom w:val="none" w:sz="0" w:space="0" w:color="auto"/>
        <w:right w:val="none" w:sz="0" w:space="0" w:color="auto"/>
      </w:divBdr>
      <w:divsChild>
        <w:div w:id="487214000">
          <w:marLeft w:val="0"/>
          <w:marRight w:val="0"/>
          <w:marTop w:val="0"/>
          <w:marBottom w:val="0"/>
          <w:divBdr>
            <w:top w:val="none" w:sz="0" w:space="0" w:color="auto"/>
            <w:left w:val="none" w:sz="0" w:space="0" w:color="auto"/>
            <w:bottom w:val="none" w:sz="0" w:space="0" w:color="auto"/>
            <w:right w:val="none" w:sz="0" w:space="0" w:color="auto"/>
          </w:divBdr>
        </w:div>
        <w:div w:id="842554123">
          <w:marLeft w:val="0"/>
          <w:marRight w:val="0"/>
          <w:marTop w:val="0"/>
          <w:marBottom w:val="0"/>
          <w:divBdr>
            <w:top w:val="none" w:sz="0" w:space="0" w:color="auto"/>
            <w:left w:val="none" w:sz="0" w:space="0" w:color="auto"/>
            <w:bottom w:val="none" w:sz="0" w:space="0" w:color="auto"/>
            <w:right w:val="none" w:sz="0" w:space="0" w:color="auto"/>
          </w:divBdr>
        </w:div>
        <w:div w:id="1168246899">
          <w:marLeft w:val="0"/>
          <w:marRight w:val="0"/>
          <w:marTop w:val="0"/>
          <w:marBottom w:val="0"/>
          <w:divBdr>
            <w:top w:val="none" w:sz="0" w:space="0" w:color="auto"/>
            <w:left w:val="none" w:sz="0" w:space="0" w:color="auto"/>
            <w:bottom w:val="none" w:sz="0" w:space="0" w:color="auto"/>
            <w:right w:val="none" w:sz="0" w:space="0" w:color="auto"/>
          </w:divBdr>
        </w:div>
        <w:div w:id="1497725823">
          <w:marLeft w:val="0"/>
          <w:marRight w:val="0"/>
          <w:marTop w:val="0"/>
          <w:marBottom w:val="0"/>
          <w:divBdr>
            <w:top w:val="none" w:sz="0" w:space="0" w:color="auto"/>
            <w:left w:val="none" w:sz="0" w:space="0" w:color="auto"/>
            <w:bottom w:val="none" w:sz="0" w:space="0" w:color="auto"/>
            <w:right w:val="none" w:sz="0" w:space="0" w:color="auto"/>
          </w:divBdr>
        </w:div>
        <w:div w:id="1509514722">
          <w:marLeft w:val="0"/>
          <w:marRight w:val="0"/>
          <w:marTop w:val="0"/>
          <w:marBottom w:val="0"/>
          <w:divBdr>
            <w:top w:val="none" w:sz="0" w:space="0" w:color="auto"/>
            <w:left w:val="none" w:sz="0" w:space="0" w:color="auto"/>
            <w:bottom w:val="none" w:sz="0" w:space="0" w:color="auto"/>
            <w:right w:val="none" w:sz="0" w:space="0" w:color="auto"/>
          </w:divBdr>
        </w:div>
        <w:div w:id="1752660735">
          <w:marLeft w:val="0"/>
          <w:marRight w:val="0"/>
          <w:marTop w:val="0"/>
          <w:marBottom w:val="0"/>
          <w:divBdr>
            <w:top w:val="none" w:sz="0" w:space="0" w:color="auto"/>
            <w:left w:val="none" w:sz="0" w:space="0" w:color="auto"/>
            <w:bottom w:val="none" w:sz="0" w:space="0" w:color="auto"/>
            <w:right w:val="none" w:sz="0" w:space="0" w:color="auto"/>
          </w:divBdr>
        </w:div>
      </w:divsChild>
    </w:div>
    <w:div w:id="1775440897">
      <w:bodyDiv w:val="1"/>
      <w:marLeft w:val="0"/>
      <w:marRight w:val="0"/>
      <w:marTop w:val="0"/>
      <w:marBottom w:val="0"/>
      <w:divBdr>
        <w:top w:val="none" w:sz="0" w:space="0" w:color="auto"/>
        <w:left w:val="none" w:sz="0" w:space="0" w:color="auto"/>
        <w:bottom w:val="none" w:sz="0" w:space="0" w:color="auto"/>
        <w:right w:val="none" w:sz="0" w:space="0" w:color="auto"/>
      </w:divBdr>
    </w:div>
    <w:div w:id="20695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63" Type="http://schemas.openxmlformats.org/officeDocument/2006/relationships/image" Target="media/image50.emf"/><Relationship Id="rId68" Type="http://schemas.openxmlformats.org/officeDocument/2006/relationships/image" Target="media/image55.emf"/><Relationship Id="rId76" Type="http://schemas.openxmlformats.org/officeDocument/2006/relationships/image" Target="media/image57.emf"/><Relationship Id="rId84"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image" Target="media/image53.emf"/><Relationship Id="rId74" Type="http://schemas.openxmlformats.org/officeDocument/2006/relationships/header" Target="header6.xm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image" Target="media/image48.emf"/><Relationship Id="rId82" Type="http://schemas.openxmlformats.org/officeDocument/2006/relationships/footer" Target="footer8.xml"/><Relationship Id="rId90" Type="http://schemas.microsoft.com/office/2016/09/relationships/commentsIds" Target="commentsIds.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image" Target="media/image58.emf"/><Relationship Id="rId8" Type="http://schemas.openxmlformats.org/officeDocument/2006/relationships/image" Target="media/image1.emf"/><Relationship Id="rId51" Type="http://schemas.openxmlformats.org/officeDocument/2006/relationships/image" Target="media/image38.emf"/><Relationship Id="rId72" Type="http://schemas.openxmlformats.org/officeDocument/2006/relationships/footer" Target="footer4.xm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6.emf"/><Relationship Id="rId67" Type="http://schemas.openxmlformats.org/officeDocument/2006/relationships/image" Target="media/image54.emf"/><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header" Target="header4.xml"/><Relationship Id="rId75" Type="http://schemas.openxmlformats.org/officeDocument/2006/relationships/footer" Target="footer6.xm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image" Target="media/image44.emf"/><Relationship Id="rId10" Type="http://schemas.openxmlformats.org/officeDocument/2006/relationships/header" Target="header2.xml"/><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73" Type="http://schemas.openxmlformats.org/officeDocument/2006/relationships/footer" Target="footer5.xml"/><Relationship Id="rId78" Type="http://schemas.openxmlformats.org/officeDocument/2006/relationships/image" Target="media/image59.emf"/><Relationship Id="rId81" Type="http://schemas.openxmlformats.org/officeDocument/2006/relationships/footer" Target="footer7.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8387/housing-note-eg-26-02-2019-technical-note.pdf" TargetMode="External"/><Relationship Id="rId2" Type="http://schemas.openxmlformats.org/officeDocument/2006/relationships/hyperlink" Target="https://ec.europa.eu/info/business-economy-euro/economic-and-fiscal-policy-coordination/eu-economic-governance-monitoring-prevention-correction/macroeconomic-imbalance-procedure/scoreboard_en" TargetMode="External"/><Relationship Id="rId1" Type="http://schemas.openxmlformats.org/officeDocument/2006/relationships/hyperlink" Target="https://www.policyuncertainty.com/wui_quarter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0020-D0D0-42F0-B6A3-4DE65AEF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20363</Words>
  <Characters>114945</Characters>
  <Application>Microsoft Office Word</Application>
  <DocSecurity>4</DocSecurity>
  <Lines>1642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CARDOSO Pedro (ECFIN)</dc:creator>
  <cp:lastModifiedBy>PAREDES ECHAURI Cristina (SG)</cp:lastModifiedBy>
  <cp:revision>2</cp:revision>
  <cp:lastPrinted>2019-12-13T09:19:00Z</cp:lastPrinted>
  <dcterms:created xsi:type="dcterms:W3CDTF">2019-12-17T10:23:00Z</dcterms:created>
  <dcterms:modified xsi:type="dcterms:W3CDTF">2019-12-17T10:23:00Z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ies>
</file>