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AD3173CA-600C-489C-9E22-58650B6C91B0" style="width:450.3pt;height:435.0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keepNext/>
        <w:keepLines/>
        <w:jc w:val="center"/>
        <w:outlineLvl w:val="0"/>
        <w:rPr>
          <w:rFonts w:cstheme="majorBidi"/>
          <w:b/>
          <w:bCs/>
          <w:caps/>
          <w:noProof/>
          <w:szCs w:val="28"/>
        </w:rPr>
      </w:pPr>
      <w:bookmarkStart w:id="1" w:name="_GoBack"/>
      <w:bookmarkEnd w:id="1"/>
      <w:r>
        <w:rPr>
          <w:rFonts w:ascii="Times New Roman Bold" w:hAnsi="Times New Roman Bold"/>
          <w:b/>
          <w:bCs/>
          <w:caps/>
          <w:noProof/>
          <w:szCs w:val="28"/>
        </w:rPr>
        <w:lastRenderedPageBreak/>
        <w:t>Приложение 1.1</w:t>
      </w: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noProof/>
        </w:rPr>
        <w:t xml:space="preserve">Кумулативно финансово изпълнение на ЕСИ фондовете по тематична цел, отчетено по програмите до </w:t>
      </w:r>
      <w:r>
        <w:rPr>
          <w:b/>
          <w:bCs/>
          <w:noProof/>
          <w:u w:val="single"/>
        </w:rPr>
        <w:t>31 декември 2018 г.</w:t>
      </w:r>
      <w:r>
        <w:rPr>
          <w:b/>
          <w:bCs/>
          <w:noProof/>
        </w:rPr>
        <w:t xml:space="preserve"> (общо разходи и равнища на подбор на проекти и усвояване на разходите)</w:t>
      </w:r>
    </w:p>
    <w:p>
      <w:pPr>
        <w:jc w:val="center"/>
        <w:rPr>
          <w:rFonts w:cs="Times New Roman"/>
          <w:b/>
          <w:bCs/>
          <w:i/>
          <w:iCs/>
          <w:noProof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1417"/>
        <w:gridCol w:w="1418"/>
        <w:gridCol w:w="1275"/>
        <w:gridCol w:w="1134"/>
        <w:gridCol w:w="993"/>
        <w:gridCol w:w="1134"/>
      </w:tblGrid>
      <w:tr>
        <w:trPr>
          <w:trHeight w:val="78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Тематични цели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Планирана сума на ЕС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Обща планирана сума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Общ размер на допустимите разходи по избраните проекти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Общ размер на разходите, отчетени по избраните проекти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Равнище на подбор на проекти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Равнище на усвояване на разходите</w:t>
            </w:r>
          </w:p>
        </w:tc>
      </w:tr>
      <w:tr>
        <w:trPr>
          <w:trHeight w:val="5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(Само в ЕС)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(ЕС и национални)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2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млн. евро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млн. евро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млн. евро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млн. евро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Научни изследвания и иновации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40 146,2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59 922,0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42 611,3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11 739,6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Информационни и комуникационни 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12 429,8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18 167,3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12 278,7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2 708,7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Конкурентоспособност на МСП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57 186,8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85 854,0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62 514,5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28 039,9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Нисковъглеродна икономика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34 576,1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49 228,1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31 770,5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9 144,4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65 %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Адаптиране към изменението на климата и предотвратяване на рискове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38 840,7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29 543,6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18 142,2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Опазване на околната среда и ресурсна ефективност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52 683,4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73 817,9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52 037,5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25 063,7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Мрежови инфраструктури в областта на транспорта и енергетиката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54 287,8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65 246,3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56 356,4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19 749,1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Устойчива и качествена заетост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36 356,8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49 476,0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34 550,4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15 582,9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Социално приобщаване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38 451,9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54 191,0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36 393,8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13 243,6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67 %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Образование и професионално обучение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28 149,5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40 874,0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28 340,1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11 026,7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Ефективна публична администрация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4 810,8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6 132,9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4 395,7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1 148,0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Най-отдалечени региони и слабо населени райони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180 %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ind w:right="-136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Преустановени мерки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Множество тематични цели (ЕФРР/КФ/ЕСФ)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61 803,1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84 293,5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61 753,3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18 858,0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Техническа помощ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13 612,0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19 016,9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11 701,6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5 004,6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Всичко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461 103,3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645 449,4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464 408,8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179 930,1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72 %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28 %</w:t>
            </w:r>
          </w:p>
        </w:tc>
      </w:tr>
    </w:tbl>
    <w:p>
      <w:pPr>
        <w:jc w:val="left"/>
        <w:rPr>
          <w:rFonts w:cs="Times New Roman"/>
          <w:bCs/>
          <w:i/>
          <w:iCs/>
          <w:noProof/>
          <w:sz w:val="20"/>
          <w:szCs w:val="20"/>
        </w:rPr>
      </w:pPr>
      <w:r>
        <w:rPr>
          <w:bCs/>
          <w:i/>
          <w:iCs/>
          <w:noProof/>
          <w:sz w:val="20"/>
          <w:szCs w:val="20"/>
        </w:rPr>
        <w:t xml:space="preserve">Източник: Свободно достъпни данни за ЕСИ фондовете — </w:t>
      </w:r>
      <w:hyperlink r:id="rId15" w:history="1">
        <w:r>
          <w:rPr>
            <w:rStyle w:val="Hyperlink"/>
            <w:i/>
            <w:iCs/>
            <w:noProof/>
            <w:sz w:val="20"/>
            <w:szCs w:val="20"/>
          </w:rPr>
          <w:t>https://cohesiondata.ec.europa.eu/d/99js-gm52</w:t>
        </w:r>
      </w:hyperlink>
      <w:r>
        <w:rPr>
          <w:bCs/>
          <w:i/>
          <w:iCs/>
          <w:noProof/>
          <w:sz w:val="20"/>
          <w:szCs w:val="20"/>
        </w:rPr>
        <w:t xml:space="preserve"> към 5 ноември 2019 г.</w:t>
      </w:r>
    </w:p>
    <w:p>
      <w:pPr>
        <w:keepNext/>
        <w:keepLines/>
        <w:jc w:val="center"/>
        <w:outlineLvl w:val="0"/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</w:pPr>
      <w:r>
        <w:rPr>
          <w:noProof/>
        </w:rPr>
        <w:br w:type="page"/>
      </w:r>
      <w:r>
        <w:rPr>
          <w:rFonts w:ascii="Times New Roman Bold" w:hAnsi="Times New Roman Bold"/>
          <w:b/>
          <w:bCs/>
          <w:caps/>
          <w:noProof/>
          <w:szCs w:val="28"/>
        </w:rPr>
        <w:t>Приложение 1.2</w:t>
      </w:r>
    </w:p>
    <w:p>
      <w:pPr>
        <w:rPr>
          <w:noProof/>
        </w:rPr>
      </w:pP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noProof/>
        </w:rPr>
        <w:t xml:space="preserve">Кумулативно финансово изпълнение на ЕСИ фондовете по тематична цел, отчетено по програмите до </w:t>
      </w:r>
      <w:r>
        <w:rPr>
          <w:b/>
          <w:bCs/>
          <w:noProof/>
          <w:u w:val="single"/>
        </w:rPr>
        <w:t>30 септември 2019 г.</w:t>
      </w:r>
      <w:r>
        <w:rPr>
          <w:b/>
          <w:bCs/>
          <w:noProof/>
        </w:rPr>
        <w:t xml:space="preserve"> (общо разходи и равнища на подбор на проекти и усвояване на разходите)</w:t>
      </w: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i/>
          <w:iCs/>
          <w:noProof/>
        </w:rPr>
        <w:t>Данни за сближаването от 30.9.2019 г. — данни за ЕЗФРСР и ЕФМДР от 31.12.2018 г.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418"/>
        <w:gridCol w:w="1275"/>
        <w:gridCol w:w="1134"/>
        <w:gridCol w:w="993"/>
        <w:gridCol w:w="1134"/>
      </w:tblGrid>
      <w:tr>
        <w:trPr>
          <w:trHeight w:val="7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Тематични цели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Планирана сума на ЕС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Обща планирана сума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Общ размер на допустимите разходи по избраните проекти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Общ размер на разходите, отчетени по избраните проекти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Равнище на подбор на проекти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Равнище на усвояване на разходите</w:t>
            </w:r>
          </w:p>
        </w:tc>
      </w:tr>
      <w:tr>
        <w:trPr>
          <w:trHeight w:val="5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(Само в ЕС)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(ЕС и национални)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2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млн. евро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млн. евро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млн. евро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млн. евро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Научни изследвания и иновации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39 987,8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59 665,2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46 645,3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14 399,9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78 %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Информационни и комуникационни технологии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12 266,5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17 837,8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13 771,4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3 360,7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Конкурентоспособност на МСП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57 376,7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85 468,5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64 626,1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33 524,2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Нисковъглеродна икономика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48 814,0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35 014,0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11 377,2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Адаптиране към изменението на климата и предотвратяване на рискове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38 433,9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29 717,6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20 396,7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Опазване на околната среда и ресурсна ефективност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52 765,8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73 445,8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53 936,1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28 647,0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Мрежови инфраструктури в областта на транспорта и енергетиката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54 210,3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65 146,9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59 843,2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22 992,6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92 %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Устойчива и качествена заетост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36 269,0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49 308,7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36 966,4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17 137,8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Социално приобщаване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38 558,1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54 281,1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39 435,1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16 129,6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Образование и професионално обучение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28 096,7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40 778,0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31 088,8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13 242,7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Ефективна публична администрация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4 797,1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6 116,4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5 017,1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1 419,9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Най-отдалечени региони и слабо населени райони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87 %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200 %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ind w:right="-136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Преустановени мерки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Множество тематични цели (ЕФРР/КФ/ЕСФ)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61 990,5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84 459,2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68 335,6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23 789,7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81 %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Техническа помощ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13 666,6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19 021,4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12 496,1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5 921,8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66 %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Всичко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460 930,9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643 152,1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497 084,4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212 876,6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77 %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33 %</w:t>
            </w:r>
          </w:p>
        </w:tc>
      </w:tr>
    </w:tbl>
    <w:p>
      <w:pPr>
        <w:rPr>
          <w:rFonts w:cs="Times New Roman"/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 xml:space="preserve">Източник: Свободно достъпни данни за ЕСИ фондовете — </w:t>
      </w:r>
      <w:hyperlink r:id="rId16" w:history="1">
        <w:r>
          <w:rPr>
            <w:rStyle w:val="Hyperlink"/>
            <w:i/>
            <w:iCs/>
            <w:noProof/>
            <w:sz w:val="20"/>
            <w:szCs w:val="20"/>
          </w:rPr>
          <w:t>https://cohesiondata.ec.europa.eu/d/99js-gm52</w:t>
        </w:r>
      </w:hyperlink>
      <w:r>
        <w:rPr>
          <w:i/>
          <w:iCs/>
          <w:noProof/>
          <w:sz w:val="20"/>
          <w:szCs w:val="20"/>
        </w:rPr>
        <w:t xml:space="preserve"> към 5 ноември 2019 г.</w:t>
      </w:r>
    </w:p>
    <w:p>
      <w:pPr>
        <w:rPr>
          <w:noProof/>
        </w:rPr>
      </w:pPr>
    </w:p>
    <w:p>
      <w:pPr>
        <w:rPr>
          <w:noProof/>
        </w:rPr>
      </w:pPr>
    </w:p>
    <w:p>
      <w:pPr>
        <w:keepNext/>
        <w:keepLines/>
        <w:jc w:val="center"/>
        <w:outlineLvl w:val="0"/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</w:pPr>
      <w:r>
        <w:rPr>
          <w:noProof/>
        </w:rPr>
        <w:br w:type="page"/>
      </w:r>
      <w:r>
        <w:rPr>
          <w:rFonts w:ascii="Times New Roman Bold" w:hAnsi="Times New Roman Bold"/>
          <w:b/>
          <w:bCs/>
          <w:caps/>
          <w:noProof/>
          <w:szCs w:val="28"/>
        </w:rPr>
        <w:t>Приложение 2.1</w:t>
      </w: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noProof/>
        </w:rPr>
        <w:t xml:space="preserve">Кумулативно финансово изпълнение на ЕСИ фондовете по държава членка, отчетено по програмите до </w:t>
      </w:r>
      <w:r>
        <w:rPr>
          <w:b/>
          <w:bCs/>
          <w:noProof/>
          <w:u w:val="single"/>
        </w:rPr>
        <w:t>31 декември 2018 г.</w:t>
      </w:r>
      <w:r>
        <w:rPr>
          <w:b/>
          <w:bCs/>
          <w:noProof/>
        </w:rPr>
        <w:t xml:space="preserve"> (общо разходи и равнища на подбор на проекти и усвояване на разходи)</w:t>
      </w:r>
    </w:p>
    <w:p>
      <w:pPr>
        <w:rPr>
          <w:rFonts w:cs="Times New Roman"/>
          <w:b/>
          <w:bCs/>
          <w:noProof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9"/>
        <w:gridCol w:w="1378"/>
        <w:gridCol w:w="1328"/>
        <w:gridCol w:w="1315"/>
        <w:gridCol w:w="1114"/>
        <w:gridCol w:w="961"/>
        <w:gridCol w:w="1087"/>
      </w:tblGrid>
      <w:tr>
        <w:trPr>
          <w:trHeight w:val="520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Разпределена сума от ЕС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Обща планирана сума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Общ размер на допустимите разходи по избраните проекти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Общ размер на разходите, отчетени по избраните проекти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В края на 2017 г.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</w:rPr>
            </w:pP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млн. евро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Процент избрани проекти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Равнище на усвояване на разходите</w:t>
            </w:r>
          </w:p>
        </w:tc>
      </w:tr>
      <w:tr>
        <w:trPr>
          <w:trHeight w:val="260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2014—2020 г.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(ЕС и национални)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 края на 2017 г. 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</w:tr>
      <w:tr>
        <w:trPr>
          <w:trHeight w:val="70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</w:rPr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млн. евро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млн. евро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млн. евро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Австрия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4 922,9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10 661,4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7 211,2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4 735,5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Белгия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2 741,7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6 088,8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5 033,1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1 558,4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България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9 876,1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11 726,4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8 027,8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3 156,2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Хърватия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10 727,4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12 649,1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8 740,3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2 178,1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Кипър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917,3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1 169,7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986,9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438,8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Чехия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23 865,0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33 402,3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21 123,4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8 239,1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1 546,8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2 276,5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1 610,5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708,3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Естония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4 423,5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5 779,0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4 190,0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1 929,7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Финландия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3 765,0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8 435,2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7 405,8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4 668,0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88 %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Франция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27 506,2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45 929,2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31 400,5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16 182,6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Германия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27 935,0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44 765,4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32 361,1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15 117,4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Гърция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21 382,0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26 780,4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19 259,3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6 657,1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Унгария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25 013,9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29 649,6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31 434,6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7 897,3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Interreg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9 410,3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12 633,3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9 717,1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2 005,6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Ирландия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3 361,6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6 139,7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5 728,0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2 963,3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Италия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44 656,1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75 164,5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49 948,2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17 460,3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66 %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Латвия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5 633,7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6 907,2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5 583,0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2 118,6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81 %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Литва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8 436,0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9 997,3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6 873,0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3 294,2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Люксембург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140,1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456,4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309,4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Малта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827,9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1 023,9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908,7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311,4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89 %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Нидерландия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1 947,4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3 802,6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3 125,5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1 289,8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Полша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86 111,6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104 916,2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76 918,8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26 879,0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Португалия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25 856,1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32 809,5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27 298,8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11 943,6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Румъния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30 882,6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36 742,0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26 741,5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8 815,7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Словакия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15 260,4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19 519,9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13 938,7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4 355,0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Словения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3 930,6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4 958,0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3 793,9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1 348,1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Испания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39 950,9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56 318,0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30 030,6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12 569,5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Швеция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3 626,7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8 053,0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5 909,1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3 101,2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Обединеното кралство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16 448,4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26 694,8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18 799,9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7 803,1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>
            <w:pPr>
              <w:spacing w:before="120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Всичко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461 103,3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645 449,4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464 408,8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179 930,1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72 %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28 %</w:t>
            </w:r>
          </w:p>
        </w:tc>
      </w:tr>
    </w:tbl>
    <w:p>
      <w:pPr>
        <w:rPr>
          <w:rFonts w:cs="Times New Roman"/>
          <w:bCs/>
          <w:i/>
          <w:iCs/>
          <w:noProof/>
          <w:sz w:val="20"/>
        </w:rPr>
      </w:pPr>
      <w:r>
        <w:rPr>
          <w:bCs/>
          <w:i/>
          <w:iCs/>
          <w:noProof/>
          <w:sz w:val="20"/>
        </w:rPr>
        <w:t xml:space="preserve">Източник: Свободно достъпни данни за ЕСИ фондовете — </w:t>
      </w:r>
      <w:hyperlink r:id="rId17" w:history="1">
        <w:r>
          <w:rPr>
            <w:rStyle w:val="Hyperlink"/>
            <w:i/>
            <w:iCs/>
            <w:noProof/>
            <w:sz w:val="20"/>
          </w:rPr>
          <w:t>https://cohesiondata.ec.europa.eu/d/99js-gm52</w:t>
        </w:r>
      </w:hyperlink>
      <w:r>
        <w:rPr>
          <w:bCs/>
          <w:i/>
          <w:iCs/>
          <w:noProof/>
          <w:sz w:val="20"/>
        </w:rPr>
        <w:t xml:space="preserve"> към 5 ноември 2019 г.</w:t>
      </w:r>
    </w:p>
    <w:p>
      <w:pPr>
        <w:rPr>
          <w:rFonts w:cs="Times New Roman"/>
          <w:i/>
          <w:iCs/>
          <w:noProof/>
          <w:sz w:val="20"/>
          <w:szCs w:val="20"/>
        </w:rPr>
      </w:pPr>
    </w:p>
    <w:p>
      <w:pPr>
        <w:keepNext/>
        <w:keepLines/>
        <w:jc w:val="center"/>
        <w:outlineLvl w:val="0"/>
        <w:rPr>
          <w:rFonts w:eastAsia="Times New Roman" w:cs="Times New Roman"/>
          <w:b/>
          <w:bCs/>
          <w:caps/>
          <w:noProof/>
          <w:sz w:val="32"/>
          <w:szCs w:val="32"/>
        </w:rPr>
      </w:pPr>
      <w:r>
        <w:rPr>
          <w:noProof/>
        </w:rPr>
        <w:br w:type="page"/>
      </w:r>
      <w:r>
        <w:rPr>
          <w:rFonts w:ascii="Times New Roman Bold" w:hAnsi="Times New Roman Bold"/>
          <w:b/>
          <w:bCs/>
          <w:caps/>
          <w:noProof/>
          <w:szCs w:val="28"/>
        </w:rPr>
        <w:t>Приложение 2.2</w:t>
      </w: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noProof/>
        </w:rPr>
        <w:t xml:space="preserve">Кумулативно финансово изпълнение на ЕСИ фондовете по държава членка, отчетено по програмите до </w:t>
      </w:r>
      <w:r>
        <w:rPr>
          <w:b/>
          <w:bCs/>
          <w:noProof/>
          <w:u w:val="single"/>
        </w:rPr>
        <w:t>30 септември 2019</w:t>
      </w:r>
      <w:r>
        <w:rPr>
          <w:b/>
          <w:bCs/>
          <w:noProof/>
        </w:rPr>
        <w:t xml:space="preserve"> (общо разходи и равнища на подбор на проекти и усвояване на разходи)</w:t>
      </w:r>
    </w:p>
    <w:p>
      <w:pPr>
        <w:jc w:val="center"/>
        <w:rPr>
          <w:rFonts w:cs="Times New Roman"/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Данни за сближаването от 30.9.2019 г. — данни за ЕЗФРСР и ЕФМДР от 31.12.2018 г.</w:t>
      </w:r>
    </w:p>
    <w:p>
      <w:pPr>
        <w:jc w:val="center"/>
        <w:rPr>
          <w:rFonts w:cs="Times New Roman"/>
          <w:b/>
          <w:bCs/>
          <w:noProof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9"/>
        <w:gridCol w:w="1378"/>
        <w:gridCol w:w="1328"/>
        <w:gridCol w:w="1315"/>
        <w:gridCol w:w="1114"/>
        <w:gridCol w:w="961"/>
        <w:gridCol w:w="1087"/>
      </w:tblGrid>
      <w:tr>
        <w:trPr>
          <w:trHeight w:val="520"/>
        </w:trPr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Разпределена сума от ЕС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Обща планирана сума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Общ размер на допустимите разходи по избраните проекти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Общ размер на разходите, отчетени по избраните проекти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Есента на 2018 г.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</w:rPr>
            </w:pP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млн. евро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Процент избрани проекти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Равнище на усвояване на разходите</w:t>
            </w:r>
          </w:p>
        </w:tc>
      </w:tr>
      <w:tr>
        <w:trPr>
          <w:trHeight w:val="260"/>
        </w:trPr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2014—2020 г.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(ЕС и национални)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Есента на 2018 г. 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</w:tr>
      <w:tr>
        <w:trPr>
          <w:trHeight w:val="70"/>
        </w:trPr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млн. евро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млн. евро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млн. евро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Австрия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4 922,9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10 660,8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7 657,1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5 210,4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Белгия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2 741,7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6 088,8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5 107,1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1 905,2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България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9 868,8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11 714,0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8 415,8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3 903,9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Хърватия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10 727,4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12 649,1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9 808,8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3 105,5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Кипър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917,3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1 169,7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1 060,6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484,6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Чехия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23 865,0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32 739,6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23 214,4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10 489,2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1 546,8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2 316,6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1 732,5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800,4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Естония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4 423,5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5 779,0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4 510,7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2 328,2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Финландия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3 765,0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8 435,2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7 650,3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5 066,4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Франция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27 521,6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45 946,5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34 347,1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18 705,6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Германия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27 935,0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44 730,6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34 524,6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17 516,3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Гърция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21 382,0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26 144,3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20 991,0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7 183,4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Унгария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25 013,2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29 639,9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32 354,9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10 027,3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109 %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Interreg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9 410,0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12 631,1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10 809,9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2 863,0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Ирландия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3 361,6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6 139,7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5 762,9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3 124,3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94 %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Италия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44 629,9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75 130,7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50 953,4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20 617,4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Латвия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5 633,7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6 907,9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5 876,8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2 640,2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Литва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8 436,4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9 998,4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7 662,6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3 897,6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Люксембург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140,1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456,4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309,4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246,6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Малта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827,9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1 022,1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941,2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375,2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92 %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Нидерландия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1 947,4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3 802,6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3 291,3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1 525,0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Полша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86 108,6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104 912,6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82 582,5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33 745,1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79 %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Португалия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25 856,1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33 043,1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29 244,2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13 350,1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89 %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Румъния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30 882,6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36 742,0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30 357,6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10 023,2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Словакия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15 137,2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19 349,4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14 996,5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5 118,7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Словения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3 928,7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4 955,4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3 793,9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1 430,5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Испания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39 948,8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56 303,7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32 370,3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13 877,3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Швеция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3 626,4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7 099,4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6 044,2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3 586,3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Обединеното кралство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16 425,1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26 643,5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20 712,7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9 730,1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>
            <w:pPr>
              <w:spacing w:before="120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Всичко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460 930,9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643 152,1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497 084,4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212 876,6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33 %</w:t>
            </w:r>
          </w:p>
        </w:tc>
      </w:tr>
    </w:tbl>
    <w:p>
      <w:pPr>
        <w:rPr>
          <w:rFonts w:cs="Times New Roman"/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 xml:space="preserve">Източник: Свободно достъпни данни за ЕСИ фондовете — </w:t>
      </w:r>
      <w:hyperlink r:id="rId18" w:history="1">
        <w:r>
          <w:rPr>
            <w:rStyle w:val="Hyperlink"/>
            <w:i/>
            <w:iCs/>
            <w:noProof/>
            <w:sz w:val="20"/>
            <w:szCs w:val="20"/>
          </w:rPr>
          <w:t>https://cohesiondata.ec.europa.eu/d/99js-gm52</w:t>
        </w:r>
      </w:hyperlink>
      <w:r>
        <w:rPr>
          <w:i/>
          <w:iCs/>
          <w:noProof/>
          <w:sz w:val="20"/>
          <w:szCs w:val="20"/>
        </w:rPr>
        <w:t xml:space="preserve"> към 5 ноември 2019 г.</w:t>
      </w:r>
    </w:p>
    <w:p>
      <w:pPr>
        <w:rPr>
          <w:rFonts w:cs="Times New Roman"/>
          <w:i/>
          <w:iCs/>
          <w:noProof/>
          <w:sz w:val="20"/>
          <w:szCs w:val="20"/>
        </w:rPr>
      </w:pPr>
    </w:p>
    <w:p>
      <w:pPr>
        <w:keepNext/>
        <w:keepLines/>
        <w:jc w:val="center"/>
        <w:outlineLvl w:val="0"/>
        <w:rPr>
          <w:rFonts w:eastAsia="Times New Roman" w:cs="Times New Roman"/>
          <w:b/>
          <w:bCs/>
          <w:caps/>
          <w:noProof/>
          <w:sz w:val="32"/>
          <w:szCs w:val="32"/>
        </w:rPr>
      </w:pPr>
      <w:r>
        <w:rPr>
          <w:noProof/>
        </w:rPr>
        <w:br w:type="page"/>
      </w:r>
      <w:r>
        <w:rPr>
          <w:rFonts w:ascii="Times New Roman Bold" w:hAnsi="Times New Roman Bold"/>
          <w:b/>
          <w:bCs/>
          <w:caps/>
          <w:noProof/>
          <w:szCs w:val="28"/>
        </w:rPr>
        <w:t>Приложение 3</w:t>
      </w: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noProof/>
        </w:rPr>
        <w:t>ЕСИ фондове — планирани суми за целите, свързани с изменението на климата, и равнище на подбор на проекти до края на 2018 г.</w:t>
      </w:r>
    </w:p>
    <w:p>
      <w:pPr>
        <w:rPr>
          <w:rFonts w:cs="Times New Roman"/>
          <w:noProof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6"/>
        <w:gridCol w:w="1398"/>
        <w:gridCol w:w="1026"/>
        <w:gridCol w:w="936"/>
        <w:gridCol w:w="1406"/>
        <w:gridCol w:w="1690"/>
        <w:gridCol w:w="1500"/>
      </w:tblGrid>
      <w:tr>
        <w:trPr>
          <w:trHeight w:val="15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Фонд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Общо планирана сума от ЕС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Обща планирана сума от ЕС във връзка с изменението на климата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 xml:space="preserve">Общо избрани проекти в края на 2018 г. </w:t>
            </w:r>
            <w:r>
              <w:rPr>
                <w:noProof/>
              </w:rPr>
              <w:br/>
            </w:r>
            <w:r>
              <w:rPr>
                <w:b/>
                <w:bCs/>
                <w:noProof/>
              </w:rPr>
              <w:t>(оценка за приноса на ЕС)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От тях разпределени за действия във връзка с изменението на климата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Процент на избраните проекти за действия във връзка с климата от всички избрани операции (2018 г.)</w:t>
            </w:r>
          </w:p>
        </w:tc>
      </w:tr>
      <w:tr>
        <w:trPr>
          <w:trHeight w:val="6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млрд. евро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млрд. евро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млрд. евро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млрд. евро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КФ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63,3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17,4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28 %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55,1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15,4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28 %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ЕЗФРСР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100,1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57,5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58 %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63,7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42,9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41,7 %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ЕФМДР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5,7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17,5 %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0,44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17,6 %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ЕФРР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199,2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tabs>
                <w:tab w:val="center" w:pos="459"/>
                <w:tab w:val="right" w:pos="918"/>
              </w:tabs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38,2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19 %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147,9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23,6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16 %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ЕСФ/ИМЗ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92,8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1 %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91,9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5,8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8,9 %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>
            <w:pPr>
              <w:spacing w:before="120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Общо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461,1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115,3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24,7 %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361,1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88,1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22,4 %</w:t>
            </w:r>
          </w:p>
        </w:tc>
      </w:tr>
    </w:tbl>
    <w:p>
      <w:pPr>
        <w:rPr>
          <w:rFonts w:cs="Times New Roman"/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Източник: Европейска комисия</w:t>
      </w:r>
    </w:p>
    <w:p>
      <w:pPr>
        <w:rPr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381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  <w:tabs>
        <w:tab w:val="clear" w:pos="4535"/>
        <w:tab w:val="clear" w:pos="9071"/>
        <w:tab w:val="clear" w:pos="9921"/>
        <w:tab w:val="left" w:pos="4005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42F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14B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38A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C07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7C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6C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2AB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688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96E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6259E"/>
    <w:multiLevelType w:val="hybridMultilevel"/>
    <w:tmpl w:val="C65EB4A4"/>
    <w:lvl w:ilvl="0" w:tplc="25DE3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202C00"/>
    <w:multiLevelType w:val="multilevel"/>
    <w:tmpl w:val="67E8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02C32E87"/>
    <w:multiLevelType w:val="hybridMultilevel"/>
    <w:tmpl w:val="62E4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2826DF"/>
    <w:multiLevelType w:val="hybridMultilevel"/>
    <w:tmpl w:val="DBD0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AB11A6"/>
    <w:multiLevelType w:val="multilevel"/>
    <w:tmpl w:val="6C48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065F2B7F"/>
    <w:multiLevelType w:val="hybridMultilevel"/>
    <w:tmpl w:val="412C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C99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E154D7"/>
    <w:multiLevelType w:val="hybridMultilevel"/>
    <w:tmpl w:val="E2906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49E2312"/>
    <w:multiLevelType w:val="multilevel"/>
    <w:tmpl w:val="6482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1B071441"/>
    <w:multiLevelType w:val="hybridMultilevel"/>
    <w:tmpl w:val="67D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3701AC"/>
    <w:multiLevelType w:val="hybridMultilevel"/>
    <w:tmpl w:val="B1326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746B3"/>
    <w:multiLevelType w:val="multilevel"/>
    <w:tmpl w:val="0088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8AF79C5"/>
    <w:multiLevelType w:val="hybridMultilevel"/>
    <w:tmpl w:val="9CD07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026CA8"/>
    <w:multiLevelType w:val="hybridMultilevel"/>
    <w:tmpl w:val="662AF1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A995FBF"/>
    <w:multiLevelType w:val="hybridMultilevel"/>
    <w:tmpl w:val="6D20D8DE"/>
    <w:lvl w:ilvl="0" w:tplc="760ACF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53717"/>
    <w:multiLevelType w:val="multilevel"/>
    <w:tmpl w:val="341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2FEB78E3"/>
    <w:multiLevelType w:val="hybridMultilevel"/>
    <w:tmpl w:val="8A94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6D344F"/>
    <w:multiLevelType w:val="hybridMultilevel"/>
    <w:tmpl w:val="F1A0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6514C9"/>
    <w:multiLevelType w:val="multilevel"/>
    <w:tmpl w:val="2842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37E1778F"/>
    <w:multiLevelType w:val="hybridMultilevel"/>
    <w:tmpl w:val="05667E1C"/>
    <w:lvl w:ilvl="0" w:tplc="25DE3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82E6E93"/>
    <w:multiLevelType w:val="multilevel"/>
    <w:tmpl w:val="77F8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3A97671A"/>
    <w:multiLevelType w:val="multilevel"/>
    <w:tmpl w:val="30E4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3BBF3C59"/>
    <w:multiLevelType w:val="hybridMultilevel"/>
    <w:tmpl w:val="D41481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3EB14AE0"/>
    <w:multiLevelType w:val="multilevel"/>
    <w:tmpl w:val="917C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4506317E"/>
    <w:multiLevelType w:val="hybridMultilevel"/>
    <w:tmpl w:val="B64406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636475D"/>
    <w:multiLevelType w:val="hybridMultilevel"/>
    <w:tmpl w:val="F3D4B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4D9754B7"/>
    <w:multiLevelType w:val="hybridMultilevel"/>
    <w:tmpl w:val="83AE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37022"/>
    <w:multiLevelType w:val="hybridMultilevel"/>
    <w:tmpl w:val="414E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5361FD"/>
    <w:multiLevelType w:val="hybridMultilevel"/>
    <w:tmpl w:val="08DA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909C5"/>
    <w:multiLevelType w:val="multilevel"/>
    <w:tmpl w:val="DC1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5B337E75"/>
    <w:multiLevelType w:val="multilevel"/>
    <w:tmpl w:val="5E40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61234F7B"/>
    <w:multiLevelType w:val="multilevel"/>
    <w:tmpl w:val="BC40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63AC0DF9"/>
    <w:multiLevelType w:val="multilevel"/>
    <w:tmpl w:val="6CC2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66B16778"/>
    <w:multiLevelType w:val="hybridMultilevel"/>
    <w:tmpl w:val="8CCA90B6"/>
    <w:lvl w:ilvl="0" w:tplc="25DE3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BB760F"/>
    <w:multiLevelType w:val="hybridMultilevel"/>
    <w:tmpl w:val="6F4A0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60974"/>
    <w:multiLevelType w:val="hybridMultilevel"/>
    <w:tmpl w:val="C97E8F16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5">
    <w:nsid w:val="752978AF"/>
    <w:multiLevelType w:val="hybridMultilevel"/>
    <w:tmpl w:val="866A1D96"/>
    <w:lvl w:ilvl="0" w:tplc="6FC2E61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643AD"/>
    <w:multiLevelType w:val="hybridMultilevel"/>
    <w:tmpl w:val="2474D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D1710"/>
    <w:multiLevelType w:val="hybridMultilevel"/>
    <w:tmpl w:val="D960BBCE"/>
    <w:lvl w:ilvl="0" w:tplc="7A0E1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5C09FA"/>
    <w:multiLevelType w:val="hybridMultilevel"/>
    <w:tmpl w:val="FB62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D5F49"/>
    <w:multiLevelType w:val="hybridMultilevel"/>
    <w:tmpl w:val="80F4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5"/>
  </w:num>
  <w:num w:numId="3">
    <w:abstractNumId w:val="28"/>
  </w:num>
  <w:num w:numId="4">
    <w:abstractNumId w:val="35"/>
  </w:num>
  <w:num w:numId="5">
    <w:abstractNumId w:val="36"/>
  </w:num>
  <w:num w:numId="6">
    <w:abstractNumId w:val="15"/>
  </w:num>
  <w:num w:numId="7">
    <w:abstractNumId w:val="34"/>
  </w:num>
  <w:num w:numId="8">
    <w:abstractNumId w:val="13"/>
  </w:num>
  <w:num w:numId="9">
    <w:abstractNumId w:val="4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27"/>
  </w:num>
  <w:num w:numId="21">
    <w:abstractNumId w:val="39"/>
  </w:num>
  <w:num w:numId="22">
    <w:abstractNumId w:val="41"/>
  </w:num>
  <w:num w:numId="23">
    <w:abstractNumId w:val="38"/>
  </w:num>
  <w:num w:numId="24">
    <w:abstractNumId w:val="17"/>
  </w:num>
  <w:num w:numId="25">
    <w:abstractNumId w:val="29"/>
  </w:num>
  <w:num w:numId="26">
    <w:abstractNumId w:val="24"/>
  </w:num>
  <w:num w:numId="27">
    <w:abstractNumId w:val="30"/>
  </w:num>
  <w:num w:numId="28">
    <w:abstractNumId w:val="14"/>
  </w:num>
  <w:num w:numId="29">
    <w:abstractNumId w:val="40"/>
  </w:num>
  <w:num w:numId="30">
    <w:abstractNumId w:val="11"/>
  </w:num>
  <w:num w:numId="31">
    <w:abstractNumId w:val="32"/>
  </w:num>
  <w:num w:numId="32">
    <w:abstractNumId w:val="26"/>
  </w:num>
  <w:num w:numId="33">
    <w:abstractNumId w:val="49"/>
  </w:num>
  <w:num w:numId="34">
    <w:abstractNumId w:val="42"/>
  </w:num>
  <w:num w:numId="35">
    <w:abstractNumId w:val="10"/>
  </w:num>
  <w:num w:numId="36">
    <w:abstractNumId w:val="16"/>
  </w:num>
  <w:num w:numId="37">
    <w:abstractNumId w:val="44"/>
  </w:num>
  <w:num w:numId="38">
    <w:abstractNumId w:val="18"/>
  </w:num>
  <w:num w:numId="39">
    <w:abstractNumId w:val="22"/>
  </w:num>
  <w:num w:numId="40">
    <w:abstractNumId w:val="21"/>
  </w:num>
  <w:num w:numId="41">
    <w:abstractNumId w:val="25"/>
  </w:num>
  <w:num w:numId="42">
    <w:abstractNumId w:val="12"/>
  </w:num>
  <w:num w:numId="43">
    <w:abstractNumId w:val="37"/>
  </w:num>
  <w:num w:numId="44">
    <w:abstractNumId w:val="47"/>
  </w:num>
  <w:num w:numId="45">
    <w:abstractNumId w:val="46"/>
  </w:num>
  <w:num w:numId="46">
    <w:abstractNumId w:val="23"/>
  </w:num>
  <w:num w:numId="47">
    <w:abstractNumId w:val="43"/>
  </w:num>
  <w:num w:numId="48">
    <w:abstractNumId w:val="31"/>
  </w:num>
  <w:num w:numId="49">
    <w:abstractNumId w:val="3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hideSpellingErrors/>
  <w:hideGrammaticalErrors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 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AD3173CA-600C-489C-9E22-58650B6C91B0"/>
    <w:docVar w:name="LW_COVERPAGE_TYPE" w:val="1"/>
    <w:docVar w:name="LW_CROSSREFERENCE" w:val="&lt;UNUSED&gt;"/>
    <w:docVar w:name="LW_DocType" w:val="NORMAL"/>
    <w:docVar w:name="LW_EMISSION" w:val="17.12.2019"/>
    <w:docVar w:name="LW_EMISSION_ISODATE" w:val="2019-12-17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Font=Calibri Cyr&gt;\u1057?\u1090?\u1088?\u1072?\u1090?\u1077?\u1075?\u1080?\u1095?\u1077?\u1089?\u1082?\u1080? \u1076?\u1086?\u1082?\u1083?\u1072?\u1076? \u1079?\u1072? 201&lt;/FMT&gt;&lt;FMT:Font=Calibri&gt;9&lt;/FMT&gt;&lt;FMT:Font=Calibri Cyr&gt; \u1075?. \u1086?\u1090?\u1085?\u1086?\u1089?\u1085?\u1086? \u1080?\u1079?\u1087?\u1098?\u1083?\u1085?\u1077?\u1085?\u1080?\u1077?\u1090?\u1086? \u1085?\u1072? \u1077?\u1074?\u1088?\u1086?\u1087?\u1077?\u1081?\u1089?\u1082?\u1080?\u1090?\u1077? \u1089?\u1090?\u1088?\u1091?\u1082?\u1090?\u1091?\u1088?\u1085?\u1080? \u1080? \u1080?\u1085?\u1074?\u1077?\u1089?\u1090?\u1080?\u1094?\u1080?\u1086?\u1085?\u1085?\u1080? \u1092?\u1086?\u1085?\u1076?\u1086?\u1074?\u1077?&lt;/FMT&gt;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6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i/>
      <w:sz w:val="24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chriftart: 9 pt,Schriftart: 10 pt,Schriftart: 8 pt,fn,Fußnote,Fotnotstext1,Footnote text,Footnote Text Char2,Footnote Text Char1 Char,Footnote Text Char Char Char,Footnote Text Char Char1,Footnote Text Char1 Char1"/>
    <w:basedOn w:val="Normal"/>
    <w:link w:val="FootnoteTextChar"/>
    <w:unhideWhenUsed/>
    <w:qFormat/>
    <w:pPr>
      <w:spacing w:after="0"/>
      <w:ind w:left="357" w:hanging="357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fn Char,Fußnote Char,Fotnotstext1 Char,Footnote text Char,Footnote Text Char2 Char,Footnote Text Char1 Char Char,Footnote Text Char Char Char Char"/>
    <w:basedOn w:val="DefaultParagraphFont"/>
    <w:link w:val="FootnoteText"/>
    <w:rPr>
      <w:rFonts w:ascii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Footnote symbol,Footnote Reference Number,Footnote reference number,Times 10 Point,Exposant 3 Point,EN Footnote Reference,note TESI,-E Fußnotenzeichen,SUPERS,Appel note de bas de p,Footnote Reference/,number,ftref"/>
    <w:basedOn w:val="DefaultParagraphFont"/>
    <w:link w:val="FootnotesymbolCarZchn"/>
    <w:uiPriority w:val="99"/>
    <w:unhideWhenUsed/>
    <w:qFormat/>
    <w:rPr>
      <w:vertAlign w:val="superscript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Times New Roman" w:hAnsi="Times New Roman"/>
      <w:sz w:val="24"/>
      <w:lang w:val="bg-BG"/>
    </w:rPr>
  </w:style>
  <w:style w:type="paragraph" w:styleId="ListBullet5">
    <w:name w:val="List Bullet 5"/>
    <w:basedOn w:val="Normal"/>
    <w:autoRedefine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SECTIONTITLE">
    <w:name w:val="SECTION TITLE"/>
    <w:basedOn w:val="Normal"/>
    <w:link w:val="SECTIONTITLEChar"/>
    <w:qFormat/>
    <w:pPr>
      <w:keepNext/>
      <w:spacing w:before="480"/>
    </w:pPr>
    <w:rPr>
      <w:b/>
      <w:bCs/>
      <w:caps/>
    </w:rPr>
  </w:style>
  <w:style w:type="paragraph" w:customStyle="1" w:styleId="Subsectiontitle">
    <w:name w:val="Subsection title"/>
    <w:basedOn w:val="Normal"/>
    <w:link w:val="SubsectiontitleChar"/>
    <w:qFormat/>
    <w:pPr>
      <w:spacing w:after="80"/>
    </w:pPr>
    <w:rPr>
      <w:bCs/>
      <w:i/>
      <w:sz w:val="20"/>
      <w:szCs w:val="20"/>
    </w:rPr>
  </w:style>
  <w:style w:type="character" w:customStyle="1" w:styleId="SECTIONTITLEChar">
    <w:name w:val="SECTION TITLE Char"/>
    <w:basedOn w:val="DefaultParagraphFont"/>
    <w:link w:val="SECTIONTITLE"/>
    <w:rPr>
      <w:rFonts w:ascii="Times New Roman" w:hAnsi="Times New Roman"/>
      <w:b/>
      <w:bCs/>
      <w:caps/>
      <w:sz w:val="24"/>
      <w:lang w:val="bg-BG"/>
    </w:rPr>
  </w:style>
  <w:style w:type="character" w:customStyle="1" w:styleId="SubsectiontitleChar">
    <w:name w:val="Subsection title Char"/>
    <w:basedOn w:val="DefaultParagraphFont"/>
    <w:link w:val="Subsectiontitle"/>
    <w:rPr>
      <w:rFonts w:ascii="Times New Roman" w:hAnsi="Times New Roman"/>
      <w:bCs/>
      <w:i/>
      <w:sz w:val="20"/>
      <w:szCs w:val="20"/>
      <w:lang w:val="bg-BG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</w:pPr>
    <w:rPr>
      <w:rFonts w:asciiTheme="minorHAnsi" w:hAnsiTheme="minorHAnsi"/>
      <w:sz w:val="2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aliases w:val="TR-Caption,Inscription,Beschriftung Char Char Char,Beschriftung Char Char,Caption-tables,Table legend,Tab_Überschrift,Figure reference,Caption1 Char Char Char Char Char Char Char Char,Beschriftung Char2 Char,Beschriftung Char1 Cha...,Char Char"/>
    <w:basedOn w:val="Normal"/>
    <w:next w:val="Normal"/>
    <w:link w:val="CaptionChar"/>
    <w:uiPriority w:val="35"/>
    <w:qFormat/>
    <w:pPr>
      <w:spacing w:before="120"/>
    </w:pPr>
    <w:rPr>
      <w:rFonts w:eastAsia="Times New Roman" w:cs="Times New Roman"/>
      <w:b/>
      <w:szCs w:val="20"/>
    </w:rPr>
  </w:style>
  <w:style w:type="character" w:customStyle="1" w:styleId="CaptionChar">
    <w:name w:val="Caption Char"/>
    <w:aliases w:val="TR-Caption Char,Inscription Char,Beschriftung Char Char Char Char,Beschriftung Char Char Char1,Caption-tables Char,Table legend Char,Tab_Überschrift Char,Figure reference Char,Caption1 Char Char Char Char Char Char Char Char Char"/>
    <w:link w:val="Caption"/>
    <w:uiPriority w:val="35"/>
    <w:locked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customStyle="1" w:styleId="Chaptertitle">
    <w:name w:val="Chapter title"/>
    <w:basedOn w:val="Normal"/>
    <w:pPr>
      <w:keepNext/>
      <w:spacing w:before="480"/>
    </w:pPr>
    <w:rPr>
      <w:rFonts w:cs="Times New Roman"/>
      <w:b/>
      <w:caps/>
      <w:szCs w:val="24"/>
    </w:rPr>
  </w:style>
  <w:style w:type="paragraph" w:customStyle="1" w:styleId="Sub1">
    <w:name w:val="Sub 1"/>
    <w:basedOn w:val="Normal"/>
    <w:pPr>
      <w:keepNext/>
      <w:spacing w:before="120" w:after="80"/>
    </w:pPr>
    <w:rPr>
      <w:rFonts w:cs="Times New Roman"/>
      <w:b/>
      <w:bCs/>
      <w:i/>
      <w:szCs w:val="24"/>
    </w:rPr>
  </w:style>
  <w:style w:type="paragraph" w:customStyle="1" w:styleId="Sub2">
    <w:name w:val="Sub2"/>
    <w:basedOn w:val="Normal"/>
    <w:link w:val="Sub2Char"/>
    <w:pPr>
      <w:keepNext/>
      <w:spacing w:before="120" w:after="80"/>
    </w:pPr>
    <w:rPr>
      <w:rFonts w:cs="Times New Roman"/>
      <w:b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  <w:rPr>
      <w:i/>
    </w:rPr>
  </w:style>
  <w:style w:type="character" w:customStyle="1" w:styleId="Sub2Char">
    <w:name w:val="Sub2 Char"/>
    <w:basedOn w:val="DefaultParagraphFont"/>
    <w:link w:val="Sub2"/>
    <w:rPr>
      <w:rFonts w:ascii="Times New Roman" w:hAnsi="Times New Roman" w:cs="Times New Roman"/>
      <w:b/>
      <w:sz w:val="24"/>
      <w:szCs w:val="24"/>
      <w:lang w:val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 w:cs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rFonts w:eastAsia="Times New Roman" w:cs="Times New Roman"/>
      <w:b/>
      <w:szCs w:val="20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spacing w:after="0"/>
    </w:pPr>
    <w:rPr>
      <w:rFonts w:cs="Times New Roman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  <w:rPr>
      <w:rFonts w:cs="Times New Roman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cs="Times New Roman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semiHidden/>
    <w:unhideWhenUsed/>
    <w:pPr>
      <w:spacing w:after="0"/>
      <w:jc w:val="left"/>
    </w:pPr>
    <w:rPr>
      <w:rFonts w:cs="Times New Roman"/>
      <w:szCs w:val="24"/>
      <w:lang w:eastAsia="en-GB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HeaderSensitivityRight">
    <w:name w:val="Header Sensitivity Right"/>
    <w:basedOn w:val="Normal"/>
    <w:pPr>
      <w:jc w:val="right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i/>
      <w:sz w:val="24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chriftart: 9 pt,Schriftart: 10 pt,Schriftart: 8 pt,fn,Fußnote,Fotnotstext1,Footnote text,Footnote Text Char2,Footnote Text Char1 Char,Footnote Text Char Char Char,Footnote Text Char Char1,Footnote Text Char1 Char1"/>
    <w:basedOn w:val="Normal"/>
    <w:link w:val="FootnoteTextChar"/>
    <w:unhideWhenUsed/>
    <w:qFormat/>
    <w:pPr>
      <w:spacing w:after="0"/>
      <w:ind w:left="357" w:hanging="357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fn Char,Fußnote Char,Fotnotstext1 Char,Footnote text Char,Footnote Text Char2 Char,Footnote Text Char1 Char Char,Footnote Text Char Char Char Char"/>
    <w:basedOn w:val="DefaultParagraphFont"/>
    <w:link w:val="FootnoteText"/>
    <w:rPr>
      <w:rFonts w:ascii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Footnote symbol,Footnote Reference Number,Footnote reference number,Times 10 Point,Exposant 3 Point,EN Footnote Reference,note TESI,-E Fußnotenzeichen,SUPERS,Appel note de bas de p,Footnote Reference/,number,ftref"/>
    <w:basedOn w:val="DefaultParagraphFont"/>
    <w:link w:val="FootnotesymbolCarZchn"/>
    <w:uiPriority w:val="99"/>
    <w:unhideWhenUsed/>
    <w:qFormat/>
    <w:rPr>
      <w:vertAlign w:val="superscript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Times New Roman" w:hAnsi="Times New Roman"/>
      <w:sz w:val="24"/>
      <w:lang w:val="bg-BG"/>
    </w:rPr>
  </w:style>
  <w:style w:type="paragraph" w:styleId="ListBullet5">
    <w:name w:val="List Bullet 5"/>
    <w:basedOn w:val="Normal"/>
    <w:autoRedefine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SECTIONTITLE">
    <w:name w:val="SECTION TITLE"/>
    <w:basedOn w:val="Normal"/>
    <w:link w:val="SECTIONTITLEChar"/>
    <w:qFormat/>
    <w:pPr>
      <w:keepNext/>
      <w:spacing w:before="480"/>
    </w:pPr>
    <w:rPr>
      <w:b/>
      <w:bCs/>
      <w:caps/>
    </w:rPr>
  </w:style>
  <w:style w:type="paragraph" w:customStyle="1" w:styleId="Subsectiontitle">
    <w:name w:val="Subsection title"/>
    <w:basedOn w:val="Normal"/>
    <w:link w:val="SubsectiontitleChar"/>
    <w:qFormat/>
    <w:pPr>
      <w:spacing w:after="80"/>
    </w:pPr>
    <w:rPr>
      <w:bCs/>
      <w:i/>
      <w:sz w:val="20"/>
      <w:szCs w:val="20"/>
    </w:rPr>
  </w:style>
  <w:style w:type="character" w:customStyle="1" w:styleId="SECTIONTITLEChar">
    <w:name w:val="SECTION TITLE Char"/>
    <w:basedOn w:val="DefaultParagraphFont"/>
    <w:link w:val="SECTIONTITLE"/>
    <w:rPr>
      <w:rFonts w:ascii="Times New Roman" w:hAnsi="Times New Roman"/>
      <w:b/>
      <w:bCs/>
      <w:caps/>
      <w:sz w:val="24"/>
      <w:lang w:val="bg-BG"/>
    </w:rPr>
  </w:style>
  <w:style w:type="character" w:customStyle="1" w:styleId="SubsectiontitleChar">
    <w:name w:val="Subsection title Char"/>
    <w:basedOn w:val="DefaultParagraphFont"/>
    <w:link w:val="Subsectiontitle"/>
    <w:rPr>
      <w:rFonts w:ascii="Times New Roman" w:hAnsi="Times New Roman"/>
      <w:bCs/>
      <w:i/>
      <w:sz w:val="20"/>
      <w:szCs w:val="20"/>
      <w:lang w:val="bg-BG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</w:pPr>
    <w:rPr>
      <w:rFonts w:asciiTheme="minorHAnsi" w:hAnsiTheme="minorHAnsi"/>
      <w:sz w:val="2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aliases w:val="TR-Caption,Inscription,Beschriftung Char Char Char,Beschriftung Char Char,Caption-tables,Table legend,Tab_Überschrift,Figure reference,Caption1 Char Char Char Char Char Char Char Char,Beschriftung Char2 Char,Beschriftung Char1 Cha...,Char Char"/>
    <w:basedOn w:val="Normal"/>
    <w:next w:val="Normal"/>
    <w:link w:val="CaptionChar"/>
    <w:uiPriority w:val="35"/>
    <w:qFormat/>
    <w:pPr>
      <w:spacing w:before="120"/>
    </w:pPr>
    <w:rPr>
      <w:rFonts w:eastAsia="Times New Roman" w:cs="Times New Roman"/>
      <w:b/>
      <w:szCs w:val="20"/>
    </w:rPr>
  </w:style>
  <w:style w:type="character" w:customStyle="1" w:styleId="CaptionChar">
    <w:name w:val="Caption Char"/>
    <w:aliases w:val="TR-Caption Char,Inscription Char,Beschriftung Char Char Char Char,Beschriftung Char Char Char1,Caption-tables Char,Table legend Char,Tab_Überschrift Char,Figure reference Char,Caption1 Char Char Char Char Char Char Char Char Char"/>
    <w:link w:val="Caption"/>
    <w:uiPriority w:val="35"/>
    <w:locked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customStyle="1" w:styleId="Chaptertitle">
    <w:name w:val="Chapter title"/>
    <w:basedOn w:val="Normal"/>
    <w:pPr>
      <w:keepNext/>
      <w:spacing w:before="480"/>
    </w:pPr>
    <w:rPr>
      <w:rFonts w:cs="Times New Roman"/>
      <w:b/>
      <w:caps/>
      <w:szCs w:val="24"/>
    </w:rPr>
  </w:style>
  <w:style w:type="paragraph" w:customStyle="1" w:styleId="Sub1">
    <w:name w:val="Sub 1"/>
    <w:basedOn w:val="Normal"/>
    <w:pPr>
      <w:keepNext/>
      <w:spacing w:before="120" w:after="80"/>
    </w:pPr>
    <w:rPr>
      <w:rFonts w:cs="Times New Roman"/>
      <w:b/>
      <w:bCs/>
      <w:i/>
      <w:szCs w:val="24"/>
    </w:rPr>
  </w:style>
  <w:style w:type="paragraph" w:customStyle="1" w:styleId="Sub2">
    <w:name w:val="Sub2"/>
    <w:basedOn w:val="Normal"/>
    <w:link w:val="Sub2Char"/>
    <w:pPr>
      <w:keepNext/>
      <w:spacing w:before="120" w:after="80"/>
    </w:pPr>
    <w:rPr>
      <w:rFonts w:cs="Times New Roman"/>
      <w:b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  <w:rPr>
      <w:i/>
    </w:rPr>
  </w:style>
  <w:style w:type="character" w:customStyle="1" w:styleId="Sub2Char">
    <w:name w:val="Sub2 Char"/>
    <w:basedOn w:val="DefaultParagraphFont"/>
    <w:link w:val="Sub2"/>
    <w:rPr>
      <w:rFonts w:ascii="Times New Roman" w:hAnsi="Times New Roman" w:cs="Times New Roman"/>
      <w:b/>
      <w:sz w:val="24"/>
      <w:szCs w:val="24"/>
      <w:lang w:val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 w:cs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rFonts w:eastAsia="Times New Roman" w:cs="Times New Roman"/>
      <w:b/>
      <w:szCs w:val="20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spacing w:after="0"/>
    </w:pPr>
    <w:rPr>
      <w:rFonts w:cs="Times New Roman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  <w:rPr>
      <w:rFonts w:cs="Times New Roman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cs="Times New Roman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semiHidden/>
    <w:unhideWhenUsed/>
    <w:pPr>
      <w:spacing w:after="0"/>
      <w:jc w:val="left"/>
    </w:pPr>
    <w:rPr>
      <w:rFonts w:cs="Times New Roman"/>
      <w:szCs w:val="24"/>
      <w:lang w:eastAsia="en-GB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HeaderSensitivityRight">
    <w:name w:val="Header Sensitivity Right"/>
    <w:basedOn w:val="Normal"/>
    <w:pPr>
      <w:jc w:val="right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yperlink" Target="https://cohesiondata.ec.europa.eu/d/99js-gm5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ohesiondata.ec.europa.eu/d/99js-gm5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hesiondata.ec.europa.eu/d/99js-gm52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cohesiondata.ec.europa.eu/d/99js-gm52" TargetMode="Externa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1947</Words>
  <Characters>7675</Characters>
  <Application>Microsoft Office Word</Application>
  <DocSecurity>0</DocSecurity>
  <Lines>1279</Lines>
  <Paragraphs>962</Paragraphs>
  <ScaleCrop>false</ScaleCrop>
  <Company>European Commission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MEIJER Martine (REGIO)</dc:creator>
  <cp:keywords/>
  <dc:description/>
  <cp:lastModifiedBy>DIGIT/C6</cp:lastModifiedBy>
  <cp:revision>10</cp:revision>
  <dcterms:created xsi:type="dcterms:W3CDTF">2019-11-15T14:27:00Z</dcterms:created>
  <dcterms:modified xsi:type="dcterms:W3CDTF">2020-01-03T15:17:00Z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3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