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23003E3B-21F4-4F70-9FD9-2A68F6E8C2E2" style="width:450.8pt;height:379.4pt">
            <v:imagedata r:id="rId9" o:title=""/>
          </v:shape>
        </w:pict>
      </w:r>
    </w:p>
    <w:p>
      <w:pPr>
        <w:rPr>
          <w:noProof/>
        </w:rPr>
        <w:sectPr>
          <w:footerReference w:type="default" r:id="rId10"/>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ОБЯСНИТЕЛЕН МЕМОРАНДУМ</w:t>
      </w:r>
    </w:p>
    <w:p>
      <w:pPr>
        <w:pStyle w:val="ManualHeading1"/>
        <w:rPr>
          <w:noProof/>
        </w:rPr>
      </w:pPr>
      <w:r>
        <w:rPr>
          <w:noProof/>
        </w:rPr>
        <w:t>1.</w:t>
      </w:r>
      <w:r>
        <w:rPr>
          <w:noProof/>
        </w:rPr>
        <w:tab/>
        <w:t>КОНТЕКСТ НА ПРЕДЛОЖЕНИЕТО</w:t>
      </w:r>
    </w:p>
    <w:p>
      <w:pPr>
        <w:pStyle w:val="ManualHeading2"/>
        <w:rPr>
          <w:rFonts w:eastAsia="Arial Unicode MS"/>
          <w:noProof/>
        </w:rPr>
      </w:pPr>
      <w:r>
        <w:rPr>
          <w:noProof/>
          <w:u w:color="000000"/>
          <w:bdr w:val="nil"/>
        </w:rPr>
        <w:t>•</w:t>
      </w:r>
      <w:r>
        <w:rPr>
          <w:noProof/>
          <w:u w:color="000000"/>
          <w:bdr w:val="nil"/>
        </w:rPr>
        <w:tab/>
      </w:r>
      <w:r>
        <w:rPr>
          <w:noProof/>
        </w:rPr>
        <w:t>Основания и цели на предложението</w:t>
      </w:r>
    </w:p>
    <w:p>
      <w:pPr>
        <w:pBdr>
          <w:top w:val="nil"/>
          <w:left w:val="nil"/>
          <w:bottom w:val="nil"/>
          <w:right w:val="nil"/>
          <w:between w:val="nil"/>
          <w:bar w:val="nil"/>
        </w:pBdr>
        <w:spacing w:before="0" w:after="240"/>
        <w:rPr>
          <w:rFonts w:eastAsia="Arial Unicode MS"/>
          <w:noProof/>
        </w:rPr>
      </w:pPr>
      <w:r>
        <w:rPr>
          <w:noProof/>
        </w:rPr>
        <w:t>Действащото понастоящем Споразумение за партньорство в областта на рибарството (СПОР) между Европейския съюз и Република Сейшели</w:t>
      </w:r>
      <w:r>
        <w:rPr>
          <w:rStyle w:val="FootnoteReference"/>
          <w:noProof/>
        </w:rPr>
        <w:footnoteReference w:id="1"/>
      </w:r>
      <w:r>
        <w:rPr>
          <w:noProof/>
        </w:rPr>
        <w:t xml:space="preserve"> беше подписано на 28 февруари 2007 г.</w:t>
      </w:r>
      <w:r>
        <w:rPr>
          <w:rStyle w:val="FootnoteReference"/>
          <w:noProof/>
        </w:rPr>
        <w:footnoteReference w:id="2"/>
      </w:r>
      <w:r>
        <w:rPr>
          <w:noProof/>
        </w:rPr>
        <w:t xml:space="preserve"> и влезе в сила на 2 ноември 2007 г. със срок на действие шест години. Споразумението се подновява с мълчаливо съгласие и поради това все още е в сила. Действащият понастоящем 6-годишен протокол</w:t>
      </w:r>
      <w:r>
        <w:rPr>
          <w:rStyle w:val="FootnoteReference"/>
          <w:noProof/>
        </w:rPr>
        <w:footnoteReference w:id="3"/>
      </w:r>
      <w:r>
        <w:rPr>
          <w:noProof/>
        </w:rPr>
        <w:t xml:space="preserve"> към СПОР влезе в сила на 18 януари 2014 г. и изтича на 17 януари 2020 г. </w:t>
      </w:r>
    </w:p>
    <w:p>
      <w:pPr>
        <w:pBdr>
          <w:top w:val="nil"/>
          <w:left w:val="nil"/>
          <w:bottom w:val="nil"/>
          <w:right w:val="nil"/>
          <w:between w:val="nil"/>
          <w:bar w:val="nil"/>
        </w:pBdr>
        <w:spacing w:before="0" w:after="240"/>
        <w:rPr>
          <w:noProof/>
        </w:rPr>
      </w:pPr>
      <w:r>
        <w:rPr>
          <w:noProof/>
        </w:rPr>
        <w:t>Въз основа на съответните указания за водене на преговори</w:t>
      </w:r>
      <w:r>
        <w:rPr>
          <w:rStyle w:val="FootnoteReference"/>
          <w:noProof/>
        </w:rPr>
        <w:footnoteReference w:id="4"/>
      </w:r>
      <w:r>
        <w:rPr>
          <w:noProof/>
        </w:rPr>
        <w:t xml:space="preserve"> Комисията проведе преговори с правителството на Република Сейшели (наричана по-нататък „Сейшелите“) с оглед на сключването от името на Европейския съюз на ново споразумение за партньорство в областта на устойчивото рибарство и на изпълнителен протокол към него (2020—2026 г.). В края на преговорите, на 22 октомври 2019 г. преговарящите парафираха споразумение и протокол. Новото споразумение отменя и заменя съществуващото споразумение; то обхваща период от шест години, считано от датата на временното му прилагане, определена в член 15, а именно датата, на която е подписано от страните, като подновяването е с мълчаливо съгласие. Новият протокол обхваща период от шест години, считано от датата на временното прилагане, определена в член 15, а именно датата, на която е подписан от двете страни. </w:t>
      </w:r>
    </w:p>
    <w:p>
      <w:pPr>
        <w:pBdr>
          <w:top w:val="nil"/>
          <w:left w:val="nil"/>
          <w:bottom w:val="nil"/>
          <w:right w:val="nil"/>
          <w:between w:val="nil"/>
          <w:bar w:val="nil"/>
        </w:pBdr>
        <w:spacing w:before="0" w:after="240"/>
        <w:rPr>
          <w:rFonts w:eastAsia="Arial Unicode MS"/>
          <w:noProof/>
        </w:rPr>
      </w:pPr>
      <w:r>
        <w:rPr>
          <w:noProof/>
        </w:rPr>
        <w:t xml:space="preserve">Целта на настоящото предложение е да се разреши подписването на споразумението и на изпълнителния протокол към него. </w:t>
      </w:r>
    </w:p>
    <w:p>
      <w:pPr>
        <w:pStyle w:val="ManualHeading2"/>
        <w:rPr>
          <w:rFonts w:eastAsia="Arial Unicode MS"/>
          <w:noProof/>
          <w:color w:val="000000"/>
          <w:u w:color="000000"/>
          <w:bdr w:val="nil"/>
        </w:rPr>
      </w:pPr>
      <w:r>
        <w:rPr>
          <w:noProof/>
          <w:u w:color="000000"/>
          <w:bdr w:val="nil"/>
        </w:rPr>
        <w:t>•</w:t>
      </w:r>
      <w:r>
        <w:rPr>
          <w:noProof/>
          <w:u w:color="000000"/>
          <w:bdr w:val="nil"/>
        </w:rPr>
        <w:tab/>
      </w:r>
      <w:r>
        <w:rPr>
          <w:noProof/>
        </w:rPr>
        <w:t>Съгласуваност със съществуващите разпоредби в тази област на политиката</w:t>
      </w:r>
    </w:p>
    <w:p>
      <w:pPr>
        <w:rPr>
          <w:rFonts w:eastAsia="Calibri"/>
          <w:noProof/>
        </w:rPr>
      </w:pPr>
      <w:r>
        <w:rPr>
          <w:noProof/>
        </w:rPr>
        <w:t>Главната цел на новото споразумение е да предостави актуализирана рамка, която взема предвид приоритетите на реформираната обща политика в областта на рибарството</w:t>
      </w:r>
      <w:r>
        <w:rPr>
          <w:rStyle w:val="FootnoteReference"/>
          <w:noProof/>
        </w:rPr>
        <w:footnoteReference w:id="5"/>
      </w:r>
      <w:r>
        <w:rPr>
          <w:noProof/>
        </w:rPr>
        <w:t xml:space="preserve"> и нейното външно измерение, с оглед на продължаване и укрепване на стратегическото партньорство между Европейския съюз и Република Сейшели в областта на рибарството.</w:t>
      </w:r>
    </w:p>
    <w:p>
      <w:pPr>
        <w:rPr>
          <w:rFonts w:eastAsia="Calibri"/>
          <w:noProof/>
        </w:rPr>
      </w:pPr>
      <w:r>
        <w:rPr>
          <w:noProof/>
        </w:rPr>
        <w:t xml:space="preserve">Целта на протокола е в рамките на наличния излишък да се предоставят възможности за риболов на кораби на Европейския съюз в риболовната зона на Сейшелите в съответствие с най-добрите налични научни становища и резолюциите и препоръките на Комисията по рибата тон в Индийския океан (IOTC). Позицията на Комисията се основава частично върху резултатите от оценката на предишните споразумение и протокол (2014—2017 г.) и на прогнозната оценка за необходимостта от сключване на ново споразумение и нов протокол. И двете оценки са извършени от външни експерти. Целта е също така да се подобри сътрудничеството между Европейския съюз и Република Сейшели, насочено към насърчаване на политиката на устойчиво рибарство и отговорно използване на рибните ресурси в риболовната зона на Сейшелите и в </w:t>
      </w:r>
      <w:r>
        <w:rPr>
          <w:noProof/>
        </w:rPr>
        <w:lastRenderedPageBreak/>
        <w:t>Индийския океан, което е в интерес и на двете страни. Това сътрудничество ще допринесе също така за насърчаване на достойни условия на труд при риболовните дейности.</w:t>
      </w:r>
    </w:p>
    <w:p>
      <w:pPr>
        <w:rPr>
          <w:rFonts w:eastAsia="Calibri"/>
          <w:noProof/>
        </w:rPr>
      </w:pPr>
      <w:r>
        <w:rPr>
          <w:noProof/>
        </w:rPr>
        <w:t>Новият протокол предвижда възможности за риболов в следните категории:</w:t>
      </w:r>
    </w:p>
    <w:p>
      <w:pPr>
        <w:rPr>
          <w:rFonts w:eastAsia="Calibri"/>
          <w:noProof/>
        </w:rPr>
      </w:pPr>
      <w:r>
        <w:rPr>
          <w:noProof/>
        </w:rPr>
        <w:t>—</w:t>
      </w:r>
      <w:r>
        <w:rPr>
          <w:noProof/>
        </w:rPr>
        <w:tab/>
        <w:t>40 кораба с мрежа гъргър за улов на риба тон;</w:t>
      </w:r>
    </w:p>
    <w:p>
      <w:pPr>
        <w:rPr>
          <w:rFonts w:eastAsia="Calibri"/>
          <w:noProof/>
        </w:rPr>
      </w:pPr>
      <w:r>
        <w:rPr>
          <w:noProof/>
        </w:rPr>
        <w:t>—</w:t>
      </w:r>
      <w:r>
        <w:rPr>
          <w:noProof/>
        </w:rPr>
        <w:tab/>
        <w:t>8 кораба с повърхностни парагади;</w:t>
      </w:r>
    </w:p>
    <w:p>
      <w:pPr>
        <w:rPr>
          <w:rFonts w:eastAsia="Calibri"/>
          <w:noProof/>
        </w:rPr>
      </w:pPr>
      <w:r>
        <w:rPr>
          <w:noProof/>
        </w:rPr>
        <w:t>—</w:t>
      </w:r>
      <w:r>
        <w:rPr>
          <w:noProof/>
        </w:rPr>
        <w:tab/>
        <w:t>помощни кораби в съответствие със съответните резолюции на IOTC.</w:t>
      </w:r>
    </w:p>
    <w:p>
      <w:pPr>
        <w:pStyle w:val="ManualHeading2"/>
        <w:rPr>
          <w:rFonts w:eastAsia="Arial Unicode MS"/>
          <w:noProof/>
        </w:rPr>
      </w:pPr>
      <w:r>
        <w:rPr>
          <w:noProof/>
          <w:u w:color="000000"/>
          <w:bdr w:val="nil"/>
        </w:rPr>
        <w:t>•</w:t>
      </w:r>
      <w:r>
        <w:rPr>
          <w:noProof/>
          <w:u w:color="000000"/>
          <w:bdr w:val="nil"/>
        </w:rPr>
        <w:tab/>
      </w:r>
      <w:r>
        <w:rPr>
          <w:noProof/>
        </w:rPr>
        <w:t>Съгласуваност с други политики на Съюза</w:t>
      </w:r>
    </w:p>
    <w:p>
      <w:pPr>
        <w:spacing w:before="0" w:after="240"/>
        <w:rPr>
          <w:noProof/>
        </w:rPr>
      </w:pPr>
      <w:r>
        <w:rPr>
          <w:noProof/>
        </w:rPr>
        <w:t xml:space="preserve">Преговорите за ново Споразумение за партньорство в областта на устойчивото рибарство със Сейшелите и изпълнителния протокол към него са част от външната дейност на Съюза по отношение на държавите от Африка, Карибите и Тихоокеанския басейн и при тях се вземат предвид, по-специално, целите на Съюза в областта на спазването на демократичните принципи и правата на човека. </w:t>
      </w:r>
    </w:p>
    <w:p>
      <w:pPr>
        <w:pStyle w:val="ManualHeading1"/>
        <w:rPr>
          <w:noProof/>
        </w:rPr>
      </w:pPr>
      <w:r>
        <w:rPr>
          <w:noProof/>
        </w:rPr>
        <w:t>2.</w:t>
      </w:r>
      <w:r>
        <w:rPr>
          <w:noProof/>
        </w:rPr>
        <w:tab/>
        <w:t>ПРАВНО ОСНОВАНИЕ, СУБСИДИАРНОСТ И ПРОПОРЦИОНАЛНОСТ</w:t>
      </w:r>
    </w:p>
    <w:p>
      <w:pPr>
        <w:pStyle w:val="ManualHeading2"/>
        <w:rPr>
          <w:rFonts w:eastAsia="Arial Unicode MS"/>
          <w:noProof/>
          <w:u w:color="000000"/>
          <w:bdr w:val="nil"/>
        </w:rPr>
      </w:pPr>
      <w:r>
        <w:rPr>
          <w:noProof/>
          <w:u w:color="000000"/>
          <w:bdr w:val="nil"/>
        </w:rPr>
        <w:t>•</w:t>
      </w:r>
      <w:r>
        <w:rPr>
          <w:noProof/>
          <w:u w:color="000000"/>
          <w:bdr w:val="nil"/>
        </w:rPr>
        <w:tab/>
        <w:t>Правно основание</w:t>
      </w:r>
    </w:p>
    <w:p>
      <w:pPr>
        <w:keepNext/>
        <w:rPr>
          <w:noProof/>
          <w:sz w:val="22"/>
        </w:rPr>
      </w:pPr>
      <w:r>
        <w:rPr>
          <w:noProof/>
        </w:rPr>
        <w:t xml:space="preserve">Правното основание е член 43, параграф 2 от Договора за функционирането на Европейския съюз (ДФЕС), с който се установява общата политика в областта на рибарството, както и член 218, параграф 5 от ДФЕС относно подписването и възможността за временно прилагане на споразумения между Съюза и трети държави. </w:t>
      </w:r>
    </w:p>
    <w:p>
      <w:pPr>
        <w:pStyle w:val="ManualHeading2"/>
        <w:rPr>
          <w:rFonts w:eastAsia="Arial Unicode MS"/>
          <w:noProof/>
          <w:u w:color="000000"/>
          <w:bdr w:val="nil"/>
        </w:rPr>
      </w:pPr>
      <w:r>
        <w:rPr>
          <w:noProof/>
          <w:u w:color="000000"/>
          <w:bdr w:val="nil"/>
        </w:rPr>
        <w:t>•</w:t>
      </w:r>
      <w:r>
        <w:rPr>
          <w:noProof/>
          <w:u w:color="000000"/>
          <w:bdr w:val="nil"/>
        </w:rPr>
        <w:tab/>
        <w:t xml:space="preserve">Субсидиарност (при неизключителна компетентност) </w:t>
      </w:r>
    </w:p>
    <w:p>
      <w:pPr>
        <w:spacing w:before="0" w:after="240"/>
        <w:rPr>
          <w:rFonts w:eastAsia="Arial Unicode MS"/>
          <w:noProof/>
        </w:rPr>
      </w:pPr>
      <w:r>
        <w:rPr>
          <w:noProof/>
        </w:rPr>
        <w:t>Предложението попада в обхвата на изключителната компетентност на Европейския съюз.</w:t>
      </w:r>
    </w:p>
    <w:p>
      <w:pPr>
        <w:pStyle w:val="ManualHeading2"/>
        <w:rPr>
          <w:rFonts w:eastAsia="Arial Unicode MS"/>
          <w:noProof/>
          <w:u w:color="000000"/>
          <w:bdr w:val="nil"/>
        </w:rPr>
      </w:pPr>
      <w:r>
        <w:rPr>
          <w:noProof/>
          <w:u w:color="000000"/>
          <w:bdr w:val="nil"/>
        </w:rPr>
        <w:t>•</w:t>
      </w:r>
      <w:r>
        <w:rPr>
          <w:noProof/>
          <w:u w:color="000000"/>
          <w:bdr w:val="nil"/>
        </w:rPr>
        <w:tab/>
        <w:t>Пропорционалност</w:t>
      </w:r>
    </w:p>
    <w:p>
      <w:pPr>
        <w:spacing w:before="0" w:after="240"/>
        <w:rPr>
          <w:rFonts w:eastAsia="Arial Unicode MS"/>
          <w:noProof/>
        </w:rPr>
      </w:pPr>
      <w:r>
        <w:rPr>
          <w:noProof/>
        </w:rPr>
        <w:t xml:space="preserve">Предложението е пропорционално на целта за осигуряване на правна, екологична, икономическа и социална рамка за управление на риболовните дейности, извършвани от кораби на Съюза във водите на трети държави, както е определено в член 31 от Регламента за общата политика в областта на рибарството. То е в съответствие с тези разпоредби и с разпоредбите относно финансовата помощ за трети държави, определени в член 32 от същия регламент. </w:t>
      </w:r>
    </w:p>
    <w:p>
      <w:pPr>
        <w:pStyle w:val="ManualHeading1"/>
        <w:rPr>
          <w:noProof/>
        </w:rPr>
      </w:pPr>
      <w:r>
        <w:rPr>
          <w:noProof/>
        </w:rPr>
        <w:t>3.</w:t>
      </w:r>
      <w:r>
        <w:rPr>
          <w:noProof/>
        </w:rPr>
        <w:tab/>
        <w:t>РЕЗУЛТАТИ ОТ ПОСЛЕДВАЩИТЕ ОЦЕНКИ, КОНСУЛТАЦИИТЕ СЪС ЗАИНТЕРЕСОВАНИТЕ СТРАНИ И ОЦЕНКИТЕ НА ВЪЗДЕЙСТВИЕТО</w:t>
      </w:r>
    </w:p>
    <w:p>
      <w:pPr>
        <w:pStyle w:val="ManualHeading2"/>
        <w:rPr>
          <w:rFonts w:eastAsia="Arial Unicode MS"/>
          <w:noProof/>
          <w:u w:color="000000"/>
          <w:bdr w:val="nil"/>
        </w:rPr>
      </w:pPr>
      <w:r>
        <w:rPr>
          <w:noProof/>
          <w:u w:color="000000"/>
          <w:bdr w:val="nil"/>
        </w:rPr>
        <w:t>•</w:t>
      </w:r>
      <w:r>
        <w:rPr>
          <w:noProof/>
          <w:u w:color="000000"/>
          <w:bdr w:val="nil"/>
        </w:rPr>
        <w:tab/>
        <w:t>Последващи оценки/проверки за пригодност на действащото законодателство</w:t>
      </w:r>
    </w:p>
    <w:p>
      <w:pPr>
        <w:pBdr>
          <w:top w:val="nil"/>
          <w:left w:val="nil"/>
          <w:bottom w:val="nil"/>
          <w:right w:val="nil"/>
          <w:between w:val="nil"/>
          <w:bar w:val="nil"/>
        </w:pBdr>
        <w:spacing w:before="0" w:after="240"/>
        <w:rPr>
          <w:rFonts w:eastAsia="Arial Unicode MS"/>
          <w:noProof/>
        </w:rPr>
      </w:pPr>
      <w:r>
        <w:rPr>
          <w:noProof/>
        </w:rPr>
        <w:t xml:space="preserve">През 2019 г. Комисията извърши последваща оценка на действащия понастоящем протокол към СПОР със Сейшелите, както и предварителна оценка на евентуалното подновяване на протокола. </w:t>
      </w:r>
    </w:p>
    <w:p>
      <w:pPr>
        <w:pBdr>
          <w:top w:val="nil"/>
          <w:left w:val="nil"/>
          <w:bottom w:val="nil"/>
          <w:right w:val="nil"/>
          <w:between w:val="nil"/>
          <w:bar w:val="nil"/>
        </w:pBdr>
        <w:spacing w:before="0" w:after="240"/>
        <w:rPr>
          <w:rFonts w:eastAsia="Arial Unicode MS"/>
          <w:noProof/>
        </w:rPr>
      </w:pPr>
      <w:r>
        <w:rPr>
          <w:noProof/>
        </w:rPr>
        <w:t xml:space="preserve">В заключенията от оценката се посочва, че риболовните сектори на ЕС проявяват силен интерес към извършването на риболов в Сейшелите и че подновяването на протокола е в интерес и на двете страни. Подновяването на протокола освен това ще допринесе за засилване на мониторинга, контрола и наблюдението, както и за по-доброто управление на рибарството в региона. </w:t>
      </w:r>
    </w:p>
    <w:p>
      <w:pPr>
        <w:pBdr>
          <w:top w:val="nil"/>
          <w:left w:val="nil"/>
          <w:bottom w:val="nil"/>
          <w:right w:val="nil"/>
          <w:between w:val="nil"/>
          <w:bar w:val="nil"/>
        </w:pBdr>
        <w:spacing w:before="0" w:after="240"/>
        <w:rPr>
          <w:rFonts w:eastAsia="Arial Unicode MS"/>
          <w:noProof/>
        </w:rPr>
      </w:pPr>
      <w:r>
        <w:rPr>
          <w:noProof/>
        </w:rPr>
        <w:lastRenderedPageBreak/>
        <w:t>За ЕС е важно да поддържа инструмент, позволяващ задълбочено секторно сътрудничество с държава, която поради обхвата на риболовната зона под нейна юрисдикция е водещ фактор в управлението на океаните на подрегионално ниво. Укрепването на отношенията със Сейшелите също така е от значение за създаването на съюзи в рамките на IOTC. Същевременно за флота на ЕС това означава запазване на достъпа до риболовна зона, която е важна за използването на риболовни стратегии съгласно многогодишна международна правна рамка. В допълнение значението на Порт Виктория като едно от основните пристанища за разтоварване на улова допринася за значимостта на предвидения нов протокол както за риболовния отрасъл на ЕС, така и за държавата партньор. Що се отнася до органите на Сейшелите, целта им е да запазят отношенията си с ЕС с оглед укрепване на управлението на океаните, като се ползват от специална секторна помощ, предвиждаща възможности за многогодишно финансиране.</w:t>
      </w:r>
    </w:p>
    <w:p>
      <w:pPr>
        <w:pStyle w:val="ManualHeading2"/>
        <w:rPr>
          <w:rFonts w:eastAsia="Arial Unicode MS"/>
          <w:noProof/>
          <w:u w:color="000000"/>
          <w:bdr w:val="nil"/>
        </w:rPr>
      </w:pPr>
      <w:r>
        <w:rPr>
          <w:noProof/>
          <w:u w:color="000000"/>
          <w:bdr w:val="nil"/>
        </w:rPr>
        <w:t>•</w:t>
      </w:r>
      <w:r>
        <w:rPr>
          <w:noProof/>
          <w:u w:color="000000"/>
          <w:bdr w:val="nil"/>
        </w:rPr>
        <w:tab/>
        <w:t>Консултации със заинтересованите страни</w:t>
      </w:r>
    </w:p>
    <w:p>
      <w:pPr>
        <w:pBdr>
          <w:top w:val="nil"/>
          <w:left w:val="nil"/>
          <w:bottom w:val="nil"/>
          <w:right w:val="nil"/>
          <w:between w:val="nil"/>
          <w:bar w:val="nil"/>
        </w:pBdr>
        <w:spacing w:before="0" w:after="240"/>
        <w:rPr>
          <w:rFonts w:eastAsia="Arial Unicode MS"/>
          <w:noProof/>
        </w:rPr>
      </w:pPr>
      <w:r>
        <w:rPr>
          <w:noProof/>
        </w:rPr>
        <w:t>В рамките на оценката бяха проведени консултации с държавите членки, представители на отрасъла, международни организации на гражданското общество, както и с администрацията на Сейшелите в областта на рибарството и с гражданското им общество. Бяха проведени също така консултации в рамките на Консултативния съвет по далечно плаване, по-точно на неговото заседание на 27 март 2019 г.</w:t>
      </w:r>
    </w:p>
    <w:p>
      <w:pPr>
        <w:pStyle w:val="ManualHeading2"/>
        <w:rPr>
          <w:rFonts w:eastAsia="Arial Unicode MS"/>
          <w:noProof/>
          <w:u w:color="000000"/>
          <w:bdr w:val="nil"/>
        </w:rPr>
      </w:pPr>
      <w:r>
        <w:rPr>
          <w:noProof/>
          <w:u w:color="000000"/>
          <w:bdr w:val="nil"/>
        </w:rPr>
        <w:t>•</w:t>
      </w:r>
      <w:r>
        <w:rPr>
          <w:noProof/>
          <w:u w:color="000000"/>
          <w:bdr w:val="nil"/>
        </w:rPr>
        <w:tab/>
        <w:t>Събиране и използване на експертни становища</w:t>
      </w:r>
    </w:p>
    <w:p>
      <w:pPr>
        <w:spacing w:before="0" w:after="240"/>
        <w:rPr>
          <w:noProof/>
        </w:rPr>
      </w:pPr>
      <w:r>
        <w:rPr>
          <w:noProof/>
        </w:rPr>
        <w:t xml:space="preserve">В съответствие с разпоредбите на член 31, параграф 10 от Регламента за общата политика в областта на рибарството, за последващата и за предварителната оценка Комисията използва услугите на независим консултант. </w:t>
      </w:r>
    </w:p>
    <w:p>
      <w:pPr>
        <w:pStyle w:val="ManualHeading2"/>
        <w:rPr>
          <w:rFonts w:eastAsia="Arial Unicode MS"/>
          <w:noProof/>
          <w:u w:color="000000"/>
          <w:bdr w:val="nil"/>
        </w:rPr>
      </w:pPr>
      <w:r>
        <w:rPr>
          <w:noProof/>
          <w:u w:color="000000"/>
          <w:bdr w:val="nil"/>
        </w:rPr>
        <w:t>•</w:t>
      </w:r>
      <w:r>
        <w:rPr>
          <w:noProof/>
          <w:u w:color="000000"/>
          <w:bdr w:val="nil"/>
        </w:rPr>
        <w:tab/>
        <w:t>Оценка на въздействието</w:t>
      </w:r>
    </w:p>
    <w:p>
      <w:pPr>
        <w:pBdr>
          <w:top w:val="nil"/>
          <w:left w:val="nil"/>
          <w:bottom w:val="nil"/>
          <w:right w:val="nil"/>
          <w:between w:val="nil"/>
          <w:bar w:val="nil"/>
        </w:pBdr>
        <w:spacing w:before="0" w:after="240"/>
        <w:rPr>
          <w:noProof/>
        </w:rPr>
      </w:pPr>
      <w:r>
        <w:rPr>
          <w:noProof/>
        </w:rPr>
        <w:t>Не е приложимо.</w:t>
      </w:r>
    </w:p>
    <w:p>
      <w:pPr>
        <w:pStyle w:val="ManualHeading2"/>
        <w:rPr>
          <w:rFonts w:eastAsia="Arial Unicode MS"/>
          <w:noProof/>
          <w:u w:color="000000"/>
          <w:bdr w:val="nil"/>
        </w:rPr>
      </w:pPr>
      <w:r>
        <w:rPr>
          <w:noProof/>
          <w:u w:color="000000"/>
          <w:bdr w:val="nil"/>
        </w:rPr>
        <w:t>•</w:t>
      </w:r>
      <w:r>
        <w:rPr>
          <w:noProof/>
          <w:u w:color="000000"/>
          <w:bdr w:val="nil"/>
        </w:rPr>
        <w:tab/>
        <w:t>Пригодност и опростяване на законодателството</w:t>
      </w:r>
    </w:p>
    <w:p>
      <w:pPr>
        <w:pBdr>
          <w:top w:val="nil"/>
          <w:left w:val="nil"/>
          <w:bottom w:val="nil"/>
          <w:right w:val="nil"/>
          <w:between w:val="nil"/>
          <w:bar w:val="nil"/>
        </w:pBdr>
        <w:spacing w:before="0" w:after="240"/>
        <w:rPr>
          <w:noProof/>
        </w:rPr>
      </w:pPr>
      <w:r>
        <w:rPr>
          <w:noProof/>
        </w:rPr>
        <w:t>Не е приложимо.</w:t>
      </w:r>
    </w:p>
    <w:p>
      <w:pPr>
        <w:pStyle w:val="ManualHeading2"/>
        <w:rPr>
          <w:rFonts w:eastAsia="Arial Unicode MS"/>
          <w:noProof/>
          <w:u w:color="000000"/>
          <w:bdr w:val="nil"/>
        </w:rPr>
      </w:pPr>
      <w:r>
        <w:rPr>
          <w:noProof/>
          <w:u w:color="000000"/>
          <w:bdr w:val="nil"/>
        </w:rPr>
        <w:t>•</w:t>
      </w:r>
      <w:r>
        <w:rPr>
          <w:noProof/>
          <w:u w:color="000000"/>
          <w:bdr w:val="nil"/>
        </w:rPr>
        <w:tab/>
        <w:t>Основни права</w:t>
      </w:r>
    </w:p>
    <w:p>
      <w:pPr>
        <w:pBdr>
          <w:top w:val="nil"/>
          <w:left w:val="nil"/>
          <w:bottom w:val="nil"/>
          <w:right w:val="nil"/>
          <w:between w:val="nil"/>
          <w:bar w:val="nil"/>
        </w:pBdr>
        <w:spacing w:before="0" w:after="240"/>
        <w:rPr>
          <w:noProof/>
        </w:rPr>
      </w:pPr>
      <w:r>
        <w:rPr>
          <w:noProof/>
        </w:rPr>
        <w:t>Договореното споразумение включва клауза относно последиците в случай на нарушаване на правата на човека и демократичните принципи.</w:t>
      </w:r>
    </w:p>
    <w:p>
      <w:pPr>
        <w:pStyle w:val="ManualHeading1"/>
        <w:rPr>
          <w:noProof/>
        </w:rPr>
      </w:pPr>
      <w:r>
        <w:rPr>
          <w:noProof/>
        </w:rPr>
        <w:t>4.</w:t>
      </w:r>
      <w:r>
        <w:rPr>
          <w:noProof/>
        </w:rPr>
        <w:tab/>
        <w:t>ОТРАЖЕНИЕ ВЪРХУ БЮДЖЕТА</w:t>
      </w:r>
    </w:p>
    <w:p>
      <w:pPr>
        <w:rPr>
          <w:rFonts w:eastAsia="Calibri"/>
          <w:noProof/>
        </w:rPr>
      </w:pPr>
      <w:r>
        <w:rPr>
          <w:noProof/>
        </w:rPr>
        <w:t>Годишният финансов принос на ЕС възлиза на 5 300 000 EUR и се състои от:</w:t>
      </w:r>
    </w:p>
    <w:p>
      <w:pPr>
        <w:rPr>
          <w:rFonts w:eastAsia="Calibri"/>
          <w:noProof/>
        </w:rPr>
      </w:pPr>
      <w:r>
        <w:rPr>
          <w:noProof/>
        </w:rPr>
        <w:t xml:space="preserve">а) годишна сума за достъп до рибните ресурси в риболовната зона на Сейшелите в размер на 2 500 000 EUR, която съответства на референтен тонаж за далекомигриращи видове от 50 000 тона годишно; </w:t>
      </w:r>
    </w:p>
    <w:p>
      <w:pPr>
        <w:rPr>
          <w:rFonts w:eastAsia="Calibri"/>
          <w:noProof/>
        </w:rPr>
      </w:pPr>
      <w:r>
        <w:rPr>
          <w:noProof/>
        </w:rPr>
        <w:t>б) помощ за развитието на секторната политика на Сейшелите в областта на рибарството в размер на 2 800 000 EUR годишно. Тази помощ отговаря на целите на всеобхватния план на Сейшелите в областта на рибарството.</w:t>
      </w:r>
    </w:p>
    <w:p>
      <w:pPr>
        <w:rPr>
          <w:noProof/>
        </w:rPr>
      </w:pPr>
      <w:r>
        <w:rPr>
          <w:noProof/>
        </w:rPr>
        <w:lastRenderedPageBreak/>
        <w:t>Годишният размер на бюджетните кредити за поети задължения и плащания се определя в рамките на годишната бюджетна процедура, включително за бюджетния ред с резерва за протоколи, които в началото на годината още не са били влезли в сила</w:t>
      </w:r>
      <w:r>
        <w:rPr>
          <w:rStyle w:val="FootnoteReference"/>
          <w:noProof/>
        </w:rPr>
        <w:footnoteReference w:id="6"/>
      </w:r>
      <w:r>
        <w:rPr>
          <w:noProof/>
        </w:rPr>
        <w:t>.</w:t>
      </w:r>
    </w:p>
    <w:p>
      <w:pPr>
        <w:pStyle w:val="ManualHeading1"/>
        <w:rPr>
          <w:noProof/>
        </w:rPr>
      </w:pPr>
      <w:r>
        <w:rPr>
          <w:noProof/>
        </w:rPr>
        <w:t>5.</w:t>
      </w:r>
      <w:r>
        <w:rPr>
          <w:noProof/>
        </w:rPr>
        <w:tab/>
        <w:t>ДРУГИ ЕЛЕМЕНТИ</w:t>
      </w:r>
    </w:p>
    <w:p>
      <w:pPr>
        <w:pStyle w:val="ManualHeading2"/>
        <w:rPr>
          <w:rFonts w:eastAsia="Arial Unicode MS"/>
          <w:noProof/>
          <w:u w:color="000000"/>
          <w:bdr w:val="nil"/>
        </w:rPr>
      </w:pPr>
      <w:r>
        <w:rPr>
          <w:noProof/>
          <w:u w:color="000000"/>
          <w:bdr w:val="nil"/>
        </w:rPr>
        <w:t>•</w:t>
      </w:r>
      <w:r>
        <w:rPr>
          <w:noProof/>
          <w:u w:color="000000"/>
          <w:bdr w:val="nil"/>
        </w:rPr>
        <w:tab/>
        <w:t>Планове за изпълнение и механизми за мониторинг, оценка и докладване</w:t>
      </w:r>
    </w:p>
    <w:p>
      <w:pPr>
        <w:pBdr>
          <w:top w:val="nil"/>
          <w:left w:val="nil"/>
          <w:bottom w:val="nil"/>
          <w:right w:val="nil"/>
          <w:between w:val="nil"/>
          <w:bar w:val="nil"/>
        </w:pBdr>
        <w:spacing w:before="0" w:after="240"/>
        <w:rPr>
          <w:noProof/>
        </w:rPr>
      </w:pPr>
      <w:r>
        <w:rPr>
          <w:noProof/>
        </w:rPr>
        <w:t xml:space="preserve">Договореностите за мониторинг са предвидени в споразумението за партньорство в областта на устойчивото рибарство и в изпълнителния протокол към него.  </w:t>
      </w:r>
    </w:p>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2020/0003 (NLE)</w:t>
      </w:r>
    </w:p>
    <w:p>
      <w:pPr>
        <w:pStyle w:val="Statut"/>
        <w:rPr>
          <w:noProof/>
        </w:rPr>
      </w:pPr>
      <w:r>
        <w:rPr>
          <w:noProof/>
        </w:rPr>
        <w:t>Предложение за</w:t>
      </w:r>
    </w:p>
    <w:p>
      <w:pPr>
        <w:pStyle w:val="Typedudocument"/>
        <w:rPr>
          <w:noProof/>
        </w:rPr>
      </w:pPr>
      <w:r>
        <w:rPr>
          <w:noProof/>
        </w:rPr>
        <w:t>РЕШЕНИЕ НА СЪВЕТА</w:t>
      </w:r>
    </w:p>
    <w:p>
      <w:pPr>
        <w:pStyle w:val="Titreobjet"/>
        <w:rPr>
          <w:noProof/>
        </w:rPr>
      </w:pPr>
      <w:r>
        <w:rPr>
          <w:noProof/>
        </w:rPr>
        <w:t>относно подписването от името на Съюза и временното прилагане на Споразумението за партньорство в областта на устойчивото рибарство и на изпълнителен протокол към него (2020—2026 година) между Европейския съюз и Република Сейшели</w:t>
      </w:r>
    </w:p>
    <w:p>
      <w:pPr>
        <w:pStyle w:val="Institutionquiagit"/>
        <w:rPr>
          <w:noProof/>
        </w:rPr>
      </w:pPr>
      <w:r>
        <w:rPr>
          <w:noProof/>
        </w:rPr>
        <w:t>СЪВЕТЪТ НА ЕВРОПЕЙСКИЯ СЪЮЗ,</w:t>
      </w:r>
    </w:p>
    <w:p>
      <w:pPr>
        <w:rPr>
          <w:noProof/>
        </w:rPr>
      </w:pPr>
      <w:r>
        <w:rPr>
          <w:noProof/>
        </w:rPr>
        <w:t>като взе предвид Договора за функционирането на Европейския съюз, и по-специално член 43, параграф 2 във връзка с член 218, параграф 5 от него,</w:t>
      </w:r>
    </w:p>
    <w:p>
      <w:pPr>
        <w:rPr>
          <w:noProof/>
        </w:rPr>
      </w:pPr>
      <w:r>
        <w:rPr>
          <w:noProof/>
        </w:rPr>
        <w:t>като взе предвид предложението на Европейската комисия,</w:t>
      </w:r>
    </w:p>
    <w:p>
      <w:pPr>
        <w:rPr>
          <w:noProof/>
        </w:rPr>
      </w:pPr>
      <w:r>
        <w:rPr>
          <w:noProof/>
        </w:rPr>
        <w:t>като има предвид, че:</w:t>
      </w:r>
    </w:p>
    <w:p>
      <w:pPr>
        <w:pStyle w:val="ManualConsidrant"/>
        <w:rPr>
          <w:noProof/>
        </w:rPr>
      </w:pPr>
      <w:r>
        <w:t>(1)</w:t>
      </w:r>
      <w:r>
        <w:tab/>
      </w:r>
      <w:r>
        <w:rPr>
          <w:noProof/>
        </w:rPr>
        <w:t>На 15 юли 2019 г. Съветът упълномощи Комисията да започне преговори с Република Сейшели с цел установяването на ново Споразумение за партньорство в областта на устойчивото рибарство между Европейския съюз и Република Сейшели („споразумението за партньорство“), както и на нов изпълнителен протокол към него („протоколът“).</w:t>
      </w:r>
    </w:p>
    <w:p>
      <w:pPr>
        <w:pStyle w:val="ManualConsidrant"/>
        <w:rPr>
          <w:noProof/>
        </w:rPr>
      </w:pPr>
      <w:r>
        <w:t>(2)</w:t>
      </w:r>
      <w:r>
        <w:tab/>
      </w:r>
      <w:r>
        <w:rPr>
          <w:noProof/>
        </w:rPr>
        <w:t>Преговорите приключиха успешно с парафирането на 22 октомври 2019 г. на споразумението за партньорство и на протокола.</w:t>
      </w:r>
    </w:p>
    <w:p>
      <w:pPr>
        <w:pStyle w:val="ManualConsidrant"/>
        <w:rPr>
          <w:noProof/>
        </w:rPr>
      </w:pPr>
      <w:r>
        <w:t>(3)</w:t>
      </w:r>
      <w:r>
        <w:tab/>
      </w:r>
      <w:r>
        <w:rPr>
          <w:noProof/>
        </w:rPr>
        <w:t>Споразумението за партньорство отменя действащото Споразумение за партньорство в областта на рибарството (СПОР) между Европейския съюз и Република Сейшели, което влезе в сила на 2 ноември 2007 г. за срок от 6 години и което беше подновено с мълчаливо съгласие, и поради това е все още в сила.</w:t>
      </w:r>
    </w:p>
    <w:p>
      <w:pPr>
        <w:pStyle w:val="ManualConsidrant"/>
        <w:rPr>
          <w:noProof/>
        </w:rPr>
      </w:pPr>
      <w:r>
        <w:t>(4)</w:t>
      </w:r>
      <w:r>
        <w:tab/>
      </w:r>
      <w:r>
        <w:rPr>
          <w:noProof/>
        </w:rPr>
        <w:t>Целта на споразумението за партньорство и на протокола е да се даде възможност на Съюза и на Република Сейшели да работят в по-тясно сътрудничество за по-нататъшно насърчаване на развитието на устойчива политика в областта на рибарството и да се осигури отговорната експлоатация на рибните ресурси в риболовната зона на Сейшелите и в Индийския океан, като същевременно се допринесе за достойни условия на труд в сектора на рибарството.</w:t>
      </w:r>
    </w:p>
    <w:p>
      <w:pPr>
        <w:pStyle w:val="ManualConsidrant"/>
        <w:rPr>
          <w:noProof/>
        </w:rPr>
      </w:pPr>
      <w:r>
        <w:t>(5)</w:t>
      </w:r>
      <w:r>
        <w:tab/>
      </w:r>
      <w:r>
        <w:rPr>
          <w:noProof/>
        </w:rPr>
        <w:t>Поради това споразумението за партньорство и протоколът следва да бъдат подписани от името на Съюза, при условие че бъдат сключени на по-късна дата.</w:t>
      </w:r>
    </w:p>
    <w:p>
      <w:pPr>
        <w:pStyle w:val="ManualConsidrant"/>
        <w:rPr>
          <w:rFonts w:eastAsia="Calibri"/>
          <w:noProof/>
        </w:rPr>
      </w:pPr>
      <w:r>
        <w:t>(6)</w:t>
      </w:r>
      <w:r>
        <w:tab/>
      </w:r>
      <w:r>
        <w:rPr>
          <w:noProof/>
        </w:rPr>
        <w:t>Тези мерки следва да влязат в сила възможно най-скоро с оглед на икономическото значение, свързано с риболовните дейности на Съюза в риболовната зона на Сейшелите и с необходимостта прекъсването на тези дейности да бъде възможно най-кратко,</w:t>
      </w:r>
    </w:p>
    <w:p>
      <w:pPr>
        <w:pStyle w:val="ManualConsidrant"/>
        <w:rPr>
          <w:noProof/>
        </w:rPr>
      </w:pPr>
      <w:r>
        <w:t>(7)</w:t>
      </w:r>
      <w:r>
        <w:tab/>
      </w:r>
      <w:r>
        <w:rPr>
          <w:noProof/>
        </w:rPr>
        <w:t xml:space="preserve">С цел да се позволи продължаване на риболовните дейности на корабите на Съюза споразумението за партньорство и протоколът следва да се прилагат временно от датата на подписването им, при условие че влязат в сила на по-късна дата, </w:t>
      </w:r>
    </w:p>
    <w:p>
      <w:pPr>
        <w:pStyle w:val="Formuledadoption"/>
        <w:rPr>
          <w:noProof/>
        </w:rPr>
      </w:pPr>
      <w:r>
        <w:rPr>
          <w:noProof/>
        </w:rPr>
        <w:lastRenderedPageBreak/>
        <w:t xml:space="preserve">ПРИЕ НАСТОЯЩОТО РЕШЕНИЕ: </w:t>
      </w:r>
    </w:p>
    <w:p>
      <w:pPr>
        <w:pStyle w:val="Titrearticle"/>
        <w:rPr>
          <w:noProof/>
        </w:rPr>
      </w:pPr>
      <w:r>
        <w:rPr>
          <w:noProof/>
        </w:rPr>
        <w:t>Член 1</w:t>
      </w:r>
    </w:p>
    <w:p>
      <w:pPr>
        <w:rPr>
          <w:noProof/>
        </w:rPr>
      </w:pPr>
      <w:r>
        <w:rPr>
          <w:noProof/>
        </w:rPr>
        <w:t>С настоящото от името на Съюза се одобрява подписването на Споразумението за партньорство в областта на устойчивото рибарство между Европейския съюз и Република Сейшели („споразумението за партньорство“) и на Изпълнителния протокол към Споразумението за партньорство в областта на устойчивото рибарство между Европейския съюз и Република Сейшели (2020—2026 г.) („протокола“), при условие, че тези актове бъдат сключени.</w:t>
      </w:r>
    </w:p>
    <w:p>
      <w:pPr>
        <w:rPr>
          <w:noProof/>
        </w:rPr>
      </w:pPr>
      <w:r>
        <w:rPr>
          <w:noProof/>
        </w:rPr>
        <w:t>Текстовете на споразумението за партньорство и на протокола, предвидени за подписване, са приложени към настоящото решение.</w:t>
      </w:r>
    </w:p>
    <w:p>
      <w:pPr>
        <w:pStyle w:val="Titrearticle"/>
        <w:rPr>
          <w:noProof/>
        </w:rPr>
      </w:pPr>
      <w:r>
        <w:rPr>
          <w:noProof/>
        </w:rPr>
        <w:t>Член 2</w:t>
      </w:r>
    </w:p>
    <w:p>
      <w:pPr>
        <w:rPr>
          <w:i/>
          <w:noProof/>
        </w:rPr>
      </w:pPr>
      <w:r>
        <w:rPr>
          <w:noProof/>
        </w:rPr>
        <w:t>Генералният секретариат на Съвета установява инструмента за предоставяне на пълномощия за подписване на споразумението за партньорство и на протокола, при условие че те бъдат сключени, на лицето(ата), посочено(и) от преговарящия по споразумението за партньорство и протокола.</w:t>
      </w:r>
      <w:r>
        <w:rPr>
          <w:i/>
          <w:noProof/>
        </w:rPr>
        <w:t xml:space="preserve">  </w:t>
      </w:r>
    </w:p>
    <w:p>
      <w:pPr>
        <w:pStyle w:val="Titrearticle"/>
        <w:rPr>
          <w:noProof/>
        </w:rPr>
      </w:pPr>
      <w:r>
        <w:rPr>
          <w:noProof/>
        </w:rPr>
        <w:t>Член 3</w:t>
      </w:r>
    </w:p>
    <w:p>
      <w:pPr>
        <w:keepNext/>
        <w:rPr>
          <w:noProof/>
        </w:rPr>
      </w:pPr>
      <w:r>
        <w:rPr>
          <w:noProof/>
        </w:rPr>
        <w:t>От датата на подписване до влизането в сила на споразумението за партньорство то се прилага временно в съответствие с член 15 от него.</w:t>
      </w:r>
    </w:p>
    <w:p>
      <w:pPr>
        <w:pStyle w:val="Titrearticle"/>
        <w:rPr>
          <w:noProof/>
        </w:rPr>
      </w:pPr>
      <w:r>
        <w:rPr>
          <w:noProof/>
        </w:rPr>
        <w:t>Член 4</w:t>
      </w:r>
    </w:p>
    <w:p>
      <w:pPr>
        <w:keepNext/>
        <w:rPr>
          <w:noProof/>
        </w:rPr>
      </w:pPr>
      <w:r>
        <w:rPr>
          <w:noProof/>
        </w:rPr>
        <w:t>От датата на подписване до влизането в сила на протокола той се прилага временно в съответствие с член 15 от него.</w:t>
      </w:r>
    </w:p>
    <w:p>
      <w:pPr>
        <w:pStyle w:val="Titrearticle"/>
        <w:keepNext w:val="0"/>
        <w:rPr>
          <w:noProof/>
        </w:rPr>
      </w:pPr>
      <w:r>
        <w:rPr>
          <w:noProof/>
        </w:rPr>
        <w:t>Член 5</w:t>
      </w:r>
    </w:p>
    <w:p>
      <w:pPr>
        <w:keepLines/>
        <w:rPr>
          <w:noProof/>
        </w:rPr>
      </w:pPr>
      <w:r>
        <w:rPr>
          <w:noProof/>
        </w:rPr>
        <w:t xml:space="preserve">Настоящото решение влиза в сила в деня след деня на публикуването му в </w:t>
      </w:r>
      <w:r>
        <w:rPr>
          <w:i/>
          <w:noProof/>
        </w:rPr>
        <w:t>Официален вестник на Европейския съюз</w:t>
      </w:r>
      <w:r>
        <w:rPr>
          <w:noProof/>
        </w:rPr>
        <w:t xml:space="preserve">. </w:t>
      </w:r>
    </w:p>
    <w:p>
      <w:pPr>
        <w:keepLines/>
        <w:rPr>
          <w:noProof/>
        </w:rPr>
      </w:pPr>
    </w:p>
    <w:p>
      <w:pPr>
        <w:pStyle w:val="Fait"/>
        <w:rPr>
          <w:noProof/>
        </w:rPr>
      </w:pPr>
      <w:r>
        <w:t xml:space="preserve">Съставено в Брюксел на </w:t>
      </w:r>
      <w:r>
        <w:rPr>
          <w:rStyle w:val="Marker"/>
        </w:rPr>
        <w:t>[…]</w:t>
      </w:r>
      <w:r>
        <w:t xml:space="preserve"> година.</w:t>
      </w:r>
    </w:p>
    <w:p>
      <w:pPr>
        <w:pStyle w:val="Institutionquisigne"/>
        <w:rPr>
          <w:noProof/>
        </w:rPr>
      </w:pPr>
      <w:r>
        <w:rPr>
          <w:noProof/>
        </w:rPr>
        <w:tab/>
        <w:t>За Съвета</w:t>
      </w:r>
    </w:p>
    <w:p>
      <w:pPr>
        <w:pStyle w:val="Personnequisigne"/>
        <w:rPr>
          <w:noProof/>
        </w:rPr>
      </w:pPr>
      <w:r>
        <w:rPr>
          <w:noProof/>
        </w:rPr>
        <w:tab/>
        <w:t>Председател</w:t>
      </w:r>
    </w:p>
    <w:p>
      <w:pPr>
        <w:pStyle w:val="Fichefinanciretitre"/>
        <w:rPr>
          <w:noProof/>
        </w:rPr>
      </w:pPr>
      <w:r>
        <w:rPr>
          <w:noProof/>
        </w:rPr>
        <w:br w:type="page"/>
      </w:r>
    </w:p>
    <w:p>
      <w:pPr>
        <w:pStyle w:val="Fichefinanciretitre"/>
        <w:rPr>
          <w:noProof/>
        </w:rPr>
      </w:pPr>
      <w:r>
        <w:rPr>
          <w:noProof/>
        </w:rPr>
        <w:lastRenderedPageBreak/>
        <w:t>ЗАКОНОДАТЕЛНА ФИНАНСОВА ОБОСНОВКА</w:t>
      </w:r>
    </w:p>
    <w:p>
      <w:pPr>
        <w:pStyle w:val="ManualHeading1"/>
        <w:rPr>
          <w:noProof/>
        </w:rPr>
      </w:pPr>
      <w:r>
        <w:rPr>
          <w:noProof/>
        </w:rPr>
        <w:t>1.</w:t>
      </w:r>
      <w:r>
        <w:rPr>
          <w:noProof/>
        </w:rPr>
        <w:tab/>
        <w:t xml:space="preserve">РАМКА НА ПРЕДЛОЖЕНИЕТО/ИНИЦИАТИВАТА </w:t>
      </w:r>
    </w:p>
    <w:p>
      <w:pPr>
        <w:pStyle w:val="ManualHeading2"/>
        <w:rPr>
          <w:b w:val="0"/>
          <w:noProof/>
        </w:rPr>
      </w:pPr>
      <w:r>
        <w:rPr>
          <w:noProof/>
        </w:rPr>
        <w:tab/>
      </w:r>
      <w:r>
        <w:rPr>
          <w:b w:val="0"/>
          <w:noProof/>
        </w:rPr>
        <w:t>1.1.</w:t>
      </w:r>
      <w:r>
        <w:rPr>
          <w:noProof/>
        </w:rPr>
        <w:tab/>
      </w:r>
      <w:r>
        <w:rPr>
          <w:b w:val="0"/>
          <w:noProof/>
        </w:rPr>
        <w:t xml:space="preserve">Наименование на предложението/инициативата </w:t>
      </w:r>
    </w:p>
    <w:p>
      <w:pPr>
        <w:pStyle w:val="ManualHeading2"/>
        <w:rPr>
          <w:b w:val="0"/>
          <w:noProof/>
        </w:rPr>
      </w:pPr>
      <w:r>
        <w:rPr>
          <w:noProof/>
        </w:rPr>
        <w:tab/>
      </w:r>
      <w:r>
        <w:rPr>
          <w:b w:val="0"/>
          <w:noProof/>
        </w:rPr>
        <w:t>1.2.</w:t>
      </w:r>
      <w:r>
        <w:rPr>
          <w:noProof/>
        </w:rPr>
        <w:tab/>
      </w:r>
      <w:r>
        <w:rPr>
          <w:b w:val="0"/>
          <w:noProof/>
        </w:rPr>
        <w:t>Съответни области на политиката</w:t>
      </w:r>
    </w:p>
    <w:p>
      <w:pPr>
        <w:pStyle w:val="ManualHeading2"/>
        <w:rPr>
          <w:b w:val="0"/>
          <w:noProof/>
        </w:rPr>
      </w:pPr>
      <w:r>
        <w:rPr>
          <w:noProof/>
        </w:rPr>
        <w:tab/>
      </w:r>
      <w:r>
        <w:rPr>
          <w:b w:val="0"/>
          <w:noProof/>
        </w:rPr>
        <w:t>1.3.</w:t>
      </w:r>
      <w:r>
        <w:rPr>
          <w:noProof/>
        </w:rPr>
        <w:tab/>
      </w:r>
      <w:r>
        <w:rPr>
          <w:b w:val="0"/>
          <w:noProof/>
        </w:rPr>
        <w:t xml:space="preserve">Предложението/инициативата е във връзка с: </w:t>
      </w:r>
    </w:p>
    <w:p>
      <w:pPr>
        <w:pStyle w:val="ManualHeading2"/>
        <w:rPr>
          <w:b w:val="0"/>
          <w:noProof/>
        </w:rPr>
      </w:pPr>
      <w:r>
        <w:rPr>
          <w:noProof/>
        </w:rPr>
        <w:tab/>
      </w:r>
      <w:r>
        <w:rPr>
          <w:b w:val="0"/>
          <w:noProof/>
        </w:rPr>
        <w:t>1.4.</w:t>
      </w:r>
      <w:r>
        <w:rPr>
          <w:noProof/>
        </w:rPr>
        <w:tab/>
      </w:r>
      <w:r>
        <w:rPr>
          <w:b w:val="0"/>
          <w:noProof/>
        </w:rPr>
        <w:t xml:space="preserve">Цели </w:t>
      </w:r>
    </w:p>
    <w:p>
      <w:pPr>
        <w:pStyle w:val="ManualHeading3"/>
        <w:rPr>
          <w:noProof/>
        </w:rPr>
      </w:pPr>
      <w:r>
        <w:rPr>
          <w:noProof/>
        </w:rPr>
        <w:tab/>
        <w:t>1.4.1.</w:t>
      </w:r>
      <w:r>
        <w:rPr>
          <w:noProof/>
        </w:rPr>
        <w:tab/>
        <w:t>Общи цели</w:t>
      </w:r>
    </w:p>
    <w:p>
      <w:pPr>
        <w:pStyle w:val="ManualHeading3"/>
        <w:rPr>
          <w:noProof/>
        </w:rPr>
      </w:pPr>
      <w:r>
        <w:rPr>
          <w:noProof/>
        </w:rPr>
        <w:tab/>
        <w:t>1.4.2.</w:t>
      </w:r>
      <w:r>
        <w:rPr>
          <w:noProof/>
        </w:rPr>
        <w:tab/>
        <w:t>Конкретни цели</w:t>
      </w:r>
    </w:p>
    <w:p>
      <w:pPr>
        <w:pStyle w:val="ManualHeading3"/>
        <w:rPr>
          <w:noProof/>
        </w:rPr>
      </w:pPr>
      <w:r>
        <w:rPr>
          <w:noProof/>
        </w:rPr>
        <w:tab/>
        <w:t>1.4.3.</w:t>
      </w:r>
      <w:r>
        <w:rPr>
          <w:noProof/>
        </w:rPr>
        <w:tab/>
        <w:t>Очаквани резултати и отражение</w:t>
      </w:r>
    </w:p>
    <w:p>
      <w:pPr>
        <w:pStyle w:val="ManualHeading3"/>
        <w:rPr>
          <w:noProof/>
        </w:rPr>
      </w:pPr>
      <w:r>
        <w:rPr>
          <w:noProof/>
        </w:rPr>
        <w:tab/>
        <w:t>1.4.4.</w:t>
      </w:r>
      <w:r>
        <w:rPr>
          <w:noProof/>
        </w:rPr>
        <w:tab/>
        <w:t>Показатели за изпълнението</w:t>
      </w:r>
    </w:p>
    <w:p>
      <w:pPr>
        <w:pStyle w:val="ManualHeading2"/>
        <w:rPr>
          <w:b w:val="0"/>
          <w:noProof/>
        </w:rPr>
      </w:pPr>
      <w:r>
        <w:rPr>
          <w:noProof/>
        </w:rPr>
        <w:tab/>
      </w:r>
      <w:r>
        <w:rPr>
          <w:b w:val="0"/>
          <w:noProof/>
        </w:rPr>
        <w:t>1.5.</w:t>
      </w:r>
      <w:r>
        <w:rPr>
          <w:noProof/>
        </w:rPr>
        <w:tab/>
      </w:r>
      <w:r>
        <w:rPr>
          <w:b w:val="0"/>
          <w:noProof/>
        </w:rPr>
        <w:t xml:space="preserve">Мотиви за предложението/инициативата </w:t>
      </w:r>
    </w:p>
    <w:p>
      <w:pPr>
        <w:pStyle w:val="ManualHeading3"/>
        <w:rPr>
          <w:noProof/>
        </w:rPr>
      </w:pPr>
      <w:r>
        <w:rPr>
          <w:noProof/>
        </w:rPr>
        <w:tab/>
        <w:t>1.5.1.</w:t>
      </w:r>
      <w:r>
        <w:rPr>
          <w:noProof/>
        </w:rPr>
        <w:tab/>
        <w:t>Изисквания, които трябва да бъдат изпълнени в краткосрочна или дългосрочна перспектива, включително подробен график за изпълнението на инициативата</w:t>
      </w:r>
    </w:p>
    <w:p>
      <w:pPr>
        <w:pStyle w:val="ManualHeading3"/>
        <w:rPr>
          <w:noProof/>
        </w:rPr>
      </w:pPr>
      <w:r>
        <w:rPr>
          <w:noProof/>
        </w:rPr>
        <w:tab/>
        <w:t>1.5.2.</w:t>
      </w:r>
      <w:r>
        <w:rPr>
          <w:noProof/>
        </w:rPr>
        <w:tab/>
        <w:t>Добавена стойност от участието на Съюза (може да е в резултат от различни фактори, например ползи във връзка с координацията, правна сигурност, по-добра ефективност или взаимно допълване). За целите на тази точка, „добавена стойност от участието на Съюза“ е стойността, която е в резултат от намесата на Съюза и е допълнителна спрямо стойността, която иначе би се създала само от държавите членки.</w:t>
      </w:r>
    </w:p>
    <w:p>
      <w:pPr>
        <w:pStyle w:val="ManualHeading3"/>
        <w:rPr>
          <w:noProof/>
        </w:rPr>
      </w:pPr>
      <w:r>
        <w:rPr>
          <w:noProof/>
        </w:rPr>
        <w:tab/>
        <w:t>1.5.3.</w:t>
      </w:r>
      <w:r>
        <w:rPr>
          <w:noProof/>
        </w:rPr>
        <w:tab/>
        <w:t>Изводи от подобен опит в миналото</w:t>
      </w:r>
    </w:p>
    <w:p>
      <w:pPr>
        <w:pStyle w:val="ManualHeading3"/>
        <w:rPr>
          <w:noProof/>
        </w:rPr>
      </w:pPr>
      <w:r>
        <w:rPr>
          <w:noProof/>
        </w:rPr>
        <w:tab/>
        <w:t>1.5.4.</w:t>
      </w:r>
      <w:r>
        <w:rPr>
          <w:noProof/>
        </w:rPr>
        <w:tab/>
        <w:t>Съвместимост с многогодишната финансова рамка и евентуални синергии с други подходящи инструменти</w:t>
      </w:r>
    </w:p>
    <w:p>
      <w:pPr>
        <w:pStyle w:val="ManualHeading3"/>
        <w:rPr>
          <w:noProof/>
        </w:rPr>
      </w:pPr>
      <w:r>
        <w:rPr>
          <w:noProof/>
        </w:rPr>
        <w:tab/>
        <w:t>1.5.5.</w:t>
      </w:r>
      <w:r>
        <w:rPr>
          <w:noProof/>
        </w:rPr>
        <w:tab/>
        <w:t>Оценка на различните налични варианти за финансиране, включително възможностите за преразпределяне на средства</w:t>
      </w:r>
    </w:p>
    <w:p>
      <w:pPr>
        <w:pStyle w:val="ManualHeading2"/>
        <w:rPr>
          <w:b w:val="0"/>
          <w:noProof/>
        </w:rPr>
      </w:pPr>
      <w:r>
        <w:rPr>
          <w:noProof/>
        </w:rPr>
        <w:tab/>
      </w:r>
      <w:r>
        <w:rPr>
          <w:b w:val="0"/>
          <w:noProof/>
        </w:rPr>
        <w:t>1.6.</w:t>
      </w:r>
      <w:r>
        <w:rPr>
          <w:noProof/>
        </w:rPr>
        <w:tab/>
      </w:r>
      <w:r>
        <w:rPr>
          <w:b w:val="0"/>
          <w:noProof/>
        </w:rPr>
        <w:t>Продължителност и финансово отражение на предложението/инициативата</w:t>
      </w:r>
    </w:p>
    <w:p>
      <w:pPr>
        <w:pStyle w:val="ManualHeading2"/>
        <w:rPr>
          <w:b w:val="0"/>
          <w:noProof/>
        </w:rPr>
        <w:sectPr>
          <w:pgSz w:w="11907" w:h="16840" w:code="9"/>
          <w:pgMar w:top="1134" w:right="1418" w:bottom="1134" w:left="1418" w:header="709" w:footer="709" w:gutter="0"/>
          <w:cols w:space="708"/>
          <w:docGrid w:linePitch="360"/>
        </w:sectPr>
      </w:pPr>
      <w:r>
        <w:rPr>
          <w:noProof/>
        </w:rPr>
        <w:tab/>
      </w:r>
      <w:r>
        <w:rPr>
          <w:b w:val="0"/>
          <w:noProof/>
        </w:rPr>
        <w:t>1.7.</w:t>
      </w:r>
      <w:r>
        <w:rPr>
          <w:noProof/>
        </w:rPr>
        <w:tab/>
      </w:r>
      <w:r>
        <w:rPr>
          <w:b w:val="0"/>
          <w:noProof/>
        </w:rPr>
        <w:t>Планирани методи на управление</w:t>
      </w:r>
      <w:r>
        <w:rPr>
          <w:noProof/>
        </w:rPr>
        <w:tab/>
      </w:r>
    </w:p>
    <w:p>
      <w:pPr>
        <w:pStyle w:val="ManualHeading1"/>
        <w:rPr>
          <w:noProof/>
        </w:rPr>
      </w:pPr>
      <w:r>
        <w:rPr>
          <w:noProof/>
        </w:rPr>
        <w:t>2.</w:t>
      </w:r>
      <w:r>
        <w:rPr>
          <w:noProof/>
        </w:rPr>
        <w:tab/>
        <w:t xml:space="preserve">МЕРКИ ЗА УПРАВЛЕНИЕ </w:t>
      </w:r>
    </w:p>
    <w:p>
      <w:pPr>
        <w:pStyle w:val="ManualHeading2"/>
        <w:rPr>
          <w:b w:val="0"/>
          <w:noProof/>
        </w:rPr>
      </w:pPr>
      <w:r>
        <w:rPr>
          <w:noProof/>
        </w:rPr>
        <w:tab/>
      </w:r>
      <w:r>
        <w:rPr>
          <w:b w:val="0"/>
          <w:noProof/>
        </w:rPr>
        <w:t>2.1.</w:t>
      </w:r>
      <w:r>
        <w:rPr>
          <w:noProof/>
        </w:rPr>
        <w:tab/>
      </w:r>
      <w:r>
        <w:rPr>
          <w:b w:val="0"/>
          <w:noProof/>
        </w:rPr>
        <w:t xml:space="preserve">Правила за мониторинг и докладване </w:t>
      </w:r>
    </w:p>
    <w:p>
      <w:pPr>
        <w:pStyle w:val="ManualHeading2"/>
        <w:rPr>
          <w:b w:val="0"/>
          <w:noProof/>
        </w:rPr>
      </w:pPr>
      <w:r>
        <w:rPr>
          <w:noProof/>
        </w:rPr>
        <w:tab/>
      </w:r>
      <w:r>
        <w:rPr>
          <w:b w:val="0"/>
          <w:noProof/>
        </w:rPr>
        <w:t>2.2.</w:t>
      </w:r>
      <w:r>
        <w:rPr>
          <w:noProof/>
        </w:rPr>
        <w:tab/>
      </w:r>
      <w:r>
        <w:rPr>
          <w:b w:val="0"/>
          <w:noProof/>
        </w:rPr>
        <w:t>Системи за управление и контрол</w:t>
      </w:r>
    </w:p>
    <w:p>
      <w:pPr>
        <w:pStyle w:val="ManualHeading3"/>
        <w:rPr>
          <w:noProof/>
        </w:rPr>
      </w:pPr>
      <w:r>
        <w:rPr>
          <w:noProof/>
        </w:rPr>
        <w:tab/>
        <w:t>2.2.1.</w:t>
      </w:r>
      <w:r>
        <w:rPr>
          <w:noProof/>
        </w:rPr>
        <w:tab/>
        <w:t>Обосновка на предложените начини за управление, механизми за финансиране на изпълнението, начини на плащане и стратегия за контрол</w:t>
      </w:r>
    </w:p>
    <w:p>
      <w:pPr>
        <w:pStyle w:val="ManualHeading3"/>
        <w:rPr>
          <w:noProof/>
        </w:rPr>
      </w:pPr>
      <w:r>
        <w:rPr>
          <w:noProof/>
        </w:rPr>
        <w:tab/>
        <w:t>2.2.2.</w:t>
      </w:r>
      <w:r>
        <w:rPr>
          <w:noProof/>
        </w:rPr>
        <w:tab/>
        <w:t>Информация относно установените рискове и системите за вътрешен контрол, създадени с цел намаляването им</w:t>
      </w:r>
    </w:p>
    <w:p>
      <w:pPr>
        <w:pStyle w:val="ManualHeading3"/>
        <w:rPr>
          <w:noProof/>
        </w:rPr>
      </w:pPr>
      <w:r>
        <w:rPr>
          <w:noProof/>
        </w:rPr>
        <w:tab/>
        <w:t>2.2.3.</w:t>
      </w:r>
      <w:r>
        <w:rPr>
          <w:noProof/>
        </w:rPr>
        <w:tab/>
        <w:t>Оценка и обосновка на ефективността на разходите за контрол (съотношението „разходи за контрол ÷ стойност на съответните управлявани финансови средства“) и оценка на очакваните нива на риска от грешки (при плащане и при приключване)</w:t>
      </w:r>
    </w:p>
    <w:p>
      <w:pPr>
        <w:pStyle w:val="ManualHeading2"/>
        <w:rPr>
          <w:b w:val="0"/>
          <w:noProof/>
        </w:rPr>
      </w:pPr>
      <w:r>
        <w:rPr>
          <w:noProof/>
        </w:rPr>
        <w:tab/>
      </w:r>
      <w:r>
        <w:rPr>
          <w:b w:val="0"/>
          <w:noProof/>
        </w:rPr>
        <w:t>2.3.</w:t>
      </w:r>
      <w:r>
        <w:rPr>
          <w:noProof/>
        </w:rPr>
        <w:tab/>
      </w:r>
      <w:r>
        <w:rPr>
          <w:b w:val="0"/>
          <w:noProof/>
        </w:rPr>
        <w:t xml:space="preserve">Мерки за предотвратяване на измами и нередности </w:t>
      </w:r>
    </w:p>
    <w:p>
      <w:pPr>
        <w:pStyle w:val="ManualHeading1"/>
        <w:rPr>
          <w:noProof/>
        </w:rPr>
      </w:pPr>
      <w:r>
        <w:rPr>
          <w:noProof/>
        </w:rPr>
        <w:t>3.</w:t>
      </w:r>
      <w:r>
        <w:rPr>
          <w:noProof/>
        </w:rPr>
        <w:tab/>
        <w:t xml:space="preserve">ОЧАКВАНО ФИНАНСОВО ОТРАЖЕНИЕ НА ПРЕДЛОЖЕНИЕТО/ИНИЦИАТИВАТА </w:t>
      </w:r>
    </w:p>
    <w:p>
      <w:pPr>
        <w:pStyle w:val="ManualHeading2"/>
        <w:rPr>
          <w:b w:val="0"/>
          <w:noProof/>
        </w:rPr>
      </w:pPr>
      <w:r>
        <w:rPr>
          <w:noProof/>
        </w:rPr>
        <w:tab/>
      </w:r>
      <w:r>
        <w:rPr>
          <w:b w:val="0"/>
          <w:noProof/>
        </w:rPr>
        <w:t>3.1.</w:t>
      </w:r>
      <w:r>
        <w:rPr>
          <w:noProof/>
        </w:rPr>
        <w:tab/>
      </w:r>
      <w:r>
        <w:rPr>
          <w:b w:val="0"/>
          <w:noProof/>
        </w:rPr>
        <w:t xml:space="preserve">Съответни функции от многогодишната финансова рамка и разходни бюджетни редове </w:t>
      </w:r>
    </w:p>
    <w:p>
      <w:pPr>
        <w:pStyle w:val="ManualHeading2"/>
        <w:rPr>
          <w:noProof/>
        </w:rPr>
      </w:pPr>
      <w:r>
        <w:rPr>
          <w:noProof/>
        </w:rPr>
        <w:tab/>
      </w:r>
      <w:r>
        <w:rPr>
          <w:b w:val="0"/>
          <w:noProof/>
        </w:rPr>
        <w:t>3.2.</w:t>
      </w:r>
      <w:r>
        <w:rPr>
          <w:noProof/>
        </w:rPr>
        <w:tab/>
      </w:r>
      <w:r>
        <w:rPr>
          <w:b w:val="0"/>
          <w:noProof/>
        </w:rPr>
        <w:t>Очаквано финансово отражение на предложението върху бюджетните кредити</w:t>
      </w:r>
    </w:p>
    <w:p>
      <w:pPr>
        <w:pStyle w:val="ManualHeading3"/>
        <w:rPr>
          <w:noProof/>
        </w:rPr>
      </w:pPr>
      <w:r>
        <w:rPr>
          <w:noProof/>
        </w:rPr>
        <w:tab/>
        <w:t>3.2.1.</w:t>
      </w:r>
      <w:r>
        <w:rPr>
          <w:noProof/>
        </w:rPr>
        <w:tab/>
        <w:t xml:space="preserve">Обобщение на очакваното отражение върху бюджетните кредити за оперативни разходи </w:t>
      </w:r>
    </w:p>
    <w:p>
      <w:pPr>
        <w:pStyle w:val="ManualHeading3"/>
        <w:rPr>
          <w:noProof/>
        </w:rPr>
      </w:pPr>
      <w:r>
        <w:rPr>
          <w:noProof/>
        </w:rPr>
        <w:tab/>
        <w:t>3.2.2.</w:t>
      </w:r>
      <w:r>
        <w:rPr>
          <w:noProof/>
        </w:rPr>
        <w:tab/>
        <w:t xml:space="preserve">Очакван резултат, финансиран с бюджетни кредити за оперативни разходи </w:t>
      </w:r>
    </w:p>
    <w:p>
      <w:pPr>
        <w:pStyle w:val="ManualHeading3"/>
        <w:rPr>
          <w:noProof/>
        </w:rPr>
      </w:pPr>
      <w:r>
        <w:rPr>
          <w:noProof/>
        </w:rPr>
        <w:tab/>
        <w:t>3.2.3.</w:t>
      </w:r>
      <w:r>
        <w:rPr>
          <w:noProof/>
        </w:rPr>
        <w:tab/>
        <w:t>Обобщение на очакваното отражение върху бюджетните кредити за административни разходи</w:t>
      </w:r>
    </w:p>
    <w:p>
      <w:pPr>
        <w:pStyle w:val="ManualHeading3"/>
        <w:rPr>
          <w:noProof/>
        </w:rPr>
      </w:pPr>
      <w:r>
        <w:rPr>
          <w:noProof/>
        </w:rPr>
        <w:tab/>
        <w:t>3.2.4.</w:t>
      </w:r>
      <w:r>
        <w:rPr>
          <w:noProof/>
        </w:rPr>
        <w:tab/>
        <w:t>Съвместимост с настоящата многогодишна финансова рамка</w:t>
      </w:r>
    </w:p>
    <w:p>
      <w:pPr>
        <w:pStyle w:val="ManualHeading3"/>
        <w:rPr>
          <w:noProof/>
        </w:rPr>
      </w:pPr>
      <w:r>
        <w:rPr>
          <w:noProof/>
        </w:rPr>
        <w:tab/>
        <w:t>3.2.5.</w:t>
      </w:r>
      <w:r>
        <w:rPr>
          <w:noProof/>
        </w:rPr>
        <w:tab/>
        <w:t xml:space="preserve">Принос от трети страни </w:t>
      </w:r>
    </w:p>
    <w:p>
      <w:pPr>
        <w:pStyle w:val="ManualHeading2"/>
        <w:jc w:val="left"/>
        <w:rPr>
          <w:b w:val="0"/>
          <w:noProof/>
        </w:rPr>
      </w:pPr>
      <w:r>
        <w:rPr>
          <w:noProof/>
        </w:rPr>
        <w:tab/>
      </w:r>
      <w:r>
        <w:rPr>
          <w:b w:val="0"/>
          <w:noProof/>
        </w:rPr>
        <w:t>3.3.</w:t>
      </w:r>
      <w:r>
        <w:rPr>
          <w:noProof/>
        </w:rPr>
        <w:tab/>
      </w:r>
      <w:r>
        <w:rPr>
          <w:b w:val="0"/>
          <w:noProof/>
        </w:rPr>
        <w:t>Очаквано отражение върху приходите</w:t>
      </w:r>
    </w:p>
    <w:p>
      <w:pPr>
        <w:jc w:val="center"/>
        <w:rPr>
          <w:b/>
          <w:noProof/>
          <w:u w:val="single"/>
        </w:rPr>
        <w:sectPr>
          <w:pgSz w:w="11907" w:h="16840" w:code="9"/>
          <w:pgMar w:top="1134" w:right="1418" w:bottom="1134" w:left="1418" w:header="709" w:footer="709" w:gutter="0"/>
          <w:cols w:space="708"/>
          <w:docGrid w:linePitch="360"/>
        </w:sectPr>
      </w:pPr>
    </w:p>
    <w:p>
      <w:pPr>
        <w:jc w:val="center"/>
        <w:rPr>
          <w:b/>
          <w:noProof/>
          <w:u w:val="single"/>
        </w:rPr>
      </w:pPr>
      <w:r>
        <w:rPr>
          <w:b/>
          <w:noProof/>
          <w:u w:val="single"/>
        </w:rPr>
        <w:t>ЗАКОНОДАТЕЛНА ФИНАНСОВА ОБОСНОВКА</w:t>
      </w:r>
    </w:p>
    <w:p>
      <w:pPr>
        <w:pStyle w:val="ManualHeading1"/>
        <w:rPr>
          <w:noProof/>
        </w:rPr>
      </w:pPr>
      <w:r>
        <w:rPr>
          <w:noProof/>
        </w:rPr>
        <w:t>1.</w:t>
      </w:r>
      <w:r>
        <w:rPr>
          <w:noProof/>
        </w:rPr>
        <w:tab/>
        <w:t xml:space="preserve">РАМКА НА ПРЕДЛОЖЕНИЕТО/ИНИЦИАТИВАТА </w:t>
      </w:r>
    </w:p>
    <w:p>
      <w:pPr>
        <w:pStyle w:val="ManualHeading2"/>
        <w:rPr>
          <w:noProof/>
        </w:rPr>
      </w:pPr>
      <w:r>
        <w:rPr>
          <w:noProof/>
        </w:rPr>
        <w:t>1.1.</w:t>
      </w:r>
      <w:r>
        <w:rPr>
          <w:noProof/>
        </w:rPr>
        <w:tab/>
        <w:t>Наименование на предложението/инициативата</w:t>
      </w:r>
    </w:p>
    <w:p>
      <w:pPr>
        <w:pStyle w:val="Text1"/>
        <w:pBdr>
          <w:top w:val="single" w:sz="4" w:space="1" w:color="auto"/>
          <w:left w:val="single" w:sz="4" w:space="4" w:color="auto"/>
          <w:bottom w:val="single" w:sz="4" w:space="1" w:color="auto"/>
          <w:right w:val="single" w:sz="4" w:space="4" w:color="auto"/>
        </w:pBdr>
        <w:rPr>
          <w:noProof/>
        </w:rPr>
      </w:pPr>
      <w:r>
        <w:rPr>
          <w:noProof/>
        </w:rPr>
        <w:t>Предложение за решение на Съвета относно сключването от името на Съюза и временното прилагане на Споразумението за партньорство в областта на устойчивото рибарство и на изпълнителен протокол към него (2020—2026 г.) между Европейския съюз и Република Сейшели</w:t>
      </w:r>
    </w:p>
    <w:p>
      <w:pPr>
        <w:pStyle w:val="ManualHeading2"/>
        <w:rPr>
          <w:noProof/>
        </w:rPr>
      </w:pPr>
      <w:r>
        <w:rPr>
          <w:noProof/>
        </w:rPr>
        <w:t>1.2.</w:t>
      </w:r>
      <w:r>
        <w:rPr>
          <w:noProof/>
        </w:rPr>
        <w:tab/>
        <w:t>Съответни области на политиката</w:t>
      </w:r>
      <w:r>
        <w:rPr>
          <w:i/>
          <w:noProof/>
        </w:rPr>
        <w:t xml:space="preserve"> </w:t>
      </w:r>
    </w:p>
    <w:p>
      <w:pPr>
        <w:pStyle w:val="Text1"/>
        <w:pBdr>
          <w:top w:val="single" w:sz="4" w:space="1" w:color="auto"/>
          <w:left w:val="single" w:sz="4" w:space="4" w:color="auto"/>
          <w:bottom w:val="single" w:sz="4" w:space="1" w:color="auto"/>
          <w:right w:val="single" w:sz="4" w:space="4" w:color="auto"/>
        </w:pBdr>
        <w:rPr>
          <w:noProof/>
        </w:rPr>
      </w:pPr>
      <w:r>
        <w:rPr>
          <w:noProof/>
        </w:rPr>
        <w:t>11 — Морско дело и рибарство</w:t>
      </w:r>
    </w:p>
    <w:p>
      <w:pPr>
        <w:pStyle w:val="Text1"/>
        <w:pBdr>
          <w:top w:val="single" w:sz="4" w:space="1" w:color="auto"/>
          <w:left w:val="single" w:sz="4" w:space="4" w:color="auto"/>
          <w:bottom w:val="single" w:sz="4" w:space="1" w:color="auto"/>
          <w:right w:val="single" w:sz="4" w:space="4" w:color="auto"/>
        </w:pBdr>
        <w:rPr>
          <w:noProof/>
        </w:rPr>
      </w:pPr>
      <w:r>
        <w:rPr>
          <w:noProof/>
        </w:rPr>
        <w:t>11.03 — Задължителни вноски в регионалните организации за управление на рибарството (РОУР) и в други международни организации, както и по споразумения за устойчиво рибарство (СУР)</w:t>
      </w:r>
    </w:p>
    <w:p>
      <w:pPr>
        <w:pStyle w:val="Text1"/>
        <w:pBdr>
          <w:top w:val="single" w:sz="4" w:space="1" w:color="auto"/>
          <w:left w:val="single" w:sz="4" w:space="4" w:color="auto"/>
          <w:bottom w:val="single" w:sz="4" w:space="1" w:color="auto"/>
          <w:right w:val="single" w:sz="4" w:space="4" w:color="auto"/>
        </w:pBdr>
        <w:rPr>
          <w:noProof/>
        </w:rPr>
      </w:pPr>
      <w:r>
        <w:rPr>
          <w:noProof/>
        </w:rPr>
        <w:t>11.03.01 — Установяване на рамка за управление на риболовните дейности, извършвани от риболовни кораби на Съюза във водите на трети държави</w:t>
      </w:r>
    </w:p>
    <w:p>
      <w:pPr>
        <w:pStyle w:val="ManualHeading2"/>
        <w:rPr>
          <w:noProof/>
          <w:szCs w:val="24"/>
        </w:rPr>
      </w:pPr>
      <w:r>
        <w:rPr>
          <w:noProof/>
        </w:rPr>
        <w:t>1.3.</w:t>
      </w:r>
      <w:r>
        <w:rPr>
          <w:noProof/>
        </w:rPr>
        <w:tab/>
        <w:t xml:space="preserve">Предложението/инициативата е във връзка с: </w:t>
      </w:r>
    </w:p>
    <w:p>
      <w:pPr>
        <w:pStyle w:val="Text1"/>
        <w:rPr>
          <w:b/>
          <w:noProof/>
          <w:sz w:val="22"/>
        </w:rPr>
      </w:pPr>
      <w:r>
        <w:rPr>
          <w:b/>
          <w:noProof/>
          <w:sz w:val="22"/>
        </w:rPr>
        <w:t>X</w:t>
      </w:r>
      <w:r>
        <w:rPr>
          <w:b/>
          <w:i/>
          <w:noProof/>
          <w:sz w:val="22"/>
        </w:rPr>
        <w:t xml:space="preserve"> </w:t>
      </w:r>
      <w:r>
        <w:rPr>
          <w:b/>
          <w:noProof/>
        </w:rPr>
        <w:t xml:space="preserve"> ново действие</w:t>
      </w:r>
      <w:r>
        <w:rPr>
          <w:b/>
          <w:noProof/>
          <w:sz w:val="22"/>
        </w:rPr>
        <w:t xml:space="preserve"> </w:t>
      </w:r>
    </w:p>
    <w:p>
      <w:pPr>
        <w:pStyle w:val="Text1"/>
        <w:rPr>
          <w:noProof/>
          <w:sz w:val="22"/>
        </w:rPr>
      </w:pPr>
      <w:r>
        <w:rPr>
          <w:noProof/>
          <w:sz w:val="22"/>
        </w:rPr>
        <w:sym w:font="Wingdings" w:char="F0A8"/>
      </w:r>
      <w:r>
        <w:rPr>
          <w:i/>
          <w:noProof/>
          <w:sz w:val="22"/>
        </w:rPr>
        <w:t xml:space="preserve"> </w:t>
      </w:r>
      <w:r>
        <w:rPr>
          <w:b/>
          <w:noProof/>
        </w:rPr>
        <w:t>ново действие след пилотен проект/подготвително действие</w:t>
      </w:r>
      <w:r>
        <w:rPr>
          <w:rStyle w:val="FootnoteReference"/>
          <w:b/>
          <w:noProof/>
        </w:rPr>
        <w:footnoteReference w:id="7"/>
      </w:r>
      <w:r>
        <w:rPr>
          <w:noProof/>
          <w:sz w:val="22"/>
        </w:rPr>
        <w:t xml:space="preserve"> </w:t>
      </w:r>
    </w:p>
    <w:p>
      <w:pPr>
        <w:pStyle w:val="Text1"/>
        <w:rPr>
          <w:noProof/>
          <w:sz w:val="22"/>
        </w:rPr>
      </w:pPr>
      <w:r>
        <w:rPr>
          <w:noProof/>
          <w:sz w:val="22"/>
        </w:rPr>
        <w:sym w:font="Wingdings" w:char="F0A8"/>
      </w:r>
      <w:r>
        <w:rPr>
          <w:i/>
          <w:noProof/>
          <w:sz w:val="22"/>
        </w:rPr>
        <w:t xml:space="preserve"> </w:t>
      </w:r>
      <w:r>
        <w:rPr>
          <w:b/>
          <w:noProof/>
        </w:rPr>
        <w:t>продължаване на съществуващо действие</w:t>
      </w:r>
      <w:r>
        <w:rPr>
          <w:noProof/>
          <w:sz w:val="22"/>
        </w:rPr>
        <w:t xml:space="preserve"> </w:t>
      </w:r>
    </w:p>
    <w:p>
      <w:pPr>
        <w:pStyle w:val="Text1"/>
        <w:rPr>
          <w:noProof/>
        </w:rPr>
      </w:pPr>
      <w:r>
        <w:rPr>
          <w:noProof/>
          <w:sz w:val="22"/>
        </w:rPr>
        <w:sym w:font="Wingdings" w:char="F0A8"/>
      </w:r>
      <w:r>
        <w:rPr>
          <w:i/>
          <w:noProof/>
          <w:sz w:val="22"/>
        </w:rPr>
        <w:t xml:space="preserve"> </w:t>
      </w:r>
      <w:r>
        <w:rPr>
          <w:b/>
          <w:noProof/>
        </w:rPr>
        <w:t>сливане или пренасочване на едно или няколко действия към друго/ново действие</w:t>
      </w:r>
      <w:r>
        <w:rPr>
          <w:noProof/>
        </w:rPr>
        <w:t xml:space="preserve"> </w:t>
      </w:r>
    </w:p>
    <w:p>
      <w:pPr>
        <w:pStyle w:val="ManualHeading2"/>
        <w:rPr>
          <w:noProof/>
          <w:szCs w:val="24"/>
        </w:rPr>
      </w:pPr>
      <w:r>
        <w:rPr>
          <w:noProof/>
        </w:rPr>
        <w:t>1.4.</w:t>
      </w:r>
      <w:r>
        <w:rPr>
          <w:noProof/>
        </w:rPr>
        <w:tab/>
        <w:t>Цели</w:t>
      </w:r>
    </w:p>
    <w:p>
      <w:pPr>
        <w:pStyle w:val="ManualHeading3"/>
        <w:rPr>
          <w:noProof/>
        </w:rPr>
      </w:pPr>
      <w:r>
        <w:rPr>
          <w:noProof/>
        </w:rPr>
        <w:t>1.4.1.</w:t>
      </w:r>
      <w:r>
        <w:rPr>
          <w:noProof/>
        </w:rPr>
        <w:tab/>
        <w:t>Общи цели</w:t>
      </w:r>
    </w:p>
    <w:p>
      <w:pPr>
        <w:pStyle w:val="Text1"/>
        <w:pBdr>
          <w:top w:val="single" w:sz="4" w:space="1" w:color="auto"/>
          <w:left w:val="single" w:sz="4" w:space="4" w:color="auto"/>
          <w:bottom w:val="single" w:sz="4" w:space="1" w:color="auto"/>
          <w:right w:val="single" w:sz="4" w:space="4" w:color="auto"/>
        </w:pBdr>
        <w:rPr>
          <w:noProof/>
        </w:rPr>
      </w:pPr>
      <w:r>
        <w:rPr>
          <w:noProof/>
        </w:rPr>
        <w:t>Договарянето и сключването на споразумения за партньорство в областта на устойчивото рибарство (СПОУР) с трети държави отговаря на общата цел за осигуряване на достъп на риболовните кораби на ЕС до риболовните зони на трети държави и за развиване на партньорство с тези държави с оглед укрепване на устойчивата експлоатация на рибните ресурси извън водите на ЕС.</w:t>
      </w:r>
    </w:p>
    <w:p>
      <w:pPr>
        <w:pStyle w:val="Text1"/>
        <w:pBdr>
          <w:top w:val="single" w:sz="4" w:space="1" w:color="auto"/>
          <w:left w:val="single" w:sz="4" w:space="4" w:color="auto"/>
          <w:bottom w:val="single" w:sz="4" w:space="1" w:color="auto"/>
          <w:right w:val="single" w:sz="4" w:space="4" w:color="auto"/>
        </w:pBdr>
        <w:rPr>
          <w:noProof/>
        </w:rPr>
      </w:pPr>
      <w:r>
        <w:rPr>
          <w:noProof/>
        </w:rPr>
        <w:t>СПОУР осигуряват също така съгласуваност между принципите, уреждащи общата политика в областта на рибарството, и поетите по други европейски политики ангажименти (устойчиво използване на ресурсите на трети държави, борба с незаконния, недеклариран и нерегулиран (ННН) риболов, интегриране на държавите партньори в глобалната икономика, както и по-добро политическо и финансово управление на рибарството).</w:t>
      </w:r>
    </w:p>
    <w:p>
      <w:pPr>
        <w:pStyle w:val="ManualHeading3"/>
        <w:rPr>
          <w:bCs/>
          <w:noProof/>
          <w:szCs w:val="24"/>
        </w:rPr>
      </w:pPr>
      <w:r>
        <w:rPr>
          <w:noProof/>
        </w:rPr>
        <w:t>1.4.2.</w:t>
      </w:r>
      <w:r>
        <w:rPr>
          <w:noProof/>
        </w:rPr>
        <w:tab/>
        <w:t>Конкретни цели</w:t>
      </w:r>
    </w:p>
    <w:p>
      <w:pPr>
        <w:pStyle w:val="Text1"/>
        <w:pBdr>
          <w:top w:val="single" w:sz="4" w:space="1" w:color="auto"/>
          <w:left w:val="single" w:sz="4" w:space="4" w:color="auto"/>
          <w:bottom w:val="single" w:sz="4" w:space="1" w:color="auto"/>
          <w:right w:val="single" w:sz="4" w:space="4" w:color="auto"/>
        </w:pBdr>
        <w:rPr>
          <w:noProof/>
          <w:u w:val="single"/>
        </w:rPr>
      </w:pPr>
      <w:r>
        <w:rPr>
          <w:noProof/>
          <w:u w:val="single"/>
        </w:rPr>
        <w:t>Конкретна цел № 1</w:t>
      </w:r>
    </w:p>
    <w:p>
      <w:pPr>
        <w:pStyle w:val="Text1"/>
        <w:pBdr>
          <w:top w:val="single" w:sz="4" w:space="1" w:color="auto"/>
          <w:left w:val="single" w:sz="4" w:space="4" w:color="auto"/>
          <w:bottom w:val="single" w:sz="4" w:space="1" w:color="auto"/>
          <w:right w:val="single" w:sz="4" w:space="4" w:color="auto"/>
        </w:pBdr>
        <w:rPr>
          <w:noProof/>
        </w:rPr>
      </w:pPr>
      <w:r>
        <w:rPr>
          <w:noProof/>
        </w:rPr>
        <w:t>Да се допринесе за устойчиво рибарство извън водите на ЕС, да се поддържа европейското присъствие в отдалечените риболовни райони и да се защитят интересите на европейския сектор на рибарството и интересите на потребителите чрез договаряне и сключване на съгласувани с други европейски политики СПОУР с крайбрежни държави.</w:t>
      </w:r>
    </w:p>
    <w:p>
      <w:pPr>
        <w:pStyle w:val="ManualHeading3"/>
        <w:rPr>
          <w:noProof/>
        </w:rPr>
      </w:pPr>
      <w:r>
        <w:rPr>
          <w:noProof/>
        </w:rPr>
        <w:t>1.4.3.</w:t>
      </w:r>
      <w:r>
        <w:rPr>
          <w:noProof/>
        </w:rPr>
        <w:tab/>
        <w:t>Очаквани резултати и отражение</w:t>
      </w:r>
    </w:p>
    <w:p>
      <w:pPr>
        <w:pStyle w:val="Text1"/>
        <w:rPr>
          <w:i/>
          <w:noProof/>
          <w:sz w:val="20"/>
        </w:rPr>
      </w:pPr>
      <w:r>
        <w:rPr>
          <w:i/>
          <w:noProof/>
          <w:sz w:val="20"/>
        </w:rPr>
        <w:t>Посочете въздействието, което предложението/инициативата следва да окаже по отношение на бенефициерите/целевите групи.</w:t>
      </w:r>
    </w:p>
    <w:p>
      <w:pPr>
        <w:pStyle w:val="Text1"/>
        <w:pBdr>
          <w:top w:val="single" w:sz="4" w:space="1" w:color="auto"/>
          <w:left w:val="single" w:sz="4" w:space="4" w:color="auto"/>
          <w:bottom w:val="single" w:sz="4" w:space="1" w:color="auto"/>
          <w:right w:val="single" w:sz="4" w:space="4" w:color="auto"/>
        </w:pBdr>
        <w:rPr>
          <w:noProof/>
        </w:rPr>
      </w:pPr>
      <w:r>
        <w:rPr>
          <w:noProof/>
        </w:rPr>
        <w:t>Сключването на споразумението и на изпълнителния протокол към него дава възможност за продължаване и укрепване на стратегическото партньорство в областта на рибарството между Европейския съюз и Сейшелите. Сключването на протокола ще създаде възможности за риболов за корабите на Съюза в риболовната зона на Сейшелите.</w:t>
      </w:r>
    </w:p>
    <w:p>
      <w:pPr>
        <w:pStyle w:val="Text1"/>
        <w:pBdr>
          <w:top w:val="single" w:sz="4" w:space="1" w:color="auto"/>
          <w:left w:val="single" w:sz="4" w:space="4" w:color="auto"/>
          <w:bottom w:val="single" w:sz="4" w:space="1" w:color="auto"/>
          <w:right w:val="single" w:sz="4" w:space="4" w:color="auto"/>
        </w:pBdr>
        <w:rPr>
          <w:noProof/>
        </w:rPr>
      </w:pPr>
      <w:r>
        <w:rPr>
          <w:noProof/>
        </w:rPr>
        <w:t>Споразумението и протоколът ще допринесат също така за по-доброто управление и опазване на рибните ресурси посредством финансова помощ (секторна помощ) за изпълнението на програмите, приети на национално равнище от държавата партньор, по-специално на всеобхватния план за рибарството, мониторинга и борбата срещу незаконния риболов и помощта за сектора на дребномащабния риболов.</w:t>
      </w:r>
    </w:p>
    <w:p>
      <w:pPr>
        <w:pStyle w:val="Text1"/>
        <w:pBdr>
          <w:top w:val="single" w:sz="4" w:space="1" w:color="auto"/>
          <w:left w:val="single" w:sz="4" w:space="4" w:color="auto"/>
          <w:bottom w:val="single" w:sz="4" w:space="1" w:color="auto"/>
          <w:right w:val="single" w:sz="4" w:space="4" w:color="auto"/>
        </w:pBdr>
        <w:rPr>
          <w:noProof/>
        </w:rPr>
      </w:pPr>
      <w:r>
        <w:rPr>
          <w:noProof/>
        </w:rPr>
        <w:t>На последно място, споразумението и протоколът ще допринесат за устойчивата експлоатация от страна на Сейшелите на морските им ресурси и за риболовната икономика на Сейшелите, като насърчават растежа и достойните условия на труд, свързани с икономическите дейности в областта на рибарството.</w:t>
      </w:r>
    </w:p>
    <w:p>
      <w:pPr>
        <w:pStyle w:val="ManualHeading3"/>
        <w:rPr>
          <w:noProof/>
          <w:szCs w:val="24"/>
        </w:rPr>
      </w:pPr>
      <w:r>
        <w:rPr>
          <w:noProof/>
        </w:rPr>
        <w:t>1.4.4.</w:t>
      </w:r>
      <w:r>
        <w:rPr>
          <w:noProof/>
        </w:rPr>
        <w:tab/>
        <w:t>Показатели за изпълнението</w:t>
      </w:r>
    </w:p>
    <w:p>
      <w:pPr>
        <w:pStyle w:val="Text1"/>
        <w:rPr>
          <w:i/>
          <w:noProof/>
          <w:sz w:val="20"/>
        </w:rPr>
      </w:pPr>
      <w:r>
        <w:rPr>
          <w:i/>
          <w:noProof/>
          <w:sz w:val="20"/>
        </w:rPr>
        <w:t>Посочете показателите за мониторинга на напредъка и постиженията.</w:t>
      </w:r>
    </w:p>
    <w:p>
      <w:pPr>
        <w:pStyle w:val="Text1"/>
        <w:pBdr>
          <w:top w:val="single" w:sz="4" w:space="1" w:color="auto"/>
          <w:left w:val="single" w:sz="4" w:space="4" w:color="auto"/>
          <w:bottom w:val="single" w:sz="4" w:space="1" w:color="auto"/>
          <w:right w:val="single" w:sz="4" w:space="4" w:color="auto"/>
        </w:pBdr>
        <w:rPr>
          <w:noProof/>
        </w:rPr>
      </w:pPr>
      <w:r>
        <w:rPr>
          <w:noProof/>
        </w:rPr>
        <w:t>Процент на използване на възможностите за риболов (годишен процент на използваните разрешения за риболов спрямо наличните възможности съгласно протокола).</w:t>
      </w:r>
    </w:p>
    <w:p>
      <w:pPr>
        <w:pStyle w:val="Text1"/>
        <w:pBdr>
          <w:top w:val="single" w:sz="4" w:space="1" w:color="auto"/>
          <w:left w:val="single" w:sz="4" w:space="4" w:color="auto"/>
          <w:bottom w:val="single" w:sz="4" w:space="1" w:color="auto"/>
          <w:right w:val="single" w:sz="4" w:space="4" w:color="auto"/>
        </w:pBdr>
        <w:rPr>
          <w:noProof/>
        </w:rPr>
      </w:pPr>
      <w:r>
        <w:rPr>
          <w:noProof/>
        </w:rPr>
        <w:t>Данни за улова (събиране и анализ) и търговска стойност на споразумението.</w:t>
      </w:r>
    </w:p>
    <w:p>
      <w:pPr>
        <w:pStyle w:val="Text1"/>
        <w:pBdr>
          <w:top w:val="single" w:sz="4" w:space="1" w:color="auto"/>
          <w:left w:val="single" w:sz="4" w:space="4" w:color="auto"/>
          <w:bottom w:val="single" w:sz="4" w:space="1" w:color="auto"/>
          <w:right w:val="single" w:sz="4" w:space="4" w:color="auto"/>
        </w:pBdr>
        <w:rPr>
          <w:noProof/>
        </w:rPr>
      </w:pPr>
      <w:r>
        <w:rPr>
          <w:noProof/>
        </w:rPr>
        <w:t>Принос към заетостта и достойните условия на труд в сферата на рибарството и към добавената стойност в Съюза и стабилизирането на пазара на Съюза (събирателно с други СПОУР).</w:t>
      </w:r>
    </w:p>
    <w:p>
      <w:pPr>
        <w:pStyle w:val="Text1"/>
        <w:pBdr>
          <w:top w:val="single" w:sz="4" w:space="1" w:color="auto"/>
          <w:left w:val="single" w:sz="4" w:space="4" w:color="auto"/>
          <w:bottom w:val="single" w:sz="4" w:space="1" w:color="auto"/>
          <w:right w:val="single" w:sz="4" w:space="4" w:color="auto"/>
        </w:pBdr>
        <w:rPr>
          <w:noProof/>
        </w:rPr>
      </w:pPr>
      <w:r>
        <w:rPr>
          <w:noProof/>
        </w:rPr>
        <w:t xml:space="preserve">Принос към подобряването на изследователската работа, наблюдението и контрола на риболовните дейности от държавата партньор и на развитието на нейния сектор на рибарството, по-специално на нейния дребномащабен риболов. </w:t>
      </w:r>
    </w:p>
    <w:p>
      <w:pPr>
        <w:pStyle w:val="ManualHeading2"/>
        <w:rPr>
          <w:noProof/>
        </w:rPr>
      </w:pPr>
      <w:r>
        <w:rPr>
          <w:noProof/>
        </w:rPr>
        <w:t>1.5.</w:t>
      </w:r>
      <w:r>
        <w:rPr>
          <w:noProof/>
        </w:rPr>
        <w:tab/>
        <w:t xml:space="preserve">Мотиви за предложението/инициативата </w:t>
      </w:r>
    </w:p>
    <w:p>
      <w:pPr>
        <w:pStyle w:val="ManualHeading3"/>
        <w:rPr>
          <w:noProof/>
        </w:rPr>
      </w:pPr>
      <w:r>
        <w:rPr>
          <w:noProof/>
        </w:rPr>
        <w:t>1.5.1.</w:t>
      </w:r>
      <w:r>
        <w:rPr>
          <w:noProof/>
        </w:rPr>
        <w:tab/>
        <w:t>Изисквания, които трябва да бъдат изпълнени в краткосрочна или дългосрочна перспектива, включително подробен график за изпълнението на инициативата</w:t>
      </w:r>
    </w:p>
    <w:p>
      <w:pPr>
        <w:pStyle w:val="Text1"/>
        <w:pBdr>
          <w:top w:val="single" w:sz="4" w:space="1" w:color="auto"/>
          <w:left w:val="single" w:sz="4" w:space="4" w:color="auto"/>
          <w:bottom w:val="single" w:sz="4" w:space="1" w:color="auto"/>
          <w:right w:val="single" w:sz="4" w:space="4" w:color="auto"/>
        </w:pBdr>
        <w:rPr>
          <w:noProof/>
        </w:rPr>
      </w:pPr>
      <w:r>
        <w:rPr>
          <w:noProof/>
        </w:rPr>
        <w:t>Предвижда се новото споразумение и изпълнителният протокол към него да се прилагат временно от датата на подписване, за да се ограничи прекъсването на риболовните операции, които в момента се извършват по силата на действащия протокол.</w:t>
      </w:r>
    </w:p>
    <w:p>
      <w:pPr>
        <w:pStyle w:val="Text1"/>
        <w:pBdr>
          <w:top w:val="single" w:sz="4" w:space="1" w:color="auto"/>
          <w:left w:val="single" w:sz="4" w:space="4" w:color="auto"/>
          <w:bottom w:val="single" w:sz="4" w:space="1" w:color="auto"/>
          <w:right w:val="single" w:sz="4" w:space="4" w:color="auto"/>
        </w:pBdr>
        <w:rPr>
          <w:noProof/>
        </w:rPr>
      </w:pPr>
      <w:r>
        <w:rPr>
          <w:noProof/>
        </w:rPr>
        <w:t xml:space="preserve">Новото споразумение и протоколът към него ще осигурят рамка за риболовните дейности на флота на Съюза в риболовната зона на Сейшелите и ще позволят на корабособствениците от ЕС да подават заявления за разрешения за извършване на риболов в тази зона. В допълнение новото споразумение и протоколът към него укрепват сътрудничеството между ЕС и Сейшелите с цел насърчаване на развитието на устойчива политика в областта на рибарството във всичките ѝ измерения. В тях по-специално се предвижда мониторинг на корабите чрез VMS и съобщаване на данните за улова по електронен път. Секторната помощ, налична по протокола, ще помогне на Сейшелите за тяхната национална стратегия в областта на рибарството, включително борбата с ННН риболов, като същевременно се насърчават достойните условия на труд при риболовните дейности. </w:t>
      </w:r>
    </w:p>
    <w:p>
      <w:pPr>
        <w:pStyle w:val="ManualHeading3"/>
        <w:rPr>
          <w:bCs/>
          <w:noProof/>
          <w:szCs w:val="24"/>
        </w:rPr>
      </w:pPr>
      <w:r>
        <w:rPr>
          <w:noProof/>
        </w:rPr>
        <w:t>1.5.2.</w:t>
      </w:r>
      <w:r>
        <w:rPr>
          <w:noProof/>
        </w:rPr>
        <w:tab/>
        <w:t>Добавена стойност от участието на Съюза (може да е в резултат от различни фактори, например ползи във връзка с координацията, правна сигурност, по-добра ефективност или взаимно допълване). За целите на тази точка „добавена стойност от участието на Съюза“ е стойността, която е в резултат от намесата на Съюза и е допълнителна спрямо стойността, която иначе би се създала само от държавите членки.</w:t>
      </w:r>
    </w:p>
    <w:p>
      <w:pPr>
        <w:pStyle w:val="Text1"/>
        <w:pBdr>
          <w:top w:val="single" w:sz="4" w:space="1" w:color="auto"/>
          <w:left w:val="single" w:sz="4" w:space="4" w:color="auto"/>
          <w:bottom w:val="single" w:sz="4" w:space="1" w:color="auto"/>
          <w:right w:val="single" w:sz="4" w:space="4" w:color="auto"/>
        </w:pBdr>
        <w:rPr>
          <w:noProof/>
        </w:rPr>
      </w:pPr>
      <w:r>
        <w:rPr>
          <w:noProof/>
        </w:rPr>
        <w:t xml:space="preserve">В случай че Съюзът не договори ново споразумение и нов протокол, това би възпрепятствало риболовните дейности на корабите на Съюза, тъй като сега действащото споразумение съдържа клауза, изключваща риболовни дейности, които не се извършват в рамката на протокола към споразумението. Следователно налице е ясно изразена добавена стойност за флота за далечно плаване на ЕС. Протоколът предоставя също така рамка за засилено сътрудничество между Съюза и Сейшелите. </w:t>
      </w:r>
    </w:p>
    <w:p>
      <w:pPr>
        <w:pStyle w:val="ManualHeading3"/>
        <w:rPr>
          <w:noProof/>
        </w:rPr>
      </w:pPr>
      <w:r>
        <w:rPr>
          <w:noProof/>
        </w:rPr>
        <w:t>1.5.3.</w:t>
      </w:r>
      <w:r>
        <w:rPr>
          <w:noProof/>
        </w:rPr>
        <w:tab/>
        <w:t>Изводи от подобен опит в миналото</w:t>
      </w:r>
    </w:p>
    <w:p>
      <w:pPr>
        <w:pStyle w:val="Text1"/>
        <w:pBdr>
          <w:top w:val="single" w:sz="4" w:space="1" w:color="auto"/>
          <w:left w:val="single" w:sz="4" w:space="4" w:color="auto"/>
          <w:bottom w:val="single" w:sz="4" w:space="1" w:color="auto"/>
          <w:right w:val="single" w:sz="4" w:space="4" w:color="auto"/>
        </w:pBdr>
        <w:rPr>
          <w:noProof/>
        </w:rPr>
      </w:pPr>
      <w:r>
        <w:rPr>
          <w:noProof/>
        </w:rPr>
        <w:t>Въз основа на анализа на предишен улов в риболовната зона на Сейшелите, на налични оценки и научни становища страните решиха да определят референтен тонаж за рибата тон и тоноподобните видове в размер на 50 000 тона годишно с възможности за риболов за 40 кораба с мрежа гъргър за улов на риба тон и 8 кораба с повърхностни парагади. Секторната помощ е определена по-голяма, за да се вземат предвид приоритетите на националната стратегия в областта на рибарството и по-специално на тези във всеобхватния план за рибарството.</w:t>
      </w:r>
    </w:p>
    <w:p>
      <w:pPr>
        <w:pStyle w:val="ManualHeading3"/>
        <w:rPr>
          <w:noProof/>
        </w:rPr>
      </w:pPr>
      <w:r>
        <w:rPr>
          <w:noProof/>
        </w:rPr>
        <w:t>1.5.4.</w:t>
      </w:r>
      <w:r>
        <w:rPr>
          <w:noProof/>
        </w:rPr>
        <w:tab/>
        <w:t>Съвместимост с многогодишната финансова рамка и евентуални синергии с други подходящи инструменти</w:t>
      </w:r>
    </w:p>
    <w:p>
      <w:pPr>
        <w:pStyle w:val="Text1"/>
        <w:pBdr>
          <w:top w:val="single" w:sz="4" w:space="1" w:color="auto"/>
          <w:left w:val="single" w:sz="4" w:space="4" w:color="auto"/>
          <w:bottom w:val="single" w:sz="4" w:space="1" w:color="auto"/>
          <w:right w:val="single" w:sz="4" w:space="4" w:color="auto"/>
        </w:pBdr>
        <w:rPr>
          <w:noProof/>
        </w:rPr>
      </w:pPr>
      <w:r>
        <w:rPr>
          <w:noProof/>
        </w:rPr>
        <w:t>Средствата, предоставени като финансова компенсация за достъпа по силата на СПОУР, представляват приходи в националния бюджет на Сейшелите, които не са заделени за определена цел. Независимо от това средствата, предназначени за секторна помощ, се предоставят (обикновено чрез вписване в годишния закон за държавния бюджет) на министерството, отговарящо за рибарството, като това е условие за сключването и мониторинга на СПОУР. Тези финансови ресурси са съвместими с други източници на финансиране от други международни донори за осъществяването на проекти и/или програми, провеждани на национално равнище в сектора на рибарството.</w:t>
      </w:r>
    </w:p>
    <w:p>
      <w:pPr>
        <w:pStyle w:val="ManualHeading3"/>
        <w:rPr>
          <w:noProof/>
        </w:rPr>
      </w:pPr>
      <w:r>
        <w:rPr>
          <w:noProof/>
        </w:rPr>
        <w:t>1.5.5.</w:t>
      </w:r>
      <w:r>
        <w:rPr>
          <w:noProof/>
        </w:rPr>
        <w:tab/>
        <w:t>Оценка на различните налични варианти за финансиране, включително възможностите за преразпределяне на средства</w:t>
      </w:r>
    </w:p>
    <w:p>
      <w:pPr>
        <w:pStyle w:val="Text1"/>
        <w:pBdr>
          <w:top w:val="single" w:sz="4" w:space="1" w:color="auto"/>
          <w:left w:val="single" w:sz="4" w:space="4" w:color="auto"/>
          <w:bottom w:val="single" w:sz="4" w:space="1" w:color="auto"/>
          <w:right w:val="single" w:sz="4" w:space="4" w:color="auto"/>
        </w:pBdr>
        <w:rPr>
          <w:noProof/>
        </w:rPr>
      </w:pPr>
      <w:r>
        <w:rPr>
          <w:noProof/>
        </w:rPr>
        <w:t xml:space="preserve"> Не е приложимо.</w:t>
      </w:r>
    </w:p>
    <w:p>
      <w:pPr>
        <w:pStyle w:val="Text1"/>
        <w:rPr>
          <w:noProof/>
        </w:rPr>
      </w:pPr>
    </w:p>
    <w:p>
      <w:pPr>
        <w:pStyle w:val="ManualHeading2"/>
        <w:rPr>
          <w:bCs/>
          <w:noProof/>
          <w:szCs w:val="24"/>
        </w:rPr>
      </w:pPr>
      <w:r>
        <w:rPr>
          <w:noProof/>
        </w:rPr>
        <w:t>1.6.</w:t>
      </w:r>
      <w:r>
        <w:rPr>
          <w:noProof/>
        </w:rPr>
        <w:tab/>
        <w:t>Продължителност и финансово отражение на предложението/инициативата</w:t>
      </w:r>
    </w:p>
    <w:p>
      <w:pPr>
        <w:pStyle w:val="Text1"/>
        <w:rPr>
          <w:noProof/>
        </w:rPr>
      </w:pPr>
      <w:r>
        <w:rPr>
          <w:b/>
          <w:noProof/>
        </w:rPr>
        <w:t>X</w:t>
      </w:r>
      <w:r>
        <w:rPr>
          <w:b/>
          <w:i/>
          <w:noProof/>
        </w:rPr>
        <w:t xml:space="preserve"> </w:t>
      </w:r>
      <w:r>
        <w:rPr>
          <w:b/>
          <w:noProof/>
        </w:rPr>
        <w:t xml:space="preserve">ограничен срок на действие </w:t>
      </w:r>
    </w:p>
    <w:p>
      <w:pPr>
        <w:pStyle w:val="ListDash2"/>
        <w:rPr>
          <w:noProof/>
        </w:rPr>
      </w:pPr>
      <w:r>
        <w:rPr>
          <w:b/>
          <w:noProof/>
        </w:rPr>
        <w:t>X</w:t>
      </w:r>
      <w:r>
        <w:rPr>
          <w:noProof/>
        </w:rPr>
        <w:tab/>
        <w:t>в сила от 2020 г. до 2026 г.</w:t>
      </w:r>
    </w:p>
    <w:p>
      <w:pPr>
        <w:pStyle w:val="ListDash2"/>
        <w:rPr>
          <w:noProof/>
        </w:rPr>
      </w:pPr>
      <w:r>
        <w:rPr>
          <w:b/>
          <w:noProof/>
        </w:rPr>
        <w:t>X</w:t>
      </w:r>
      <w:r>
        <w:rPr>
          <w:noProof/>
        </w:rPr>
        <w:tab/>
        <w:t>Финансово отражение от 2020 до 2025 г. за бюджетни кредити за поети задължения и от 2020 до 2025 г. за бюджетни кредити за плащания.</w:t>
      </w:r>
    </w:p>
    <w:p>
      <w:pPr>
        <w:pStyle w:val="Text1"/>
        <w:rPr>
          <w:noProof/>
        </w:rPr>
      </w:pPr>
      <w:r>
        <w:rPr>
          <w:noProof/>
        </w:rPr>
        <w:sym w:font="Wingdings" w:char="F0A8"/>
      </w:r>
      <w:r>
        <w:rPr>
          <w:b/>
          <w:i/>
          <w:noProof/>
        </w:rPr>
        <w:t xml:space="preserve"> </w:t>
      </w:r>
      <w:r>
        <w:rPr>
          <w:b/>
          <w:noProof/>
        </w:rPr>
        <w:t>неограничен срок на действие</w:t>
      </w:r>
    </w:p>
    <w:p>
      <w:pPr>
        <w:pStyle w:val="ListDash1"/>
        <w:rPr>
          <w:noProof/>
        </w:rPr>
      </w:pPr>
      <w:r>
        <w:rPr>
          <w:noProof/>
        </w:rPr>
        <w:t>Изпълнение с период на започване на дейност от ГГГГ до ГГГГ,</w:t>
      </w:r>
    </w:p>
    <w:p>
      <w:pPr>
        <w:pStyle w:val="ListDash1"/>
        <w:rPr>
          <w:noProof/>
        </w:rPr>
      </w:pPr>
      <w:r>
        <w:rPr>
          <w:noProof/>
        </w:rPr>
        <w:t>последван от функциониране с пълен капацитет.</w:t>
      </w:r>
    </w:p>
    <w:p>
      <w:pPr>
        <w:pStyle w:val="ManualHeading2"/>
        <w:rPr>
          <w:bCs/>
          <w:noProof/>
          <w:szCs w:val="24"/>
        </w:rPr>
      </w:pPr>
      <w:r>
        <w:rPr>
          <w:noProof/>
        </w:rPr>
        <w:t>1.7.</w:t>
      </w:r>
      <w:r>
        <w:rPr>
          <w:noProof/>
        </w:rPr>
        <w:tab/>
        <w:t>Планирани методи на управление</w:t>
      </w:r>
      <w:r>
        <w:rPr>
          <w:rStyle w:val="FootnoteReference"/>
          <w:noProof/>
        </w:rPr>
        <w:footnoteReference w:id="8"/>
      </w:r>
      <w:r>
        <w:rPr>
          <w:rStyle w:val="FootnoteReference"/>
          <w:noProof/>
        </w:rPr>
        <w:t xml:space="preserve">    </w:t>
      </w:r>
    </w:p>
    <w:p>
      <w:pPr>
        <w:pStyle w:val="Text1"/>
        <w:rPr>
          <w:noProof/>
        </w:rPr>
      </w:pPr>
      <w:r>
        <w:rPr>
          <w:b/>
          <w:noProof/>
        </w:rPr>
        <w:t>X</w:t>
      </w:r>
      <w:r>
        <w:rPr>
          <w:i/>
          <w:noProof/>
        </w:rPr>
        <w:t xml:space="preserve"> </w:t>
      </w:r>
      <w:r>
        <w:rPr>
          <w:b/>
          <w:noProof/>
        </w:rPr>
        <w:t>Пряко управление</w:t>
      </w:r>
      <w:r>
        <w:rPr>
          <w:noProof/>
        </w:rPr>
        <w:t xml:space="preserve"> от Комисията</w:t>
      </w:r>
    </w:p>
    <w:p>
      <w:pPr>
        <w:pStyle w:val="ListDash2"/>
        <w:rPr>
          <w:rFonts w:cs="EUAlbertina"/>
          <w:noProof/>
        </w:rPr>
      </w:pPr>
      <w:r>
        <w:rPr>
          <w:b/>
          <w:noProof/>
        </w:rPr>
        <w:t>X</w:t>
      </w:r>
      <w:r>
        <w:rPr>
          <w:noProof/>
        </w:rPr>
        <w:t xml:space="preserve"> от нейните служби, включително от нейния персонал в делегациите на Съюза; </w:t>
      </w:r>
    </w:p>
    <w:p>
      <w:pPr>
        <w:pStyle w:val="ListDash2"/>
        <w:rPr>
          <w:noProof/>
        </w:rPr>
      </w:pPr>
      <w:r>
        <w:rPr>
          <w:noProof/>
        </w:rPr>
        <w:sym w:font="Wingdings" w:char="F0A8"/>
      </w:r>
      <w:r>
        <w:rPr>
          <w:noProof/>
        </w:rPr>
        <w:tab/>
        <w:t xml:space="preserve">от изпълнителните агенции </w:t>
      </w:r>
    </w:p>
    <w:p>
      <w:pPr>
        <w:pStyle w:val="Text1"/>
        <w:rPr>
          <w:noProof/>
        </w:rPr>
      </w:pPr>
      <w:r>
        <w:rPr>
          <w:noProof/>
        </w:rPr>
        <w:sym w:font="Wingdings" w:char="F0A8"/>
      </w:r>
      <w:r>
        <w:rPr>
          <w:b/>
          <w:i/>
          <w:noProof/>
        </w:rPr>
        <w:t xml:space="preserve"> </w:t>
      </w:r>
      <w:r>
        <w:rPr>
          <w:b/>
          <w:noProof/>
        </w:rPr>
        <w:t>Споделено управление</w:t>
      </w:r>
      <w:r>
        <w:rPr>
          <w:noProof/>
        </w:rPr>
        <w:t xml:space="preserve"> с държавите членки </w:t>
      </w:r>
    </w:p>
    <w:p>
      <w:pPr>
        <w:pStyle w:val="Text1"/>
        <w:rPr>
          <w:noProof/>
        </w:rPr>
      </w:pPr>
      <w:r>
        <w:rPr>
          <w:noProof/>
        </w:rPr>
        <w:sym w:font="Wingdings" w:char="F0A8"/>
      </w:r>
      <w:r>
        <w:rPr>
          <w:i/>
          <w:noProof/>
        </w:rPr>
        <w:t xml:space="preserve"> </w:t>
      </w:r>
      <w:r>
        <w:rPr>
          <w:b/>
          <w:noProof/>
        </w:rPr>
        <w:t>Непряко управление</w:t>
      </w:r>
      <w:r>
        <w:rPr>
          <w:noProof/>
        </w:rPr>
        <w:t xml:space="preserve"> чрез възлагане на задачи по изпълнението на бюджета на:</w:t>
      </w:r>
    </w:p>
    <w:p>
      <w:pPr>
        <w:pStyle w:val="ListDash2"/>
        <w:rPr>
          <w:noProof/>
        </w:rPr>
      </w:pPr>
      <w:r>
        <w:rPr>
          <w:noProof/>
        </w:rPr>
        <w:sym w:font="Wingdings" w:char="F0A8"/>
      </w:r>
      <w:r>
        <w:rPr>
          <w:noProof/>
        </w:rPr>
        <w:t xml:space="preserve"> трети държави или на органите, определени от тях;</w:t>
      </w:r>
    </w:p>
    <w:p>
      <w:pPr>
        <w:pStyle w:val="ListDash2"/>
        <w:rPr>
          <w:noProof/>
        </w:rPr>
      </w:pPr>
      <w:r>
        <w:rPr>
          <w:noProof/>
        </w:rPr>
        <w:sym w:font="Wingdings" w:char="F0A8"/>
      </w:r>
      <w:r>
        <w:rPr>
          <w:noProof/>
        </w:rPr>
        <w:t xml:space="preserve"> международни организации и техните агенции (да се посочат);</w:t>
      </w:r>
    </w:p>
    <w:p>
      <w:pPr>
        <w:pStyle w:val="ListDash2"/>
        <w:rPr>
          <w:noProof/>
        </w:rPr>
      </w:pPr>
      <w:r>
        <w:rPr>
          <w:noProof/>
        </w:rPr>
        <w:sym w:font="Wingdings" w:char="F0A8"/>
      </w:r>
      <w:r>
        <w:rPr>
          <w:noProof/>
        </w:rPr>
        <w:t xml:space="preserve"> ЕИБ и Европейския инвестиционен фонд;</w:t>
      </w:r>
    </w:p>
    <w:p>
      <w:pPr>
        <w:pStyle w:val="ListDash2"/>
        <w:rPr>
          <w:noProof/>
        </w:rPr>
      </w:pPr>
      <w:r>
        <w:rPr>
          <w:noProof/>
        </w:rPr>
        <w:sym w:font="Wingdings" w:char="F0A8"/>
      </w:r>
      <w:r>
        <w:rPr>
          <w:noProof/>
        </w:rPr>
        <w:t xml:space="preserve"> органите, посочени в членове 70 и 71 от Финансовия регламент;</w:t>
      </w:r>
    </w:p>
    <w:p>
      <w:pPr>
        <w:pStyle w:val="ListDash2"/>
        <w:rPr>
          <w:noProof/>
        </w:rPr>
      </w:pPr>
      <w:r>
        <w:rPr>
          <w:noProof/>
        </w:rPr>
        <w:sym w:font="Wingdings" w:char="F0A8"/>
      </w:r>
      <w:r>
        <w:rPr>
          <w:noProof/>
        </w:rPr>
        <w:t xml:space="preserve"> публичноправни органи;</w:t>
      </w:r>
    </w:p>
    <w:p>
      <w:pPr>
        <w:pStyle w:val="ListDash2"/>
        <w:rPr>
          <w:noProof/>
        </w:rPr>
      </w:pPr>
      <w:r>
        <w:rPr>
          <w:noProof/>
        </w:rPr>
        <w:sym w:font="Wingdings" w:char="F0A8"/>
      </w:r>
      <w:r>
        <w:rPr>
          <w:noProof/>
        </w:rPr>
        <w:t xml:space="preserve"> частноправни органи със задължение за обществена услуга, доколкото предоставят подходящи финансови гаранции;</w:t>
      </w:r>
    </w:p>
    <w:p>
      <w:pPr>
        <w:pStyle w:val="ListDash2"/>
        <w:rPr>
          <w:noProof/>
        </w:rPr>
      </w:pPr>
      <w:r>
        <w:rPr>
          <w:noProof/>
        </w:rPr>
        <w:sym w:font="Wingdings" w:char="F0A8"/>
      </w:r>
      <w:r>
        <w:rPr>
          <w:noProof/>
        </w:rPr>
        <w:t xml:space="preserve"> органи, уредени от частното право на държава членка, на които е възложено осъществяването на публично-частно партньорство и които предоставят подходящи финансови гаранции;</w:t>
      </w:r>
    </w:p>
    <w:p>
      <w:pPr>
        <w:pStyle w:val="ListDash2"/>
        <w:rPr>
          <w:noProof/>
        </w:rPr>
      </w:pPr>
      <w:r>
        <w:rPr>
          <w:noProof/>
        </w:rPr>
        <w:sym w:font="Wingdings" w:char="F0A8"/>
      </w:r>
      <w:r>
        <w:rPr>
          <w:noProof/>
        </w:rPr>
        <w:t xml:space="preserve"> лица, на които е възложено изпълнението на специфични дейности в областта на ОВППС съгласно дял V от ДЕС и които са посочени в съответния основен акт.</w:t>
      </w:r>
    </w:p>
    <w:p>
      <w:pPr>
        <w:pStyle w:val="ListDash2"/>
        <w:rPr>
          <w:i/>
          <w:noProof/>
          <w:sz w:val="18"/>
          <w:u w:val="single"/>
        </w:rPr>
      </w:pPr>
      <w:r>
        <w:rPr>
          <w:i/>
          <w:noProof/>
          <w:sz w:val="18"/>
        </w:rPr>
        <w:t>Ако е посочен повече от един метод на управление, пояснете в частта „Забележки“.</w:t>
      </w:r>
    </w:p>
    <w:p>
      <w:pPr>
        <w:rPr>
          <w:noProof/>
        </w:rPr>
      </w:pPr>
      <w:r>
        <w:rPr>
          <w:noProof/>
        </w:rPr>
        <w:t xml:space="preserve">Забележки </w:t>
      </w:r>
    </w:p>
    <w:p>
      <w:pPr>
        <w:pBdr>
          <w:top w:val="single" w:sz="4" w:space="1" w:color="auto"/>
          <w:left w:val="single" w:sz="4" w:space="4" w:color="auto"/>
          <w:bottom w:val="single" w:sz="4" w:space="1" w:color="auto"/>
          <w:right w:val="single" w:sz="4" w:space="4" w:color="auto"/>
        </w:pBdr>
        <w:rPr>
          <w:noProof/>
        </w:rPr>
      </w:pPr>
      <w:r>
        <w:rPr>
          <w:noProof/>
        </w:rPr>
        <w:t xml:space="preserve"> </w:t>
      </w:r>
    </w:p>
    <w:p>
      <w:pPr>
        <w:rPr>
          <w:noProof/>
        </w:rPr>
        <w:sectPr>
          <w:pgSz w:w="11907" w:h="16840" w:code="9"/>
          <w:pgMar w:top="1134" w:right="1418" w:bottom="1134" w:left="1418" w:header="709" w:footer="709" w:gutter="0"/>
          <w:cols w:space="708"/>
          <w:docGrid w:linePitch="360"/>
        </w:sectPr>
      </w:pPr>
    </w:p>
    <w:p>
      <w:pPr>
        <w:pStyle w:val="ManualHeading1"/>
        <w:rPr>
          <w:bCs/>
          <w:noProof/>
          <w:szCs w:val="24"/>
        </w:rPr>
      </w:pPr>
      <w:r>
        <w:rPr>
          <w:noProof/>
        </w:rPr>
        <w:t>2.</w:t>
      </w:r>
      <w:r>
        <w:rPr>
          <w:noProof/>
        </w:rPr>
        <w:tab/>
        <w:t xml:space="preserve">МЕРКИ ЗА УПРАВЛЕНИЕ </w:t>
      </w:r>
    </w:p>
    <w:p>
      <w:pPr>
        <w:pStyle w:val="ManualHeading2"/>
        <w:rPr>
          <w:noProof/>
        </w:rPr>
      </w:pPr>
      <w:r>
        <w:rPr>
          <w:noProof/>
        </w:rPr>
        <w:t>2.1.</w:t>
      </w:r>
      <w:r>
        <w:rPr>
          <w:noProof/>
        </w:rPr>
        <w:tab/>
        <w:t xml:space="preserve">Правила за мониторинг и докладване </w:t>
      </w:r>
    </w:p>
    <w:p>
      <w:pPr>
        <w:pStyle w:val="Text1"/>
        <w:rPr>
          <w:i/>
          <w:noProof/>
          <w:sz w:val="20"/>
        </w:rPr>
      </w:pPr>
      <w:r>
        <w:rPr>
          <w:i/>
          <w:noProof/>
          <w:sz w:val="20"/>
        </w:rPr>
        <w:t>Посочете честотата и условията.</w:t>
      </w:r>
    </w:p>
    <w:p>
      <w:pPr>
        <w:pStyle w:val="Text1"/>
        <w:pBdr>
          <w:top w:val="single" w:sz="4" w:space="1" w:color="auto"/>
          <w:left w:val="single" w:sz="4" w:space="4" w:color="auto"/>
          <w:bottom w:val="single" w:sz="4" w:space="1" w:color="auto"/>
          <w:right w:val="single" w:sz="4" w:space="4" w:color="auto"/>
        </w:pBdr>
        <w:rPr>
          <w:noProof/>
        </w:rPr>
      </w:pPr>
      <w:r>
        <w:rPr>
          <w:noProof/>
        </w:rPr>
        <w:t xml:space="preserve">Комисията (ГД „Морско дело и рибарство“ в сътрудничество със своето аташе по риболова, отговарящо за региона Порт Луис, Мавриций, и в сътрудничество със съответните служби на Комисията) ще осигурява редовен мониторинг на изпълнението на протокола по отношение на използването от операторите на възможностите за риболов, данните за улова и спазването на изискванията за секторната помощ. </w:t>
      </w:r>
    </w:p>
    <w:p>
      <w:pPr>
        <w:pBdr>
          <w:top w:val="single" w:sz="4" w:space="1" w:color="auto"/>
          <w:left w:val="single" w:sz="4" w:space="4" w:color="auto"/>
          <w:bottom w:val="single" w:sz="4" w:space="1" w:color="auto"/>
          <w:right w:val="single" w:sz="4" w:space="4" w:color="auto"/>
        </w:pBdr>
        <w:ind w:left="850"/>
        <w:rPr>
          <w:noProof/>
        </w:rPr>
      </w:pPr>
      <w:r>
        <w:rPr>
          <w:noProof/>
        </w:rPr>
        <w:t>Освен това в СПОУР се предвижда поне по едно ежегодно заседание на съвместния комитет, по време на което Комисията и Сейшелите да разгледат изпълнението на споразумението и на протокола, като при необходимост внесат корекции в програмното планиране и във финансовия принос.</w:t>
      </w:r>
    </w:p>
    <w:p>
      <w:pPr>
        <w:pStyle w:val="ManualHeading2"/>
        <w:rPr>
          <w:bCs/>
          <w:noProof/>
          <w:szCs w:val="24"/>
        </w:rPr>
      </w:pPr>
      <w:r>
        <w:rPr>
          <w:noProof/>
        </w:rPr>
        <w:t>2.2.</w:t>
      </w:r>
      <w:r>
        <w:rPr>
          <w:noProof/>
        </w:rPr>
        <w:tab/>
        <w:t xml:space="preserve">Системи за управление и контрол </w:t>
      </w:r>
    </w:p>
    <w:p>
      <w:pPr>
        <w:pStyle w:val="ManualHeading3"/>
        <w:rPr>
          <w:noProof/>
        </w:rPr>
      </w:pPr>
      <w:r>
        <w:rPr>
          <w:noProof/>
        </w:rPr>
        <w:t>2.2.1.</w:t>
      </w:r>
      <w:r>
        <w:rPr>
          <w:noProof/>
        </w:rPr>
        <w:tab/>
        <w:t>Обосновка на предложените начини за управление, механизми за финансиране на изпълнението, начини на плащане и стратегия за контрол</w:t>
      </w:r>
    </w:p>
    <w:p>
      <w:pPr>
        <w:pStyle w:val="Text1"/>
        <w:pBdr>
          <w:top w:val="single" w:sz="4" w:space="1" w:color="auto"/>
          <w:left w:val="single" w:sz="4" w:space="4" w:color="auto"/>
          <w:bottom w:val="single" w:sz="4" w:space="1" w:color="auto"/>
          <w:right w:val="single" w:sz="4" w:space="4" w:color="auto"/>
        </w:pBdr>
        <w:rPr>
          <w:noProof/>
        </w:rPr>
      </w:pPr>
      <w:r>
        <w:rPr>
          <w:noProof/>
        </w:rPr>
        <w:t xml:space="preserve">Плащанията се извършват отделно за вноските във връзка с достъпа и вноските за секторна помощ. </w:t>
      </w:r>
    </w:p>
    <w:p>
      <w:pPr>
        <w:pStyle w:val="Text1"/>
        <w:pBdr>
          <w:top w:val="single" w:sz="4" w:space="1" w:color="auto"/>
          <w:left w:val="single" w:sz="4" w:space="4" w:color="auto"/>
          <w:bottom w:val="single" w:sz="4" w:space="1" w:color="auto"/>
          <w:right w:val="single" w:sz="4" w:space="4" w:color="auto"/>
        </w:pBdr>
        <w:rPr>
          <w:noProof/>
        </w:rPr>
      </w:pPr>
      <w:r>
        <w:rPr>
          <w:noProof/>
        </w:rPr>
        <w:t xml:space="preserve">Плащанията във връзка с достъпа се извършват ежегодно на датата на годишнината на протокола, с изключение на първата година, когато плащането се извършва в срок от три месеца след началната дата на временното прилагане. Достъпът на корабите се контролира чрез издаването на разрешения за риболов. </w:t>
      </w:r>
    </w:p>
    <w:p>
      <w:pPr>
        <w:pStyle w:val="Text1"/>
        <w:pBdr>
          <w:top w:val="single" w:sz="4" w:space="1" w:color="auto"/>
          <w:left w:val="single" w:sz="4" w:space="4" w:color="auto"/>
          <w:bottom w:val="single" w:sz="4" w:space="1" w:color="auto"/>
          <w:right w:val="single" w:sz="4" w:space="4" w:color="auto"/>
        </w:pBdr>
        <w:rPr>
          <w:noProof/>
        </w:rPr>
      </w:pPr>
      <w:r>
        <w:rPr>
          <w:noProof/>
        </w:rPr>
        <w:t xml:space="preserve">Първото плащане на помощта ще бъде в срок от три месеца след началото на временното прилагане, при условие че се постигне договореност за годишна и многогодишна програма за изпълнение; за следващите години плащанията ще бъдат обвързани с постигнатите резултати. Постигнатите резултати и степента на изпълнение ще бъдат подложени на мониторинг в съответствие с Насоките за изпълнение на секторната помощ за политиката в областта на рибарството на Сейшелите, по за които страните трябва да се договорят, като това ще стане на базата на доклади или на документални свидетелства, предоставени от държавата партньор и от техническите инспекции, извършвани от аташето по рибарството. </w:t>
      </w:r>
    </w:p>
    <w:p>
      <w:pPr>
        <w:pStyle w:val="ManualHeading3"/>
        <w:rPr>
          <w:bCs/>
          <w:noProof/>
          <w:szCs w:val="24"/>
        </w:rPr>
      </w:pPr>
      <w:r>
        <w:rPr>
          <w:noProof/>
        </w:rPr>
        <w:t>2.2.2.</w:t>
      </w:r>
      <w:r>
        <w:rPr>
          <w:noProof/>
        </w:rPr>
        <w:tab/>
        <w:t>Информация относно установените рискове и системите за вътрешен контрол, създадени с цел намаляването им</w:t>
      </w:r>
    </w:p>
    <w:p>
      <w:pPr>
        <w:pStyle w:val="Text1"/>
        <w:pBdr>
          <w:top w:val="single" w:sz="4" w:space="1" w:color="auto"/>
          <w:left w:val="single" w:sz="4" w:space="4" w:color="auto"/>
          <w:bottom w:val="single" w:sz="4" w:space="1" w:color="auto"/>
          <w:right w:val="single" w:sz="4" w:space="4" w:color="auto"/>
        </w:pBdr>
        <w:rPr>
          <w:noProof/>
        </w:rPr>
      </w:pPr>
      <w:r>
        <w:rPr>
          <w:noProof/>
        </w:rPr>
        <w:t>Установеният риск се състои в недостатъчното използване на възможностите за риболов от корабособствениците от ЕС и в недостатъчното или забавеното използване от Сейшелите на средствата, предназначени за финансиране на секторната политика в областта на рибарството. Предвижда се задълбочен диалог за програмното планиране и изпълнението на секторната политика, определени в споразумението и протокола. Съвместният анализ на резултатите, посочен в член 4 от протокола, също представлява част от тези методи за контрол. Освен това в споразумението и в протокола се съдържат специфични клаузи за спиране на действието им при определени условия и определени обстоятелства.</w:t>
      </w:r>
    </w:p>
    <w:p>
      <w:pPr>
        <w:pStyle w:val="ManualHeading3"/>
        <w:rPr>
          <w:noProof/>
        </w:rPr>
      </w:pPr>
      <w:r>
        <w:rPr>
          <w:noProof/>
        </w:rPr>
        <w:t>2.2.3.</w:t>
      </w:r>
      <w:r>
        <w:rPr>
          <w:noProof/>
        </w:rPr>
        <w:tab/>
        <w:t xml:space="preserve">Оценка и обосновка на ефективността на разходите за контрол (съотношението „разходи за контрол ÷ стойност на съответните управлявани финансови средства“) и оценка на очакваните нива на риска от грешки (при плащане и при приключване) </w:t>
      </w:r>
    </w:p>
    <w:p>
      <w:pPr>
        <w:pStyle w:val="Text1"/>
        <w:pBdr>
          <w:top w:val="single" w:sz="4" w:space="1" w:color="auto"/>
          <w:left w:val="single" w:sz="4" w:space="4" w:color="auto"/>
          <w:bottom w:val="single" w:sz="4" w:space="1" w:color="auto"/>
          <w:right w:val="single" w:sz="4" w:space="4" w:color="auto"/>
        </w:pBdr>
        <w:rPr>
          <w:noProof/>
        </w:rPr>
      </w:pPr>
      <w:r>
        <w:rPr>
          <w:noProof/>
        </w:rPr>
        <w:t xml:space="preserve">Плащанията на разходите за достъп по силата на споразуменията за партньорство в областта на устойчивото рибарство (СПОУР) са обект на проверки с цел да се гарантира, че съответстват на  разпоредбите на международните споразумения. Целта на проверките, свързани със секторната помощ, е да се извърши мониторинг на изпълнението на тази помощ. Мониторингът се извършва от персонала на Комисията в делегациите на ЕС, както и по време на заседанията на съвместния комитет. За оценяването на напредъка се използва матрица за многогодишно програмно планиране. В случай че напредъкът е недостатъчен, следващият транш не се плаща или евентуално се намалява. Общите разходи за проверки на всички СПОУР се изчисляват на около 1,8 % (от приноса за 2018 г.). Процедурите за проверки на СПОУР до голяма степен са на базата на основни регулаторни изисквания. Ако не бъдат установени слабости, които биха могли да имат съществено отражение върху законосъобразността и редовността на финансовите трансакции, проверките се считат за ефективни. Средният процент на грешката се оценява на 0,0 %. </w:t>
      </w:r>
    </w:p>
    <w:p>
      <w:pPr>
        <w:pStyle w:val="ManualHeading2"/>
        <w:rPr>
          <w:bCs/>
          <w:noProof/>
          <w:szCs w:val="24"/>
        </w:rPr>
      </w:pPr>
      <w:r>
        <w:rPr>
          <w:noProof/>
        </w:rPr>
        <w:t>2.3.</w:t>
      </w:r>
      <w:r>
        <w:rPr>
          <w:noProof/>
        </w:rPr>
        <w:tab/>
        <w:t xml:space="preserve">Мерки за предотвратяване на измами и нередности </w:t>
      </w:r>
    </w:p>
    <w:p>
      <w:pPr>
        <w:pStyle w:val="Text1"/>
        <w:rPr>
          <w:i/>
          <w:noProof/>
          <w:sz w:val="20"/>
        </w:rPr>
      </w:pPr>
      <w:r>
        <w:rPr>
          <w:i/>
          <w:noProof/>
          <w:sz w:val="20"/>
        </w:rPr>
        <w:t>Посочете съществуващите или планираните мерки за превенция и защита, например в стратегията за борба с измамите.</w:t>
      </w:r>
    </w:p>
    <w:p>
      <w:pPr>
        <w:pStyle w:val="Text1"/>
        <w:pBdr>
          <w:top w:val="single" w:sz="4" w:space="1" w:color="auto"/>
          <w:left w:val="single" w:sz="4" w:space="4" w:color="auto"/>
          <w:bottom w:val="single" w:sz="4" w:space="1" w:color="auto"/>
          <w:right w:val="single" w:sz="4" w:space="4" w:color="auto"/>
        </w:pBdr>
        <w:rPr>
          <w:noProof/>
        </w:rPr>
      </w:pPr>
      <w:r>
        <w:rPr>
          <w:noProof/>
        </w:rPr>
        <w:t>Комисията се ангажира да установи политически диалог и редовно съгласуване със Сейшелите с цел подобряване на управлението на споразумението и протокола и укрепване на приноса на Съюза за устойчивото управление на ресурсите. Всяко плащане, което Комисията извършва по СПОУР, се подчинява на стандартните правила на Комисията и на бюджетните и финансовите процедури. По-специално банковите сметки на третите държави, по които се плаща финансовият принос, са напълно идентифицирани. В член 3, параграф 7 от протокола е посочено, че финансовият принос за достъп и този за развитието на сектора трябва да се плащат по сметка на Министерството на финансите.</w:t>
      </w:r>
    </w:p>
    <w:p>
      <w:pPr>
        <w:rPr>
          <w:noProof/>
        </w:rPr>
        <w:sectPr>
          <w:pgSz w:w="11907" w:h="16840" w:code="9"/>
          <w:pgMar w:top="1134" w:right="1418" w:bottom="1134" w:left="1418" w:header="709" w:footer="709" w:gutter="0"/>
          <w:cols w:space="708"/>
          <w:docGrid w:linePitch="360"/>
        </w:sectPr>
      </w:pPr>
    </w:p>
    <w:p>
      <w:pPr>
        <w:pStyle w:val="ManualHeading1"/>
        <w:rPr>
          <w:bCs/>
          <w:noProof/>
          <w:szCs w:val="24"/>
        </w:rPr>
      </w:pPr>
      <w:r>
        <w:rPr>
          <w:noProof/>
        </w:rPr>
        <w:t>3.</w:t>
      </w:r>
      <w:r>
        <w:rPr>
          <w:noProof/>
        </w:rPr>
        <w:tab/>
        <w:t xml:space="preserve">ОЧАКВАНО ФИНАНСОВО ОТРАЖЕНИЕ НА ПРЕДЛОЖЕНИЕТО/ИНИЦИАТИВАТА </w:t>
      </w:r>
    </w:p>
    <w:p>
      <w:pPr>
        <w:pStyle w:val="ManualHeading2"/>
        <w:rPr>
          <w:noProof/>
        </w:rPr>
      </w:pPr>
      <w:r>
        <w:rPr>
          <w:noProof/>
        </w:rPr>
        <w:t>3.1.</w:t>
      </w:r>
      <w:r>
        <w:rPr>
          <w:noProof/>
        </w:rPr>
        <w:tab/>
        <w:t xml:space="preserve">Съответни функции от многогодишната финансова рамка и разходни бюджетни редове </w:t>
      </w:r>
    </w:p>
    <w:p>
      <w:pPr>
        <w:pStyle w:val="ListBullet1"/>
        <w:rPr>
          <w:noProof/>
        </w:rPr>
      </w:pPr>
      <w:r>
        <w:rPr>
          <w:noProof/>
        </w:rPr>
        <w:t xml:space="preserve">Съществуващи бюджетни редове </w:t>
      </w:r>
    </w:p>
    <w:p>
      <w:pPr>
        <w:pStyle w:val="Text1"/>
        <w:rPr>
          <w:i/>
          <w:noProof/>
        </w:rPr>
      </w:pPr>
      <w:r>
        <w:rPr>
          <w:i/>
          <w:noProof/>
          <w:u w:val="single"/>
        </w:rPr>
        <w:t>По реда</w:t>
      </w:r>
      <w:r>
        <w:rPr>
          <w:i/>
          <w:noProof/>
        </w:rPr>
        <w:t xml:space="preserve"> на функциите от многогодишната финансова рамка и на бюджетните редове.</w:t>
      </w:r>
    </w:p>
    <w:tbl>
      <w:tblPr>
        <w:tblW w:w="105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840"/>
        <w:gridCol w:w="1080"/>
        <w:gridCol w:w="1076"/>
        <w:gridCol w:w="1080"/>
        <w:gridCol w:w="1084"/>
        <w:gridCol w:w="1320"/>
      </w:tblGrid>
      <w:tr>
        <w:tc>
          <w:tcPr>
            <w:tcW w:w="1080" w:type="dxa"/>
            <w:vMerge w:val="restart"/>
            <w:vAlign w:val="center"/>
          </w:tcPr>
          <w:p>
            <w:pPr>
              <w:spacing w:before="60" w:after="60"/>
              <w:jc w:val="center"/>
              <w:rPr>
                <w:noProof/>
              </w:rPr>
            </w:pPr>
            <w:r>
              <w:rPr>
                <w:noProof/>
                <w:sz w:val="18"/>
              </w:rPr>
              <w:t>Функция от многогодишната финансова рамка</w:t>
            </w:r>
          </w:p>
        </w:tc>
        <w:tc>
          <w:tcPr>
            <w:tcW w:w="3840" w:type="dxa"/>
            <w:vAlign w:val="center"/>
          </w:tcPr>
          <w:p>
            <w:pPr>
              <w:spacing w:before="60" w:after="60"/>
              <w:jc w:val="center"/>
              <w:rPr>
                <w:noProof/>
              </w:rPr>
            </w:pPr>
            <w:r>
              <w:rPr>
                <w:noProof/>
                <w:sz w:val="20"/>
              </w:rPr>
              <w:t>Бюджетен ред</w:t>
            </w:r>
          </w:p>
        </w:tc>
        <w:tc>
          <w:tcPr>
            <w:tcW w:w="1080" w:type="dxa"/>
            <w:vAlign w:val="center"/>
          </w:tcPr>
          <w:p>
            <w:pPr>
              <w:spacing w:before="60" w:after="60"/>
              <w:jc w:val="center"/>
              <w:rPr>
                <w:noProof/>
              </w:rPr>
            </w:pPr>
            <w:r>
              <w:rPr>
                <w:noProof/>
                <w:sz w:val="18"/>
              </w:rPr>
              <w:t>Вид на разхода</w:t>
            </w:r>
          </w:p>
        </w:tc>
        <w:tc>
          <w:tcPr>
            <w:tcW w:w="4560" w:type="dxa"/>
            <w:gridSpan w:val="4"/>
            <w:vAlign w:val="center"/>
          </w:tcPr>
          <w:p>
            <w:pPr>
              <w:spacing w:before="60" w:after="60"/>
              <w:jc w:val="center"/>
              <w:rPr>
                <w:noProof/>
              </w:rPr>
            </w:pPr>
            <w:r>
              <w:rPr>
                <w:noProof/>
                <w:sz w:val="20"/>
              </w:rPr>
              <w:t xml:space="preserve">Принос </w:t>
            </w:r>
          </w:p>
        </w:tc>
      </w:tr>
      <w:tr>
        <w:tc>
          <w:tcPr>
            <w:tcW w:w="1080" w:type="dxa"/>
            <w:vMerge/>
            <w:vAlign w:val="center"/>
          </w:tcPr>
          <w:p>
            <w:pPr>
              <w:jc w:val="center"/>
              <w:rPr>
                <w:noProof/>
              </w:rPr>
            </w:pPr>
          </w:p>
        </w:tc>
        <w:tc>
          <w:tcPr>
            <w:tcW w:w="3840" w:type="dxa"/>
            <w:vAlign w:val="center"/>
          </w:tcPr>
          <w:p>
            <w:pPr>
              <w:rPr>
                <w:noProof/>
              </w:rPr>
            </w:pPr>
            <w:r>
              <w:rPr>
                <w:noProof/>
                <w:sz w:val="20"/>
              </w:rPr>
              <w:t xml:space="preserve">Номер </w:t>
            </w:r>
            <w:r>
              <w:rPr>
                <w:noProof/>
                <w:sz w:val="22"/>
              </w:rPr>
              <w:br/>
            </w:r>
          </w:p>
        </w:tc>
        <w:tc>
          <w:tcPr>
            <w:tcW w:w="1080" w:type="dxa"/>
            <w:vAlign w:val="center"/>
          </w:tcPr>
          <w:p>
            <w:pPr>
              <w:jc w:val="center"/>
              <w:rPr>
                <w:noProof/>
              </w:rPr>
            </w:pPr>
            <w:r>
              <w:rPr>
                <w:noProof/>
                <w:sz w:val="18"/>
              </w:rPr>
              <w:t>Многогод./Едногод.</w:t>
            </w:r>
            <w:r>
              <w:rPr>
                <w:rStyle w:val="FootnoteReference"/>
                <w:noProof/>
                <w:sz w:val="18"/>
              </w:rPr>
              <w:footnoteReference w:id="9"/>
            </w:r>
          </w:p>
        </w:tc>
        <w:tc>
          <w:tcPr>
            <w:tcW w:w="1076" w:type="dxa"/>
            <w:vAlign w:val="center"/>
          </w:tcPr>
          <w:p>
            <w:pPr>
              <w:jc w:val="center"/>
              <w:rPr>
                <w:noProof/>
              </w:rPr>
            </w:pPr>
            <w:r>
              <w:rPr>
                <w:noProof/>
                <w:sz w:val="18"/>
              </w:rPr>
              <w:t>от държави от ЕАСТ</w:t>
            </w:r>
            <w:r>
              <w:rPr>
                <w:rStyle w:val="FootnoteReference"/>
                <w:noProof/>
                <w:sz w:val="18"/>
              </w:rPr>
              <w:footnoteReference w:id="10"/>
            </w:r>
          </w:p>
          <w:p>
            <w:pPr>
              <w:spacing w:before="0" w:after="0"/>
              <w:jc w:val="center"/>
              <w:rPr>
                <w:b/>
                <w:noProof/>
                <w:sz w:val="18"/>
              </w:rPr>
            </w:pPr>
          </w:p>
        </w:tc>
        <w:tc>
          <w:tcPr>
            <w:tcW w:w="1080" w:type="dxa"/>
            <w:vAlign w:val="center"/>
          </w:tcPr>
          <w:p>
            <w:pPr>
              <w:jc w:val="center"/>
              <w:rPr>
                <w:noProof/>
              </w:rPr>
            </w:pPr>
            <w:r>
              <w:rPr>
                <w:noProof/>
                <w:sz w:val="18"/>
              </w:rPr>
              <w:t>от държави кандидати</w:t>
            </w:r>
            <w:r>
              <w:rPr>
                <w:rStyle w:val="FootnoteReference"/>
                <w:noProof/>
                <w:sz w:val="18"/>
              </w:rPr>
              <w:footnoteReference w:id="11"/>
            </w:r>
          </w:p>
          <w:p>
            <w:pPr>
              <w:spacing w:before="0" w:after="0"/>
              <w:jc w:val="center"/>
              <w:rPr>
                <w:noProof/>
                <w:sz w:val="18"/>
              </w:rPr>
            </w:pPr>
          </w:p>
        </w:tc>
        <w:tc>
          <w:tcPr>
            <w:tcW w:w="1084" w:type="dxa"/>
            <w:vAlign w:val="center"/>
          </w:tcPr>
          <w:p>
            <w:pPr>
              <w:jc w:val="center"/>
              <w:rPr>
                <w:noProof/>
                <w:sz w:val="18"/>
              </w:rPr>
            </w:pPr>
            <w:r>
              <w:rPr>
                <w:noProof/>
                <w:sz w:val="18"/>
              </w:rPr>
              <w:t>от трети държави</w:t>
            </w:r>
          </w:p>
        </w:tc>
        <w:tc>
          <w:tcPr>
            <w:tcW w:w="1320" w:type="dxa"/>
            <w:vAlign w:val="center"/>
          </w:tcPr>
          <w:p>
            <w:pPr>
              <w:jc w:val="center"/>
              <w:rPr>
                <w:noProof/>
              </w:rPr>
            </w:pPr>
            <w:r>
              <w:rPr>
                <w:noProof/>
                <w:sz w:val="16"/>
              </w:rPr>
              <w:t xml:space="preserve">по смисъла на член 21, параграф 2, буква б) от Финансовия регламент </w:t>
            </w:r>
          </w:p>
        </w:tc>
      </w:tr>
      <w:tr>
        <w:tc>
          <w:tcPr>
            <w:tcW w:w="1080" w:type="dxa"/>
            <w:vAlign w:val="center"/>
          </w:tcPr>
          <w:p>
            <w:pPr>
              <w:jc w:val="center"/>
              <w:rPr>
                <w:noProof/>
                <w:color w:val="0000FF"/>
              </w:rPr>
            </w:pPr>
          </w:p>
        </w:tc>
        <w:tc>
          <w:tcPr>
            <w:tcW w:w="3840" w:type="dxa"/>
            <w:vAlign w:val="center"/>
          </w:tcPr>
          <w:p>
            <w:pPr>
              <w:spacing w:before="60"/>
              <w:rPr>
                <w:noProof/>
              </w:rPr>
            </w:pPr>
            <w:r>
              <w:rPr>
                <w:noProof/>
              </w:rPr>
              <w:t>11.03.01</w:t>
            </w:r>
          </w:p>
          <w:p>
            <w:pPr>
              <w:spacing w:before="60"/>
              <w:rPr>
                <w:noProof/>
              </w:rPr>
            </w:pPr>
            <w:r>
              <w:rPr>
                <w:noProof/>
              </w:rPr>
              <w:t>Установяване на рамка за управление на риболовните дейности, извършвани от риболовни кораби на Европейския съюз във водите на трети държави (СУР)</w:t>
            </w:r>
          </w:p>
          <w:p>
            <w:pPr>
              <w:spacing w:after="60"/>
              <w:rPr>
                <w:noProof/>
              </w:rPr>
            </w:pPr>
          </w:p>
        </w:tc>
        <w:tc>
          <w:tcPr>
            <w:tcW w:w="1080" w:type="dxa"/>
            <w:vAlign w:val="center"/>
          </w:tcPr>
          <w:p>
            <w:pPr>
              <w:jc w:val="center"/>
              <w:rPr>
                <w:noProof/>
                <w:color w:val="0000FF"/>
              </w:rPr>
            </w:pPr>
            <w:r>
              <w:rPr>
                <w:noProof/>
                <w:sz w:val="22"/>
              </w:rPr>
              <w:t>Многогод.</w:t>
            </w:r>
          </w:p>
        </w:tc>
        <w:tc>
          <w:tcPr>
            <w:tcW w:w="1076" w:type="dxa"/>
            <w:vAlign w:val="center"/>
          </w:tcPr>
          <w:p>
            <w:pPr>
              <w:jc w:val="center"/>
              <w:rPr>
                <w:noProof/>
                <w:sz w:val="20"/>
                <w:szCs w:val="20"/>
              </w:rPr>
            </w:pPr>
            <w:r>
              <w:rPr>
                <w:noProof/>
                <w:sz w:val="20"/>
              </w:rPr>
              <w:t>НЕ</w:t>
            </w:r>
          </w:p>
        </w:tc>
        <w:tc>
          <w:tcPr>
            <w:tcW w:w="1080" w:type="dxa"/>
            <w:vAlign w:val="center"/>
          </w:tcPr>
          <w:p>
            <w:pPr>
              <w:jc w:val="center"/>
              <w:rPr>
                <w:noProof/>
                <w:sz w:val="20"/>
                <w:szCs w:val="20"/>
              </w:rPr>
            </w:pPr>
            <w:r>
              <w:rPr>
                <w:noProof/>
                <w:sz w:val="20"/>
              </w:rPr>
              <w:t>НЕ</w:t>
            </w:r>
          </w:p>
        </w:tc>
        <w:tc>
          <w:tcPr>
            <w:tcW w:w="1084" w:type="dxa"/>
            <w:vAlign w:val="center"/>
          </w:tcPr>
          <w:p>
            <w:pPr>
              <w:jc w:val="center"/>
              <w:rPr>
                <w:noProof/>
                <w:sz w:val="20"/>
                <w:szCs w:val="20"/>
              </w:rPr>
            </w:pPr>
            <w:r>
              <w:rPr>
                <w:noProof/>
                <w:sz w:val="20"/>
              </w:rPr>
              <w:t>НЕ</w:t>
            </w:r>
          </w:p>
        </w:tc>
        <w:tc>
          <w:tcPr>
            <w:tcW w:w="1320" w:type="dxa"/>
            <w:vAlign w:val="center"/>
          </w:tcPr>
          <w:p>
            <w:pPr>
              <w:jc w:val="center"/>
              <w:rPr>
                <w:noProof/>
                <w:sz w:val="20"/>
                <w:szCs w:val="20"/>
              </w:rPr>
            </w:pPr>
            <w:r>
              <w:rPr>
                <w:noProof/>
                <w:sz w:val="20"/>
              </w:rPr>
              <w:t>НЕ</w:t>
            </w:r>
          </w:p>
        </w:tc>
      </w:tr>
    </w:tbl>
    <w:p>
      <w:pPr>
        <w:pStyle w:val="ListBullet1"/>
        <w:rPr>
          <w:noProof/>
        </w:rPr>
      </w:pPr>
      <w:r>
        <w:rPr>
          <w:noProof/>
        </w:rPr>
        <w:t xml:space="preserve">Поискани нови бюджетни редове </w:t>
      </w:r>
    </w:p>
    <w:p>
      <w:pPr>
        <w:pStyle w:val="Text1"/>
        <w:rPr>
          <w:i/>
          <w:noProof/>
          <w:sz w:val="20"/>
        </w:rPr>
      </w:pPr>
      <w:r>
        <w:rPr>
          <w:i/>
          <w:noProof/>
          <w:u w:val="single"/>
        </w:rPr>
        <w:t>По реда</w:t>
      </w:r>
      <w:r>
        <w:rPr>
          <w:i/>
          <w:noProof/>
        </w:rPr>
        <w:t xml:space="preserve"> на функциите от многогодишната финансова рамка и на бюджетните редове.</w:t>
      </w:r>
    </w:p>
    <w:tbl>
      <w:tblPr>
        <w:tblW w:w="105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840"/>
        <w:gridCol w:w="1080"/>
        <w:gridCol w:w="1076"/>
        <w:gridCol w:w="1080"/>
        <w:gridCol w:w="1084"/>
        <w:gridCol w:w="1320"/>
      </w:tblGrid>
      <w:tr>
        <w:tc>
          <w:tcPr>
            <w:tcW w:w="1080" w:type="dxa"/>
            <w:vMerge w:val="restart"/>
            <w:vAlign w:val="center"/>
          </w:tcPr>
          <w:p>
            <w:pPr>
              <w:spacing w:before="60" w:after="60"/>
              <w:jc w:val="center"/>
              <w:rPr>
                <w:noProof/>
                <w:sz w:val="18"/>
                <w:szCs w:val="18"/>
              </w:rPr>
            </w:pPr>
            <w:r>
              <w:rPr>
                <w:noProof/>
                <w:sz w:val="18"/>
              </w:rPr>
              <w:t>Функция от многогодишната финансова рамка</w:t>
            </w:r>
          </w:p>
        </w:tc>
        <w:tc>
          <w:tcPr>
            <w:tcW w:w="3840" w:type="dxa"/>
            <w:vAlign w:val="center"/>
          </w:tcPr>
          <w:p>
            <w:pPr>
              <w:spacing w:before="60" w:after="60"/>
              <w:jc w:val="center"/>
              <w:rPr>
                <w:noProof/>
              </w:rPr>
            </w:pPr>
            <w:r>
              <w:rPr>
                <w:noProof/>
                <w:sz w:val="20"/>
              </w:rPr>
              <w:t>Бюджетен ред</w:t>
            </w:r>
          </w:p>
        </w:tc>
        <w:tc>
          <w:tcPr>
            <w:tcW w:w="1080" w:type="dxa"/>
            <w:vAlign w:val="center"/>
          </w:tcPr>
          <w:p>
            <w:pPr>
              <w:spacing w:before="60" w:after="60"/>
              <w:jc w:val="center"/>
              <w:rPr>
                <w:noProof/>
              </w:rPr>
            </w:pPr>
            <w:r>
              <w:rPr>
                <w:noProof/>
                <w:sz w:val="18"/>
              </w:rPr>
              <w:t>Вид на разхода</w:t>
            </w:r>
          </w:p>
        </w:tc>
        <w:tc>
          <w:tcPr>
            <w:tcW w:w="4560" w:type="dxa"/>
            <w:gridSpan w:val="4"/>
            <w:vAlign w:val="center"/>
          </w:tcPr>
          <w:p>
            <w:pPr>
              <w:spacing w:before="60" w:after="60"/>
              <w:jc w:val="center"/>
              <w:rPr>
                <w:noProof/>
              </w:rPr>
            </w:pPr>
            <w:r>
              <w:rPr>
                <w:noProof/>
                <w:sz w:val="20"/>
              </w:rPr>
              <w:t xml:space="preserve">Принос </w:t>
            </w:r>
          </w:p>
        </w:tc>
      </w:tr>
      <w:tr>
        <w:tc>
          <w:tcPr>
            <w:tcW w:w="1080" w:type="dxa"/>
            <w:vMerge/>
            <w:vAlign w:val="center"/>
          </w:tcPr>
          <w:p>
            <w:pPr>
              <w:jc w:val="center"/>
              <w:rPr>
                <w:noProof/>
              </w:rPr>
            </w:pPr>
          </w:p>
        </w:tc>
        <w:tc>
          <w:tcPr>
            <w:tcW w:w="3840" w:type="dxa"/>
            <w:vAlign w:val="center"/>
          </w:tcPr>
          <w:p>
            <w:pPr>
              <w:rPr>
                <w:noProof/>
              </w:rPr>
            </w:pPr>
            <w:r>
              <w:rPr>
                <w:noProof/>
                <w:sz w:val="20"/>
              </w:rPr>
              <w:t xml:space="preserve">Номер </w:t>
            </w:r>
            <w:r>
              <w:rPr>
                <w:noProof/>
                <w:sz w:val="22"/>
              </w:rPr>
              <w:br/>
            </w:r>
          </w:p>
        </w:tc>
        <w:tc>
          <w:tcPr>
            <w:tcW w:w="1080" w:type="dxa"/>
            <w:vAlign w:val="center"/>
          </w:tcPr>
          <w:p>
            <w:pPr>
              <w:jc w:val="center"/>
              <w:rPr>
                <w:noProof/>
              </w:rPr>
            </w:pPr>
            <w:r>
              <w:rPr>
                <w:noProof/>
                <w:sz w:val="18"/>
              </w:rPr>
              <w:t>Многогод./Едногод.</w:t>
            </w:r>
          </w:p>
        </w:tc>
        <w:tc>
          <w:tcPr>
            <w:tcW w:w="1076" w:type="dxa"/>
            <w:vAlign w:val="center"/>
          </w:tcPr>
          <w:p>
            <w:pPr>
              <w:jc w:val="center"/>
              <w:rPr>
                <w:noProof/>
                <w:sz w:val="18"/>
              </w:rPr>
            </w:pPr>
            <w:r>
              <w:rPr>
                <w:noProof/>
                <w:sz w:val="18"/>
              </w:rPr>
              <w:t>от държави от ЕАСТ</w:t>
            </w:r>
          </w:p>
        </w:tc>
        <w:tc>
          <w:tcPr>
            <w:tcW w:w="1080" w:type="dxa"/>
            <w:vAlign w:val="center"/>
          </w:tcPr>
          <w:p>
            <w:pPr>
              <w:jc w:val="center"/>
              <w:rPr>
                <w:noProof/>
                <w:sz w:val="18"/>
              </w:rPr>
            </w:pPr>
            <w:r>
              <w:rPr>
                <w:noProof/>
                <w:sz w:val="18"/>
              </w:rPr>
              <w:t>от държави кандидати</w:t>
            </w:r>
          </w:p>
        </w:tc>
        <w:tc>
          <w:tcPr>
            <w:tcW w:w="1084" w:type="dxa"/>
            <w:vAlign w:val="center"/>
          </w:tcPr>
          <w:p>
            <w:pPr>
              <w:jc w:val="center"/>
              <w:rPr>
                <w:noProof/>
                <w:sz w:val="18"/>
              </w:rPr>
            </w:pPr>
            <w:r>
              <w:rPr>
                <w:noProof/>
                <w:sz w:val="18"/>
              </w:rPr>
              <w:t>от трети държави</w:t>
            </w:r>
          </w:p>
        </w:tc>
        <w:tc>
          <w:tcPr>
            <w:tcW w:w="1320" w:type="dxa"/>
            <w:vAlign w:val="center"/>
          </w:tcPr>
          <w:p>
            <w:pPr>
              <w:jc w:val="center"/>
              <w:rPr>
                <w:noProof/>
              </w:rPr>
            </w:pPr>
            <w:r>
              <w:rPr>
                <w:noProof/>
                <w:sz w:val="16"/>
              </w:rPr>
              <w:t xml:space="preserve">по смисъла на член 21, параграф 2, буква б) от Финансовия регламент </w:t>
            </w:r>
          </w:p>
        </w:tc>
      </w:tr>
      <w:tr>
        <w:tc>
          <w:tcPr>
            <w:tcW w:w="1080" w:type="dxa"/>
            <w:vAlign w:val="center"/>
          </w:tcPr>
          <w:p>
            <w:pPr>
              <w:jc w:val="center"/>
              <w:rPr>
                <w:noProof/>
                <w:color w:val="0000FF"/>
              </w:rPr>
            </w:pPr>
          </w:p>
        </w:tc>
        <w:tc>
          <w:tcPr>
            <w:tcW w:w="3840" w:type="dxa"/>
            <w:vAlign w:val="center"/>
          </w:tcPr>
          <w:p>
            <w:pPr>
              <w:spacing w:before="60"/>
              <w:rPr>
                <w:noProof/>
              </w:rPr>
            </w:pPr>
            <w:r>
              <w:rPr>
                <w:noProof/>
                <w:sz w:val="22"/>
              </w:rPr>
              <w:t>[XX.YY.YY.YY]</w:t>
            </w:r>
          </w:p>
          <w:p>
            <w:pPr>
              <w:spacing w:after="60"/>
              <w:rPr>
                <w:noProof/>
                <w:color w:val="0000FF"/>
              </w:rPr>
            </w:pPr>
          </w:p>
        </w:tc>
        <w:tc>
          <w:tcPr>
            <w:tcW w:w="1080" w:type="dxa"/>
            <w:vAlign w:val="center"/>
          </w:tcPr>
          <w:p>
            <w:pPr>
              <w:jc w:val="center"/>
              <w:rPr>
                <w:noProof/>
                <w:color w:val="0000FF"/>
              </w:rPr>
            </w:pPr>
          </w:p>
        </w:tc>
        <w:tc>
          <w:tcPr>
            <w:tcW w:w="1076" w:type="dxa"/>
            <w:vAlign w:val="center"/>
          </w:tcPr>
          <w:p>
            <w:pPr>
              <w:jc w:val="center"/>
              <w:rPr>
                <w:noProof/>
                <w:sz w:val="20"/>
                <w:szCs w:val="20"/>
              </w:rPr>
            </w:pPr>
            <w:r>
              <w:rPr>
                <w:noProof/>
                <w:sz w:val="20"/>
              </w:rPr>
              <w:t>ДА/НЕ</w:t>
            </w:r>
          </w:p>
        </w:tc>
        <w:tc>
          <w:tcPr>
            <w:tcW w:w="1080" w:type="dxa"/>
            <w:vAlign w:val="center"/>
          </w:tcPr>
          <w:p>
            <w:pPr>
              <w:jc w:val="center"/>
              <w:rPr>
                <w:noProof/>
                <w:color w:val="0000FF"/>
                <w:sz w:val="20"/>
                <w:szCs w:val="20"/>
              </w:rPr>
            </w:pPr>
            <w:r>
              <w:rPr>
                <w:noProof/>
                <w:sz w:val="20"/>
              </w:rPr>
              <w:t>ДА/НЕ</w:t>
            </w:r>
          </w:p>
        </w:tc>
        <w:tc>
          <w:tcPr>
            <w:tcW w:w="1084" w:type="dxa"/>
            <w:vAlign w:val="center"/>
          </w:tcPr>
          <w:p>
            <w:pPr>
              <w:jc w:val="center"/>
              <w:rPr>
                <w:noProof/>
                <w:color w:val="0000FF"/>
                <w:sz w:val="20"/>
                <w:szCs w:val="20"/>
              </w:rPr>
            </w:pPr>
            <w:r>
              <w:rPr>
                <w:noProof/>
                <w:sz w:val="20"/>
              </w:rPr>
              <w:t>ДА/НЕ</w:t>
            </w:r>
          </w:p>
        </w:tc>
        <w:tc>
          <w:tcPr>
            <w:tcW w:w="1320" w:type="dxa"/>
            <w:vAlign w:val="center"/>
          </w:tcPr>
          <w:p>
            <w:pPr>
              <w:jc w:val="center"/>
              <w:rPr>
                <w:noProof/>
                <w:sz w:val="20"/>
                <w:szCs w:val="20"/>
              </w:rPr>
            </w:pPr>
            <w:r>
              <w:rPr>
                <w:noProof/>
                <w:sz w:val="20"/>
              </w:rPr>
              <w:t>ДА/НЕ</w:t>
            </w:r>
          </w:p>
        </w:tc>
      </w:tr>
    </w:tbl>
    <w:p>
      <w:pPr>
        <w:rPr>
          <w:noProof/>
        </w:rPr>
        <w:sectPr>
          <w:pgSz w:w="11907" w:h="16840" w:code="1"/>
          <w:pgMar w:top="1134" w:right="1418" w:bottom="1134" w:left="1418" w:header="709" w:footer="709" w:gutter="0"/>
          <w:cols w:space="708"/>
          <w:docGrid w:linePitch="360"/>
        </w:sectPr>
      </w:pPr>
    </w:p>
    <w:p>
      <w:pPr>
        <w:pStyle w:val="ManualHeading2"/>
        <w:rPr>
          <w:bCs/>
          <w:noProof/>
          <w:szCs w:val="24"/>
        </w:rPr>
      </w:pPr>
      <w:r>
        <w:rPr>
          <w:noProof/>
        </w:rPr>
        <w:t>3.2.</w:t>
      </w:r>
      <w:r>
        <w:rPr>
          <w:noProof/>
        </w:rPr>
        <w:tab/>
        <w:t xml:space="preserve">Очаквано финансово отражение на предложението върху бюджетните кредити </w:t>
      </w:r>
    </w:p>
    <w:p>
      <w:pPr>
        <w:pStyle w:val="ManualHeading3"/>
        <w:rPr>
          <w:noProof/>
        </w:rPr>
      </w:pPr>
      <w:r>
        <w:rPr>
          <w:noProof/>
        </w:rPr>
        <w:t>3.2.1.</w:t>
      </w:r>
      <w:r>
        <w:rPr>
          <w:noProof/>
        </w:rPr>
        <w:tab/>
        <w:t xml:space="preserve">Обобщение на очакваното отражение върху бюджетните кредити за оперативни разходи </w:t>
      </w:r>
    </w:p>
    <w:p>
      <w:pPr>
        <w:pStyle w:val="ListDash1"/>
        <w:rPr>
          <w:noProof/>
        </w:rPr>
      </w:pPr>
      <w:r>
        <w:rPr>
          <w:noProof/>
        </w:rPr>
        <w:sym w:font="Wingdings" w:char="F0A8"/>
      </w:r>
      <w:r>
        <w:rPr>
          <w:noProof/>
        </w:rPr>
        <w:tab/>
        <w:t xml:space="preserve">Предложението/инициативата не налага използване на бюджетни кредити за оперативни разходи </w:t>
      </w:r>
    </w:p>
    <w:p>
      <w:pPr>
        <w:pStyle w:val="ListDash1"/>
        <w:rPr>
          <w:noProof/>
        </w:rPr>
      </w:pPr>
      <w:r>
        <w:rPr>
          <w:noProof/>
        </w:rPr>
        <w:t>X</w:t>
      </w:r>
      <w:r>
        <w:rPr>
          <w:noProof/>
        </w:rPr>
        <w:tab/>
        <w:t>Предложението/инициативата налага използване на бюджетни кредити за оперативни разходи съгласно обяснението по-долу:</w:t>
      </w:r>
    </w:p>
    <w:p>
      <w:pPr>
        <w:jc w:val="right"/>
        <w:rPr>
          <w:noProof/>
          <w:sz w:val="18"/>
          <w:szCs w:val="18"/>
        </w:rPr>
      </w:pPr>
      <w:r>
        <w:rPr>
          <w:noProof/>
          <w:sz w:val="18"/>
        </w:rPr>
        <w:t>млн. евро (до 3-тия знак след десетичната запетая)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trPr>
          <w:jc w:val="center"/>
        </w:trPr>
        <w:tc>
          <w:tcPr>
            <w:tcW w:w="4744" w:type="dxa"/>
            <w:shd w:val="thinDiagStripe" w:color="C0C0C0" w:fill="auto"/>
            <w:vAlign w:val="center"/>
          </w:tcPr>
          <w:p>
            <w:pPr>
              <w:spacing w:before="60" w:after="60"/>
              <w:jc w:val="center"/>
              <w:rPr>
                <w:b/>
                <w:noProof/>
              </w:rPr>
            </w:pPr>
            <w:r>
              <w:rPr>
                <w:b/>
                <w:noProof/>
                <w:sz w:val="22"/>
              </w:rPr>
              <w:t>Функция от многогодишната финансова рамка</w:t>
            </w:r>
            <w:r>
              <w:rPr>
                <w:noProof/>
                <w:sz w:val="22"/>
              </w:rPr>
              <w:br/>
            </w:r>
            <w:r>
              <w:rPr>
                <w:b/>
                <w:noProof/>
                <w:sz w:val="22"/>
              </w:rPr>
              <w:t xml:space="preserve"> </w:t>
            </w:r>
          </w:p>
        </w:tc>
        <w:tc>
          <w:tcPr>
            <w:tcW w:w="1080" w:type="dxa"/>
            <w:vAlign w:val="center"/>
          </w:tcPr>
          <w:p>
            <w:pPr>
              <w:spacing w:before="60" w:after="60"/>
              <w:jc w:val="center"/>
              <w:rPr>
                <w:noProof/>
              </w:rPr>
            </w:pPr>
            <w:r>
              <w:rPr>
                <w:noProof/>
                <w:sz w:val="22"/>
              </w:rPr>
              <w:t>№ 2</w:t>
            </w:r>
          </w:p>
        </w:tc>
        <w:tc>
          <w:tcPr>
            <w:tcW w:w="7817" w:type="dxa"/>
            <w:vAlign w:val="center"/>
          </w:tcPr>
          <w:p>
            <w:pPr>
              <w:spacing w:before="60" w:after="60"/>
              <w:rPr>
                <w:noProof/>
              </w:rPr>
            </w:pPr>
            <w:r>
              <w:rPr>
                <w:noProof/>
              </w:rPr>
              <w:t>Устойчив растеж: природни ресурси</w:t>
            </w:r>
          </w:p>
        </w:tc>
      </w:tr>
    </w:tbl>
    <w:p>
      <w:pPr>
        <w:rPr>
          <w:noProof/>
          <w:sz w:val="16"/>
        </w:rPr>
      </w:pPr>
    </w:p>
    <w:tbl>
      <w:tblPr>
        <w:tblW w:w="12409"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440"/>
        <w:gridCol w:w="120"/>
        <w:gridCol w:w="534"/>
        <w:gridCol w:w="868"/>
        <w:gridCol w:w="868"/>
        <w:gridCol w:w="868"/>
        <w:gridCol w:w="868"/>
        <w:gridCol w:w="914"/>
        <w:gridCol w:w="977"/>
        <w:gridCol w:w="992"/>
      </w:tblGrid>
      <w:tr>
        <w:tc>
          <w:tcPr>
            <w:tcW w:w="3960" w:type="dxa"/>
            <w:vAlign w:val="center"/>
          </w:tcPr>
          <w:p>
            <w:pPr>
              <w:jc w:val="center"/>
              <w:rPr>
                <w:noProof/>
              </w:rPr>
            </w:pPr>
            <w:r>
              <w:rPr>
                <w:noProof/>
                <w:sz w:val="22"/>
              </w:rPr>
              <w:t>ГД: „Морско дело и рибарство“</w:t>
            </w:r>
          </w:p>
        </w:tc>
        <w:tc>
          <w:tcPr>
            <w:tcW w:w="1560" w:type="dxa"/>
            <w:gridSpan w:val="2"/>
          </w:tcPr>
          <w:p>
            <w:pPr>
              <w:rPr>
                <w:noProof/>
                <w:sz w:val="20"/>
              </w:rPr>
            </w:pPr>
          </w:p>
        </w:tc>
        <w:tc>
          <w:tcPr>
            <w:tcW w:w="534" w:type="dxa"/>
          </w:tcPr>
          <w:p>
            <w:pPr>
              <w:jc w:val="center"/>
              <w:rPr>
                <w:noProof/>
                <w:sz w:val="20"/>
              </w:rPr>
            </w:pPr>
          </w:p>
        </w:tc>
        <w:tc>
          <w:tcPr>
            <w:tcW w:w="868" w:type="dxa"/>
            <w:vAlign w:val="center"/>
          </w:tcPr>
          <w:p>
            <w:pPr>
              <w:jc w:val="center"/>
              <w:rPr>
                <w:noProof/>
                <w:sz w:val="20"/>
              </w:rPr>
            </w:pPr>
            <w:r>
              <w:rPr>
                <w:b/>
                <w:noProof/>
                <w:sz w:val="20"/>
              </w:rPr>
              <w:t>2020 г.</w:t>
            </w:r>
          </w:p>
        </w:tc>
        <w:tc>
          <w:tcPr>
            <w:tcW w:w="868" w:type="dxa"/>
            <w:vAlign w:val="center"/>
          </w:tcPr>
          <w:p>
            <w:pPr>
              <w:jc w:val="center"/>
              <w:rPr>
                <w:noProof/>
                <w:sz w:val="20"/>
              </w:rPr>
            </w:pPr>
            <w:r>
              <w:rPr>
                <w:b/>
                <w:noProof/>
                <w:sz w:val="20"/>
              </w:rPr>
              <w:t>2021 г.</w:t>
            </w:r>
          </w:p>
        </w:tc>
        <w:tc>
          <w:tcPr>
            <w:tcW w:w="868" w:type="dxa"/>
            <w:vAlign w:val="center"/>
          </w:tcPr>
          <w:p>
            <w:pPr>
              <w:jc w:val="center"/>
              <w:rPr>
                <w:noProof/>
                <w:sz w:val="20"/>
              </w:rPr>
            </w:pPr>
            <w:r>
              <w:rPr>
                <w:b/>
                <w:noProof/>
                <w:sz w:val="20"/>
              </w:rPr>
              <w:t>2022 г.</w:t>
            </w:r>
          </w:p>
        </w:tc>
        <w:tc>
          <w:tcPr>
            <w:tcW w:w="868" w:type="dxa"/>
            <w:vAlign w:val="center"/>
          </w:tcPr>
          <w:p>
            <w:pPr>
              <w:jc w:val="center"/>
              <w:rPr>
                <w:noProof/>
                <w:sz w:val="20"/>
              </w:rPr>
            </w:pPr>
            <w:r>
              <w:rPr>
                <w:b/>
                <w:noProof/>
                <w:sz w:val="20"/>
              </w:rPr>
              <w:t>2023 г.</w:t>
            </w:r>
          </w:p>
        </w:tc>
        <w:tc>
          <w:tcPr>
            <w:tcW w:w="914" w:type="dxa"/>
            <w:vAlign w:val="center"/>
          </w:tcPr>
          <w:p>
            <w:pPr>
              <w:jc w:val="center"/>
              <w:rPr>
                <w:noProof/>
                <w:sz w:val="20"/>
              </w:rPr>
            </w:pPr>
            <w:r>
              <w:rPr>
                <w:b/>
                <w:noProof/>
                <w:sz w:val="20"/>
              </w:rPr>
              <w:t>2024 г.</w:t>
            </w:r>
          </w:p>
        </w:tc>
        <w:tc>
          <w:tcPr>
            <w:tcW w:w="977" w:type="dxa"/>
          </w:tcPr>
          <w:p>
            <w:pPr>
              <w:jc w:val="center"/>
              <w:rPr>
                <w:b/>
                <w:noProof/>
                <w:sz w:val="20"/>
              </w:rPr>
            </w:pPr>
            <w:r>
              <w:rPr>
                <w:b/>
                <w:noProof/>
                <w:sz w:val="20"/>
              </w:rPr>
              <w:t>2025 г.</w:t>
            </w:r>
          </w:p>
        </w:tc>
        <w:tc>
          <w:tcPr>
            <w:tcW w:w="992" w:type="dxa"/>
            <w:vAlign w:val="center"/>
          </w:tcPr>
          <w:p>
            <w:pPr>
              <w:jc w:val="center"/>
              <w:rPr>
                <w:b/>
                <w:noProof/>
                <w:sz w:val="20"/>
              </w:rPr>
            </w:pPr>
            <w:r>
              <w:rPr>
                <w:b/>
                <w:noProof/>
                <w:sz w:val="20"/>
              </w:rPr>
              <w:t>ОБЩО</w:t>
            </w:r>
          </w:p>
        </w:tc>
      </w:tr>
      <w:tr>
        <w:trPr>
          <w:trHeight w:val="213"/>
        </w:trPr>
        <w:tc>
          <w:tcPr>
            <w:tcW w:w="6054" w:type="dxa"/>
            <w:gridSpan w:val="4"/>
            <w:vAlign w:val="center"/>
          </w:tcPr>
          <w:p>
            <w:pPr>
              <w:spacing w:before="20" w:after="20"/>
              <w:rPr>
                <w:noProof/>
                <w:sz w:val="21"/>
              </w:rPr>
            </w:pPr>
            <w:r>
              <w:rPr>
                <w:noProof/>
                <w:sz w:val="21"/>
              </w:rPr>
              <w:sym w:font="Wingdings" w:char="F09F"/>
            </w:r>
            <w:r>
              <w:rPr>
                <w:noProof/>
              </w:rPr>
              <w:t xml:space="preserve"> </w:t>
            </w:r>
            <w:r>
              <w:rPr>
                <w:noProof/>
                <w:sz w:val="21"/>
              </w:rPr>
              <w:t xml:space="preserve">Бюджетни кредити за оперативни разходи </w:t>
            </w:r>
          </w:p>
        </w:tc>
        <w:tc>
          <w:tcPr>
            <w:tcW w:w="868" w:type="dxa"/>
            <w:vAlign w:val="center"/>
          </w:tcPr>
          <w:p>
            <w:pPr>
              <w:rPr>
                <w:noProof/>
                <w:sz w:val="20"/>
              </w:rPr>
            </w:pPr>
          </w:p>
        </w:tc>
        <w:tc>
          <w:tcPr>
            <w:tcW w:w="868" w:type="dxa"/>
            <w:vAlign w:val="center"/>
          </w:tcPr>
          <w:p>
            <w:pPr>
              <w:rPr>
                <w:noProof/>
                <w:sz w:val="20"/>
              </w:rPr>
            </w:pPr>
          </w:p>
        </w:tc>
        <w:tc>
          <w:tcPr>
            <w:tcW w:w="868" w:type="dxa"/>
            <w:vAlign w:val="center"/>
          </w:tcPr>
          <w:p>
            <w:pPr>
              <w:rPr>
                <w:noProof/>
                <w:sz w:val="20"/>
              </w:rPr>
            </w:pPr>
          </w:p>
        </w:tc>
        <w:tc>
          <w:tcPr>
            <w:tcW w:w="868" w:type="dxa"/>
            <w:vAlign w:val="center"/>
          </w:tcPr>
          <w:p>
            <w:pPr>
              <w:rPr>
                <w:noProof/>
                <w:sz w:val="20"/>
              </w:rPr>
            </w:pPr>
          </w:p>
        </w:tc>
        <w:tc>
          <w:tcPr>
            <w:tcW w:w="914" w:type="dxa"/>
            <w:vAlign w:val="center"/>
          </w:tcPr>
          <w:p>
            <w:pPr>
              <w:rPr>
                <w:noProof/>
                <w:sz w:val="20"/>
              </w:rPr>
            </w:pPr>
          </w:p>
        </w:tc>
        <w:tc>
          <w:tcPr>
            <w:tcW w:w="977" w:type="dxa"/>
          </w:tcPr>
          <w:p>
            <w:pPr>
              <w:rPr>
                <w:b/>
                <w:noProof/>
                <w:sz w:val="20"/>
              </w:rPr>
            </w:pPr>
          </w:p>
        </w:tc>
        <w:tc>
          <w:tcPr>
            <w:tcW w:w="992" w:type="dxa"/>
            <w:vAlign w:val="center"/>
          </w:tcPr>
          <w:p>
            <w:pPr>
              <w:rPr>
                <w:b/>
                <w:noProof/>
                <w:sz w:val="20"/>
              </w:rPr>
            </w:pPr>
          </w:p>
        </w:tc>
      </w:tr>
      <w:tr>
        <w:trPr>
          <w:trHeight w:val="277"/>
        </w:trPr>
        <w:tc>
          <w:tcPr>
            <w:tcW w:w="3960" w:type="dxa"/>
            <w:vMerge w:val="restart"/>
            <w:vAlign w:val="center"/>
          </w:tcPr>
          <w:p>
            <w:pPr>
              <w:spacing w:before="60"/>
              <w:rPr>
                <w:noProof/>
              </w:rPr>
            </w:pPr>
            <w:r>
              <w:rPr>
                <w:noProof/>
                <w:sz w:val="20"/>
              </w:rPr>
              <w:t>Бюджетен ред</w:t>
            </w:r>
            <w:r>
              <w:rPr>
                <w:rStyle w:val="FootnoteReference"/>
                <w:noProof/>
                <w:sz w:val="20"/>
              </w:rPr>
              <w:footnoteReference w:id="12"/>
            </w:r>
            <w:r>
              <w:rPr>
                <w:noProof/>
              </w:rPr>
              <w:t xml:space="preserve"> 11.03.01</w:t>
            </w:r>
          </w:p>
        </w:tc>
        <w:tc>
          <w:tcPr>
            <w:tcW w:w="1440" w:type="dxa"/>
            <w:vAlign w:val="center"/>
          </w:tcPr>
          <w:p>
            <w:pPr>
              <w:spacing w:before="20" w:after="20"/>
              <w:rPr>
                <w:noProof/>
                <w:sz w:val="18"/>
              </w:rPr>
            </w:pPr>
            <w:r>
              <w:rPr>
                <w:noProof/>
                <w:sz w:val="18"/>
              </w:rPr>
              <w:t>Поети задължения</w:t>
            </w:r>
          </w:p>
        </w:tc>
        <w:tc>
          <w:tcPr>
            <w:tcW w:w="654" w:type="dxa"/>
            <w:gridSpan w:val="2"/>
            <w:vAlign w:val="center"/>
          </w:tcPr>
          <w:p>
            <w:pPr>
              <w:spacing w:before="20" w:after="20"/>
              <w:jc w:val="center"/>
              <w:rPr>
                <w:noProof/>
                <w:sz w:val="14"/>
              </w:rPr>
            </w:pPr>
            <w:r>
              <w:rPr>
                <w:noProof/>
                <w:sz w:val="14"/>
              </w:rPr>
              <w:t>(1a)</w:t>
            </w:r>
          </w:p>
        </w:tc>
        <w:tc>
          <w:tcPr>
            <w:tcW w:w="868" w:type="dxa"/>
          </w:tcPr>
          <w:p>
            <w:pPr>
              <w:rPr>
                <w:noProof/>
              </w:rPr>
            </w:pPr>
            <w:r>
              <w:rPr>
                <w:noProof/>
                <w:sz w:val="20"/>
              </w:rPr>
              <w:t>5,30</w:t>
            </w:r>
          </w:p>
        </w:tc>
        <w:tc>
          <w:tcPr>
            <w:tcW w:w="868" w:type="dxa"/>
          </w:tcPr>
          <w:p>
            <w:pPr>
              <w:rPr>
                <w:noProof/>
              </w:rPr>
            </w:pPr>
            <w:r>
              <w:rPr>
                <w:noProof/>
                <w:sz w:val="20"/>
              </w:rPr>
              <w:t>5,30</w:t>
            </w:r>
          </w:p>
        </w:tc>
        <w:tc>
          <w:tcPr>
            <w:tcW w:w="868" w:type="dxa"/>
          </w:tcPr>
          <w:p>
            <w:pPr>
              <w:rPr>
                <w:noProof/>
              </w:rPr>
            </w:pPr>
            <w:r>
              <w:rPr>
                <w:noProof/>
                <w:sz w:val="20"/>
              </w:rPr>
              <w:t>5,30</w:t>
            </w:r>
          </w:p>
        </w:tc>
        <w:tc>
          <w:tcPr>
            <w:tcW w:w="868" w:type="dxa"/>
          </w:tcPr>
          <w:p>
            <w:pPr>
              <w:rPr>
                <w:noProof/>
              </w:rPr>
            </w:pPr>
            <w:r>
              <w:rPr>
                <w:noProof/>
                <w:sz w:val="20"/>
              </w:rPr>
              <w:t>5,30</w:t>
            </w:r>
          </w:p>
        </w:tc>
        <w:tc>
          <w:tcPr>
            <w:tcW w:w="914" w:type="dxa"/>
          </w:tcPr>
          <w:p>
            <w:pPr>
              <w:rPr>
                <w:noProof/>
              </w:rPr>
            </w:pPr>
            <w:r>
              <w:rPr>
                <w:noProof/>
                <w:sz w:val="20"/>
              </w:rPr>
              <w:t>5,30</w:t>
            </w:r>
          </w:p>
        </w:tc>
        <w:tc>
          <w:tcPr>
            <w:tcW w:w="977" w:type="dxa"/>
          </w:tcPr>
          <w:p>
            <w:pPr>
              <w:rPr>
                <w:noProof/>
              </w:rPr>
            </w:pPr>
            <w:r>
              <w:rPr>
                <w:noProof/>
                <w:sz w:val="20"/>
              </w:rPr>
              <w:t>5,30</w:t>
            </w:r>
          </w:p>
        </w:tc>
        <w:tc>
          <w:tcPr>
            <w:tcW w:w="992" w:type="dxa"/>
            <w:vAlign w:val="center"/>
          </w:tcPr>
          <w:p>
            <w:pPr>
              <w:spacing w:before="20" w:after="20"/>
              <w:jc w:val="right"/>
              <w:rPr>
                <w:b/>
                <w:noProof/>
                <w:sz w:val="20"/>
              </w:rPr>
            </w:pPr>
            <w:r>
              <w:rPr>
                <w:b/>
                <w:noProof/>
                <w:sz w:val="20"/>
              </w:rPr>
              <w:t>31,8</w:t>
            </w:r>
          </w:p>
        </w:tc>
      </w:tr>
      <w:tr>
        <w:tc>
          <w:tcPr>
            <w:tcW w:w="3960" w:type="dxa"/>
            <w:vMerge/>
          </w:tcPr>
          <w:p>
            <w:pPr>
              <w:jc w:val="center"/>
              <w:rPr>
                <w:noProof/>
                <w:sz w:val="20"/>
              </w:rPr>
            </w:pPr>
          </w:p>
        </w:tc>
        <w:tc>
          <w:tcPr>
            <w:tcW w:w="1440" w:type="dxa"/>
            <w:vAlign w:val="center"/>
          </w:tcPr>
          <w:p>
            <w:pPr>
              <w:spacing w:before="20" w:after="20"/>
              <w:rPr>
                <w:noProof/>
                <w:sz w:val="18"/>
              </w:rPr>
            </w:pPr>
            <w:r>
              <w:rPr>
                <w:noProof/>
                <w:sz w:val="18"/>
              </w:rPr>
              <w:t>Плащания</w:t>
            </w:r>
          </w:p>
        </w:tc>
        <w:tc>
          <w:tcPr>
            <w:tcW w:w="654" w:type="dxa"/>
            <w:gridSpan w:val="2"/>
            <w:vAlign w:val="center"/>
          </w:tcPr>
          <w:p>
            <w:pPr>
              <w:spacing w:before="20" w:after="20"/>
              <w:jc w:val="center"/>
              <w:rPr>
                <w:noProof/>
                <w:sz w:val="14"/>
              </w:rPr>
            </w:pPr>
            <w:r>
              <w:rPr>
                <w:noProof/>
                <w:sz w:val="14"/>
              </w:rPr>
              <w:t>(2a)</w:t>
            </w:r>
          </w:p>
        </w:tc>
        <w:tc>
          <w:tcPr>
            <w:tcW w:w="868" w:type="dxa"/>
          </w:tcPr>
          <w:p>
            <w:pPr>
              <w:rPr>
                <w:noProof/>
              </w:rPr>
            </w:pPr>
            <w:r>
              <w:rPr>
                <w:noProof/>
                <w:sz w:val="20"/>
              </w:rPr>
              <w:t>5,30</w:t>
            </w:r>
          </w:p>
        </w:tc>
        <w:tc>
          <w:tcPr>
            <w:tcW w:w="868" w:type="dxa"/>
          </w:tcPr>
          <w:p>
            <w:pPr>
              <w:rPr>
                <w:noProof/>
              </w:rPr>
            </w:pPr>
            <w:r>
              <w:rPr>
                <w:noProof/>
                <w:sz w:val="20"/>
              </w:rPr>
              <w:t>5,30</w:t>
            </w:r>
          </w:p>
        </w:tc>
        <w:tc>
          <w:tcPr>
            <w:tcW w:w="868" w:type="dxa"/>
          </w:tcPr>
          <w:p>
            <w:pPr>
              <w:rPr>
                <w:noProof/>
              </w:rPr>
            </w:pPr>
            <w:r>
              <w:rPr>
                <w:noProof/>
                <w:sz w:val="20"/>
              </w:rPr>
              <w:t>5,30</w:t>
            </w:r>
          </w:p>
        </w:tc>
        <w:tc>
          <w:tcPr>
            <w:tcW w:w="868" w:type="dxa"/>
          </w:tcPr>
          <w:p>
            <w:pPr>
              <w:rPr>
                <w:noProof/>
              </w:rPr>
            </w:pPr>
            <w:r>
              <w:rPr>
                <w:noProof/>
                <w:sz w:val="20"/>
              </w:rPr>
              <w:t>5,30</w:t>
            </w:r>
          </w:p>
        </w:tc>
        <w:tc>
          <w:tcPr>
            <w:tcW w:w="914" w:type="dxa"/>
          </w:tcPr>
          <w:p>
            <w:pPr>
              <w:rPr>
                <w:noProof/>
              </w:rPr>
            </w:pPr>
            <w:r>
              <w:rPr>
                <w:noProof/>
                <w:sz w:val="20"/>
              </w:rPr>
              <w:t>5,30</w:t>
            </w:r>
          </w:p>
        </w:tc>
        <w:tc>
          <w:tcPr>
            <w:tcW w:w="977" w:type="dxa"/>
          </w:tcPr>
          <w:p>
            <w:pPr>
              <w:rPr>
                <w:noProof/>
              </w:rPr>
            </w:pPr>
            <w:r>
              <w:rPr>
                <w:noProof/>
                <w:sz w:val="20"/>
              </w:rPr>
              <w:t>5,30</w:t>
            </w:r>
          </w:p>
        </w:tc>
        <w:tc>
          <w:tcPr>
            <w:tcW w:w="992" w:type="dxa"/>
            <w:vAlign w:val="center"/>
          </w:tcPr>
          <w:p>
            <w:pPr>
              <w:spacing w:before="20" w:after="20"/>
              <w:jc w:val="right"/>
              <w:rPr>
                <w:b/>
                <w:noProof/>
                <w:sz w:val="20"/>
              </w:rPr>
            </w:pPr>
            <w:r>
              <w:rPr>
                <w:b/>
                <w:noProof/>
                <w:sz w:val="20"/>
              </w:rPr>
              <w:t>31,8</w:t>
            </w:r>
          </w:p>
        </w:tc>
      </w:tr>
      <w:tr>
        <w:tc>
          <w:tcPr>
            <w:tcW w:w="3960" w:type="dxa"/>
            <w:vMerge w:val="restart"/>
            <w:vAlign w:val="center"/>
          </w:tcPr>
          <w:p>
            <w:pPr>
              <w:rPr>
                <w:noProof/>
              </w:rPr>
            </w:pPr>
            <w:r>
              <w:rPr>
                <w:noProof/>
                <w:sz w:val="20"/>
              </w:rPr>
              <w:t xml:space="preserve">Бюджетен ред </w:t>
            </w:r>
          </w:p>
        </w:tc>
        <w:tc>
          <w:tcPr>
            <w:tcW w:w="1440" w:type="dxa"/>
            <w:vAlign w:val="center"/>
          </w:tcPr>
          <w:p>
            <w:pPr>
              <w:spacing w:before="20" w:after="20"/>
              <w:rPr>
                <w:noProof/>
                <w:sz w:val="18"/>
              </w:rPr>
            </w:pPr>
            <w:r>
              <w:rPr>
                <w:noProof/>
                <w:sz w:val="18"/>
              </w:rPr>
              <w:t>Поети задължения</w:t>
            </w:r>
          </w:p>
        </w:tc>
        <w:tc>
          <w:tcPr>
            <w:tcW w:w="654" w:type="dxa"/>
            <w:gridSpan w:val="2"/>
            <w:vAlign w:val="center"/>
          </w:tcPr>
          <w:p>
            <w:pPr>
              <w:spacing w:before="20" w:after="20"/>
              <w:jc w:val="center"/>
              <w:rPr>
                <w:noProof/>
                <w:sz w:val="14"/>
              </w:rPr>
            </w:pPr>
            <w:r>
              <w:rPr>
                <w:noProof/>
                <w:sz w:val="14"/>
              </w:rPr>
              <w:t>(1b)</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914" w:type="dxa"/>
            <w:vAlign w:val="center"/>
          </w:tcPr>
          <w:p>
            <w:pPr>
              <w:spacing w:before="20" w:after="20"/>
              <w:jc w:val="right"/>
              <w:rPr>
                <w:noProof/>
                <w:sz w:val="20"/>
              </w:rPr>
            </w:pPr>
          </w:p>
        </w:tc>
        <w:tc>
          <w:tcPr>
            <w:tcW w:w="977" w:type="dxa"/>
          </w:tcPr>
          <w:p>
            <w:pPr>
              <w:spacing w:before="20" w:after="20"/>
              <w:jc w:val="right"/>
              <w:rPr>
                <w:b/>
                <w:noProof/>
                <w:sz w:val="20"/>
              </w:rPr>
            </w:pPr>
          </w:p>
        </w:tc>
        <w:tc>
          <w:tcPr>
            <w:tcW w:w="992" w:type="dxa"/>
            <w:vAlign w:val="center"/>
          </w:tcPr>
          <w:p>
            <w:pPr>
              <w:spacing w:before="20" w:after="20"/>
              <w:jc w:val="right"/>
              <w:rPr>
                <w:b/>
                <w:noProof/>
                <w:sz w:val="20"/>
              </w:rPr>
            </w:pPr>
          </w:p>
        </w:tc>
      </w:tr>
      <w:tr>
        <w:tc>
          <w:tcPr>
            <w:tcW w:w="3960" w:type="dxa"/>
            <w:vMerge/>
          </w:tcPr>
          <w:p>
            <w:pPr>
              <w:jc w:val="center"/>
              <w:rPr>
                <w:noProof/>
                <w:sz w:val="20"/>
              </w:rPr>
            </w:pPr>
          </w:p>
        </w:tc>
        <w:tc>
          <w:tcPr>
            <w:tcW w:w="1440" w:type="dxa"/>
            <w:vAlign w:val="center"/>
          </w:tcPr>
          <w:p>
            <w:pPr>
              <w:spacing w:before="20" w:after="20"/>
              <w:rPr>
                <w:noProof/>
                <w:sz w:val="18"/>
              </w:rPr>
            </w:pPr>
            <w:r>
              <w:rPr>
                <w:noProof/>
                <w:sz w:val="18"/>
              </w:rPr>
              <w:t>Плащания</w:t>
            </w:r>
          </w:p>
        </w:tc>
        <w:tc>
          <w:tcPr>
            <w:tcW w:w="654" w:type="dxa"/>
            <w:gridSpan w:val="2"/>
            <w:vAlign w:val="center"/>
          </w:tcPr>
          <w:p>
            <w:pPr>
              <w:spacing w:before="20" w:after="20"/>
              <w:jc w:val="center"/>
              <w:rPr>
                <w:noProof/>
                <w:sz w:val="14"/>
              </w:rPr>
            </w:pPr>
            <w:r>
              <w:rPr>
                <w:noProof/>
                <w:sz w:val="14"/>
              </w:rPr>
              <w:t>(2b)</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914" w:type="dxa"/>
            <w:vAlign w:val="center"/>
          </w:tcPr>
          <w:p>
            <w:pPr>
              <w:spacing w:before="20" w:after="20"/>
              <w:jc w:val="right"/>
              <w:rPr>
                <w:noProof/>
                <w:sz w:val="20"/>
              </w:rPr>
            </w:pPr>
          </w:p>
        </w:tc>
        <w:tc>
          <w:tcPr>
            <w:tcW w:w="977" w:type="dxa"/>
          </w:tcPr>
          <w:p>
            <w:pPr>
              <w:spacing w:before="20" w:after="20"/>
              <w:jc w:val="right"/>
              <w:rPr>
                <w:b/>
                <w:noProof/>
                <w:sz w:val="20"/>
              </w:rPr>
            </w:pPr>
          </w:p>
        </w:tc>
        <w:tc>
          <w:tcPr>
            <w:tcW w:w="992" w:type="dxa"/>
            <w:vAlign w:val="center"/>
          </w:tcPr>
          <w:p>
            <w:pPr>
              <w:spacing w:before="20" w:after="20"/>
              <w:jc w:val="right"/>
              <w:rPr>
                <w:b/>
                <w:noProof/>
                <w:sz w:val="20"/>
              </w:rPr>
            </w:pPr>
          </w:p>
        </w:tc>
      </w:tr>
      <w:tr>
        <w:trPr>
          <w:trHeight w:val="231"/>
        </w:trPr>
        <w:tc>
          <w:tcPr>
            <w:tcW w:w="6054" w:type="dxa"/>
            <w:gridSpan w:val="4"/>
            <w:vAlign w:val="center"/>
          </w:tcPr>
          <w:p>
            <w:pPr>
              <w:spacing w:before="20" w:after="20"/>
              <w:rPr>
                <w:noProof/>
              </w:rPr>
            </w:pPr>
            <w:r>
              <w:rPr>
                <w:noProof/>
                <w:sz w:val="21"/>
              </w:rPr>
              <w:t>Бюджетни кредити за административни разходи, финансирани от пакета за определени програми</w:t>
            </w:r>
            <w:r>
              <w:rPr>
                <w:rStyle w:val="FootnoteReference"/>
                <w:noProof/>
                <w:sz w:val="21"/>
              </w:rPr>
              <w:footnoteReference w:id="13"/>
            </w:r>
            <w:r>
              <w:rPr>
                <w:noProof/>
                <w:sz w:val="21"/>
              </w:rPr>
              <w:t xml:space="preserve"> </w:t>
            </w:r>
          </w:p>
          <w:p>
            <w:pPr>
              <w:spacing w:before="0" w:after="0"/>
              <w:rPr>
                <w:noProof/>
              </w:rPr>
            </w:pPr>
          </w:p>
        </w:tc>
        <w:tc>
          <w:tcPr>
            <w:tcW w:w="868" w:type="dxa"/>
            <w:vAlign w:val="center"/>
          </w:tcPr>
          <w:p>
            <w:pPr>
              <w:rPr>
                <w:b/>
                <w:noProof/>
                <w:sz w:val="20"/>
              </w:rPr>
            </w:pPr>
          </w:p>
        </w:tc>
        <w:tc>
          <w:tcPr>
            <w:tcW w:w="868" w:type="dxa"/>
            <w:vAlign w:val="center"/>
          </w:tcPr>
          <w:p>
            <w:pPr>
              <w:rPr>
                <w:b/>
                <w:noProof/>
                <w:sz w:val="20"/>
              </w:rPr>
            </w:pPr>
          </w:p>
        </w:tc>
        <w:tc>
          <w:tcPr>
            <w:tcW w:w="868" w:type="dxa"/>
            <w:vAlign w:val="center"/>
          </w:tcPr>
          <w:p>
            <w:pPr>
              <w:rPr>
                <w:b/>
                <w:noProof/>
                <w:sz w:val="20"/>
              </w:rPr>
            </w:pPr>
          </w:p>
        </w:tc>
        <w:tc>
          <w:tcPr>
            <w:tcW w:w="868" w:type="dxa"/>
            <w:vAlign w:val="center"/>
          </w:tcPr>
          <w:p>
            <w:pPr>
              <w:rPr>
                <w:b/>
                <w:noProof/>
                <w:sz w:val="20"/>
              </w:rPr>
            </w:pPr>
          </w:p>
        </w:tc>
        <w:tc>
          <w:tcPr>
            <w:tcW w:w="914" w:type="dxa"/>
            <w:vAlign w:val="center"/>
          </w:tcPr>
          <w:p>
            <w:pPr>
              <w:rPr>
                <w:b/>
                <w:noProof/>
                <w:sz w:val="20"/>
              </w:rPr>
            </w:pPr>
          </w:p>
        </w:tc>
        <w:tc>
          <w:tcPr>
            <w:tcW w:w="977" w:type="dxa"/>
          </w:tcPr>
          <w:p>
            <w:pPr>
              <w:rPr>
                <w:b/>
                <w:noProof/>
                <w:sz w:val="20"/>
              </w:rPr>
            </w:pPr>
          </w:p>
        </w:tc>
        <w:tc>
          <w:tcPr>
            <w:tcW w:w="992" w:type="dxa"/>
            <w:vAlign w:val="center"/>
          </w:tcPr>
          <w:p>
            <w:pPr>
              <w:rPr>
                <w:b/>
                <w:noProof/>
                <w:sz w:val="20"/>
              </w:rPr>
            </w:pPr>
          </w:p>
        </w:tc>
      </w:tr>
      <w:tr>
        <w:trPr>
          <w:trHeight w:val="319"/>
        </w:trPr>
        <w:tc>
          <w:tcPr>
            <w:tcW w:w="3960" w:type="dxa"/>
            <w:vAlign w:val="center"/>
          </w:tcPr>
          <w:p>
            <w:pPr>
              <w:spacing w:before="60" w:after="60"/>
              <w:rPr>
                <w:noProof/>
              </w:rPr>
            </w:pPr>
            <w:r>
              <w:rPr>
                <w:noProof/>
                <w:sz w:val="20"/>
              </w:rPr>
              <w:t>Бюджетен ред</w:t>
            </w:r>
          </w:p>
        </w:tc>
        <w:tc>
          <w:tcPr>
            <w:tcW w:w="1440" w:type="dxa"/>
            <w:vAlign w:val="center"/>
          </w:tcPr>
          <w:p>
            <w:pPr>
              <w:spacing w:before="40" w:after="40"/>
              <w:jc w:val="right"/>
              <w:rPr>
                <w:noProof/>
                <w:sz w:val="18"/>
              </w:rPr>
            </w:pPr>
          </w:p>
        </w:tc>
        <w:tc>
          <w:tcPr>
            <w:tcW w:w="654" w:type="dxa"/>
            <w:gridSpan w:val="2"/>
            <w:vAlign w:val="center"/>
          </w:tcPr>
          <w:p>
            <w:pPr>
              <w:spacing w:before="40" w:after="40"/>
              <w:jc w:val="center"/>
              <w:rPr>
                <w:noProof/>
                <w:sz w:val="14"/>
              </w:rPr>
            </w:pPr>
            <w:r>
              <w:rPr>
                <w:noProof/>
                <w:sz w:val="14"/>
              </w:rPr>
              <w:t>(3)</w:t>
            </w:r>
          </w:p>
        </w:tc>
        <w:tc>
          <w:tcPr>
            <w:tcW w:w="868" w:type="dxa"/>
            <w:vAlign w:val="center"/>
          </w:tcPr>
          <w:p>
            <w:pPr>
              <w:spacing w:before="40" w:after="40"/>
              <w:jc w:val="right"/>
              <w:rPr>
                <w:b/>
                <w:noProof/>
                <w:sz w:val="20"/>
              </w:rPr>
            </w:pPr>
          </w:p>
        </w:tc>
        <w:tc>
          <w:tcPr>
            <w:tcW w:w="868" w:type="dxa"/>
            <w:vAlign w:val="center"/>
          </w:tcPr>
          <w:p>
            <w:pPr>
              <w:spacing w:before="40" w:after="40"/>
              <w:jc w:val="right"/>
              <w:rPr>
                <w:b/>
                <w:noProof/>
                <w:sz w:val="20"/>
              </w:rPr>
            </w:pPr>
          </w:p>
        </w:tc>
        <w:tc>
          <w:tcPr>
            <w:tcW w:w="868" w:type="dxa"/>
            <w:vAlign w:val="center"/>
          </w:tcPr>
          <w:p>
            <w:pPr>
              <w:spacing w:before="40" w:after="40"/>
              <w:jc w:val="right"/>
              <w:rPr>
                <w:b/>
                <w:noProof/>
                <w:sz w:val="20"/>
              </w:rPr>
            </w:pPr>
          </w:p>
        </w:tc>
        <w:tc>
          <w:tcPr>
            <w:tcW w:w="868" w:type="dxa"/>
            <w:vAlign w:val="center"/>
          </w:tcPr>
          <w:p>
            <w:pPr>
              <w:spacing w:before="40" w:after="40"/>
              <w:jc w:val="right"/>
              <w:rPr>
                <w:b/>
                <w:noProof/>
                <w:sz w:val="20"/>
              </w:rPr>
            </w:pPr>
          </w:p>
        </w:tc>
        <w:tc>
          <w:tcPr>
            <w:tcW w:w="914" w:type="dxa"/>
            <w:vAlign w:val="center"/>
          </w:tcPr>
          <w:p>
            <w:pPr>
              <w:spacing w:before="40" w:after="40"/>
              <w:jc w:val="right"/>
              <w:rPr>
                <w:b/>
                <w:noProof/>
                <w:sz w:val="20"/>
              </w:rPr>
            </w:pPr>
          </w:p>
        </w:tc>
        <w:tc>
          <w:tcPr>
            <w:tcW w:w="977" w:type="dxa"/>
          </w:tcPr>
          <w:p>
            <w:pPr>
              <w:spacing w:before="40" w:after="40"/>
              <w:jc w:val="right"/>
              <w:rPr>
                <w:b/>
                <w:noProof/>
                <w:sz w:val="20"/>
              </w:rPr>
            </w:pPr>
          </w:p>
        </w:tc>
        <w:tc>
          <w:tcPr>
            <w:tcW w:w="992" w:type="dxa"/>
            <w:vAlign w:val="center"/>
          </w:tcPr>
          <w:p>
            <w:pPr>
              <w:spacing w:before="40" w:after="40"/>
              <w:jc w:val="right"/>
              <w:rPr>
                <w:b/>
                <w:noProof/>
                <w:sz w:val="20"/>
              </w:rPr>
            </w:pPr>
          </w:p>
        </w:tc>
      </w:tr>
      <w:tr>
        <w:tc>
          <w:tcPr>
            <w:tcW w:w="3960" w:type="dxa"/>
            <w:vMerge w:val="restart"/>
            <w:vAlign w:val="center"/>
          </w:tcPr>
          <w:p>
            <w:pPr>
              <w:jc w:val="center"/>
              <w:rPr>
                <w:b/>
                <w:noProof/>
              </w:rPr>
            </w:pPr>
            <w:r>
              <w:rPr>
                <w:b/>
                <w:noProof/>
                <w:sz w:val="22"/>
              </w:rPr>
              <w:t>ОБЩО бюджетни кредити</w:t>
            </w:r>
            <w:r>
              <w:rPr>
                <w:noProof/>
                <w:sz w:val="22"/>
              </w:rPr>
              <w:br/>
            </w:r>
            <w:r>
              <w:rPr>
                <w:b/>
                <w:noProof/>
                <w:sz w:val="22"/>
              </w:rPr>
              <w:t>за ГД</w:t>
            </w:r>
            <w:r>
              <w:rPr>
                <w:noProof/>
                <w:sz w:val="22"/>
              </w:rPr>
              <w:t xml:space="preserve"> „Морско дело и рибарство“</w:t>
            </w:r>
          </w:p>
        </w:tc>
        <w:tc>
          <w:tcPr>
            <w:tcW w:w="1440" w:type="dxa"/>
            <w:vAlign w:val="center"/>
          </w:tcPr>
          <w:p>
            <w:pPr>
              <w:rPr>
                <w:noProof/>
                <w:sz w:val="18"/>
              </w:rPr>
            </w:pPr>
            <w:r>
              <w:rPr>
                <w:noProof/>
                <w:sz w:val="18"/>
              </w:rPr>
              <w:t>Поети задължения</w:t>
            </w:r>
          </w:p>
        </w:tc>
        <w:tc>
          <w:tcPr>
            <w:tcW w:w="654" w:type="dxa"/>
            <w:gridSpan w:val="2"/>
            <w:vAlign w:val="center"/>
          </w:tcPr>
          <w:p>
            <w:pPr>
              <w:jc w:val="center"/>
              <w:rPr>
                <w:noProof/>
                <w:sz w:val="14"/>
              </w:rPr>
            </w:pPr>
            <w:r>
              <w:rPr>
                <w:noProof/>
                <w:sz w:val="14"/>
              </w:rPr>
              <w:t>=1a+1b+3</w:t>
            </w:r>
          </w:p>
        </w:tc>
        <w:tc>
          <w:tcPr>
            <w:tcW w:w="868" w:type="dxa"/>
          </w:tcPr>
          <w:p>
            <w:pPr>
              <w:rPr>
                <w:noProof/>
              </w:rPr>
            </w:pPr>
            <w:r>
              <w:rPr>
                <w:noProof/>
                <w:sz w:val="20"/>
              </w:rPr>
              <w:t>5,30</w:t>
            </w:r>
          </w:p>
        </w:tc>
        <w:tc>
          <w:tcPr>
            <w:tcW w:w="868" w:type="dxa"/>
          </w:tcPr>
          <w:p>
            <w:pPr>
              <w:rPr>
                <w:noProof/>
              </w:rPr>
            </w:pPr>
            <w:r>
              <w:rPr>
                <w:noProof/>
                <w:sz w:val="20"/>
              </w:rPr>
              <w:t>5,30</w:t>
            </w:r>
          </w:p>
        </w:tc>
        <w:tc>
          <w:tcPr>
            <w:tcW w:w="868" w:type="dxa"/>
          </w:tcPr>
          <w:p>
            <w:pPr>
              <w:rPr>
                <w:noProof/>
              </w:rPr>
            </w:pPr>
            <w:r>
              <w:rPr>
                <w:noProof/>
                <w:sz w:val="20"/>
              </w:rPr>
              <w:t>5,30</w:t>
            </w:r>
          </w:p>
        </w:tc>
        <w:tc>
          <w:tcPr>
            <w:tcW w:w="868" w:type="dxa"/>
          </w:tcPr>
          <w:p>
            <w:pPr>
              <w:rPr>
                <w:noProof/>
              </w:rPr>
            </w:pPr>
            <w:r>
              <w:rPr>
                <w:noProof/>
                <w:sz w:val="20"/>
              </w:rPr>
              <w:t>5,30</w:t>
            </w:r>
          </w:p>
        </w:tc>
        <w:tc>
          <w:tcPr>
            <w:tcW w:w="914" w:type="dxa"/>
          </w:tcPr>
          <w:p>
            <w:pPr>
              <w:rPr>
                <w:noProof/>
              </w:rPr>
            </w:pPr>
            <w:r>
              <w:rPr>
                <w:noProof/>
                <w:sz w:val="20"/>
              </w:rPr>
              <w:t>5,30</w:t>
            </w:r>
          </w:p>
        </w:tc>
        <w:tc>
          <w:tcPr>
            <w:tcW w:w="977" w:type="dxa"/>
          </w:tcPr>
          <w:p>
            <w:pPr>
              <w:rPr>
                <w:noProof/>
              </w:rPr>
            </w:pPr>
            <w:r>
              <w:rPr>
                <w:noProof/>
                <w:sz w:val="20"/>
              </w:rPr>
              <w:t>5,30</w:t>
            </w:r>
          </w:p>
        </w:tc>
        <w:tc>
          <w:tcPr>
            <w:tcW w:w="992" w:type="dxa"/>
            <w:vAlign w:val="center"/>
          </w:tcPr>
          <w:p>
            <w:pPr>
              <w:spacing w:before="20" w:after="20"/>
              <w:jc w:val="right"/>
              <w:rPr>
                <w:b/>
                <w:noProof/>
                <w:sz w:val="20"/>
              </w:rPr>
            </w:pPr>
            <w:r>
              <w:rPr>
                <w:b/>
                <w:noProof/>
                <w:sz w:val="20"/>
              </w:rPr>
              <w:t>31,8</w:t>
            </w:r>
          </w:p>
        </w:tc>
      </w:tr>
      <w:tr>
        <w:tc>
          <w:tcPr>
            <w:tcW w:w="3960" w:type="dxa"/>
            <w:vMerge/>
          </w:tcPr>
          <w:p>
            <w:pPr>
              <w:rPr>
                <w:noProof/>
                <w:sz w:val="20"/>
              </w:rPr>
            </w:pPr>
          </w:p>
        </w:tc>
        <w:tc>
          <w:tcPr>
            <w:tcW w:w="1440" w:type="dxa"/>
            <w:vAlign w:val="center"/>
          </w:tcPr>
          <w:p>
            <w:pPr>
              <w:rPr>
                <w:noProof/>
                <w:sz w:val="18"/>
              </w:rPr>
            </w:pPr>
            <w:r>
              <w:rPr>
                <w:noProof/>
                <w:sz w:val="18"/>
              </w:rPr>
              <w:t>Плащания</w:t>
            </w:r>
          </w:p>
        </w:tc>
        <w:tc>
          <w:tcPr>
            <w:tcW w:w="654" w:type="dxa"/>
            <w:gridSpan w:val="2"/>
            <w:vAlign w:val="center"/>
          </w:tcPr>
          <w:p>
            <w:pPr>
              <w:jc w:val="center"/>
              <w:rPr>
                <w:noProof/>
                <w:sz w:val="14"/>
              </w:rPr>
            </w:pPr>
            <w:r>
              <w:rPr>
                <w:noProof/>
                <w:sz w:val="14"/>
              </w:rPr>
              <w:t>=2a+2b</w:t>
            </w:r>
          </w:p>
          <w:p>
            <w:pPr>
              <w:jc w:val="center"/>
              <w:rPr>
                <w:noProof/>
                <w:sz w:val="14"/>
              </w:rPr>
            </w:pPr>
            <w:r>
              <w:rPr>
                <w:noProof/>
                <w:sz w:val="14"/>
              </w:rPr>
              <w:t>+3</w:t>
            </w:r>
          </w:p>
        </w:tc>
        <w:tc>
          <w:tcPr>
            <w:tcW w:w="868" w:type="dxa"/>
          </w:tcPr>
          <w:p>
            <w:pPr>
              <w:rPr>
                <w:noProof/>
              </w:rPr>
            </w:pPr>
            <w:r>
              <w:rPr>
                <w:noProof/>
                <w:sz w:val="20"/>
              </w:rPr>
              <w:t>5,30</w:t>
            </w:r>
          </w:p>
        </w:tc>
        <w:tc>
          <w:tcPr>
            <w:tcW w:w="868" w:type="dxa"/>
          </w:tcPr>
          <w:p>
            <w:pPr>
              <w:rPr>
                <w:noProof/>
              </w:rPr>
            </w:pPr>
            <w:r>
              <w:rPr>
                <w:noProof/>
                <w:sz w:val="20"/>
              </w:rPr>
              <w:t>5,30</w:t>
            </w:r>
          </w:p>
        </w:tc>
        <w:tc>
          <w:tcPr>
            <w:tcW w:w="868" w:type="dxa"/>
          </w:tcPr>
          <w:p>
            <w:pPr>
              <w:rPr>
                <w:noProof/>
              </w:rPr>
            </w:pPr>
            <w:r>
              <w:rPr>
                <w:noProof/>
                <w:sz w:val="20"/>
              </w:rPr>
              <w:t>5,30</w:t>
            </w:r>
          </w:p>
        </w:tc>
        <w:tc>
          <w:tcPr>
            <w:tcW w:w="868" w:type="dxa"/>
          </w:tcPr>
          <w:p>
            <w:pPr>
              <w:rPr>
                <w:noProof/>
              </w:rPr>
            </w:pPr>
            <w:r>
              <w:rPr>
                <w:noProof/>
                <w:sz w:val="20"/>
              </w:rPr>
              <w:t>5,30</w:t>
            </w:r>
          </w:p>
        </w:tc>
        <w:tc>
          <w:tcPr>
            <w:tcW w:w="914" w:type="dxa"/>
          </w:tcPr>
          <w:p>
            <w:pPr>
              <w:rPr>
                <w:noProof/>
              </w:rPr>
            </w:pPr>
            <w:r>
              <w:rPr>
                <w:noProof/>
                <w:sz w:val="20"/>
              </w:rPr>
              <w:t>5,30</w:t>
            </w:r>
          </w:p>
        </w:tc>
        <w:tc>
          <w:tcPr>
            <w:tcW w:w="977" w:type="dxa"/>
          </w:tcPr>
          <w:p>
            <w:pPr>
              <w:rPr>
                <w:noProof/>
              </w:rPr>
            </w:pPr>
            <w:r>
              <w:rPr>
                <w:noProof/>
                <w:sz w:val="20"/>
              </w:rPr>
              <w:t>5,30</w:t>
            </w:r>
          </w:p>
        </w:tc>
        <w:tc>
          <w:tcPr>
            <w:tcW w:w="992" w:type="dxa"/>
            <w:vAlign w:val="center"/>
          </w:tcPr>
          <w:p>
            <w:pPr>
              <w:spacing w:before="20" w:after="20"/>
              <w:jc w:val="right"/>
              <w:rPr>
                <w:b/>
                <w:noProof/>
                <w:sz w:val="20"/>
              </w:rPr>
            </w:pPr>
            <w:r>
              <w:rPr>
                <w:b/>
                <w:noProof/>
                <w:sz w:val="20"/>
              </w:rPr>
              <w:t>31,8</w:t>
            </w:r>
          </w:p>
          <w:p>
            <w:pPr>
              <w:spacing w:before="20" w:after="20"/>
              <w:jc w:val="center"/>
              <w:rPr>
                <w:b/>
                <w:noProof/>
                <w:sz w:val="20"/>
              </w:rPr>
            </w:pPr>
          </w:p>
        </w:tc>
      </w:tr>
    </w:tbl>
    <w:p>
      <w:pPr>
        <w:rPr>
          <w:noProof/>
        </w:rPr>
      </w:pPr>
      <w:r>
        <w:rPr>
          <w:noProof/>
        </w:rPr>
        <w:br/>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440"/>
        <w:gridCol w:w="654"/>
        <w:gridCol w:w="868"/>
        <w:gridCol w:w="868"/>
        <w:gridCol w:w="868"/>
        <w:gridCol w:w="868"/>
        <w:gridCol w:w="868"/>
        <w:gridCol w:w="868"/>
        <w:gridCol w:w="868"/>
      </w:tblGrid>
      <w:tr>
        <w:trPr>
          <w:trHeight w:val="277"/>
        </w:trPr>
        <w:tc>
          <w:tcPr>
            <w:tcW w:w="3960" w:type="dxa"/>
            <w:vMerge w:val="restart"/>
            <w:vAlign w:val="center"/>
          </w:tcPr>
          <w:p>
            <w:pPr>
              <w:spacing w:before="20" w:after="20"/>
              <w:rPr>
                <w:noProof/>
              </w:rPr>
            </w:pPr>
            <w:r>
              <w:rPr>
                <w:noProof/>
              </w:rPr>
              <w:br w:type="page"/>
            </w:r>
            <w:r>
              <w:rPr>
                <w:noProof/>
                <w:sz w:val="21"/>
              </w:rPr>
              <w:sym w:font="Wingdings" w:char="F09F"/>
            </w:r>
            <w:r>
              <w:rPr>
                <w:noProof/>
              </w:rPr>
              <w:t xml:space="preserve"> </w:t>
            </w:r>
            <w:r>
              <w:rPr>
                <w:noProof/>
                <w:sz w:val="21"/>
              </w:rPr>
              <w:t xml:space="preserve">ОБЩО бюджетни кредити за оперативни разходи </w:t>
            </w:r>
          </w:p>
        </w:tc>
        <w:tc>
          <w:tcPr>
            <w:tcW w:w="1440" w:type="dxa"/>
            <w:vAlign w:val="center"/>
          </w:tcPr>
          <w:p>
            <w:pPr>
              <w:spacing w:beforeLines="20" w:before="48" w:afterLines="20" w:after="48"/>
              <w:rPr>
                <w:noProof/>
                <w:sz w:val="18"/>
              </w:rPr>
            </w:pPr>
            <w:r>
              <w:rPr>
                <w:noProof/>
                <w:sz w:val="18"/>
              </w:rPr>
              <w:t>Поети задължения</w:t>
            </w:r>
          </w:p>
        </w:tc>
        <w:tc>
          <w:tcPr>
            <w:tcW w:w="654" w:type="dxa"/>
            <w:vAlign w:val="center"/>
          </w:tcPr>
          <w:p>
            <w:pPr>
              <w:spacing w:beforeLines="20" w:before="48" w:afterLines="20" w:after="48"/>
              <w:jc w:val="center"/>
              <w:rPr>
                <w:noProof/>
                <w:sz w:val="14"/>
              </w:rPr>
            </w:pPr>
            <w:r>
              <w:rPr>
                <w:noProof/>
                <w:sz w:val="14"/>
              </w:rPr>
              <w:t>(4)</w:t>
            </w:r>
          </w:p>
        </w:tc>
        <w:tc>
          <w:tcPr>
            <w:tcW w:w="868" w:type="dxa"/>
          </w:tcPr>
          <w:p>
            <w:pPr>
              <w:rPr>
                <w:noProof/>
              </w:rPr>
            </w:pPr>
            <w:r>
              <w:rPr>
                <w:noProof/>
                <w:sz w:val="20"/>
              </w:rPr>
              <w:t>5,30</w:t>
            </w:r>
          </w:p>
        </w:tc>
        <w:tc>
          <w:tcPr>
            <w:tcW w:w="868" w:type="dxa"/>
          </w:tcPr>
          <w:p>
            <w:pPr>
              <w:rPr>
                <w:noProof/>
              </w:rPr>
            </w:pPr>
            <w:r>
              <w:rPr>
                <w:noProof/>
                <w:sz w:val="20"/>
              </w:rPr>
              <w:t>5,30</w:t>
            </w:r>
          </w:p>
        </w:tc>
        <w:tc>
          <w:tcPr>
            <w:tcW w:w="868" w:type="dxa"/>
          </w:tcPr>
          <w:p>
            <w:pPr>
              <w:rPr>
                <w:noProof/>
              </w:rPr>
            </w:pPr>
            <w:r>
              <w:rPr>
                <w:noProof/>
                <w:sz w:val="20"/>
              </w:rPr>
              <w:t>5,30</w:t>
            </w:r>
          </w:p>
        </w:tc>
        <w:tc>
          <w:tcPr>
            <w:tcW w:w="868" w:type="dxa"/>
          </w:tcPr>
          <w:p>
            <w:pPr>
              <w:rPr>
                <w:noProof/>
              </w:rPr>
            </w:pPr>
            <w:r>
              <w:rPr>
                <w:noProof/>
                <w:sz w:val="20"/>
              </w:rPr>
              <w:t>5,30</w:t>
            </w:r>
          </w:p>
        </w:tc>
        <w:tc>
          <w:tcPr>
            <w:tcW w:w="868" w:type="dxa"/>
          </w:tcPr>
          <w:p>
            <w:pPr>
              <w:rPr>
                <w:noProof/>
              </w:rPr>
            </w:pPr>
            <w:r>
              <w:rPr>
                <w:noProof/>
                <w:sz w:val="20"/>
              </w:rPr>
              <w:t>5,30</w:t>
            </w:r>
          </w:p>
        </w:tc>
        <w:tc>
          <w:tcPr>
            <w:tcW w:w="868" w:type="dxa"/>
          </w:tcPr>
          <w:p>
            <w:pPr>
              <w:rPr>
                <w:noProof/>
              </w:rPr>
            </w:pPr>
            <w:r>
              <w:rPr>
                <w:noProof/>
                <w:sz w:val="20"/>
              </w:rPr>
              <w:t>5,30</w:t>
            </w:r>
          </w:p>
        </w:tc>
        <w:tc>
          <w:tcPr>
            <w:tcW w:w="868" w:type="dxa"/>
            <w:vAlign w:val="center"/>
          </w:tcPr>
          <w:p>
            <w:pPr>
              <w:spacing w:before="20" w:after="20"/>
              <w:jc w:val="right"/>
              <w:rPr>
                <w:b/>
                <w:noProof/>
                <w:sz w:val="20"/>
              </w:rPr>
            </w:pPr>
            <w:r>
              <w:rPr>
                <w:b/>
                <w:noProof/>
                <w:sz w:val="20"/>
              </w:rPr>
              <w:t>31,8</w:t>
            </w:r>
          </w:p>
        </w:tc>
      </w:tr>
      <w:tr>
        <w:tc>
          <w:tcPr>
            <w:tcW w:w="3960" w:type="dxa"/>
            <w:vMerge/>
          </w:tcPr>
          <w:p>
            <w:pPr>
              <w:jc w:val="center"/>
              <w:rPr>
                <w:noProof/>
                <w:sz w:val="20"/>
              </w:rPr>
            </w:pPr>
          </w:p>
        </w:tc>
        <w:tc>
          <w:tcPr>
            <w:tcW w:w="1440" w:type="dxa"/>
            <w:vAlign w:val="center"/>
          </w:tcPr>
          <w:p>
            <w:pPr>
              <w:spacing w:beforeLines="20" w:before="48" w:afterLines="20" w:after="48"/>
              <w:rPr>
                <w:noProof/>
                <w:sz w:val="18"/>
              </w:rPr>
            </w:pPr>
            <w:r>
              <w:rPr>
                <w:noProof/>
                <w:sz w:val="18"/>
              </w:rPr>
              <w:t>Плащания</w:t>
            </w:r>
          </w:p>
        </w:tc>
        <w:tc>
          <w:tcPr>
            <w:tcW w:w="654" w:type="dxa"/>
            <w:vAlign w:val="center"/>
          </w:tcPr>
          <w:p>
            <w:pPr>
              <w:spacing w:beforeLines="20" w:before="48" w:afterLines="20" w:after="48"/>
              <w:jc w:val="center"/>
              <w:rPr>
                <w:noProof/>
                <w:sz w:val="14"/>
              </w:rPr>
            </w:pPr>
            <w:r>
              <w:rPr>
                <w:noProof/>
                <w:sz w:val="14"/>
              </w:rPr>
              <w:t>(5)</w:t>
            </w:r>
          </w:p>
        </w:tc>
        <w:tc>
          <w:tcPr>
            <w:tcW w:w="868" w:type="dxa"/>
          </w:tcPr>
          <w:p>
            <w:pPr>
              <w:rPr>
                <w:noProof/>
              </w:rPr>
            </w:pPr>
            <w:r>
              <w:rPr>
                <w:noProof/>
                <w:sz w:val="20"/>
              </w:rPr>
              <w:t>5,30</w:t>
            </w:r>
          </w:p>
        </w:tc>
        <w:tc>
          <w:tcPr>
            <w:tcW w:w="868" w:type="dxa"/>
          </w:tcPr>
          <w:p>
            <w:pPr>
              <w:rPr>
                <w:noProof/>
              </w:rPr>
            </w:pPr>
            <w:r>
              <w:rPr>
                <w:noProof/>
                <w:sz w:val="20"/>
              </w:rPr>
              <w:t>5,30</w:t>
            </w:r>
          </w:p>
        </w:tc>
        <w:tc>
          <w:tcPr>
            <w:tcW w:w="868" w:type="dxa"/>
          </w:tcPr>
          <w:p>
            <w:pPr>
              <w:rPr>
                <w:noProof/>
              </w:rPr>
            </w:pPr>
            <w:r>
              <w:rPr>
                <w:noProof/>
                <w:sz w:val="20"/>
              </w:rPr>
              <w:t>5,30</w:t>
            </w:r>
          </w:p>
        </w:tc>
        <w:tc>
          <w:tcPr>
            <w:tcW w:w="868" w:type="dxa"/>
          </w:tcPr>
          <w:p>
            <w:pPr>
              <w:rPr>
                <w:noProof/>
              </w:rPr>
            </w:pPr>
            <w:r>
              <w:rPr>
                <w:noProof/>
                <w:sz w:val="20"/>
              </w:rPr>
              <w:t>5,30</w:t>
            </w:r>
          </w:p>
        </w:tc>
        <w:tc>
          <w:tcPr>
            <w:tcW w:w="868" w:type="dxa"/>
          </w:tcPr>
          <w:p>
            <w:pPr>
              <w:rPr>
                <w:noProof/>
              </w:rPr>
            </w:pPr>
            <w:r>
              <w:rPr>
                <w:noProof/>
                <w:sz w:val="20"/>
              </w:rPr>
              <w:t>5,30</w:t>
            </w:r>
          </w:p>
        </w:tc>
        <w:tc>
          <w:tcPr>
            <w:tcW w:w="868" w:type="dxa"/>
          </w:tcPr>
          <w:p>
            <w:pPr>
              <w:rPr>
                <w:noProof/>
              </w:rPr>
            </w:pPr>
            <w:r>
              <w:rPr>
                <w:noProof/>
                <w:sz w:val="20"/>
              </w:rPr>
              <w:t>5,30</w:t>
            </w:r>
          </w:p>
        </w:tc>
        <w:tc>
          <w:tcPr>
            <w:tcW w:w="868" w:type="dxa"/>
            <w:vAlign w:val="center"/>
          </w:tcPr>
          <w:p>
            <w:pPr>
              <w:spacing w:before="20" w:after="20"/>
              <w:jc w:val="right"/>
              <w:rPr>
                <w:b/>
                <w:noProof/>
                <w:sz w:val="20"/>
              </w:rPr>
            </w:pPr>
            <w:r>
              <w:rPr>
                <w:b/>
                <w:noProof/>
                <w:sz w:val="20"/>
              </w:rPr>
              <w:t>31,8</w:t>
            </w:r>
          </w:p>
        </w:tc>
      </w:tr>
      <w:tr>
        <w:trPr>
          <w:trHeight w:val="533"/>
        </w:trPr>
        <w:tc>
          <w:tcPr>
            <w:tcW w:w="5400" w:type="dxa"/>
            <w:gridSpan w:val="2"/>
            <w:vAlign w:val="center"/>
          </w:tcPr>
          <w:p>
            <w:pPr>
              <w:spacing w:beforeLines="20" w:before="48" w:afterLines="20" w:after="48"/>
              <w:rPr>
                <w:noProof/>
              </w:rPr>
            </w:pPr>
            <w:r>
              <w:rPr>
                <w:noProof/>
                <w:sz w:val="21"/>
              </w:rPr>
              <w:sym w:font="Wingdings" w:char="F09F"/>
            </w:r>
            <w:r>
              <w:rPr>
                <w:noProof/>
                <w:sz w:val="21"/>
              </w:rPr>
              <w:t>ОБЩО бюджетни кредити за административни разходи, финансирани от пакета за определени програми</w:t>
            </w:r>
          </w:p>
        </w:tc>
        <w:tc>
          <w:tcPr>
            <w:tcW w:w="654" w:type="dxa"/>
            <w:vAlign w:val="center"/>
          </w:tcPr>
          <w:p>
            <w:pPr>
              <w:spacing w:beforeLines="20" w:before="48" w:afterLines="20" w:after="48"/>
              <w:jc w:val="center"/>
              <w:rPr>
                <w:noProof/>
                <w:sz w:val="14"/>
              </w:rPr>
            </w:pPr>
            <w:r>
              <w:rPr>
                <w:noProof/>
                <w:sz w:val="14"/>
              </w:rPr>
              <w:t>(6)</w:t>
            </w: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tcPr>
          <w:p>
            <w:pPr>
              <w:spacing w:before="20" w:after="20"/>
              <w:jc w:val="right"/>
              <w:rPr>
                <w:b/>
                <w:noProof/>
                <w:sz w:val="20"/>
              </w:rPr>
            </w:pPr>
          </w:p>
        </w:tc>
        <w:tc>
          <w:tcPr>
            <w:tcW w:w="868" w:type="dxa"/>
            <w:vAlign w:val="center"/>
          </w:tcPr>
          <w:p>
            <w:pPr>
              <w:spacing w:before="20" w:after="20"/>
              <w:jc w:val="right"/>
              <w:rPr>
                <w:b/>
                <w:noProof/>
                <w:sz w:val="20"/>
              </w:rPr>
            </w:pPr>
          </w:p>
        </w:tc>
      </w:tr>
      <w:tr>
        <w:tc>
          <w:tcPr>
            <w:tcW w:w="3960" w:type="dxa"/>
            <w:vMerge w:val="restart"/>
            <w:shd w:val="thinDiagStripe" w:color="C0C0C0" w:fill="auto"/>
            <w:vAlign w:val="center"/>
          </w:tcPr>
          <w:p>
            <w:pPr>
              <w:jc w:val="center"/>
              <w:rPr>
                <w:b/>
                <w:noProof/>
              </w:rPr>
            </w:pPr>
            <w:r>
              <w:rPr>
                <w:b/>
                <w:noProof/>
                <w:sz w:val="22"/>
              </w:rPr>
              <w:t>ОБЩО бюджетни кредити</w:t>
            </w:r>
            <w:r>
              <w:rPr>
                <w:noProof/>
                <w:sz w:val="22"/>
              </w:rPr>
              <w:br/>
            </w:r>
            <w:r>
              <w:rPr>
                <w:b/>
                <w:noProof/>
                <w:sz w:val="22"/>
              </w:rPr>
              <w:t>за ФУНКЦИЯ 2</w:t>
            </w:r>
            <w:r>
              <w:rPr>
                <w:noProof/>
                <w:sz w:val="22"/>
              </w:rPr>
              <w:br/>
              <w:t>от многогодишната финансова рамка</w:t>
            </w:r>
          </w:p>
        </w:tc>
        <w:tc>
          <w:tcPr>
            <w:tcW w:w="1440" w:type="dxa"/>
            <w:vAlign w:val="center"/>
          </w:tcPr>
          <w:p>
            <w:pPr>
              <w:rPr>
                <w:noProof/>
                <w:sz w:val="18"/>
              </w:rPr>
            </w:pPr>
            <w:r>
              <w:rPr>
                <w:noProof/>
                <w:sz w:val="18"/>
              </w:rPr>
              <w:t>Поети задължения</w:t>
            </w:r>
          </w:p>
        </w:tc>
        <w:tc>
          <w:tcPr>
            <w:tcW w:w="654" w:type="dxa"/>
            <w:vAlign w:val="center"/>
          </w:tcPr>
          <w:p>
            <w:pPr>
              <w:jc w:val="center"/>
              <w:rPr>
                <w:noProof/>
                <w:sz w:val="14"/>
              </w:rPr>
            </w:pPr>
            <w:r>
              <w:rPr>
                <w:noProof/>
                <w:sz w:val="14"/>
              </w:rPr>
              <w:t>=4+6</w:t>
            </w:r>
          </w:p>
        </w:tc>
        <w:tc>
          <w:tcPr>
            <w:tcW w:w="868" w:type="dxa"/>
          </w:tcPr>
          <w:p>
            <w:pPr>
              <w:rPr>
                <w:noProof/>
              </w:rPr>
            </w:pPr>
            <w:r>
              <w:rPr>
                <w:noProof/>
                <w:sz w:val="20"/>
              </w:rPr>
              <w:t>5,30</w:t>
            </w:r>
          </w:p>
        </w:tc>
        <w:tc>
          <w:tcPr>
            <w:tcW w:w="868" w:type="dxa"/>
          </w:tcPr>
          <w:p>
            <w:pPr>
              <w:rPr>
                <w:noProof/>
              </w:rPr>
            </w:pPr>
            <w:r>
              <w:rPr>
                <w:noProof/>
                <w:sz w:val="20"/>
              </w:rPr>
              <w:t>5,30</w:t>
            </w:r>
          </w:p>
        </w:tc>
        <w:tc>
          <w:tcPr>
            <w:tcW w:w="868" w:type="dxa"/>
          </w:tcPr>
          <w:p>
            <w:pPr>
              <w:rPr>
                <w:noProof/>
              </w:rPr>
            </w:pPr>
            <w:r>
              <w:rPr>
                <w:noProof/>
                <w:sz w:val="20"/>
              </w:rPr>
              <w:t>5,30</w:t>
            </w:r>
          </w:p>
        </w:tc>
        <w:tc>
          <w:tcPr>
            <w:tcW w:w="868" w:type="dxa"/>
          </w:tcPr>
          <w:p>
            <w:pPr>
              <w:rPr>
                <w:noProof/>
              </w:rPr>
            </w:pPr>
            <w:r>
              <w:rPr>
                <w:noProof/>
                <w:sz w:val="20"/>
              </w:rPr>
              <w:t>5,30</w:t>
            </w:r>
          </w:p>
        </w:tc>
        <w:tc>
          <w:tcPr>
            <w:tcW w:w="868" w:type="dxa"/>
          </w:tcPr>
          <w:p>
            <w:pPr>
              <w:rPr>
                <w:noProof/>
              </w:rPr>
            </w:pPr>
            <w:r>
              <w:rPr>
                <w:noProof/>
                <w:sz w:val="20"/>
              </w:rPr>
              <w:t>5,30</w:t>
            </w:r>
          </w:p>
        </w:tc>
        <w:tc>
          <w:tcPr>
            <w:tcW w:w="868" w:type="dxa"/>
          </w:tcPr>
          <w:p>
            <w:pPr>
              <w:rPr>
                <w:noProof/>
              </w:rPr>
            </w:pPr>
            <w:r>
              <w:rPr>
                <w:noProof/>
                <w:sz w:val="20"/>
              </w:rPr>
              <w:t>5,30</w:t>
            </w:r>
          </w:p>
        </w:tc>
        <w:tc>
          <w:tcPr>
            <w:tcW w:w="868" w:type="dxa"/>
            <w:vAlign w:val="center"/>
          </w:tcPr>
          <w:p>
            <w:pPr>
              <w:spacing w:before="20" w:after="20"/>
              <w:jc w:val="right"/>
              <w:rPr>
                <w:b/>
                <w:noProof/>
                <w:sz w:val="20"/>
              </w:rPr>
            </w:pPr>
            <w:r>
              <w:rPr>
                <w:b/>
                <w:noProof/>
                <w:sz w:val="20"/>
              </w:rPr>
              <w:t>31,8</w:t>
            </w:r>
          </w:p>
        </w:tc>
      </w:tr>
      <w:tr>
        <w:tc>
          <w:tcPr>
            <w:tcW w:w="3960" w:type="dxa"/>
            <w:vMerge/>
            <w:shd w:val="thinDiagStripe" w:color="C0C0C0" w:fill="auto"/>
          </w:tcPr>
          <w:p>
            <w:pPr>
              <w:rPr>
                <w:noProof/>
                <w:sz w:val="20"/>
              </w:rPr>
            </w:pPr>
          </w:p>
        </w:tc>
        <w:tc>
          <w:tcPr>
            <w:tcW w:w="1440" w:type="dxa"/>
            <w:vAlign w:val="center"/>
          </w:tcPr>
          <w:p>
            <w:pPr>
              <w:rPr>
                <w:noProof/>
                <w:sz w:val="18"/>
              </w:rPr>
            </w:pPr>
            <w:r>
              <w:rPr>
                <w:noProof/>
                <w:sz w:val="18"/>
              </w:rPr>
              <w:t>Плащания</w:t>
            </w:r>
          </w:p>
        </w:tc>
        <w:tc>
          <w:tcPr>
            <w:tcW w:w="654" w:type="dxa"/>
            <w:vAlign w:val="center"/>
          </w:tcPr>
          <w:p>
            <w:pPr>
              <w:jc w:val="center"/>
              <w:rPr>
                <w:noProof/>
                <w:sz w:val="14"/>
              </w:rPr>
            </w:pPr>
            <w:r>
              <w:rPr>
                <w:noProof/>
                <w:sz w:val="14"/>
              </w:rPr>
              <w:t>=5+6</w:t>
            </w:r>
          </w:p>
        </w:tc>
        <w:tc>
          <w:tcPr>
            <w:tcW w:w="868" w:type="dxa"/>
          </w:tcPr>
          <w:p>
            <w:pPr>
              <w:rPr>
                <w:noProof/>
              </w:rPr>
            </w:pPr>
            <w:r>
              <w:rPr>
                <w:noProof/>
                <w:sz w:val="20"/>
              </w:rPr>
              <w:t>5,30</w:t>
            </w:r>
          </w:p>
        </w:tc>
        <w:tc>
          <w:tcPr>
            <w:tcW w:w="868" w:type="dxa"/>
          </w:tcPr>
          <w:p>
            <w:pPr>
              <w:rPr>
                <w:noProof/>
              </w:rPr>
            </w:pPr>
            <w:r>
              <w:rPr>
                <w:noProof/>
                <w:sz w:val="20"/>
              </w:rPr>
              <w:t>5,30</w:t>
            </w:r>
          </w:p>
        </w:tc>
        <w:tc>
          <w:tcPr>
            <w:tcW w:w="868" w:type="dxa"/>
          </w:tcPr>
          <w:p>
            <w:pPr>
              <w:rPr>
                <w:noProof/>
              </w:rPr>
            </w:pPr>
            <w:r>
              <w:rPr>
                <w:noProof/>
                <w:sz w:val="20"/>
              </w:rPr>
              <w:t>5,30</w:t>
            </w:r>
          </w:p>
        </w:tc>
        <w:tc>
          <w:tcPr>
            <w:tcW w:w="868" w:type="dxa"/>
          </w:tcPr>
          <w:p>
            <w:pPr>
              <w:rPr>
                <w:noProof/>
              </w:rPr>
            </w:pPr>
            <w:r>
              <w:rPr>
                <w:noProof/>
                <w:sz w:val="20"/>
              </w:rPr>
              <w:t>5,30</w:t>
            </w:r>
          </w:p>
        </w:tc>
        <w:tc>
          <w:tcPr>
            <w:tcW w:w="868" w:type="dxa"/>
          </w:tcPr>
          <w:p>
            <w:pPr>
              <w:rPr>
                <w:noProof/>
              </w:rPr>
            </w:pPr>
            <w:r>
              <w:rPr>
                <w:noProof/>
                <w:sz w:val="20"/>
              </w:rPr>
              <w:t>5,30</w:t>
            </w:r>
          </w:p>
        </w:tc>
        <w:tc>
          <w:tcPr>
            <w:tcW w:w="868" w:type="dxa"/>
          </w:tcPr>
          <w:p>
            <w:pPr>
              <w:rPr>
                <w:noProof/>
              </w:rPr>
            </w:pPr>
            <w:r>
              <w:rPr>
                <w:noProof/>
                <w:sz w:val="20"/>
              </w:rPr>
              <w:t>5,30</w:t>
            </w:r>
          </w:p>
        </w:tc>
        <w:tc>
          <w:tcPr>
            <w:tcW w:w="868" w:type="dxa"/>
            <w:vAlign w:val="center"/>
          </w:tcPr>
          <w:p>
            <w:pPr>
              <w:spacing w:before="20" w:after="20"/>
              <w:jc w:val="right"/>
              <w:rPr>
                <w:b/>
                <w:noProof/>
                <w:sz w:val="20"/>
              </w:rPr>
            </w:pPr>
            <w:r>
              <w:rPr>
                <w:b/>
                <w:noProof/>
                <w:sz w:val="20"/>
              </w:rPr>
              <w:t>31,8</w:t>
            </w:r>
          </w:p>
        </w:tc>
      </w:tr>
    </w:tbl>
    <w:p>
      <w:pPr>
        <w:spacing w:after="40"/>
        <w:rPr>
          <w:b/>
          <w:noProof/>
          <w:sz w:val="22"/>
          <w:u w:val="single"/>
        </w:rPr>
      </w:pPr>
      <w:r>
        <w:rPr>
          <w:b/>
          <w:noProof/>
          <w:sz w:val="22"/>
          <w:u w:val="single"/>
        </w:rPr>
        <w:t>Ако предложението/инициативата има отражение върху повече от една оперативна функция, повторете частта по-горе:</w:t>
      </w:r>
    </w:p>
    <w:tbl>
      <w:tblPr>
        <w:tblW w:w="0" w:type="auto"/>
        <w:tblInd w:w="-252" w:type="dxa"/>
        <w:tblBorders>
          <w:top w:val="single" w:sz="4" w:space="0" w:color="FF0000"/>
          <w:left w:val="single" w:sz="4" w:space="0" w:color="FF0000"/>
          <w:bottom w:val="single" w:sz="4" w:space="0" w:color="FF0000"/>
          <w:right w:val="single" w:sz="4" w:space="0" w:color="FF0000"/>
          <w:insideH w:val="single" w:sz="4" w:space="0" w:color="auto"/>
          <w:insideV w:val="single" w:sz="4" w:space="0" w:color="auto"/>
        </w:tblBorders>
        <w:tblLayout w:type="fixed"/>
        <w:tblLook w:val="01E0" w:firstRow="1" w:lastRow="1" w:firstColumn="1" w:lastColumn="1" w:noHBand="0" w:noVBand="0"/>
      </w:tblPr>
      <w:tblGrid>
        <w:gridCol w:w="3960"/>
        <w:gridCol w:w="1440"/>
        <w:gridCol w:w="654"/>
        <w:gridCol w:w="868"/>
        <w:gridCol w:w="868"/>
        <w:gridCol w:w="868"/>
        <w:gridCol w:w="868"/>
        <w:gridCol w:w="868"/>
        <w:gridCol w:w="881"/>
        <w:gridCol w:w="851"/>
      </w:tblGrid>
      <w:tr>
        <w:trPr>
          <w:trHeight w:val="277"/>
        </w:trPr>
        <w:tc>
          <w:tcPr>
            <w:tcW w:w="3960" w:type="dxa"/>
            <w:vMerge w:val="restart"/>
            <w:tcBorders>
              <w:top w:val="single" w:sz="4" w:space="0" w:color="auto"/>
              <w:left w:val="single" w:sz="4" w:space="0" w:color="auto"/>
              <w:bottom w:val="single" w:sz="4" w:space="0" w:color="FF0000"/>
            </w:tcBorders>
            <w:vAlign w:val="center"/>
          </w:tcPr>
          <w:p>
            <w:pPr>
              <w:spacing w:before="20" w:after="20"/>
              <w:rPr>
                <w:noProof/>
              </w:rPr>
            </w:pPr>
            <w:r>
              <w:rPr>
                <w:noProof/>
                <w:sz w:val="21"/>
              </w:rPr>
              <w:sym w:font="Wingdings" w:char="F09F"/>
            </w:r>
            <w:r>
              <w:rPr>
                <w:noProof/>
                <w:sz w:val="21"/>
              </w:rPr>
              <w:t>ОБЩО бюджетни кредити за оперативни разходи (всички оперативни функции)</w:t>
            </w:r>
          </w:p>
        </w:tc>
        <w:tc>
          <w:tcPr>
            <w:tcW w:w="1440" w:type="dxa"/>
            <w:tcBorders>
              <w:top w:val="single" w:sz="4" w:space="0" w:color="auto"/>
            </w:tcBorders>
            <w:vAlign w:val="center"/>
          </w:tcPr>
          <w:p>
            <w:pPr>
              <w:spacing w:beforeLines="20" w:before="48" w:afterLines="20" w:after="48"/>
              <w:rPr>
                <w:noProof/>
                <w:sz w:val="18"/>
              </w:rPr>
            </w:pPr>
            <w:r>
              <w:rPr>
                <w:noProof/>
                <w:sz w:val="18"/>
              </w:rPr>
              <w:t>Поети задължения</w:t>
            </w:r>
          </w:p>
        </w:tc>
        <w:tc>
          <w:tcPr>
            <w:tcW w:w="654" w:type="dxa"/>
            <w:tcBorders>
              <w:top w:val="single" w:sz="4" w:space="0" w:color="auto"/>
            </w:tcBorders>
            <w:vAlign w:val="center"/>
          </w:tcPr>
          <w:p>
            <w:pPr>
              <w:spacing w:beforeLines="20" w:before="48" w:afterLines="20" w:after="48"/>
              <w:jc w:val="center"/>
              <w:rPr>
                <w:noProof/>
                <w:sz w:val="14"/>
              </w:rPr>
            </w:pPr>
            <w:r>
              <w:rPr>
                <w:noProof/>
                <w:sz w:val="14"/>
              </w:rPr>
              <w:t>(4)</w:t>
            </w:r>
          </w:p>
        </w:tc>
        <w:tc>
          <w:tcPr>
            <w:tcW w:w="868" w:type="dxa"/>
            <w:tcBorders>
              <w:top w:val="single" w:sz="4" w:space="0" w:color="auto"/>
            </w:tcBorders>
            <w:vAlign w:val="center"/>
          </w:tcPr>
          <w:p>
            <w:pPr>
              <w:spacing w:before="20" w:after="20"/>
              <w:jc w:val="right"/>
              <w:rPr>
                <w:noProof/>
                <w:sz w:val="20"/>
              </w:rPr>
            </w:pPr>
            <w:r>
              <w:rPr>
                <w:noProof/>
                <w:sz w:val="20"/>
              </w:rPr>
              <w:t>5,30</w:t>
            </w:r>
          </w:p>
        </w:tc>
        <w:tc>
          <w:tcPr>
            <w:tcW w:w="868" w:type="dxa"/>
            <w:tcBorders>
              <w:top w:val="single" w:sz="4" w:space="0" w:color="auto"/>
            </w:tcBorders>
            <w:vAlign w:val="center"/>
          </w:tcPr>
          <w:p>
            <w:pPr>
              <w:spacing w:before="20" w:after="20"/>
              <w:jc w:val="right"/>
              <w:rPr>
                <w:noProof/>
                <w:sz w:val="20"/>
              </w:rPr>
            </w:pPr>
            <w:r>
              <w:rPr>
                <w:noProof/>
                <w:sz w:val="20"/>
              </w:rPr>
              <w:t>5,30</w:t>
            </w:r>
          </w:p>
        </w:tc>
        <w:tc>
          <w:tcPr>
            <w:tcW w:w="868" w:type="dxa"/>
            <w:tcBorders>
              <w:top w:val="single" w:sz="4" w:space="0" w:color="auto"/>
            </w:tcBorders>
            <w:vAlign w:val="center"/>
          </w:tcPr>
          <w:p>
            <w:pPr>
              <w:spacing w:before="20" w:after="20"/>
              <w:jc w:val="right"/>
              <w:rPr>
                <w:noProof/>
                <w:sz w:val="20"/>
              </w:rPr>
            </w:pPr>
            <w:r>
              <w:rPr>
                <w:noProof/>
                <w:sz w:val="20"/>
              </w:rPr>
              <w:t>5,30</w:t>
            </w:r>
          </w:p>
        </w:tc>
        <w:tc>
          <w:tcPr>
            <w:tcW w:w="868" w:type="dxa"/>
            <w:tcBorders>
              <w:top w:val="single" w:sz="4" w:space="0" w:color="auto"/>
            </w:tcBorders>
            <w:vAlign w:val="center"/>
          </w:tcPr>
          <w:p>
            <w:pPr>
              <w:spacing w:before="20" w:after="20"/>
              <w:jc w:val="right"/>
              <w:rPr>
                <w:noProof/>
                <w:sz w:val="20"/>
              </w:rPr>
            </w:pPr>
            <w:r>
              <w:rPr>
                <w:noProof/>
                <w:sz w:val="20"/>
              </w:rPr>
              <w:t>5,30</w:t>
            </w:r>
          </w:p>
        </w:tc>
        <w:tc>
          <w:tcPr>
            <w:tcW w:w="868" w:type="dxa"/>
            <w:tcBorders>
              <w:top w:val="single" w:sz="4" w:space="0" w:color="auto"/>
            </w:tcBorders>
            <w:vAlign w:val="center"/>
          </w:tcPr>
          <w:p>
            <w:pPr>
              <w:spacing w:before="20" w:after="20"/>
              <w:jc w:val="right"/>
              <w:rPr>
                <w:noProof/>
                <w:sz w:val="20"/>
              </w:rPr>
            </w:pPr>
            <w:r>
              <w:rPr>
                <w:noProof/>
                <w:sz w:val="20"/>
              </w:rPr>
              <w:t>5,30</w:t>
            </w:r>
          </w:p>
        </w:tc>
        <w:tc>
          <w:tcPr>
            <w:tcW w:w="881" w:type="dxa"/>
            <w:tcBorders>
              <w:top w:val="single" w:sz="4" w:space="0" w:color="auto"/>
            </w:tcBorders>
          </w:tcPr>
          <w:p>
            <w:pPr>
              <w:spacing w:before="20" w:after="20"/>
              <w:jc w:val="right"/>
              <w:rPr>
                <w:b/>
                <w:noProof/>
                <w:sz w:val="20"/>
              </w:rPr>
            </w:pPr>
            <w:r>
              <w:rPr>
                <w:noProof/>
                <w:sz w:val="20"/>
              </w:rPr>
              <w:t>5,30</w:t>
            </w:r>
          </w:p>
        </w:tc>
        <w:tc>
          <w:tcPr>
            <w:tcW w:w="851" w:type="dxa"/>
            <w:tcBorders>
              <w:top w:val="single" w:sz="4" w:space="0" w:color="auto"/>
              <w:right w:val="single" w:sz="4" w:space="0" w:color="auto"/>
            </w:tcBorders>
            <w:vAlign w:val="center"/>
          </w:tcPr>
          <w:p>
            <w:pPr>
              <w:spacing w:before="20" w:after="20"/>
              <w:jc w:val="right"/>
              <w:rPr>
                <w:b/>
                <w:noProof/>
                <w:sz w:val="20"/>
              </w:rPr>
            </w:pPr>
            <w:r>
              <w:rPr>
                <w:b/>
                <w:noProof/>
                <w:sz w:val="20"/>
              </w:rPr>
              <w:t>31,8</w:t>
            </w:r>
          </w:p>
        </w:tc>
      </w:tr>
      <w:tr>
        <w:tc>
          <w:tcPr>
            <w:tcW w:w="3960" w:type="dxa"/>
            <w:vMerge/>
            <w:tcBorders>
              <w:top w:val="single" w:sz="4" w:space="0" w:color="FF0000"/>
              <w:left w:val="single" w:sz="4" w:space="0" w:color="auto"/>
              <w:bottom w:val="single" w:sz="4" w:space="0" w:color="FF0000"/>
            </w:tcBorders>
          </w:tcPr>
          <w:p>
            <w:pPr>
              <w:jc w:val="center"/>
              <w:rPr>
                <w:noProof/>
                <w:sz w:val="20"/>
              </w:rPr>
            </w:pPr>
          </w:p>
        </w:tc>
        <w:tc>
          <w:tcPr>
            <w:tcW w:w="1440" w:type="dxa"/>
            <w:vAlign w:val="center"/>
          </w:tcPr>
          <w:p>
            <w:pPr>
              <w:spacing w:beforeLines="20" w:before="48" w:afterLines="20" w:after="48"/>
              <w:rPr>
                <w:noProof/>
                <w:sz w:val="18"/>
              </w:rPr>
            </w:pPr>
            <w:r>
              <w:rPr>
                <w:noProof/>
                <w:sz w:val="18"/>
              </w:rPr>
              <w:t>Плащания</w:t>
            </w:r>
          </w:p>
        </w:tc>
        <w:tc>
          <w:tcPr>
            <w:tcW w:w="654" w:type="dxa"/>
            <w:vAlign w:val="center"/>
          </w:tcPr>
          <w:p>
            <w:pPr>
              <w:spacing w:beforeLines="20" w:before="48" w:afterLines="20" w:after="48"/>
              <w:jc w:val="center"/>
              <w:rPr>
                <w:noProof/>
                <w:sz w:val="14"/>
              </w:rPr>
            </w:pPr>
            <w:r>
              <w:rPr>
                <w:noProof/>
                <w:sz w:val="14"/>
              </w:rPr>
              <w:t>(5)</w:t>
            </w:r>
          </w:p>
        </w:tc>
        <w:tc>
          <w:tcPr>
            <w:tcW w:w="868" w:type="dxa"/>
            <w:vAlign w:val="center"/>
          </w:tcPr>
          <w:p>
            <w:pPr>
              <w:spacing w:before="20" w:after="20"/>
              <w:jc w:val="right"/>
              <w:rPr>
                <w:noProof/>
                <w:sz w:val="20"/>
              </w:rPr>
            </w:pPr>
            <w:r>
              <w:rPr>
                <w:noProof/>
                <w:sz w:val="20"/>
              </w:rPr>
              <w:t>5,30</w:t>
            </w:r>
          </w:p>
        </w:tc>
        <w:tc>
          <w:tcPr>
            <w:tcW w:w="868" w:type="dxa"/>
            <w:vAlign w:val="center"/>
          </w:tcPr>
          <w:p>
            <w:pPr>
              <w:spacing w:before="20" w:after="20"/>
              <w:jc w:val="right"/>
              <w:rPr>
                <w:noProof/>
                <w:sz w:val="20"/>
              </w:rPr>
            </w:pPr>
            <w:r>
              <w:rPr>
                <w:noProof/>
                <w:sz w:val="20"/>
              </w:rPr>
              <w:t>5,30</w:t>
            </w:r>
          </w:p>
        </w:tc>
        <w:tc>
          <w:tcPr>
            <w:tcW w:w="868" w:type="dxa"/>
            <w:vAlign w:val="center"/>
          </w:tcPr>
          <w:p>
            <w:pPr>
              <w:spacing w:before="20" w:after="20"/>
              <w:jc w:val="right"/>
              <w:rPr>
                <w:noProof/>
                <w:sz w:val="20"/>
              </w:rPr>
            </w:pPr>
            <w:r>
              <w:rPr>
                <w:noProof/>
                <w:sz w:val="20"/>
              </w:rPr>
              <w:t>5,30</w:t>
            </w:r>
          </w:p>
        </w:tc>
        <w:tc>
          <w:tcPr>
            <w:tcW w:w="868" w:type="dxa"/>
            <w:vAlign w:val="center"/>
          </w:tcPr>
          <w:p>
            <w:pPr>
              <w:spacing w:before="20" w:after="20"/>
              <w:jc w:val="right"/>
              <w:rPr>
                <w:noProof/>
                <w:sz w:val="20"/>
              </w:rPr>
            </w:pPr>
            <w:r>
              <w:rPr>
                <w:noProof/>
                <w:sz w:val="20"/>
              </w:rPr>
              <w:t>5,30</w:t>
            </w:r>
          </w:p>
        </w:tc>
        <w:tc>
          <w:tcPr>
            <w:tcW w:w="868" w:type="dxa"/>
            <w:vAlign w:val="center"/>
          </w:tcPr>
          <w:p>
            <w:pPr>
              <w:spacing w:before="20" w:after="20"/>
              <w:jc w:val="right"/>
              <w:rPr>
                <w:noProof/>
                <w:sz w:val="20"/>
              </w:rPr>
            </w:pPr>
            <w:r>
              <w:rPr>
                <w:noProof/>
                <w:sz w:val="20"/>
              </w:rPr>
              <w:t>5,30</w:t>
            </w:r>
          </w:p>
        </w:tc>
        <w:tc>
          <w:tcPr>
            <w:tcW w:w="881" w:type="dxa"/>
          </w:tcPr>
          <w:p>
            <w:pPr>
              <w:spacing w:before="20" w:after="20"/>
              <w:jc w:val="right"/>
              <w:rPr>
                <w:b/>
                <w:noProof/>
                <w:sz w:val="20"/>
              </w:rPr>
            </w:pPr>
            <w:r>
              <w:rPr>
                <w:noProof/>
                <w:sz w:val="20"/>
              </w:rPr>
              <w:t>5,30</w:t>
            </w:r>
          </w:p>
        </w:tc>
        <w:tc>
          <w:tcPr>
            <w:tcW w:w="851" w:type="dxa"/>
            <w:tcBorders>
              <w:right w:val="single" w:sz="4" w:space="0" w:color="auto"/>
            </w:tcBorders>
            <w:vAlign w:val="center"/>
          </w:tcPr>
          <w:p>
            <w:pPr>
              <w:spacing w:before="20" w:after="20"/>
              <w:jc w:val="right"/>
              <w:rPr>
                <w:b/>
                <w:noProof/>
                <w:sz w:val="20"/>
              </w:rPr>
            </w:pPr>
            <w:r>
              <w:rPr>
                <w:b/>
                <w:noProof/>
                <w:sz w:val="20"/>
              </w:rPr>
              <w:t>31,8</w:t>
            </w:r>
          </w:p>
        </w:tc>
      </w:tr>
      <w:tr>
        <w:tblPrEx>
          <w:tblBorders>
            <w:top w:val="single" w:sz="4" w:space="0" w:color="auto"/>
            <w:left w:val="single" w:sz="4" w:space="0" w:color="auto"/>
            <w:bottom w:val="single" w:sz="4" w:space="0" w:color="auto"/>
            <w:right w:val="single" w:sz="4" w:space="0" w:color="auto"/>
          </w:tblBorders>
        </w:tblPrEx>
        <w:trPr>
          <w:trHeight w:val="533"/>
        </w:trPr>
        <w:tc>
          <w:tcPr>
            <w:tcW w:w="5400" w:type="dxa"/>
            <w:gridSpan w:val="2"/>
            <w:vAlign w:val="center"/>
          </w:tcPr>
          <w:p>
            <w:pPr>
              <w:spacing w:beforeLines="20" w:before="48" w:afterLines="20" w:after="48"/>
              <w:rPr>
                <w:noProof/>
              </w:rPr>
            </w:pPr>
            <w:r>
              <w:rPr>
                <w:noProof/>
                <w:sz w:val="21"/>
              </w:rPr>
              <w:t xml:space="preserve"> ОБЩО бюджетни кредити за административни разходи, финансирани от пакета за определени програми (всички оперативни функции)</w:t>
            </w:r>
          </w:p>
        </w:tc>
        <w:tc>
          <w:tcPr>
            <w:tcW w:w="654" w:type="dxa"/>
            <w:vAlign w:val="center"/>
          </w:tcPr>
          <w:p>
            <w:pPr>
              <w:rPr>
                <w:noProof/>
              </w:rPr>
            </w:pPr>
          </w:p>
          <w:p>
            <w:pPr>
              <w:spacing w:beforeLines="20" w:before="48" w:afterLines="20" w:after="48"/>
              <w:jc w:val="center"/>
              <w:rPr>
                <w:noProof/>
                <w:sz w:val="14"/>
              </w:rPr>
            </w:pPr>
            <w:r>
              <w:rPr>
                <w:noProof/>
                <w:sz w:val="14"/>
              </w:rPr>
              <w:t>(6)</w:t>
            </w: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81" w:type="dxa"/>
          </w:tcPr>
          <w:p>
            <w:pPr>
              <w:spacing w:before="20" w:after="20"/>
              <w:jc w:val="right"/>
              <w:rPr>
                <w:b/>
                <w:noProof/>
                <w:sz w:val="20"/>
              </w:rPr>
            </w:pPr>
          </w:p>
        </w:tc>
        <w:tc>
          <w:tcPr>
            <w:tcW w:w="851" w:type="dxa"/>
            <w:vAlign w:val="center"/>
          </w:tcPr>
          <w:p>
            <w:pPr>
              <w:spacing w:before="20" w:after="20"/>
              <w:jc w:val="right"/>
              <w:rPr>
                <w:b/>
                <w:noProof/>
                <w:sz w:val="20"/>
              </w:rPr>
            </w:pPr>
          </w:p>
        </w:tc>
      </w:tr>
      <w:tr>
        <w:tc>
          <w:tcPr>
            <w:tcW w:w="3960" w:type="dxa"/>
            <w:vMerge w:val="restart"/>
            <w:tcBorders>
              <w:top w:val="single" w:sz="4" w:space="0" w:color="FF0000"/>
              <w:left w:val="single" w:sz="4" w:space="0" w:color="auto"/>
              <w:bottom w:val="single" w:sz="4" w:space="0" w:color="FF0000"/>
            </w:tcBorders>
            <w:shd w:val="thinDiagStripe" w:color="C0C0C0" w:fill="auto"/>
            <w:vAlign w:val="center"/>
          </w:tcPr>
          <w:p>
            <w:pPr>
              <w:jc w:val="center"/>
              <w:rPr>
                <w:b/>
                <w:noProof/>
              </w:rPr>
            </w:pPr>
            <w:r>
              <w:rPr>
                <w:b/>
                <w:noProof/>
                <w:sz w:val="22"/>
              </w:rPr>
              <w:t>ОБЩО бюджетни кредити</w:t>
            </w:r>
            <w:r>
              <w:rPr>
                <w:noProof/>
                <w:sz w:val="22"/>
              </w:rPr>
              <w:br/>
            </w:r>
            <w:r>
              <w:rPr>
                <w:b/>
                <w:noProof/>
                <w:sz w:val="22"/>
              </w:rPr>
              <w:t>за ФУНКЦИИ 1—4</w:t>
            </w:r>
            <w:r>
              <w:rPr>
                <w:noProof/>
                <w:sz w:val="22"/>
              </w:rPr>
              <w:br/>
              <w:t>от многогодишната финансова рамка</w:t>
            </w:r>
            <w:r>
              <w:rPr>
                <w:noProof/>
                <w:sz w:val="22"/>
              </w:rPr>
              <w:br/>
            </w:r>
            <w:r>
              <w:rPr>
                <w:noProof/>
                <w:sz w:val="20"/>
              </w:rPr>
              <w:t>(Референтна стойност)</w:t>
            </w:r>
          </w:p>
        </w:tc>
        <w:tc>
          <w:tcPr>
            <w:tcW w:w="1440" w:type="dxa"/>
            <w:vAlign w:val="center"/>
          </w:tcPr>
          <w:p>
            <w:pPr>
              <w:rPr>
                <w:noProof/>
                <w:sz w:val="18"/>
              </w:rPr>
            </w:pPr>
            <w:r>
              <w:rPr>
                <w:noProof/>
                <w:sz w:val="18"/>
              </w:rPr>
              <w:t>Поети задължения</w:t>
            </w:r>
          </w:p>
        </w:tc>
        <w:tc>
          <w:tcPr>
            <w:tcW w:w="654" w:type="dxa"/>
            <w:vAlign w:val="center"/>
          </w:tcPr>
          <w:p>
            <w:pPr>
              <w:jc w:val="center"/>
              <w:rPr>
                <w:noProof/>
                <w:sz w:val="14"/>
              </w:rPr>
            </w:pPr>
            <w:r>
              <w:rPr>
                <w:noProof/>
                <w:sz w:val="14"/>
              </w:rPr>
              <w:t>=4+6</w:t>
            </w:r>
          </w:p>
        </w:tc>
        <w:tc>
          <w:tcPr>
            <w:tcW w:w="868" w:type="dxa"/>
            <w:vAlign w:val="center"/>
          </w:tcPr>
          <w:p>
            <w:pPr>
              <w:spacing w:before="20" w:after="20"/>
              <w:jc w:val="right"/>
              <w:rPr>
                <w:noProof/>
                <w:sz w:val="20"/>
              </w:rPr>
            </w:pPr>
            <w:r>
              <w:rPr>
                <w:noProof/>
                <w:sz w:val="20"/>
              </w:rPr>
              <w:t>5,30</w:t>
            </w:r>
          </w:p>
        </w:tc>
        <w:tc>
          <w:tcPr>
            <w:tcW w:w="868" w:type="dxa"/>
            <w:vAlign w:val="center"/>
          </w:tcPr>
          <w:p>
            <w:pPr>
              <w:spacing w:before="20" w:after="20"/>
              <w:jc w:val="right"/>
              <w:rPr>
                <w:noProof/>
                <w:sz w:val="20"/>
              </w:rPr>
            </w:pPr>
            <w:r>
              <w:rPr>
                <w:noProof/>
                <w:sz w:val="20"/>
              </w:rPr>
              <w:t>5,30</w:t>
            </w:r>
          </w:p>
        </w:tc>
        <w:tc>
          <w:tcPr>
            <w:tcW w:w="868" w:type="dxa"/>
            <w:vAlign w:val="center"/>
          </w:tcPr>
          <w:p>
            <w:pPr>
              <w:spacing w:before="20" w:after="20"/>
              <w:jc w:val="right"/>
              <w:rPr>
                <w:noProof/>
                <w:sz w:val="20"/>
              </w:rPr>
            </w:pPr>
            <w:r>
              <w:rPr>
                <w:noProof/>
                <w:sz w:val="20"/>
              </w:rPr>
              <w:t>5,30</w:t>
            </w:r>
          </w:p>
        </w:tc>
        <w:tc>
          <w:tcPr>
            <w:tcW w:w="868" w:type="dxa"/>
            <w:vAlign w:val="center"/>
          </w:tcPr>
          <w:p>
            <w:pPr>
              <w:spacing w:before="20" w:after="20"/>
              <w:jc w:val="right"/>
              <w:rPr>
                <w:noProof/>
                <w:sz w:val="20"/>
              </w:rPr>
            </w:pPr>
            <w:r>
              <w:rPr>
                <w:noProof/>
                <w:sz w:val="20"/>
              </w:rPr>
              <w:t>5,30</w:t>
            </w:r>
          </w:p>
        </w:tc>
        <w:tc>
          <w:tcPr>
            <w:tcW w:w="868" w:type="dxa"/>
            <w:vAlign w:val="center"/>
          </w:tcPr>
          <w:p>
            <w:pPr>
              <w:spacing w:before="20" w:after="20"/>
              <w:jc w:val="right"/>
              <w:rPr>
                <w:noProof/>
                <w:sz w:val="20"/>
              </w:rPr>
            </w:pPr>
            <w:r>
              <w:rPr>
                <w:noProof/>
                <w:sz w:val="20"/>
              </w:rPr>
              <w:t>5,30</w:t>
            </w:r>
          </w:p>
        </w:tc>
        <w:tc>
          <w:tcPr>
            <w:tcW w:w="881" w:type="dxa"/>
          </w:tcPr>
          <w:p>
            <w:pPr>
              <w:spacing w:before="20" w:after="20"/>
              <w:jc w:val="right"/>
              <w:rPr>
                <w:b/>
                <w:noProof/>
                <w:sz w:val="20"/>
              </w:rPr>
            </w:pPr>
            <w:r>
              <w:rPr>
                <w:noProof/>
                <w:sz w:val="20"/>
              </w:rPr>
              <w:t>5,30</w:t>
            </w:r>
          </w:p>
        </w:tc>
        <w:tc>
          <w:tcPr>
            <w:tcW w:w="851" w:type="dxa"/>
            <w:tcBorders>
              <w:right w:val="single" w:sz="4" w:space="0" w:color="auto"/>
            </w:tcBorders>
            <w:vAlign w:val="center"/>
          </w:tcPr>
          <w:p>
            <w:pPr>
              <w:spacing w:before="20" w:after="20"/>
              <w:jc w:val="right"/>
              <w:rPr>
                <w:b/>
                <w:noProof/>
                <w:sz w:val="20"/>
              </w:rPr>
            </w:pPr>
            <w:r>
              <w:rPr>
                <w:b/>
                <w:noProof/>
                <w:sz w:val="20"/>
              </w:rPr>
              <w:t>31,8</w:t>
            </w:r>
          </w:p>
        </w:tc>
      </w:tr>
      <w:tr>
        <w:tc>
          <w:tcPr>
            <w:tcW w:w="3960" w:type="dxa"/>
            <w:vMerge/>
            <w:tcBorders>
              <w:top w:val="single" w:sz="4" w:space="0" w:color="FF0000"/>
              <w:left w:val="single" w:sz="4" w:space="0" w:color="auto"/>
              <w:bottom w:val="single" w:sz="4" w:space="0" w:color="auto"/>
            </w:tcBorders>
            <w:shd w:val="thinDiagStripe" w:color="C0C0C0" w:fill="auto"/>
          </w:tcPr>
          <w:p>
            <w:pPr>
              <w:rPr>
                <w:noProof/>
                <w:sz w:val="20"/>
              </w:rPr>
            </w:pPr>
          </w:p>
        </w:tc>
        <w:tc>
          <w:tcPr>
            <w:tcW w:w="1440" w:type="dxa"/>
            <w:tcBorders>
              <w:bottom w:val="single" w:sz="4" w:space="0" w:color="auto"/>
            </w:tcBorders>
            <w:vAlign w:val="center"/>
          </w:tcPr>
          <w:p>
            <w:pPr>
              <w:rPr>
                <w:noProof/>
                <w:sz w:val="18"/>
              </w:rPr>
            </w:pPr>
            <w:r>
              <w:rPr>
                <w:noProof/>
                <w:sz w:val="18"/>
              </w:rPr>
              <w:t>Плащания</w:t>
            </w:r>
          </w:p>
        </w:tc>
        <w:tc>
          <w:tcPr>
            <w:tcW w:w="654" w:type="dxa"/>
            <w:tcBorders>
              <w:bottom w:val="single" w:sz="4" w:space="0" w:color="auto"/>
            </w:tcBorders>
            <w:vAlign w:val="center"/>
          </w:tcPr>
          <w:p>
            <w:pPr>
              <w:jc w:val="center"/>
              <w:rPr>
                <w:noProof/>
                <w:sz w:val="14"/>
              </w:rPr>
            </w:pPr>
            <w:r>
              <w:rPr>
                <w:noProof/>
                <w:sz w:val="14"/>
              </w:rPr>
              <w:t>=5+6</w:t>
            </w:r>
          </w:p>
        </w:tc>
        <w:tc>
          <w:tcPr>
            <w:tcW w:w="868" w:type="dxa"/>
            <w:tcBorders>
              <w:bottom w:val="single" w:sz="4" w:space="0" w:color="auto"/>
            </w:tcBorders>
            <w:vAlign w:val="center"/>
          </w:tcPr>
          <w:p>
            <w:pPr>
              <w:spacing w:before="20" w:after="20"/>
              <w:jc w:val="right"/>
              <w:rPr>
                <w:noProof/>
                <w:sz w:val="20"/>
              </w:rPr>
            </w:pPr>
            <w:r>
              <w:rPr>
                <w:noProof/>
                <w:sz w:val="20"/>
              </w:rPr>
              <w:t>5,30</w:t>
            </w:r>
          </w:p>
        </w:tc>
        <w:tc>
          <w:tcPr>
            <w:tcW w:w="868" w:type="dxa"/>
            <w:tcBorders>
              <w:bottom w:val="single" w:sz="4" w:space="0" w:color="auto"/>
            </w:tcBorders>
            <w:vAlign w:val="center"/>
          </w:tcPr>
          <w:p>
            <w:pPr>
              <w:spacing w:before="20" w:after="20"/>
              <w:jc w:val="right"/>
              <w:rPr>
                <w:noProof/>
                <w:sz w:val="20"/>
              </w:rPr>
            </w:pPr>
            <w:r>
              <w:rPr>
                <w:noProof/>
                <w:sz w:val="20"/>
              </w:rPr>
              <w:t>5,30</w:t>
            </w:r>
          </w:p>
        </w:tc>
        <w:tc>
          <w:tcPr>
            <w:tcW w:w="868" w:type="dxa"/>
            <w:tcBorders>
              <w:bottom w:val="single" w:sz="4" w:space="0" w:color="auto"/>
            </w:tcBorders>
            <w:vAlign w:val="center"/>
          </w:tcPr>
          <w:p>
            <w:pPr>
              <w:spacing w:before="20" w:after="20"/>
              <w:jc w:val="right"/>
              <w:rPr>
                <w:noProof/>
                <w:sz w:val="20"/>
              </w:rPr>
            </w:pPr>
            <w:r>
              <w:rPr>
                <w:noProof/>
                <w:sz w:val="20"/>
              </w:rPr>
              <w:t>5,30</w:t>
            </w:r>
          </w:p>
        </w:tc>
        <w:tc>
          <w:tcPr>
            <w:tcW w:w="868" w:type="dxa"/>
            <w:tcBorders>
              <w:bottom w:val="single" w:sz="4" w:space="0" w:color="auto"/>
            </w:tcBorders>
            <w:vAlign w:val="center"/>
          </w:tcPr>
          <w:p>
            <w:pPr>
              <w:spacing w:before="20" w:after="20"/>
              <w:jc w:val="right"/>
              <w:rPr>
                <w:noProof/>
                <w:sz w:val="20"/>
              </w:rPr>
            </w:pPr>
            <w:r>
              <w:rPr>
                <w:noProof/>
                <w:sz w:val="20"/>
              </w:rPr>
              <w:t>5,30</w:t>
            </w:r>
          </w:p>
        </w:tc>
        <w:tc>
          <w:tcPr>
            <w:tcW w:w="868" w:type="dxa"/>
            <w:tcBorders>
              <w:bottom w:val="single" w:sz="4" w:space="0" w:color="auto"/>
            </w:tcBorders>
            <w:vAlign w:val="center"/>
          </w:tcPr>
          <w:p>
            <w:pPr>
              <w:spacing w:before="20" w:after="20"/>
              <w:jc w:val="right"/>
              <w:rPr>
                <w:noProof/>
                <w:sz w:val="20"/>
              </w:rPr>
            </w:pPr>
            <w:r>
              <w:rPr>
                <w:noProof/>
                <w:sz w:val="20"/>
              </w:rPr>
              <w:t>5,30</w:t>
            </w:r>
          </w:p>
        </w:tc>
        <w:tc>
          <w:tcPr>
            <w:tcW w:w="881" w:type="dxa"/>
            <w:tcBorders>
              <w:bottom w:val="single" w:sz="4" w:space="0" w:color="auto"/>
            </w:tcBorders>
          </w:tcPr>
          <w:p>
            <w:pPr>
              <w:spacing w:before="20" w:after="20"/>
              <w:jc w:val="right"/>
              <w:rPr>
                <w:b/>
                <w:noProof/>
                <w:sz w:val="20"/>
              </w:rPr>
            </w:pPr>
            <w:r>
              <w:rPr>
                <w:noProof/>
                <w:sz w:val="20"/>
              </w:rPr>
              <w:t>5,30</w:t>
            </w:r>
          </w:p>
        </w:tc>
        <w:tc>
          <w:tcPr>
            <w:tcW w:w="851" w:type="dxa"/>
            <w:tcBorders>
              <w:bottom w:val="single" w:sz="4" w:space="0" w:color="auto"/>
              <w:right w:val="single" w:sz="4" w:space="0" w:color="auto"/>
            </w:tcBorders>
            <w:vAlign w:val="center"/>
          </w:tcPr>
          <w:p>
            <w:pPr>
              <w:spacing w:before="20" w:after="20"/>
              <w:jc w:val="right"/>
              <w:rPr>
                <w:b/>
                <w:noProof/>
                <w:sz w:val="20"/>
              </w:rPr>
            </w:pPr>
            <w:r>
              <w:rPr>
                <w:b/>
                <w:noProof/>
                <w:sz w:val="20"/>
              </w:rPr>
              <w:t>31,8</w:t>
            </w:r>
          </w:p>
        </w:tc>
      </w:tr>
    </w:tbl>
    <w:p>
      <w:pPr>
        <w:rPr>
          <w:noProof/>
        </w:rPr>
      </w:pPr>
    </w:p>
    <w:p>
      <w:pPr>
        <w:spacing w:before="0" w:after="0"/>
        <w:jc w:val="left"/>
        <w:rPr>
          <w:noProof/>
        </w:rPr>
      </w:pPr>
      <w:r>
        <w:rPr>
          <w:noProof/>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trPr>
          <w:jc w:val="center"/>
        </w:trPr>
        <w:tc>
          <w:tcPr>
            <w:tcW w:w="4744" w:type="dxa"/>
            <w:shd w:val="thinDiagStripe" w:color="C0C0C0" w:fill="auto"/>
            <w:vAlign w:val="center"/>
          </w:tcPr>
          <w:p>
            <w:pPr>
              <w:spacing w:before="60" w:after="60"/>
              <w:jc w:val="center"/>
              <w:rPr>
                <w:b/>
                <w:noProof/>
              </w:rPr>
            </w:pPr>
            <w:r>
              <w:rPr>
                <w:noProof/>
              </w:rPr>
              <w:br w:type="page"/>
            </w:r>
            <w:r>
              <w:rPr>
                <w:b/>
                <w:noProof/>
                <w:sz w:val="22"/>
              </w:rPr>
              <w:t>Функция от многогодишната финансова рамка</w:t>
            </w:r>
            <w:r>
              <w:rPr>
                <w:noProof/>
                <w:sz w:val="22"/>
              </w:rPr>
              <w:br/>
            </w:r>
            <w:r>
              <w:rPr>
                <w:b/>
                <w:noProof/>
                <w:sz w:val="22"/>
              </w:rPr>
              <w:t xml:space="preserve"> </w:t>
            </w:r>
          </w:p>
        </w:tc>
        <w:tc>
          <w:tcPr>
            <w:tcW w:w="1080" w:type="dxa"/>
            <w:shd w:val="thinDiagStripe" w:color="C0C0C0" w:fill="auto"/>
            <w:vAlign w:val="center"/>
          </w:tcPr>
          <w:p>
            <w:pPr>
              <w:spacing w:before="60" w:after="60"/>
              <w:jc w:val="center"/>
              <w:rPr>
                <w:noProof/>
              </w:rPr>
            </w:pPr>
            <w:r>
              <w:rPr>
                <w:b/>
                <w:noProof/>
                <w:sz w:val="22"/>
              </w:rPr>
              <w:t>5</w:t>
            </w:r>
          </w:p>
        </w:tc>
        <w:tc>
          <w:tcPr>
            <w:tcW w:w="7817" w:type="dxa"/>
            <w:vAlign w:val="center"/>
          </w:tcPr>
          <w:p>
            <w:pPr>
              <w:spacing w:before="60" w:after="60"/>
              <w:rPr>
                <w:noProof/>
              </w:rPr>
            </w:pPr>
            <w:r>
              <w:rPr>
                <w:noProof/>
                <w:sz w:val="22"/>
              </w:rPr>
              <w:t>„Административни разходи“</w:t>
            </w:r>
          </w:p>
        </w:tc>
      </w:tr>
    </w:tbl>
    <w:p>
      <w:pPr>
        <w:jc w:val="left"/>
        <w:rPr>
          <w:noProof/>
          <w:sz w:val="20"/>
        </w:rPr>
      </w:pPr>
      <w:r>
        <w:rPr>
          <w:noProof/>
        </w:rPr>
        <w:t xml:space="preserve">Тази част следва да бъде попълнена, като се използва таблицата за бюджетни данни от административно естество, която най-напред се въвежда в </w:t>
      </w:r>
      <w:hyperlink r:id="rId13">
        <w:r>
          <w:rPr>
            <w:rStyle w:val="Hyperlink"/>
            <w:noProof/>
          </w:rPr>
          <w:t>приложението към финансовата обосновка</w:t>
        </w:r>
      </w:hyperlink>
      <w:r>
        <w:rPr>
          <w:noProof/>
        </w:rPr>
        <w:t xml:space="preserve"> (приложение V към вътрешните правила), което се качва в DECIDE за провеждането на вътрешни консултации между службите.</w:t>
      </w:r>
    </w:p>
    <w:p>
      <w:pPr>
        <w:jc w:val="right"/>
        <w:rPr>
          <w:noProof/>
          <w:sz w:val="20"/>
        </w:rPr>
      </w:pPr>
      <w:r>
        <w:rPr>
          <w:noProof/>
          <w:sz w:val="20"/>
        </w:rPr>
        <w:t>млн. евро (до 3-тия знак след десетичната запетая)</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560"/>
        <w:gridCol w:w="217"/>
        <w:gridCol w:w="317"/>
        <w:gridCol w:w="868"/>
        <w:gridCol w:w="868"/>
        <w:gridCol w:w="868"/>
        <w:gridCol w:w="868"/>
        <w:gridCol w:w="868"/>
        <w:gridCol w:w="881"/>
        <w:gridCol w:w="2673"/>
      </w:tblGrid>
      <w:tr>
        <w:tc>
          <w:tcPr>
            <w:tcW w:w="3960" w:type="dxa"/>
            <w:tcBorders>
              <w:top w:val="nil"/>
              <w:left w:val="nil"/>
              <w:right w:val="nil"/>
            </w:tcBorders>
            <w:vAlign w:val="center"/>
          </w:tcPr>
          <w:p>
            <w:pPr>
              <w:jc w:val="center"/>
              <w:rPr>
                <w:noProof/>
              </w:rPr>
            </w:pPr>
          </w:p>
        </w:tc>
        <w:tc>
          <w:tcPr>
            <w:tcW w:w="1560" w:type="dxa"/>
            <w:tcBorders>
              <w:top w:val="nil"/>
              <w:left w:val="nil"/>
              <w:right w:val="nil"/>
            </w:tcBorders>
          </w:tcPr>
          <w:p>
            <w:pPr>
              <w:rPr>
                <w:noProof/>
                <w:sz w:val="20"/>
              </w:rPr>
            </w:pPr>
          </w:p>
        </w:tc>
        <w:tc>
          <w:tcPr>
            <w:tcW w:w="534" w:type="dxa"/>
            <w:gridSpan w:val="2"/>
            <w:tcBorders>
              <w:top w:val="nil"/>
              <w:left w:val="nil"/>
            </w:tcBorders>
          </w:tcPr>
          <w:p>
            <w:pPr>
              <w:jc w:val="center"/>
              <w:rPr>
                <w:noProof/>
                <w:sz w:val="20"/>
              </w:rPr>
            </w:pPr>
          </w:p>
        </w:tc>
        <w:tc>
          <w:tcPr>
            <w:tcW w:w="868" w:type="dxa"/>
            <w:vAlign w:val="center"/>
          </w:tcPr>
          <w:p>
            <w:pPr>
              <w:jc w:val="center"/>
              <w:rPr>
                <w:noProof/>
                <w:sz w:val="20"/>
              </w:rPr>
            </w:pPr>
            <w:r>
              <w:rPr>
                <w:b/>
                <w:noProof/>
                <w:sz w:val="20"/>
              </w:rPr>
              <w:t>2020 г.</w:t>
            </w:r>
          </w:p>
        </w:tc>
        <w:tc>
          <w:tcPr>
            <w:tcW w:w="868" w:type="dxa"/>
            <w:vAlign w:val="center"/>
          </w:tcPr>
          <w:p>
            <w:pPr>
              <w:jc w:val="center"/>
              <w:rPr>
                <w:noProof/>
                <w:sz w:val="20"/>
              </w:rPr>
            </w:pPr>
            <w:r>
              <w:rPr>
                <w:b/>
                <w:noProof/>
                <w:sz w:val="20"/>
              </w:rPr>
              <w:t>2021 г.</w:t>
            </w:r>
          </w:p>
        </w:tc>
        <w:tc>
          <w:tcPr>
            <w:tcW w:w="868" w:type="dxa"/>
            <w:vAlign w:val="center"/>
          </w:tcPr>
          <w:p>
            <w:pPr>
              <w:jc w:val="center"/>
              <w:rPr>
                <w:noProof/>
                <w:sz w:val="20"/>
              </w:rPr>
            </w:pPr>
            <w:r>
              <w:rPr>
                <w:b/>
                <w:noProof/>
                <w:sz w:val="20"/>
              </w:rPr>
              <w:t>2022 г.</w:t>
            </w:r>
          </w:p>
        </w:tc>
        <w:tc>
          <w:tcPr>
            <w:tcW w:w="868" w:type="dxa"/>
            <w:vAlign w:val="center"/>
          </w:tcPr>
          <w:p>
            <w:pPr>
              <w:jc w:val="center"/>
              <w:rPr>
                <w:noProof/>
                <w:sz w:val="20"/>
              </w:rPr>
            </w:pPr>
            <w:r>
              <w:rPr>
                <w:b/>
                <w:noProof/>
                <w:sz w:val="20"/>
              </w:rPr>
              <w:t>2023 г.</w:t>
            </w:r>
          </w:p>
        </w:tc>
        <w:tc>
          <w:tcPr>
            <w:tcW w:w="868" w:type="dxa"/>
            <w:vAlign w:val="center"/>
          </w:tcPr>
          <w:p>
            <w:pPr>
              <w:jc w:val="center"/>
              <w:rPr>
                <w:b/>
                <w:noProof/>
                <w:sz w:val="18"/>
              </w:rPr>
            </w:pPr>
            <w:r>
              <w:rPr>
                <w:b/>
                <w:noProof/>
                <w:sz w:val="20"/>
              </w:rPr>
              <w:t>2024 г.</w:t>
            </w:r>
          </w:p>
        </w:tc>
        <w:tc>
          <w:tcPr>
            <w:tcW w:w="881" w:type="dxa"/>
          </w:tcPr>
          <w:p>
            <w:pPr>
              <w:jc w:val="center"/>
              <w:rPr>
                <w:b/>
                <w:noProof/>
                <w:sz w:val="20"/>
              </w:rPr>
            </w:pPr>
            <w:r>
              <w:rPr>
                <w:b/>
                <w:noProof/>
                <w:sz w:val="20"/>
              </w:rPr>
              <w:t>2025 г.</w:t>
            </w:r>
          </w:p>
        </w:tc>
        <w:tc>
          <w:tcPr>
            <w:tcW w:w="2673" w:type="dxa"/>
            <w:vAlign w:val="center"/>
          </w:tcPr>
          <w:p>
            <w:pPr>
              <w:jc w:val="center"/>
              <w:rPr>
                <w:b/>
                <w:noProof/>
                <w:sz w:val="20"/>
              </w:rPr>
            </w:pPr>
            <w:r>
              <w:rPr>
                <w:b/>
                <w:noProof/>
                <w:sz w:val="20"/>
              </w:rPr>
              <w:t>ОБЩО</w:t>
            </w:r>
          </w:p>
        </w:tc>
      </w:tr>
      <w:tr>
        <w:trPr>
          <w:gridAfter w:val="8"/>
          <w:wAfter w:w="8211" w:type="dxa"/>
        </w:trPr>
        <w:tc>
          <w:tcPr>
            <w:tcW w:w="3960" w:type="dxa"/>
            <w:vAlign w:val="center"/>
          </w:tcPr>
          <w:p>
            <w:pPr>
              <w:spacing w:before="60" w:after="60"/>
              <w:jc w:val="center"/>
              <w:rPr>
                <w:noProof/>
              </w:rPr>
            </w:pPr>
            <w:r>
              <w:rPr>
                <w:noProof/>
                <w:sz w:val="22"/>
              </w:rPr>
              <w:t>ГД: „Морско дело и рибарство“</w:t>
            </w:r>
          </w:p>
        </w:tc>
        <w:tc>
          <w:tcPr>
            <w:tcW w:w="1777" w:type="dxa"/>
            <w:gridSpan w:val="2"/>
          </w:tcPr>
          <w:p>
            <w:pPr>
              <w:spacing w:before="60" w:after="60"/>
              <w:jc w:val="center"/>
              <w:rPr>
                <w:noProof/>
                <w:sz w:val="22"/>
              </w:rPr>
            </w:pPr>
          </w:p>
        </w:tc>
      </w:tr>
      <w:tr>
        <w:trPr>
          <w:trHeight w:val="313"/>
        </w:trPr>
        <w:tc>
          <w:tcPr>
            <w:tcW w:w="6054" w:type="dxa"/>
            <w:gridSpan w:val="4"/>
            <w:vAlign w:val="center"/>
          </w:tcPr>
          <w:p>
            <w:pPr>
              <w:spacing w:before="20" w:after="20"/>
              <w:rPr>
                <w:noProof/>
              </w:rPr>
            </w:pPr>
            <w:r>
              <w:rPr>
                <w:noProof/>
                <w:sz w:val="22"/>
              </w:rPr>
              <w:sym w:font="Wingdings" w:char="F09F"/>
            </w:r>
            <w:r>
              <w:rPr>
                <w:noProof/>
              </w:rPr>
              <w:t xml:space="preserve"> </w:t>
            </w:r>
            <w:r>
              <w:rPr>
                <w:noProof/>
                <w:sz w:val="22"/>
              </w:rPr>
              <w:t>Човешки ресурси</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b/>
                <w:noProof/>
                <w:sz w:val="20"/>
              </w:rPr>
            </w:pPr>
          </w:p>
        </w:tc>
        <w:tc>
          <w:tcPr>
            <w:tcW w:w="881" w:type="dxa"/>
          </w:tcPr>
          <w:p>
            <w:pPr>
              <w:spacing w:before="20" w:after="20"/>
              <w:jc w:val="right"/>
              <w:rPr>
                <w:b/>
                <w:noProof/>
                <w:sz w:val="20"/>
              </w:rPr>
            </w:pPr>
          </w:p>
        </w:tc>
        <w:tc>
          <w:tcPr>
            <w:tcW w:w="2673" w:type="dxa"/>
            <w:vAlign w:val="center"/>
          </w:tcPr>
          <w:p>
            <w:pPr>
              <w:spacing w:before="20" w:after="20"/>
              <w:jc w:val="right"/>
              <w:rPr>
                <w:b/>
                <w:noProof/>
                <w:sz w:val="20"/>
              </w:rPr>
            </w:pPr>
          </w:p>
        </w:tc>
      </w:tr>
      <w:tr>
        <w:trPr>
          <w:trHeight w:val="351"/>
        </w:trPr>
        <w:tc>
          <w:tcPr>
            <w:tcW w:w="6054" w:type="dxa"/>
            <w:gridSpan w:val="4"/>
            <w:vAlign w:val="center"/>
          </w:tcPr>
          <w:p>
            <w:pPr>
              <w:spacing w:before="20" w:after="20"/>
              <w:rPr>
                <w:noProof/>
              </w:rPr>
            </w:pPr>
            <w:r>
              <w:rPr>
                <w:noProof/>
                <w:sz w:val="22"/>
              </w:rPr>
              <w:sym w:font="Wingdings" w:char="F09F"/>
            </w:r>
            <w:r>
              <w:rPr>
                <w:noProof/>
              </w:rPr>
              <w:t xml:space="preserve"> </w:t>
            </w:r>
            <w:r>
              <w:rPr>
                <w:noProof/>
                <w:sz w:val="22"/>
              </w:rPr>
              <w:t>Други административни разходи</w:t>
            </w: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81" w:type="dxa"/>
          </w:tcPr>
          <w:p>
            <w:pPr>
              <w:spacing w:before="20" w:after="20"/>
              <w:jc w:val="right"/>
              <w:rPr>
                <w:b/>
                <w:noProof/>
                <w:sz w:val="20"/>
              </w:rPr>
            </w:pPr>
          </w:p>
        </w:tc>
        <w:tc>
          <w:tcPr>
            <w:tcW w:w="2673" w:type="dxa"/>
            <w:vAlign w:val="center"/>
          </w:tcPr>
          <w:p>
            <w:pPr>
              <w:spacing w:before="20" w:after="20"/>
              <w:jc w:val="right"/>
              <w:rPr>
                <w:b/>
                <w:noProof/>
                <w:sz w:val="20"/>
              </w:rPr>
            </w:pPr>
          </w:p>
        </w:tc>
      </w:tr>
      <w:tr>
        <w:tc>
          <w:tcPr>
            <w:tcW w:w="3960" w:type="dxa"/>
            <w:vAlign w:val="center"/>
          </w:tcPr>
          <w:p>
            <w:pPr>
              <w:jc w:val="center"/>
              <w:rPr>
                <w:b/>
                <w:noProof/>
              </w:rPr>
            </w:pPr>
            <w:r>
              <w:rPr>
                <w:b/>
                <w:noProof/>
                <w:sz w:val="22"/>
              </w:rPr>
              <w:t>ОБЩО ГД</w:t>
            </w:r>
            <w:r>
              <w:rPr>
                <w:noProof/>
                <w:sz w:val="22"/>
              </w:rPr>
              <w:t xml:space="preserve"> „Морско дело и рибарство“</w:t>
            </w:r>
          </w:p>
        </w:tc>
        <w:tc>
          <w:tcPr>
            <w:tcW w:w="2094" w:type="dxa"/>
            <w:gridSpan w:val="3"/>
            <w:vAlign w:val="center"/>
          </w:tcPr>
          <w:p>
            <w:pPr>
              <w:rPr>
                <w:noProof/>
                <w:sz w:val="14"/>
              </w:rPr>
            </w:pPr>
            <w:r>
              <w:rPr>
                <w:noProof/>
                <w:sz w:val="18"/>
              </w:rPr>
              <w:t xml:space="preserve">Бюджетни кредити </w:t>
            </w:r>
          </w:p>
        </w:tc>
        <w:tc>
          <w:tcPr>
            <w:tcW w:w="868" w:type="dxa"/>
            <w:vAlign w:val="center"/>
          </w:tcPr>
          <w:p>
            <w:pPr>
              <w:spacing w:before="60" w:after="6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b/>
                <w:noProof/>
                <w:sz w:val="20"/>
              </w:rPr>
            </w:pPr>
          </w:p>
        </w:tc>
        <w:tc>
          <w:tcPr>
            <w:tcW w:w="881" w:type="dxa"/>
          </w:tcPr>
          <w:p>
            <w:pPr>
              <w:spacing w:before="20" w:after="20"/>
              <w:jc w:val="right"/>
              <w:rPr>
                <w:b/>
                <w:noProof/>
                <w:sz w:val="20"/>
              </w:rPr>
            </w:pPr>
          </w:p>
        </w:tc>
        <w:tc>
          <w:tcPr>
            <w:tcW w:w="2673" w:type="dxa"/>
            <w:vAlign w:val="center"/>
          </w:tcPr>
          <w:p>
            <w:pPr>
              <w:spacing w:before="20" w:after="20"/>
              <w:jc w:val="right"/>
              <w:rPr>
                <w:b/>
                <w:noProof/>
                <w:sz w:val="20"/>
              </w:rPr>
            </w:pPr>
          </w:p>
        </w:tc>
      </w:tr>
    </w:tbl>
    <w:p>
      <w:pPr>
        <w:rPr>
          <w:noProof/>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2094"/>
        <w:gridCol w:w="868"/>
        <w:gridCol w:w="868"/>
        <w:gridCol w:w="868"/>
        <w:gridCol w:w="868"/>
        <w:gridCol w:w="868"/>
        <w:gridCol w:w="881"/>
      </w:tblGrid>
      <w:tr>
        <w:tc>
          <w:tcPr>
            <w:tcW w:w="3960" w:type="dxa"/>
            <w:shd w:val="thinDiagStripe" w:color="C0C0C0" w:fill="auto"/>
            <w:vAlign w:val="center"/>
          </w:tcPr>
          <w:p>
            <w:pPr>
              <w:jc w:val="center"/>
              <w:rPr>
                <w:b/>
                <w:noProof/>
              </w:rPr>
            </w:pPr>
            <w:r>
              <w:rPr>
                <w:b/>
                <w:noProof/>
                <w:sz w:val="22"/>
              </w:rPr>
              <w:t>ОБЩО бюджетни кредити</w:t>
            </w:r>
            <w:r>
              <w:rPr>
                <w:noProof/>
                <w:sz w:val="22"/>
              </w:rPr>
              <w:br/>
            </w:r>
            <w:r>
              <w:rPr>
                <w:b/>
                <w:noProof/>
                <w:sz w:val="22"/>
              </w:rPr>
              <w:t>за ФУНКЦИЯ 5</w:t>
            </w:r>
            <w:r>
              <w:rPr>
                <w:noProof/>
                <w:sz w:val="22"/>
              </w:rPr>
              <w:br/>
              <w:t>от многогодишната финансова рамка</w:t>
            </w:r>
            <w:r>
              <w:rPr>
                <w:b/>
                <w:noProof/>
                <w:sz w:val="22"/>
              </w:rPr>
              <w:t xml:space="preserve"> </w:t>
            </w:r>
          </w:p>
        </w:tc>
        <w:tc>
          <w:tcPr>
            <w:tcW w:w="2094" w:type="dxa"/>
            <w:vAlign w:val="center"/>
          </w:tcPr>
          <w:p>
            <w:pPr>
              <w:spacing w:before="40" w:after="40"/>
              <w:rPr>
                <w:noProof/>
              </w:rPr>
            </w:pPr>
            <w:r>
              <w:rPr>
                <w:noProof/>
                <w:sz w:val="18"/>
              </w:rPr>
              <w:t>(Общо поети задължения = Общо плащания)</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81" w:type="dxa"/>
            <w:vAlign w:val="center"/>
          </w:tcPr>
          <w:p>
            <w:pPr>
              <w:spacing w:before="20" w:after="20"/>
              <w:jc w:val="right"/>
              <w:rPr>
                <w:b/>
                <w:noProof/>
                <w:sz w:val="20"/>
              </w:rPr>
            </w:pPr>
          </w:p>
        </w:tc>
      </w:tr>
    </w:tbl>
    <w:p>
      <w:pPr>
        <w:jc w:val="right"/>
        <w:rPr>
          <w:noProof/>
          <w:sz w:val="20"/>
        </w:rPr>
      </w:pPr>
      <w:r>
        <w:rPr>
          <w:noProof/>
          <w:sz w:val="20"/>
        </w:rPr>
        <w:t>млн. евро (до 3-тия знак след десетичната запетая)</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560"/>
        <w:gridCol w:w="534"/>
        <w:gridCol w:w="868"/>
        <w:gridCol w:w="868"/>
        <w:gridCol w:w="868"/>
        <w:gridCol w:w="868"/>
        <w:gridCol w:w="868"/>
        <w:gridCol w:w="881"/>
        <w:gridCol w:w="2673"/>
      </w:tblGrid>
      <w:tr>
        <w:tc>
          <w:tcPr>
            <w:tcW w:w="3960" w:type="dxa"/>
            <w:tcBorders>
              <w:top w:val="nil"/>
              <w:left w:val="nil"/>
              <w:right w:val="nil"/>
            </w:tcBorders>
            <w:vAlign w:val="center"/>
          </w:tcPr>
          <w:p>
            <w:pPr>
              <w:jc w:val="center"/>
              <w:rPr>
                <w:noProof/>
              </w:rPr>
            </w:pPr>
          </w:p>
        </w:tc>
        <w:tc>
          <w:tcPr>
            <w:tcW w:w="1560" w:type="dxa"/>
            <w:tcBorders>
              <w:top w:val="nil"/>
              <w:left w:val="nil"/>
              <w:right w:val="nil"/>
            </w:tcBorders>
          </w:tcPr>
          <w:p>
            <w:pPr>
              <w:rPr>
                <w:noProof/>
                <w:sz w:val="20"/>
              </w:rPr>
            </w:pPr>
          </w:p>
        </w:tc>
        <w:tc>
          <w:tcPr>
            <w:tcW w:w="534" w:type="dxa"/>
            <w:tcBorders>
              <w:top w:val="nil"/>
              <w:left w:val="nil"/>
            </w:tcBorders>
          </w:tcPr>
          <w:p>
            <w:pPr>
              <w:jc w:val="center"/>
              <w:rPr>
                <w:noProof/>
                <w:sz w:val="20"/>
              </w:rPr>
            </w:pPr>
          </w:p>
        </w:tc>
        <w:tc>
          <w:tcPr>
            <w:tcW w:w="868" w:type="dxa"/>
            <w:vAlign w:val="center"/>
          </w:tcPr>
          <w:p>
            <w:pPr>
              <w:jc w:val="center"/>
              <w:rPr>
                <w:noProof/>
                <w:sz w:val="20"/>
              </w:rPr>
            </w:pPr>
            <w:r>
              <w:rPr>
                <w:b/>
                <w:noProof/>
                <w:sz w:val="20"/>
              </w:rPr>
              <w:t>2020 г.</w:t>
            </w:r>
          </w:p>
        </w:tc>
        <w:tc>
          <w:tcPr>
            <w:tcW w:w="868" w:type="dxa"/>
            <w:vAlign w:val="center"/>
          </w:tcPr>
          <w:p>
            <w:pPr>
              <w:jc w:val="center"/>
              <w:rPr>
                <w:noProof/>
                <w:sz w:val="20"/>
              </w:rPr>
            </w:pPr>
            <w:r>
              <w:rPr>
                <w:b/>
                <w:noProof/>
                <w:sz w:val="20"/>
              </w:rPr>
              <w:t>2021 г.</w:t>
            </w:r>
          </w:p>
        </w:tc>
        <w:tc>
          <w:tcPr>
            <w:tcW w:w="868" w:type="dxa"/>
            <w:vAlign w:val="center"/>
          </w:tcPr>
          <w:p>
            <w:pPr>
              <w:jc w:val="center"/>
              <w:rPr>
                <w:noProof/>
                <w:sz w:val="20"/>
              </w:rPr>
            </w:pPr>
            <w:r>
              <w:rPr>
                <w:b/>
                <w:noProof/>
                <w:sz w:val="20"/>
              </w:rPr>
              <w:t>2022 г.</w:t>
            </w:r>
          </w:p>
        </w:tc>
        <w:tc>
          <w:tcPr>
            <w:tcW w:w="868" w:type="dxa"/>
            <w:vAlign w:val="center"/>
          </w:tcPr>
          <w:p>
            <w:pPr>
              <w:jc w:val="center"/>
              <w:rPr>
                <w:noProof/>
                <w:sz w:val="20"/>
              </w:rPr>
            </w:pPr>
            <w:r>
              <w:rPr>
                <w:b/>
                <w:noProof/>
                <w:sz w:val="20"/>
              </w:rPr>
              <w:t>2023 г.</w:t>
            </w:r>
          </w:p>
        </w:tc>
        <w:tc>
          <w:tcPr>
            <w:tcW w:w="868" w:type="dxa"/>
            <w:vAlign w:val="center"/>
          </w:tcPr>
          <w:p>
            <w:pPr>
              <w:jc w:val="center"/>
              <w:rPr>
                <w:b/>
                <w:noProof/>
                <w:sz w:val="18"/>
              </w:rPr>
            </w:pPr>
            <w:r>
              <w:rPr>
                <w:b/>
                <w:noProof/>
                <w:sz w:val="20"/>
              </w:rPr>
              <w:t>2024 г.</w:t>
            </w:r>
          </w:p>
        </w:tc>
        <w:tc>
          <w:tcPr>
            <w:tcW w:w="881" w:type="dxa"/>
          </w:tcPr>
          <w:p>
            <w:pPr>
              <w:jc w:val="center"/>
              <w:rPr>
                <w:b/>
                <w:noProof/>
                <w:sz w:val="20"/>
              </w:rPr>
            </w:pPr>
            <w:r>
              <w:rPr>
                <w:b/>
                <w:noProof/>
                <w:sz w:val="20"/>
              </w:rPr>
              <w:t>2025 г.</w:t>
            </w:r>
          </w:p>
        </w:tc>
        <w:tc>
          <w:tcPr>
            <w:tcW w:w="2673" w:type="dxa"/>
            <w:vAlign w:val="center"/>
          </w:tcPr>
          <w:p>
            <w:pPr>
              <w:jc w:val="center"/>
              <w:rPr>
                <w:b/>
                <w:noProof/>
                <w:sz w:val="20"/>
              </w:rPr>
            </w:pPr>
            <w:r>
              <w:rPr>
                <w:b/>
                <w:noProof/>
                <w:sz w:val="20"/>
              </w:rPr>
              <w:t>ОБЩО</w:t>
            </w:r>
          </w:p>
        </w:tc>
      </w:tr>
      <w:tr>
        <w:tc>
          <w:tcPr>
            <w:tcW w:w="3960" w:type="dxa"/>
            <w:vMerge w:val="restart"/>
            <w:shd w:val="clear" w:color="auto" w:fill="C0C0C0"/>
            <w:vAlign w:val="center"/>
          </w:tcPr>
          <w:p>
            <w:pPr>
              <w:jc w:val="center"/>
              <w:rPr>
                <w:b/>
                <w:noProof/>
              </w:rPr>
            </w:pPr>
            <w:r>
              <w:rPr>
                <w:b/>
                <w:noProof/>
                <w:sz w:val="22"/>
              </w:rPr>
              <w:t>ОБЩО бюджетни кредити</w:t>
            </w:r>
            <w:r>
              <w:rPr>
                <w:noProof/>
                <w:sz w:val="22"/>
              </w:rPr>
              <w:br/>
            </w:r>
            <w:r>
              <w:rPr>
                <w:b/>
                <w:noProof/>
                <w:sz w:val="22"/>
              </w:rPr>
              <w:t>за ФУНКЦИИ 1—5</w:t>
            </w:r>
            <w:r>
              <w:rPr>
                <w:noProof/>
                <w:sz w:val="22"/>
              </w:rPr>
              <w:br/>
              <w:t>от многогодишната финансова рамка</w:t>
            </w:r>
            <w:r>
              <w:rPr>
                <w:b/>
                <w:noProof/>
                <w:sz w:val="22"/>
              </w:rPr>
              <w:t xml:space="preserve"> </w:t>
            </w:r>
          </w:p>
        </w:tc>
        <w:tc>
          <w:tcPr>
            <w:tcW w:w="2094" w:type="dxa"/>
            <w:gridSpan w:val="2"/>
            <w:vAlign w:val="center"/>
          </w:tcPr>
          <w:p>
            <w:pPr>
              <w:rPr>
                <w:noProof/>
                <w:sz w:val="14"/>
              </w:rPr>
            </w:pPr>
            <w:r>
              <w:rPr>
                <w:noProof/>
                <w:sz w:val="18"/>
              </w:rPr>
              <w:t>Поети задължения</w:t>
            </w:r>
          </w:p>
        </w:tc>
        <w:tc>
          <w:tcPr>
            <w:tcW w:w="868" w:type="dxa"/>
            <w:vAlign w:val="center"/>
          </w:tcPr>
          <w:p>
            <w:pPr>
              <w:spacing w:before="60" w:after="60"/>
              <w:jc w:val="right"/>
              <w:rPr>
                <w:noProof/>
                <w:sz w:val="20"/>
              </w:rPr>
            </w:pPr>
            <w:r>
              <w:rPr>
                <w:noProof/>
                <w:sz w:val="20"/>
              </w:rPr>
              <w:t>5,30</w:t>
            </w:r>
          </w:p>
        </w:tc>
        <w:tc>
          <w:tcPr>
            <w:tcW w:w="868" w:type="dxa"/>
            <w:vAlign w:val="center"/>
          </w:tcPr>
          <w:p>
            <w:pPr>
              <w:spacing w:before="60" w:after="60"/>
              <w:jc w:val="right"/>
              <w:rPr>
                <w:noProof/>
                <w:sz w:val="20"/>
              </w:rPr>
            </w:pPr>
            <w:r>
              <w:rPr>
                <w:noProof/>
                <w:sz w:val="20"/>
              </w:rPr>
              <w:t>5,30</w:t>
            </w:r>
          </w:p>
        </w:tc>
        <w:tc>
          <w:tcPr>
            <w:tcW w:w="868" w:type="dxa"/>
            <w:vAlign w:val="center"/>
          </w:tcPr>
          <w:p>
            <w:pPr>
              <w:spacing w:before="60" w:after="60"/>
              <w:jc w:val="right"/>
              <w:rPr>
                <w:noProof/>
                <w:sz w:val="20"/>
              </w:rPr>
            </w:pPr>
            <w:r>
              <w:rPr>
                <w:noProof/>
                <w:sz w:val="20"/>
              </w:rPr>
              <w:t>5,30</w:t>
            </w:r>
          </w:p>
        </w:tc>
        <w:tc>
          <w:tcPr>
            <w:tcW w:w="868" w:type="dxa"/>
            <w:vAlign w:val="center"/>
          </w:tcPr>
          <w:p>
            <w:pPr>
              <w:spacing w:before="60" w:after="60"/>
              <w:jc w:val="right"/>
              <w:rPr>
                <w:noProof/>
                <w:sz w:val="20"/>
              </w:rPr>
            </w:pPr>
            <w:r>
              <w:rPr>
                <w:noProof/>
                <w:sz w:val="20"/>
              </w:rPr>
              <w:t>5,30</w:t>
            </w:r>
          </w:p>
        </w:tc>
        <w:tc>
          <w:tcPr>
            <w:tcW w:w="868" w:type="dxa"/>
            <w:vAlign w:val="center"/>
          </w:tcPr>
          <w:p>
            <w:pPr>
              <w:spacing w:before="60" w:after="60"/>
              <w:jc w:val="right"/>
              <w:rPr>
                <w:b/>
                <w:noProof/>
                <w:sz w:val="20"/>
              </w:rPr>
            </w:pPr>
            <w:r>
              <w:rPr>
                <w:noProof/>
                <w:sz w:val="20"/>
              </w:rPr>
              <w:t>5,30</w:t>
            </w:r>
          </w:p>
        </w:tc>
        <w:tc>
          <w:tcPr>
            <w:tcW w:w="881" w:type="dxa"/>
          </w:tcPr>
          <w:p>
            <w:pPr>
              <w:spacing w:before="60" w:after="60"/>
              <w:jc w:val="right"/>
              <w:rPr>
                <w:b/>
                <w:noProof/>
                <w:sz w:val="20"/>
              </w:rPr>
            </w:pPr>
            <w:r>
              <w:rPr>
                <w:noProof/>
                <w:sz w:val="20"/>
              </w:rPr>
              <w:t>5,30</w:t>
            </w:r>
          </w:p>
        </w:tc>
        <w:tc>
          <w:tcPr>
            <w:tcW w:w="2673" w:type="dxa"/>
            <w:vAlign w:val="center"/>
          </w:tcPr>
          <w:p>
            <w:pPr>
              <w:spacing w:before="60" w:after="60"/>
              <w:jc w:val="right"/>
              <w:rPr>
                <w:b/>
                <w:noProof/>
                <w:sz w:val="20"/>
              </w:rPr>
            </w:pPr>
            <w:r>
              <w:rPr>
                <w:b/>
                <w:noProof/>
                <w:sz w:val="20"/>
              </w:rPr>
              <w:t>31,8</w:t>
            </w:r>
          </w:p>
        </w:tc>
      </w:tr>
      <w:tr>
        <w:tc>
          <w:tcPr>
            <w:tcW w:w="3960" w:type="dxa"/>
            <w:vMerge/>
            <w:shd w:val="clear" w:color="auto" w:fill="C0C0C0"/>
          </w:tcPr>
          <w:p>
            <w:pPr>
              <w:rPr>
                <w:noProof/>
                <w:sz w:val="20"/>
              </w:rPr>
            </w:pPr>
          </w:p>
        </w:tc>
        <w:tc>
          <w:tcPr>
            <w:tcW w:w="2094" w:type="dxa"/>
            <w:gridSpan w:val="2"/>
            <w:vAlign w:val="center"/>
          </w:tcPr>
          <w:p>
            <w:pPr>
              <w:rPr>
                <w:noProof/>
                <w:sz w:val="14"/>
              </w:rPr>
            </w:pPr>
            <w:r>
              <w:rPr>
                <w:noProof/>
                <w:sz w:val="18"/>
              </w:rPr>
              <w:t>Плащания</w:t>
            </w:r>
          </w:p>
        </w:tc>
        <w:tc>
          <w:tcPr>
            <w:tcW w:w="868" w:type="dxa"/>
            <w:vAlign w:val="center"/>
          </w:tcPr>
          <w:p>
            <w:pPr>
              <w:spacing w:before="60" w:after="60"/>
              <w:jc w:val="right"/>
              <w:rPr>
                <w:noProof/>
                <w:sz w:val="20"/>
              </w:rPr>
            </w:pPr>
            <w:r>
              <w:rPr>
                <w:noProof/>
                <w:sz w:val="20"/>
              </w:rPr>
              <w:t>5,30</w:t>
            </w:r>
          </w:p>
        </w:tc>
        <w:tc>
          <w:tcPr>
            <w:tcW w:w="868" w:type="dxa"/>
            <w:vAlign w:val="center"/>
          </w:tcPr>
          <w:p>
            <w:pPr>
              <w:spacing w:before="60" w:after="60"/>
              <w:jc w:val="right"/>
              <w:rPr>
                <w:noProof/>
                <w:sz w:val="20"/>
              </w:rPr>
            </w:pPr>
            <w:r>
              <w:rPr>
                <w:noProof/>
                <w:sz w:val="20"/>
              </w:rPr>
              <w:t>5,30</w:t>
            </w:r>
          </w:p>
        </w:tc>
        <w:tc>
          <w:tcPr>
            <w:tcW w:w="868" w:type="dxa"/>
            <w:vAlign w:val="center"/>
          </w:tcPr>
          <w:p>
            <w:pPr>
              <w:spacing w:before="60" w:after="60"/>
              <w:jc w:val="right"/>
              <w:rPr>
                <w:noProof/>
                <w:sz w:val="20"/>
              </w:rPr>
            </w:pPr>
            <w:r>
              <w:rPr>
                <w:noProof/>
                <w:sz w:val="20"/>
              </w:rPr>
              <w:t>5,30</w:t>
            </w:r>
          </w:p>
        </w:tc>
        <w:tc>
          <w:tcPr>
            <w:tcW w:w="868" w:type="dxa"/>
            <w:vAlign w:val="center"/>
          </w:tcPr>
          <w:p>
            <w:pPr>
              <w:spacing w:before="60" w:after="60"/>
              <w:jc w:val="right"/>
              <w:rPr>
                <w:noProof/>
                <w:sz w:val="20"/>
              </w:rPr>
            </w:pPr>
            <w:r>
              <w:rPr>
                <w:noProof/>
                <w:sz w:val="20"/>
              </w:rPr>
              <w:t>5,30</w:t>
            </w:r>
          </w:p>
        </w:tc>
        <w:tc>
          <w:tcPr>
            <w:tcW w:w="868" w:type="dxa"/>
            <w:vAlign w:val="center"/>
          </w:tcPr>
          <w:p>
            <w:pPr>
              <w:spacing w:before="60" w:after="60"/>
              <w:jc w:val="right"/>
              <w:rPr>
                <w:b/>
                <w:noProof/>
                <w:sz w:val="20"/>
              </w:rPr>
            </w:pPr>
            <w:r>
              <w:rPr>
                <w:noProof/>
                <w:sz w:val="20"/>
              </w:rPr>
              <w:t>5,30</w:t>
            </w:r>
          </w:p>
        </w:tc>
        <w:tc>
          <w:tcPr>
            <w:tcW w:w="881" w:type="dxa"/>
          </w:tcPr>
          <w:p>
            <w:pPr>
              <w:spacing w:before="60" w:after="60"/>
              <w:jc w:val="right"/>
              <w:rPr>
                <w:b/>
                <w:noProof/>
                <w:sz w:val="20"/>
              </w:rPr>
            </w:pPr>
            <w:r>
              <w:rPr>
                <w:noProof/>
                <w:sz w:val="20"/>
              </w:rPr>
              <w:t>5,30</w:t>
            </w:r>
          </w:p>
        </w:tc>
        <w:tc>
          <w:tcPr>
            <w:tcW w:w="2673" w:type="dxa"/>
            <w:vAlign w:val="center"/>
          </w:tcPr>
          <w:p>
            <w:pPr>
              <w:spacing w:before="60" w:after="60"/>
              <w:jc w:val="right"/>
              <w:rPr>
                <w:b/>
                <w:noProof/>
                <w:sz w:val="20"/>
              </w:rPr>
            </w:pPr>
            <w:r>
              <w:rPr>
                <w:b/>
                <w:noProof/>
                <w:sz w:val="20"/>
              </w:rPr>
              <w:t>31,8</w:t>
            </w:r>
          </w:p>
        </w:tc>
      </w:tr>
    </w:tbl>
    <w:p>
      <w:pPr>
        <w:rPr>
          <w:noProof/>
        </w:rPr>
      </w:pPr>
    </w:p>
    <w:p>
      <w:pPr>
        <w:pStyle w:val="ManualHeading3"/>
        <w:rPr>
          <w:bCs/>
          <w:noProof/>
          <w:szCs w:val="24"/>
        </w:rPr>
      </w:pPr>
      <w:r>
        <w:rPr>
          <w:noProof/>
        </w:rPr>
        <w:t>3.2.2.</w:t>
      </w:r>
      <w:r>
        <w:rPr>
          <w:noProof/>
        </w:rPr>
        <w:tab/>
        <w:t xml:space="preserve">Очакван резултат, финансиран с бюджетни кредити за оперативни разходи </w:t>
      </w:r>
    </w:p>
    <w:p>
      <w:pPr>
        <w:jc w:val="right"/>
        <w:rPr>
          <w:noProof/>
          <w:sz w:val="20"/>
        </w:rPr>
      </w:pPr>
      <w:r>
        <w:rPr>
          <w:noProof/>
          <w:sz w:val="20"/>
        </w:rPr>
        <w:t>Бюджетни кредити за поети задължения в млн. евро (до 3-тия знак след десетичната запетая)</w:t>
      </w:r>
    </w:p>
    <w:p>
      <w:pPr>
        <w:rPr>
          <w:noProof/>
        </w:rPr>
      </w:pPr>
    </w:p>
    <w:p>
      <w:pPr>
        <w:rPr>
          <w:noProof/>
        </w:rPr>
      </w:pPr>
    </w:p>
    <w:tbl>
      <w:tblPr>
        <w:tblW w:w="12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
        <w:gridCol w:w="1416"/>
        <w:gridCol w:w="6"/>
        <w:gridCol w:w="888"/>
        <w:gridCol w:w="12"/>
        <w:gridCol w:w="513"/>
        <w:gridCol w:w="6"/>
        <w:gridCol w:w="147"/>
        <w:gridCol w:w="351"/>
        <w:gridCol w:w="6"/>
        <w:gridCol w:w="714"/>
        <w:gridCol w:w="6"/>
        <w:gridCol w:w="534"/>
        <w:gridCol w:w="6"/>
        <w:gridCol w:w="714"/>
        <w:gridCol w:w="6"/>
        <w:gridCol w:w="714"/>
        <w:gridCol w:w="6"/>
        <w:gridCol w:w="714"/>
        <w:gridCol w:w="6"/>
        <w:gridCol w:w="894"/>
        <w:gridCol w:w="6"/>
        <w:gridCol w:w="717"/>
        <w:gridCol w:w="6"/>
        <w:gridCol w:w="534"/>
        <w:gridCol w:w="6"/>
        <w:gridCol w:w="702"/>
        <w:gridCol w:w="12"/>
        <w:gridCol w:w="930"/>
        <w:gridCol w:w="12"/>
        <w:gridCol w:w="1272"/>
        <w:gridCol w:w="6"/>
        <w:gridCol w:w="894"/>
        <w:gridCol w:w="6"/>
        <w:gridCol w:w="12"/>
      </w:tblGrid>
      <w:tr>
        <w:trPr>
          <w:gridBefore w:val="1"/>
          <w:wBefore w:w="6" w:type="dxa"/>
          <w:jc w:val="center"/>
        </w:trPr>
        <w:tc>
          <w:tcPr>
            <w:tcW w:w="1422" w:type="dxa"/>
            <w:gridSpan w:val="2"/>
            <w:vMerge w:val="restart"/>
            <w:vAlign w:val="center"/>
          </w:tcPr>
          <w:p>
            <w:pPr>
              <w:ind w:right="-29"/>
              <w:jc w:val="center"/>
              <w:rPr>
                <w:b/>
                <w:noProof/>
                <w:sz w:val="18"/>
                <w:szCs w:val="18"/>
              </w:rPr>
            </w:pPr>
            <w:r>
              <w:rPr>
                <w:b/>
                <w:noProof/>
                <w:sz w:val="18"/>
              </w:rPr>
              <w:t xml:space="preserve">Посочете целите и резултатите </w:t>
            </w:r>
          </w:p>
          <w:p>
            <w:pPr>
              <w:ind w:right="-29"/>
              <w:jc w:val="center"/>
              <w:rPr>
                <w:b/>
                <w:noProof/>
                <w:sz w:val="18"/>
                <w:szCs w:val="18"/>
              </w:rPr>
            </w:pPr>
          </w:p>
          <w:p>
            <w:pPr>
              <w:ind w:right="-29"/>
              <w:jc w:val="center"/>
              <w:rPr>
                <w:noProof/>
                <w:sz w:val="18"/>
                <w:szCs w:val="18"/>
              </w:rPr>
            </w:pPr>
            <w:r>
              <w:rPr>
                <w:noProof/>
                <w:sz w:val="18"/>
              </w:rPr>
              <w:sym w:font="Wingdings" w:char="F0F2"/>
            </w:r>
          </w:p>
        </w:tc>
        <w:tc>
          <w:tcPr>
            <w:tcW w:w="900" w:type="dxa"/>
            <w:gridSpan w:val="2"/>
            <w:vAlign w:val="center"/>
          </w:tcPr>
          <w:p>
            <w:pPr>
              <w:ind w:right="-29"/>
              <w:jc w:val="center"/>
              <w:rPr>
                <w:noProof/>
                <w:sz w:val="18"/>
                <w:szCs w:val="18"/>
              </w:rPr>
            </w:pPr>
          </w:p>
        </w:tc>
        <w:tc>
          <w:tcPr>
            <w:tcW w:w="519" w:type="dxa"/>
            <w:gridSpan w:val="2"/>
            <w:vAlign w:val="center"/>
          </w:tcPr>
          <w:p>
            <w:pPr>
              <w:ind w:right="-29"/>
              <w:jc w:val="center"/>
              <w:rPr>
                <w:noProof/>
                <w:sz w:val="18"/>
                <w:szCs w:val="18"/>
              </w:rPr>
            </w:pPr>
          </w:p>
        </w:tc>
        <w:tc>
          <w:tcPr>
            <w:tcW w:w="1224" w:type="dxa"/>
            <w:gridSpan w:val="5"/>
            <w:tcBorders>
              <w:left w:val="nil"/>
            </w:tcBorders>
            <w:vAlign w:val="center"/>
          </w:tcPr>
          <w:p>
            <w:pPr>
              <w:ind w:right="-29"/>
              <w:jc w:val="center"/>
              <w:rPr>
                <w:noProof/>
                <w:sz w:val="18"/>
                <w:szCs w:val="18"/>
              </w:rPr>
            </w:pPr>
            <w:r>
              <w:rPr>
                <w:b/>
                <w:noProof/>
                <w:sz w:val="18"/>
              </w:rPr>
              <w:t>2020 г.</w:t>
            </w:r>
          </w:p>
        </w:tc>
        <w:tc>
          <w:tcPr>
            <w:tcW w:w="1260" w:type="dxa"/>
            <w:gridSpan w:val="4"/>
            <w:vAlign w:val="center"/>
          </w:tcPr>
          <w:p>
            <w:pPr>
              <w:ind w:right="-29"/>
              <w:jc w:val="center"/>
              <w:rPr>
                <w:noProof/>
                <w:sz w:val="18"/>
                <w:szCs w:val="18"/>
              </w:rPr>
            </w:pPr>
            <w:r>
              <w:rPr>
                <w:b/>
                <w:noProof/>
                <w:sz w:val="18"/>
              </w:rPr>
              <w:t>2021 г.</w:t>
            </w:r>
          </w:p>
        </w:tc>
        <w:tc>
          <w:tcPr>
            <w:tcW w:w="1440" w:type="dxa"/>
            <w:gridSpan w:val="4"/>
            <w:vAlign w:val="center"/>
          </w:tcPr>
          <w:p>
            <w:pPr>
              <w:ind w:right="-29"/>
              <w:jc w:val="center"/>
              <w:rPr>
                <w:noProof/>
                <w:sz w:val="18"/>
                <w:szCs w:val="18"/>
              </w:rPr>
            </w:pPr>
            <w:r>
              <w:rPr>
                <w:b/>
                <w:noProof/>
                <w:sz w:val="18"/>
              </w:rPr>
              <w:t>2022 г.</w:t>
            </w:r>
          </w:p>
        </w:tc>
        <w:tc>
          <w:tcPr>
            <w:tcW w:w="1623" w:type="dxa"/>
            <w:gridSpan w:val="4"/>
            <w:vAlign w:val="center"/>
          </w:tcPr>
          <w:p>
            <w:pPr>
              <w:ind w:right="-29"/>
              <w:jc w:val="center"/>
              <w:rPr>
                <w:noProof/>
                <w:sz w:val="18"/>
                <w:szCs w:val="18"/>
              </w:rPr>
            </w:pPr>
            <w:r>
              <w:rPr>
                <w:b/>
                <w:noProof/>
                <w:sz w:val="18"/>
              </w:rPr>
              <w:t>2023 г.</w:t>
            </w:r>
          </w:p>
        </w:tc>
        <w:tc>
          <w:tcPr>
            <w:tcW w:w="1254" w:type="dxa"/>
            <w:gridSpan w:val="4"/>
            <w:vAlign w:val="center"/>
          </w:tcPr>
          <w:p>
            <w:pPr>
              <w:jc w:val="center"/>
              <w:rPr>
                <w:noProof/>
                <w:sz w:val="18"/>
                <w:szCs w:val="18"/>
              </w:rPr>
            </w:pPr>
            <w:r>
              <w:rPr>
                <w:b/>
                <w:noProof/>
                <w:sz w:val="18"/>
              </w:rPr>
              <w:t>2024 г.</w:t>
            </w:r>
          </w:p>
        </w:tc>
        <w:tc>
          <w:tcPr>
            <w:tcW w:w="942" w:type="dxa"/>
            <w:gridSpan w:val="2"/>
            <w:tcBorders>
              <w:right w:val="nil"/>
            </w:tcBorders>
          </w:tcPr>
          <w:p>
            <w:pPr>
              <w:ind w:right="-29"/>
              <w:jc w:val="center"/>
              <w:rPr>
                <w:b/>
                <w:noProof/>
                <w:sz w:val="18"/>
              </w:rPr>
            </w:pPr>
            <w:r>
              <w:rPr>
                <w:b/>
                <w:noProof/>
                <w:sz w:val="18"/>
              </w:rPr>
              <w:t>2025 г.</w:t>
            </w:r>
          </w:p>
        </w:tc>
        <w:tc>
          <w:tcPr>
            <w:tcW w:w="2190" w:type="dxa"/>
            <w:gridSpan w:val="5"/>
            <w:tcBorders>
              <w:left w:val="nil"/>
              <w:bottom w:val="nil"/>
            </w:tcBorders>
            <w:vAlign w:val="center"/>
          </w:tcPr>
          <w:p>
            <w:pPr>
              <w:ind w:right="-29"/>
              <w:jc w:val="center"/>
              <w:rPr>
                <w:noProof/>
                <w:sz w:val="18"/>
                <w:szCs w:val="18"/>
              </w:rPr>
            </w:pPr>
            <w:r>
              <w:rPr>
                <w:b/>
                <w:noProof/>
                <w:sz w:val="18"/>
              </w:rPr>
              <w:t>ОБЩО</w:t>
            </w:r>
          </w:p>
        </w:tc>
      </w:tr>
      <w:tr>
        <w:trPr>
          <w:gridBefore w:val="1"/>
          <w:gridAfter w:val="27"/>
          <w:wBefore w:w="6" w:type="dxa"/>
          <w:wAfter w:w="9786" w:type="dxa"/>
          <w:trHeight w:val="465"/>
          <w:jc w:val="center"/>
        </w:trPr>
        <w:tc>
          <w:tcPr>
            <w:tcW w:w="1422" w:type="dxa"/>
            <w:gridSpan w:val="2"/>
            <w:vMerge/>
            <w:vAlign w:val="center"/>
          </w:tcPr>
          <w:p>
            <w:pPr>
              <w:ind w:right="-29"/>
              <w:jc w:val="center"/>
              <w:rPr>
                <w:noProof/>
                <w:sz w:val="18"/>
                <w:szCs w:val="18"/>
              </w:rPr>
            </w:pPr>
          </w:p>
        </w:tc>
        <w:tc>
          <w:tcPr>
            <w:tcW w:w="1566" w:type="dxa"/>
            <w:gridSpan w:val="5"/>
          </w:tcPr>
          <w:p>
            <w:pPr>
              <w:ind w:right="-29"/>
              <w:jc w:val="center"/>
              <w:rPr>
                <w:noProof/>
                <w:sz w:val="18"/>
                <w:szCs w:val="18"/>
              </w:rPr>
            </w:pPr>
          </w:p>
        </w:tc>
      </w:tr>
      <w:tr>
        <w:trPr>
          <w:gridBefore w:val="1"/>
          <w:gridAfter w:val="1"/>
          <w:wBefore w:w="6" w:type="dxa"/>
          <w:wAfter w:w="12" w:type="dxa"/>
          <w:cantSplit/>
          <w:trHeight w:val="1134"/>
          <w:jc w:val="center"/>
        </w:trPr>
        <w:tc>
          <w:tcPr>
            <w:tcW w:w="1422" w:type="dxa"/>
            <w:gridSpan w:val="2"/>
            <w:vMerge/>
            <w:vAlign w:val="center"/>
          </w:tcPr>
          <w:p>
            <w:pPr>
              <w:rPr>
                <w:noProof/>
                <w:sz w:val="18"/>
                <w:szCs w:val="18"/>
              </w:rPr>
            </w:pPr>
          </w:p>
        </w:tc>
        <w:tc>
          <w:tcPr>
            <w:tcW w:w="900" w:type="dxa"/>
            <w:gridSpan w:val="2"/>
            <w:vAlign w:val="center"/>
          </w:tcPr>
          <w:p>
            <w:pPr>
              <w:jc w:val="center"/>
              <w:rPr>
                <w:noProof/>
                <w:sz w:val="18"/>
                <w:szCs w:val="18"/>
              </w:rPr>
            </w:pPr>
            <w:r>
              <w:rPr>
                <w:noProof/>
                <w:sz w:val="18"/>
              </w:rPr>
              <w:t>Вид</w:t>
            </w:r>
            <w:r>
              <w:rPr>
                <w:rStyle w:val="FootnoteReference"/>
                <w:noProof/>
                <w:sz w:val="18"/>
              </w:rPr>
              <w:footnoteReference w:id="14"/>
            </w:r>
          </w:p>
          <w:p>
            <w:pPr>
              <w:spacing w:before="0" w:after="0"/>
              <w:jc w:val="center"/>
              <w:rPr>
                <w:noProof/>
                <w:sz w:val="18"/>
                <w:szCs w:val="18"/>
              </w:rPr>
            </w:pPr>
          </w:p>
        </w:tc>
        <w:tc>
          <w:tcPr>
            <w:tcW w:w="519" w:type="dxa"/>
            <w:gridSpan w:val="2"/>
            <w:vAlign w:val="center"/>
          </w:tcPr>
          <w:p>
            <w:pPr>
              <w:jc w:val="center"/>
              <w:rPr>
                <w:noProof/>
                <w:sz w:val="18"/>
                <w:szCs w:val="18"/>
              </w:rPr>
            </w:pPr>
            <w:r>
              <w:rPr>
                <w:noProof/>
                <w:sz w:val="18"/>
              </w:rPr>
              <w:t>Среден разход</w:t>
            </w:r>
          </w:p>
        </w:tc>
        <w:tc>
          <w:tcPr>
            <w:tcW w:w="504" w:type="dxa"/>
            <w:gridSpan w:val="3"/>
            <w:tcBorders>
              <w:left w:val="nil"/>
              <w:right w:val="dashSmallGap" w:sz="4" w:space="0" w:color="auto"/>
            </w:tcBorders>
            <w:shd w:val="pct10" w:color="auto" w:fill="auto"/>
            <w:textDirection w:val="btLr"/>
            <w:vAlign w:val="center"/>
          </w:tcPr>
          <w:p>
            <w:pPr>
              <w:ind w:left="113" w:right="113"/>
              <w:jc w:val="center"/>
              <w:rPr>
                <w:noProof/>
                <w:sz w:val="18"/>
                <w:szCs w:val="18"/>
              </w:rPr>
            </w:pPr>
            <w:r>
              <w:rPr>
                <w:noProof/>
                <w:sz w:val="18"/>
              </w:rPr>
              <w:t>Номер</w:t>
            </w:r>
          </w:p>
        </w:tc>
        <w:tc>
          <w:tcPr>
            <w:tcW w:w="720" w:type="dxa"/>
            <w:gridSpan w:val="2"/>
            <w:tcBorders>
              <w:left w:val="dashSmallGap" w:sz="4" w:space="0" w:color="auto"/>
            </w:tcBorders>
            <w:shd w:val="pct10" w:color="auto" w:fill="auto"/>
            <w:vAlign w:val="center"/>
          </w:tcPr>
          <w:p>
            <w:pPr>
              <w:jc w:val="center"/>
              <w:rPr>
                <w:noProof/>
                <w:sz w:val="18"/>
                <w:szCs w:val="18"/>
              </w:rPr>
            </w:pPr>
            <w:r>
              <w:rPr>
                <w:noProof/>
                <w:sz w:val="18"/>
              </w:rPr>
              <w:t>Разход</w:t>
            </w:r>
          </w:p>
        </w:tc>
        <w:tc>
          <w:tcPr>
            <w:tcW w:w="540" w:type="dxa"/>
            <w:gridSpan w:val="2"/>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Номер</w:t>
            </w:r>
          </w:p>
        </w:tc>
        <w:tc>
          <w:tcPr>
            <w:tcW w:w="720" w:type="dxa"/>
            <w:gridSpan w:val="2"/>
            <w:tcBorders>
              <w:left w:val="dashSmallGap" w:sz="4" w:space="0" w:color="auto"/>
            </w:tcBorders>
            <w:shd w:val="pct10" w:color="auto" w:fill="auto"/>
            <w:vAlign w:val="center"/>
          </w:tcPr>
          <w:p>
            <w:pPr>
              <w:jc w:val="center"/>
              <w:rPr>
                <w:noProof/>
                <w:sz w:val="18"/>
                <w:szCs w:val="18"/>
              </w:rPr>
            </w:pPr>
            <w:r>
              <w:rPr>
                <w:noProof/>
                <w:sz w:val="18"/>
              </w:rPr>
              <w:t>Разход</w:t>
            </w:r>
          </w:p>
        </w:tc>
        <w:tc>
          <w:tcPr>
            <w:tcW w:w="720" w:type="dxa"/>
            <w:gridSpan w:val="2"/>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Номер</w:t>
            </w:r>
          </w:p>
        </w:tc>
        <w:tc>
          <w:tcPr>
            <w:tcW w:w="720" w:type="dxa"/>
            <w:gridSpan w:val="2"/>
            <w:tcBorders>
              <w:left w:val="dashSmallGap" w:sz="4" w:space="0" w:color="auto"/>
            </w:tcBorders>
            <w:shd w:val="pct10" w:color="auto" w:fill="auto"/>
            <w:vAlign w:val="center"/>
          </w:tcPr>
          <w:p>
            <w:pPr>
              <w:jc w:val="center"/>
              <w:rPr>
                <w:noProof/>
                <w:sz w:val="18"/>
                <w:szCs w:val="18"/>
              </w:rPr>
            </w:pPr>
            <w:r>
              <w:rPr>
                <w:noProof/>
                <w:sz w:val="18"/>
              </w:rPr>
              <w:t>Разход</w:t>
            </w:r>
          </w:p>
        </w:tc>
        <w:tc>
          <w:tcPr>
            <w:tcW w:w="900" w:type="dxa"/>
            <w:gridSpan w:val="2"/>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Номер</w:t>
            </w:r>
          </w:p>
        </w:tc>
        <w:tc>
          <w:tcPr>
            <w:tcW w:w="723" w:type="dxa"/>
            <w:gridSpan w:val="2"/>
            <w:tcBorders>
              <w:left w:val="dashSmallGap" w:sz="4" w:space="0" w:color="auto"/>
            </w:tcBorders>
            <w:shd w:val="pct10" w:color="auto" w:fill="auto"/>
            <w:vAlign w:val="center"/>
          </w:tcPr>
          <w:p>
            <w:pPr>
              <w:jc w:val="center"/>
              <w:rPr>
                <w:noProof/>
                <w:sz w:val="18"/>
                <w:szCs w:val="18"/>
              </w:rPr>
            </w:pPr>
            <w:r>
              <w:rPr>
                <w:noProof/>
                <w:sz w:val="18"/>
              </w:rPr>
              <w:t>Разход</w:t>
            </w:r>
          </w:p>
        </w:tc>
        <w:tc>
          <w:tcPr>
            <w:tcW w:w="540" w:type="dxa"/>
            <w:gridSpan w:val="2"/>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Номер</w:t>
            </w:r>
          </w:p>
        </w:tc>
        <w:tc>
          <w:tcPr>
            <w:tcW w:w="714" w:type="dxa"/>
            <w:gridSpan w:val="2"/>
            <w:tcBorders>
              <w:left w:val="dashSmallGap" w:sz="4" w:space="0" w:color="auto"/>
            </w:tcBorders>
            <w:shd w:val="pct10" w:color="auto" w:fill="auto"/>
            <w:vAlign w:val="center"/>
          </w:tcPr>
          <w:p>
            <w:pPr>
              <w:jc w:val="center"/>
              <w:rPr>
                <w:noProof/>
                <w:sz w:val="18"/>
                <w:szCs w:val="18"/>
              </w:rPr>
            </w:pPr>
            <w:r>
              <w:rPr>
                <w:noProof/>
                <w:sz w:val="18"/>
              </w:rPr>
              <w:t>Разход</w:t>
            </w:r>
          </w:p>
        </w:tc>
        <w:tc>
          <w:tcPr>
            <w:tcW w:w="942" w:type="dxa"/>
            <w:gridSpan w:val="2"/>
            <w:shd w:val="pct10" w:color="auto" w:fill="auto"/>
          </w:tcPr>
          <w:p>
            <w:pPr>
              <w:jc w:val="center"/>
              <w:rPr>
                <w:noProof/>
                <w:sz w:val="18"/>
              </w:rPr>
            </w:pPr>
          </w:p>
        </w:tc>
        <w:tc>
          <w:tcPr>
            <w:tcW w:w="1278" w:type="dxa"/>
            <w:gridSpan w:val="2"/>
            <w:tcBorders>
              <w:right w:val="dashSmallGap" w:sz="4" w:space="0" w:color="auto"/>
            </w:tcBorders>
            <w:shd w:val="pct10" w:color="auto" w:fill="auto"/>
            <w:vAlign w:val="center"/>
          </w:tcPr>
          <w:p>
            <w:pPr>
              <w:jc w:val="center"/>
              <w:rPr>
                <w:noProof/>
                <w:sz w:val="18"/>
                <w:szCs w:val="18"/>
              </w:rPr>
            </w:pPr>
            <w:r>
              <w:rPr>
                <w:noProof/>
                <w:sz w:val="18"/>
              </w:rPr>
              <w:t>Общ брой</w:t>
            </w:r>
          </w:p>
        </w:tc>
        <w:tc>
          <w:tcPr>
            <w:tcW w:w="900" w:type="dxa"/>
            <w:gridSpan w:val="2"/>
            <w:tcBorders>
              <w:left w:val="dashSmallGap" w:sz="4" w:space="0" w:color="auto"/>
            </w:tcBorders>
            <w:shd w:val="pct10" w:color="auto" w:fill="auto"/>
            <w:vAlign w:val="center"/>
          </w:tcPr>
          <w:p>
            <w:pPr>
              <w:jc w:val="center"/>
              <w:rPr>
                <w:noProof/>
                <w:sz w:val="18"/>
                <w:szCs w:val="18"/>
              </w:rPr>
            </w:pPr>
            <w:r>
              <w:rPr>
                <w:noProof/>
                <w:sz w:val="18"/>
              </w:rPr>
              <w:t>Общо разходи</w:t>
            </w:r>
          </w:p>
        </w:tc>
      </w:tr>
      <w:tr>
        <w:trPr>
          <w:gridAfter w:val="2"/>
          <w:wAfter w:w="18" w:type="dxa"/>
          <w:jc w:val="center"/>
        </w:trPr>
        <w:tc>
          <w:tcPr>
            <w:tcW w:w="2841" w:type="dxa"/>
            <w:gridSpan w:val="6"/>
            <w:vAlign w:val="center"/>
          </w:tcPr>
          <w:p>
            <w:pPr>
              <w:spacing w:before="60" w:after="60"/>
              <w:ind w:right="-29"/>
              <w:jc w:val="center"/>
              <w:rPr>
                <w:noProof/>
                <w:sz w:val="18"/>
                <w:szCs w:val="18"/>
              </w:rPr>
            </w:pPr>
            <w:r>
              <w:rPr>
                <w:noProof/>
                <w:sz w:val="18"/>
              </w:rPr>
              <w:t>КОНКРЕТНА ЦЕЛ № 1</w:t>
            </w:r>
            <w:r>
              <w:rPr>
                <w:rStyle w:val="FootnoteReference"/>
                <w:noProof/>
                <w:sz w:val="18"/>
              </w:rPr>
              <w:footnoteReference w:id="15"/>
            </w:r>
            <w:r>
              <w:rPr>
                <w:noProof/>
                <w:sz w:val="18"/>
              </w:rPr>
              <w:t>...</w:t>
            </w:r>
          </w:p>
        </w:tc>
        <w:tc>
          <w:tcPr>
            <w:tcW w:w="504" w:type="dxa"/>
            <w:gridSpan w:val="3"/>
            <w:tcBorders>
              <w:top w:val="nil"/>
              <w:left w:val="nil"/>
              <w:bottom w:val="nil"/>
              <w:right w:val="nil"/>
            </w:tcBorders>
          </w:tcPr>
          <w:p>
            <w:pPr>
              <w:spacing w:before="60" w:after="60"/>
              <w:ind w:right="-29"/>
              <w:jc w:val="center"/>
              <w:rPr>
                <w:noProof/>
                <w:sz w:val="18"/>
                <w:szCs w:val="18"/>
              </w:rPr>
            </w:pPr>
          </w:p>
        </w:tc>
        <w:tc>
          <w:tcPr>
            <w:tcW w:w="720" w:type="dxa"/>
            <w:gridSpan w:val="2"/>
            <w:tcBorders>
              <w:top w:val="nil"/>
              <w:left w:val="nil"/>
              <w:bottom w:val="nil"/>
              <w:right w:val="nil"/>
            </w:tcBorders>
          </w:tcPr>
          <w:p>
            <w:pPr>
              <w:spacing w:before="60" w:after="60"/>
              <w:ind w:right="-29"/>
              <w:jc w:val="center"/>
              <w:rPr>
                <w:noProof/>
                <w:sz w:val="18"/>
                <w:szCs w:val="18"/>
              </w:rPr>
            </w:pPr>
          </w:p>
        </w:tc>
        <w:tc>
          <w:tcPr>
            <w:tcW w:w="540" w:type="dxa"/>
            <w:gridSpan w:val="2"/>
            <w:tcBorders>
              <w:top w:val="nil"/>
              <w:left w:val="nil"/>
              <w:bottom w:val="nil"/>
              <w:right w:val="nil"/>
            </w:tcBorders>
          </w:tcPr>
          <w:p>
            <w:pPr>
              <w:spacing w:before="60" w:after="60"/>
              <w:ind w:right="-29"/>
              <w:jc w:val="center"/>
              <w:rPr>
                <w:noProof/>
                <w:sz w:val="18"/>
                <w:szCs w:val="18"/>
              </w:rPr>
            </w:pPr>
          </w:p>
        </w:tc>
        <w:tc>
          <w:tcPr>
            <w:tcW w:w="720" w:type="dxa"/>
            <w:gridSpan w:val="2"/>
            <w:tcBorders>
              <w:top w:val="nil"/>
              <w:left w:val="nil"/>
              <w:bottom w:val="nil"/>
              <w:right w:val="nil"/>
            </w:tcBorders>
          </w:tcPr>
          <w:p>
            <w:pPr>
              <w:spacing w:before="60" w:after="60"/>
              <w:ind w:right="-29"/>
              <w:jc w:val="center"/>
              <w:rPr>
                <w:noProof/>
                <w:sz w:val="18"/>
                <w:szCs w:val="18"/>
              </w:rPr>
            </w:pPr>
          </w:p>
        </w:tc>
        <w:tc>
          <w:tcPr>
            <w:tcW w:w="720" w:type="dxa"/>
            <w:gridSpan w:val="2"/>
            <w:tcBorders>
              <w:top w:val="nil"/>
              <w:left w:val="nil"/>
              <w:bottom w:val="nil"/>
              <w:right w:val="nil"/>
            </w:tcBorders>
          </w:tcPr>
          <w:p>
            <w:pPr>
              <w:spacing w:before="60" w:after="60"/>
              <w:ind w:right="-29"/>
              <w:jc w:val="center"/>
              <w:rPr>
                <w:noProof/>
                <w:sz w:val="18"/>
                <w:szCs w:val="18"/>
              </w:rPr>
            </w:pPr>
          </w:p>
        </w:tc>
        <w:tc>
          <w:tcPr>
            <w:tcW w:w="720" w:type="dxa"/>
            <w:gridSpan w:val="2"/>
            <w:tcBorders>
              <w:top w:val="nil"/>
              <w:left w:val="nil"/>
              <w:bottom w:val="nil"/>
              <w:right w:val="nil"/>
            </w:tcBorders>
          </w:tcPr>
          <w:p>
            <w:pPr>
              <w:spacing w:before="60" w:after="60"/>
              <w:ind w:right="-29"/>
              <w:jc w:val="center"/>
              <w:rPr>
                <w:noProof/>
                <w:sz w:val="18"/>
                <w:szCs w:val="18"/>
              </w:rPr>
            </w:pPr>
          </w:p>
        </w:tc>
        <w:tc>
          <w:tcPr>
            <w:tcW w:w="900" w:type="dxa"/>
            <w:gridSpan w:val="2"/>
            <w:tcBorders>
              <w:top w:val="nil"/>
              <w:left w:val="nil"/>
              <w:bottom w:val="nil"/>
              <w:right w:val="nil"/>
            </w:tcBorders>
          </w:tcPr>
          <w:p>
            <w:pPr>
              <w:spacing w:before="60" w:after="60"/>
              <w:ind w:right="-29"/>
              <w:jc w:val="center"/>
              <w:rPr>
                <w:noProof/>
                <w:sz w:val="18"/>
                <w:szCs w:val="18"/>
              </w:rPr>
            </w:pPr>
          </w:p>
        </w:tc>
        <w:tc>
          <w:tcPr>
            <w:tcW w:w="723" w:type="dxa"/>
            <w:gridSpan w:val="2"/>
            <w:tcBorders>
              <w:top w:val="nil"/>
              <w:left w:val="nil"/>
              <w:bottom w:val="nil"/>
              <w:right w:val="nil"/>
            </w:tcBorders>
          </w:tcPr>
          <w:p>
            <w:pPr>
              <w:spacing w:before="60" w:after="60"/>
              <w:ind w:right="-29"/>
              <w:jc w:val="center"/>
              <w:rPr>
                <w:noProof/>
                <w:sz w:val="18"/>
                <w:szCs w:val="18"/>
              </w:rPr>
            </w:pPr>
          </w:p>
        </w:tc>
        <w:tc>
          <w:tcPr>
            <w:tcW w:w="540" w:type="dxa"/>
            <w:gridSpan w:val="2"/>
            <w:tcBorders>
              <w:top w:val="nil"/>
              <w:left w:val="nil"/>
              <w:bottom w:val="nil"/>
              <w:right w:val="nil"/>
            </w:tcBorders>
          </w:tcPr>
          <w:p>
            <w:pPr>
              <w:spacing w:before="60" w:after="60"/>
              <w:ind w:right="-29"/>
              <w:jc w:val="center"/>
              <w:rPr>
                <w:noProof/>
                <w:sz w:val="18"/>
                <w:szCs w:val="18"/>
              </w:rPr>
            </w:pPr>
          </w:p>
        </w:tc>
        <w:tc>
          <w:tcPr>
            <w:tcW w:w="708" w:type="dxa"/>
            <w:gridSpan w:val="2"/>
            <w:tcBorders>
              <w:top w:val="nil"/>
              <w:left w:val="nil"/>
              <w:bottom w:val="nil"/>
              <w:right w:val="nil"/>
            </w:tcBorders>
          </w:tcPr>
          <w:p>
            <w:pPr>
              <w:spacing w:before="60" w:after="60"/>
              <w:ind w:right="-29"/>
              <w:jc w:val="center"/>
              <w:rPr>
                <w:noProof/>
                <w:sz w:val="18"/>
                <w:szCs w:val="18"/>
              </w:rPr>
            </w:pPr>
          </w:p>
        </w:tc>
        <w:tc>
          <w:tcPr>
            <w:tcW w:w="942" w:type="dxa"/>
            <w:gridSpan w:val="2"/>
            <w:tcBorders>
              <w:top w:val="nil"/>
              <w:left w:val="nil"/>
              <w:bottom w:val="nil"/>
              <w:right w:val="nil"/>
            </w:tcBorders>
          </w:tcPr>
          <w:p>
            <w:pPr>
              <w:spacing w:before="60" w:after="60"/>
              <w:ind w:right="-29"/>
              <w:jc w:val="center"/>
              <w:rPr>
                <w:noProof/>
                <w:sz w:val="18"/>
                <w:szCs w:val="18"/>
              </w:rPr>
            </w:pPr>
          </w:p>
        </w:tc>
        <w:tc>
          <w:tcPr>
            <w:tcW w:w="1284" w:type="dxa"/>
            <w:gridSpan w:val="2"/>
            <w:tcBorders>
              <w:top w:val="nil"/>
              <w:left w:val="nil"/>
              <w:bottom w:val="nil"/>
              <w:right w:val="nil"/>
            </w:tcBorders>
          </w:tcPr>
          <w:p>
            <w:pPr>
              <w:spacing w:before="60" w:after="60"/>
              <w:ind w:right="-29"/>
              <w:jc w:val="center"/>
              <w:rPr>
                <w:noProof/>
                <w:sz w:val="18"/>
                <w:szCs w:val="18"/>
              </w:rPr>
            </w:pPr>
          </w:p>
        </w:tc>
        <w:tc>
          <w:tcPr>
            <w:tcW w:w="900" w:type="dxa"/>
            <w:gridSpan w:val="2"/>
            <w:tcBorders>
              <w:top w:val="nil"/>
              <w:left w:val="nil"/>
              <w:bottom w:val="nil"/>
              <w:right w:val="nil"/>
            </w:tcBorders>
          </w:tcPr>
          <w:p>
            <w:pPr>
              <w:spacing w:before="60" w:after="60"/>
              <w:ind w:right="-29"/>
              <w:jc w:val="center"/>
              <w:rPr>
                <w:noProof/>
                <w:sz w:val="18"/>
                <w:szCs w:val="18"/>
              </w:rPr>
            </w:pPr>
          </w:p>
        </w:tc>
      </w:tr>
      <w:tr>
        <w:trPr>
          <w:gridAfter w:val="2"/>
          <w:wAfter w:w="18" w:type="dxa"/>
          <w:trHeight w:hRule="exact" w:val="369"/>
          <w:jc w:val="center"/>
        </w:trPr>
        <w:tc>
          <w:tcPr>
            <w:tcW w:w="1422" w:type="dxa"/>
            <w:gridSpan w:val="2"/>
          </w:tcPr>
          <w:p>
            <w:pPr>
              <w:ind w:right="-29"/>
              <w:jc w:val="center"/>
              <w:rPr>
                <w:noProof/>
                <w:sz w:val="18"/>
                <w:szCs w:val="18"/>
              </w:rPr>
            </w:pPr>
            <w:r>
              <w:rPr>
                <w:noProof/>
                <w:sz w:val="18"/>
              </w:rPr>
              <w:t xml:space="preserve">- Достъп </w:t>
            </w:r>
          </w:p>
        </w:tc>
        <w:tc>
          <w:tcPr>
            <w:tcW w:w="894" w:type="dxa"/>
            <w:gridSpan w:val="2"/>
          </w:tcPr>
          <w:p>
            <w:pPr>
              <w:ind w:right="-29"/>
              <w:jc w:val="center"/>
              <w:rPr>
                <w:noProof/>
                <w:sz w:val="18"/>
                <w:szCs w:val="18"/>
              </w:rPr>
            </w:pPr>
            <w:r>
              <w:rPr>
                <w:noProof/>
                <w:sz w:val="18"/>
                <w:szCs w:val="18"/>
              </w:rPr>
              <w:t>Годишно</w:t>
            </w:r>
          </w:p>
        </w:tc>
        <w:tc>
          <w:tcPr>
            <w:tcW w:w="525" w:type="dxa"/>
            <w:gridSpan w:val="2"/>
          </w:tcPr>
          <w:p>
            <w:pPr>
              <w:ind w:right="-29"/>
              <w:jc w:val="center"/>
              <w:rPr>
                <w:noProof/>
                <w:sz w:val="18"/>
                <w:szCs w:val="18"/>
              </w:rPr>
            </w:pPr>
          </w:p>
        </w:tc>
        <w:tc>
          <w:tcPr>
            <w:tcW w:w="504" w:type="dxa"/>
            <w:gridSpan w:val="3"/>
            <w:tcBorders>
              <w:right w:val="dashSmallGap" w:sz="4" w:space="0" w:color="auto"/>
            </w:tcBorders>
          </w:tcPr>
          <w:p>
            <w:pPr>
              <w:ind w:right="-29"/>
              <w:jc w:val="center"/>
              <w:rPr>
                <w:noProof/>
                <w:sz w:val="18"/>
                <w:szCs w:val="18"/>
              </w:rPr>
            </w:pPr>
          </w:p>
        </w:tc>
        <w:tc>
          <w:tcPr>
            <w:tcW w:w="720" w:type="dxa"/>
            <w:gridSpan w:val="2"/>
            <w:tcBorders>
              <w:left w:val="dashSmallGap" w:sz="4" w:space="0" w:color="auto"/>
            </w:tcBorders>
          </w:tcPr>
          <w:p>
            <w:pPr>
              <w:ind w:right="-29"/>
              <w:jc w:val="center"/>
              <w:rPr>
                <w:noProof/>
                <w:sz w:val="18"/>
                <w:szCs w:val="18"/>
              </w:rPr>
            </w:pPr>
            <w:r>
              <w:rPr>
                <w:noProof/>
                <w:sz w:val="18"/>
                <w:szCs w:val="18"/>
              </w:rPr>
              <w:t>2,5</w:t>
            </w:r>
          </w:p>
        </w:tc>
        <w:tc>
          <w:tcPr>
            <w:tcW w:w="540" w:type="dxa"/>
            <w:gridSpan w:val="2"/>
            <w:tcBorders>
              <w:right w:val="dashSmallGap" w:sz="4" w:space="0" w:color="auto"/>
            </w:tcBorders>
          </w:tcPr>
          <w:p>
            <w:pPr>
              <w:ind w:right="-29"/>
              <w:jc w:val="center"/>
              <w:rPr>
                <w:noProof/>
                <w:sz w:val="18"/>
                <w:szCs w:val="18"/>
              </w:rPr>
            </w:pPr>
          </w:p>
        </w:tc>
        <w:tc>
          <w:tcPr>
            <w:tcW w:w="720" w:type="dxa"/>
            <w:gridSpan w:val="2"/>
            <w:tcBorders>
              <w:left w:val="dashSmallGap" w:sz="4" w:space="0" w:color="auto"/>
            </w:tcBorders>
          </w:tcPr>
          <w:p>
            <w:pPr>
              <w:ind w:right="-29"/>
              <w:jc w:val="center"/>
              <w:rPr>
                <w:noProof/>
                <w:sz w:val="18"/>
                <w:szCs w:val="18"/>
              </w:rPr>
            </w:pPr>
            <w:r>
              <w:rPr>
                <w:noProof/>
                <w:sz w:val="18"/>
                <w:szCs w:val="18"/>
              </w:rPr>
              <w:t>2,5</w:t>
            </w:r>
          </w:p>
        </w:tc>
        <w:tc>
          <w:tcPr>
            <w:tcW w:w="720" w:type="dxa"/>
            <w:gridSpan w:val="2"/>
            <w:tcBorders>
              <w:right w:val="dashSmallGap" w:sz="4" w:space="0" w:color="auto"/>
            </w:tcBorders>
          </w:tcPr>
          <w:p>
            <w:pPr>
              <w:ind w:right="-29"/>
              <w:jc w:val="center"/>
              <w:rPr>
                <w:noProof/>
                <w:sz w:val="18"/>
                <w:szCs w:val="18"/>
              </w:rPr>
            </w:pPr>
          </w:p>
        </w:tc>
        <w:tc>
          <w:tcPr>
            <w:tcW w:w="720" w:type="dxa"/>
            <w:gridSpan w:val="2"/>
            <w:tcBorders>
              <w:left w:val="dashSmallGap" w:sz="4" w:space="0" w:color="auto"/>
            </w:tcBorders>
          </w:tcPr>
          <w:p>
            <w:pPr>
              <w:ind w:right="-29"/>
              <w:jc w:val="center"/>
              <w:rPr>
                <w:noProof/>
                <w:sz w:val="18"/>
                <w:szCs w:val="18"/>
              </w:rPr>
            </w:pPr>
            <w:r>
              <w:rPr>
                <w:noProof/>
                <w:sz w:val="18"/>
                <w:szCs w:val="18"/>
              </w:rPr>
              <w:t>2,5</w:t>
            </w:r>
          </w:p>
        </w:tc>
        <w:tc>
          <w:tcPr>
            <w:tcW w:w="900" w:type="dxa"/>
            <w:gridSpan w:val="2"/>
            <w:tcBorders>
              <w:right w:val="dashSmallGap" w:sz="4" w:space="0" w:color="auto"/>
            </w:tcBorders>
          </w:tcPr>
          <w:p>
            <w:pPr>
              <w:ind w:right="-29"/>
              <w:jc w:val="center"/>
              <w:rPr>
                <w:noProof/>
                <w:sz w:val="18"/>
                <w:szCs w:val="18"/>
              </w:rPr>
            </w:pPr>
          </w:p>
        </w:tc>
        <w:tc>
          <w:tcPr>
            <w:tcW w:w="723" w:type="dxa"/>
            <w:gridSpan w:val="2"/>
            <w:tcBorders>
              <w:left w:val="dashSmallGap" w:sz="4" w:space="0" w:color="auto"/>
            </w:tcBorders>
          </w:tcPr>
          <w:p>
            <w:pPr>
              <w:ind w:right="-29"/>
              <w:jc w:val="center"/>
              <w:rPr>
                <w:noProof/>
                <w:sz w:val="18"/>
                <w:szCs w:val="18"/>
              </w:rPr>
            </w:pPr>
            <w:r>
              <w:rPr>
                <w:noProof/>
                <w:sz w:val="18"/>
                <w:szCs w:val="18"/>
              </w:rPr>
              <w:t>2,5</w:t>
            </w:r>
          </w:p>
        </w:tc>
        <w:tc>
          <w:tcPr>
            <w:tcW w:w="540" w:type="dxa"/>
            <w:gridSpan w:val="2"/>
            <w:tcBorders>
              <w:right w:val="dashSmallGap" w:sz="4" w:space="0" w:color="auto"/>
            </w:tcBorders>
          </w:tcPr>
          <w:p>
            <w:pPr>
              <w:ind w:right="-29"/>
              <w:jc w:val="center"/>
              <w:rPr>
                <w:noProof/>
                <w:sz w:val="18"/>
                <w:szCs w:val="18"/>
              </w:rPr>
            </w:pPr>
          </w:p>
        </w:tc>
        <w:tc>
          <w:tcPr>
            <w:tcW w:w="708" w:type="dxa"/>
            <w:gridSpan w:val="2"/>
            <w:tcBorders>
              <w:left w:val="dashSmallGap" w:sz="4" w:space="0" w:color="auto"/>
            </w:tcBorders>
          </w:tcPr>
          <w:p>
            <w:pPr>
              <w:ind w:right="-29"/>
              <w:jc w:val="center"/>
              <w:rPr>
                <w:noProof/>
                <w:sz w:val="18"/>
                <w:szCs w:val="18"/>
              </w:rPr>
            </w:pPr>
            <w:r>
              <w:rPr>
                <w:noProof/>
                <w:sz w:val="18"/>
                <w:szCs w:val="18"/>
              </w:rPr>
              <w:t>2,5</w:t>
            </w:r>
          </w:p>
        </w:tc>
        <w:tc>
          <w:tcPr>
            <w:tcW w:w="942" w:type="dxa"/>
            <w:gridSpan w:val="2"/>
          </w:tcPr>
          <w:p>
            <w:pPr>
              <w:ind w:right="-29"/>
              <w:jc w:val="center"/>
              <w:rPr>
                <w:noProof/>
                <w:sz w:val="18"/>
                <w:szCs w:val="18"/>
              </w:rPr>
            </w:pPr>
            <w:r>
              <w:rPr>
                <w:noProof/>
                <w:sz w:val="18"/>
                <w:szCs w:val="18"/>
              </w:rPr>
              <w:t>2,5</w:t>
            </w:r>
          </w:p>
        </w:tc>
        <w:tc>
          <w:tcPr>
            <w:tcW w:w="1284" w:type="dxa"/>
            <w:gridSpan w:val="2"/>
          </w:tcPr>
          <w:p>
            <w:pPr>
              <w:ind w:right="-29"/>
              <w:jc w:val="center"/>
              <w:rPr>
                <w:noProof/>
                <w:sz w:val="18"/>
                <w:szCs w:val="18"/>
              </w:rPr>
            </w:pPr>
          </w:p>
        </w:tc>
        <w:tc>
          <w:tcPr>
            <w:tcW w:w="900" w:type="dxa"/>
            <w:gridSpan w:val="2"/>
          </w:tcPr>
          <w:p>
            <w:pPr>
              <w:ind w:right="-29"/>
              <w:jc w:val="center"/>
              <w:rPr>
                <w:noProof/>
                <w:sz w:val="18"/>
                <w:szCs w:val="18"/>
              </w:rPr>
            </w:pPr>
            <w:r>
              <w:rPr>
                <w:noProof/>
                <w:sz w:val="18"/>
                <w:szCs w:val="18"/>
              </w:rPr>
              <w:t>15,00</w:t>
            </w:r>
          </w:p>
        </w:tc>
      </w:tr>
      <w:tr>
        <w:trPr>
          <w:gridAfter w:val="2"/>
          <w:wAfter w:w="18" w:type="dxa"/>
          <w:trHeight w:hRule="exact" w:val="369"/>
          <w:jc w:val="center"/>
        </w:trPr>
        <w:tc>
          <w:tcPr>
            <w:tcW w:w="1422" w:type="dxa"/>
            <w:gridSpan w:val="2"/>
          </w:tcPr>
          <w:p>
            <w:pPr>
              <w:ind w:right="-29"/>
              <w:jc w:val="center"/>
              <w:rPr>
                <w:noProof/>
                <w:sz w:val="18"/>
                <w:szCs w:val="18"/>
              </w:rPr>
            </w:pPr>
            <w:r>
              <w:rPr>
                <w:noProof/>
                <w:sz w:val="18"/>
              </w:rPr>
              <w:t>- Секторна подкрепа</w:t>
            </w:r>
          </w:p>
        </w:tc>
        <w:tc>
          <w:tcPr>
            <w:tcW w:w="894" w:type="dxa"/>
            <w:gridSpan w:val="2"/>
          </w:tcPr>
          <w:p>
            <w:pPr>
              <w:ind w:right="-29"/>
              <w:jc w:val="center"/>
              <w:rPr>
                <w:noProof/>
                <w:sz w:val="18"/>
                <w:szCs w:val="18"/>
              </w:rPr>
            </w:pPr>
            <w:r>
              <w:rPr>
                <w:noProof/>
                <w:sz w:val="18"/>
                <w:szCs w:val="18"/>
              </w:rPr>
              <w:t>Годишно</w:t>
            </w:r>
          </w:p>
        </w:tc>
        <w:tc>
          <w:tcPr>
            <w:tcW w:w="525" w:type="dxa"/>
            <w:gridSpan w:val="2"/>
          </w:tcPr>
          <w:p>
            <w:pPr>
              <w:ind w:right="-29"/>
              <w:jc w:val="center"/>
              <w:rPr>
                <w:noProof/>
                <w:sz w:val="18"/>
                <w:szCs w:val="18"/>
              </w:rPr>
            </w:pPr>
          </w:p>
        </w:tc>
        <w:tc>
          <w:tcPr>
            <w:tcW w:w="504" w:type="dxa"/>
            <w:gridSpan w:val="3"/>
            <w:tcBorders>
              <w:right w:val="dashSmallGap" w:sz="4" w:space="0" w:color="auto"/>
            </w:tcBorders>
          </w:tcPr>
          <w:p>
            <w:pPr>
              <w:ind w:right="-29"/>
              <w:jc w:val="center"/>
              <w:rPr>
                <w:noProof/>
                <w:sz w:val="18"/>
                <w:szCs w:val="18"/>
              </w:rPr>
            </w:pPr>
          </w:p>
        </w:tc>
        <w:tc>
          <w:tcPr>
            <w:tcW w:w="720" w:type="dxa"/>
            <w:gridSpan w:val="2"/>
            <w:tcBorders>
              <w:left w:val="dashSmallGap" w:sz="4" w:space="0" w:color="auto"/>
            </w:tcBorders>
          </w:tcPr>
          <w:p>
            <w:pPr>
              <w:ind w:right="-29"/>
              <w:jc w:val="center"/>
              <w:rPr>
                <w:noProof/>
                <w:sz w:val="18"/>
                <w:szCs w:val="18"/>
              </w:rPr>
            </w:pPr>
            <w:r>
              <w:rPr>
                <w:noProof/>
                <w:sz w:val="18"/>
                <w:szCs w:val="18"/>
              </w:rPr>
              <w:t>2,8</w:t>
            </w:r>
          </w:p>
        </w:tc>
        <w:tc>
          <w:tcPr>
            <w:tcW w:w="540" w:type="dxa"/>
            <w:gridSpan w:val="2"/>
            <w:tcBorders>
              <w:right w:val="dashSmallGap" w:sz="4" w:space="0" w:color="auto"/>
            </w:tcBorders>
          </w:tcPr>
          <w:p>
            <w:pPr>
              <w:ind w:right="-29"/>
              <w:jc w:val="center"/>
              <w:rPr>
                <w:noProof/>
                <w:sz w:val="18"/>
                <w:szCs w:val="18"/>
              </w:rPr>
            </w:pPr>
          </w:p>
        </w:tc>
        <w:tc>
          <w:tcPr>
            <w:tcW w:w="720" w:type="dxa"/>
            <w:gridSpan w:val="2"/>
            <w:tcBorders>
              <w:left w:val="dashSmallGap" w:sz="4" w:space="0" w:color="auto"/>
            </w:tcBorders>
          </w:tcPr>
          <w:p>
            <w:pPr>
              <w:ind w:right="-29"/>
              <w:jc w:val="center"/>
              <w:rPr>
                <w:noProof/>
                <w:sz w:val="18"/>
                <w:szCs w:val="18"/>
              </w:rPr>
            </w:pPr>
            <w:r>
              <w:rPr>
                <w:noProof/>
                <w:sz w:val="18"/>
                <w:szCs w:val="18"/>
              </w:rPr>
              <w:t>2,8</w:t>
            </w:r>
          </w:p>
        </w:tc>
        <w:tc>
          <w:tcPr>
            <w:tcW w:w="720" w:type="dxa"/>
            <w:gridSpan w:val="2"/>
            <w:tcBorders>
              <w:right w:val="dashSmallGap" w:sz="4" w:space="0" w:color="auto"/>
            </w:tcBorders>
          </w:tcPr>
          <w:p>
            <w:pPr>
              <w:ind w:right="-29"/>
              <w:jc w:val="center"/>
              <w:rPr>
                <w:noProof/>
                <w:sz w:val="18"/>
                <w:szCs w:val="18"/>
              </w:rPr>
            </w:pPr>
          </w:p>
        </w:tc>
        <w:tc>
          <w:tcPr>
            <w:tcW w:w="720" w:type="dxa"/>
            <w:gridSpan w:val="2"/>
            <w:tcBorders>
              <w:left w:val="dashSmallGap" w:sz="4" w:space="0" w:color="auto"/>
            </w:tcBorders>
          </w:tcPr>
          <w:p>
            <w:pPr>
              <w:ind w:right="-29"/>
              <w:jc w:val="center"/>
              <w:rPr>
                <w:noProof/>
                <w:sz w:val="18"/>
                <w:szCs w:val="18"/>
              </w:rPr>
            </w:pPr>
            <w:r>
              <w:rPr>
                <w:noProof/>
                <w:sz w:val="18"/>
                <w:szCs w:val="18"/>
              </w:rPr>
              <w:t>2,8</w:t>
            </w:r>
          </w:p>
        </w:tc>
        <w:tc>
          <w:tcPr>
            <w:tcW w:w="900" w:type="dxa"/>
            <w:gridSpan w:val="2"/>
            <w:tcBorders>
              <w:right w:val="dashSmallGap" w:sz="4" w:space="0" w:color="auto"/>
            </w:tcBorders>
          </w:tcPr>
          <w:p>
            <w:pPr>
              <w:ind w:right="-29"/>
              <w:jc w:val="center"/>
              <w:rPr>
                <w:noProof/>
                <w:sz w:val="18"/>
                <w:szCs w:val="18"/>
              </w:rPr>
            </w:pPr>
          </w:p>
        </w:tc>
        <w:tc>
          <w:tcPr>
            <w:tcW w:w="723" w:type="dxa"/>
            <w:gridSpan w:val="2"/>
            <w:tcBorders>
              <w:left w:val="dashSmallGap" w:sz="4" w:space="0" w:color="auto"/>
            </w:tcBorders>
          </w:tcPr>
          <w:p>
            <w:pPr>
              <w:ind w:right="-29"/>
              <w:jc w:val="center"/>
              <w:rPr>
                <w:noProof/>
                <w:sz w:val="18"/>
                <w:szCs w:val="18"/>
              </w:rPr>
            </w:pPr>
            <w:r>
              <w:rPr>
                <w:noProof/>
                <w:sz w:val="18"/>
                <w:szCs w:val="18"/>
              </w:rPr>
              <w:t>2,8</w:t>
            </w:r>
          </w:p>
        </w:tc>
        <w:tc>
          <w:tcPr>
            <w:tcW w:w="540" w:type="dxa"/>
            <w:gridSpan w:val="2"/>
            <w:tcBorders>
              <w:right w:val="dashSmallGap" w:sz="4" w:space="0" w:color="auto"/>
            </w:tcBorders>
          </w:tcPr>
          <w:p>
            <w:pPr>
              <w:ind w:right="-29"/>
              <w:jc w:val="center"/>
              <w:rPr>
                <w:noProof/>
                <w:sz w:val="18"/>
                <w:szCs w:val="18"/>
              </w:rPr>
            </w:pPr>
          </w:p>
        </w:tc>
        <w:tc>
          <w:tcPr>
            <w:tcW w:w="708" w:type="dxa"/>
            <w:gridSpan w:val="2"/>
            <w:tcBorders>
              <w:left w:val="dashSmallGap" w:sz="4" w:space="0" w:color="auto"/>
            </w:tcBorders>
          </w:tcPr>
          <w:p>
            <w:pPr>
              <w:ind w:right="-29"/>
              <w:jc w:val="center"/>
              <w:rPr>
                <w:noProof/>
                <w:sz w:val="18"/>
                <w:szCs w:val="18"/>
              </w:rPr>
            </w:pPr>
            <w:r>
              <w:rPr>
                <w:noProof/>
                <w:sz w:val="18"/>
                <w:szCs w:val="18"/>
              </w:rPr>
              <w:t>2,8</w:t>
            </w:r>
          </w:p>
        </w:tc>
        <w:tc>
          <w:tcPr>
            <w:tcW w:w="942" w:type="dxa"/>
            <w:gridSpan w:val="2"/>
          </w:tcPr>
          <w:p>
            <w:pPr>
              <w:ind w:right="-29"/>
              <w:jc w:val="center"/>
              <w:rPr>
                <w:noProof/>
                <w:sz w:val="18"/>
                <w:szCs w:val="18"/>
              </w:rPr>
            </w:pPr>
            <w:r>
              <w:rPr>
                <w:noProof/>
                <w:sz w:val="18"/>
                <w:szCs w:val="18"/>
              </w:rPr>
              <w:t>2,8</w:t>
            </w:r>
          </w:p>
        </w:tc>
        <w:tc>
          <w:tcPr>
            <w:tcW w:w="1284" w:type="dxa"/>
            <w:gridSpan w:val="2"/>
          </w:tcPr>
          <w:p>
            <w:pPr>
              <w:ind w:right="-29"/>
              <w:jc w:val="center"/>
              <w:rPr>
                <w:noProof/>
                <w:sz w:val="18"/>
                <w:szCs w:val="18"/>
              </w:rPr>
            </w:pPr>
          </w:p>
        </w:tc>
        <w:tc>
          <w:tcPr>
            <w:tcW w:w="900" w:type="dxa"/>
            <w:gridSpan w:val="2"/>
          </w:tcPr>
          <w:p>
            <w:pPr>
              <w:ind w:right="-29"/>
              <w:jc w:val="center"/>
              <w:rPr>
                <w:noProof/>
                <w:sz w:val="18"/>
                <w:szCs w:val="18"/>
              </w:rPr>
            </w:pPr>
            <w:r>
              <w:rPr>
                <w:noProof/>
                <w:sz w:val="18"/>
                <w:szCs w:val="18"/>
              </w:rPr>
              <w:t>16,80</w:t>
            </w:r>
          </w:p>
        </w:tc>
      </w:tr>
      <w:tr>
        <w:trPr>
          <w:gridAfter w:val="2"/>
          <w:wAfter w:w="18" w:type="dxa"/>
          <w:trHeight w:hRule="exact" w:val="369"/>
          <w:jc w:val="center"/>
        </w:trPr>
        <w:tc>
          <w:tcPr>
            <w:tcW w:w="1422" w:type="dxa"/>
            <w:gridSpan w:val="2"/>
          </w:tcPr>
          <w:p>
            <w:pPr>
              <w:ind w:right="-29"/>
              <w:jc w:val="center"/>
              <w:rPr>
                <w:noProof/>
                <w:sz w:val="18"/>
                <w:szCs w:val="18"/>
              </w:rPr>
            </w:pPr>
            <w:r>
              <w:rPr>
                <w:noProof/>
                <w:sz w:val="18"/>
              </w:rPr>
              <w:t>- Резултат</w:t>
            </w:r>
          </w:p>
        </w:tc>
        <w:tc>
          <w:tcPr>
            <w:tcW w:w="894" w:type="dxa"/>
            <w:gridSpan w:val="2"/>
          </w:tcPr>
          <w:p>
            <w:pPr>
              <w:ind w:right="-29"/>
              <w:jc w:val="center"/>
              <w:rPr>
                <w:noProof/>
                <w:sz w:val="18"/>
                <w:szCs w:val="18"/>
              </w:rPr>
            </w:pPr>
          </w:p>
        </w:tc>
        <w:tc>
          <w:tcPr>
            <w:tcW w:w="525" w:type="dxa"/>
            <w:gridSpan w:val="2"/>
          </w:tcPr>
          <w:p>
            <w:pPr>
              <w:ind w:right="-29"/>
              <w:jc w:val="center"/>
              <w:rPr>
                <w:noProof/>
                <w:sz w:val="18"/>
                <w:szCs w:val="18"/>
              </w:rPr>
            </w:pPr>
          </w:p>
        </w:tc>
        <w:tc>
          <w:tcPr>
            <w:tcW w:w="504" w:type="dxa"/>
            <w:gridSpan w:val="3"/>
          </w:tcPr>
          <w:p>
            <w:pPr>
              <w:ind w:right="-29"/>
              <w:jc w:val="center"/>
              <w:rPr>
                <w:noProof/>
                <w:sz w:val="18"/>
                <w:szCs w:val="18"/>
              </w:rPr>
            </w:pPr>
          </w:p>
        </w:tc>
        <w:tc>
          <w:tcPr>
            <w:tcW w:w="720" w:type="dxa"/>
            <w:gridSpan w:val="2"/>
          </w:tcPr>
          <w:p>
            <w:pPr>
              <w:ind w:right="-29"/>
              <w:jc w:val="center"/>
              <w:rPr>
                <w:noProof/>
                <w:sz w:val="18"/>
                <w:szCs w:val="18"/>
              </w:rPr>
            </w:pPr>
          </w:p>
        </w:tc>
        <w:tc>
          <w:tcPr>
            <w:tcW w:w="540" w:type="dxa"/>
            <w:gridSpan w:val="2"/>
          </w:tcPr>
          <w:p>
            <w:pPr>
              <w:ind w:right="-29"/>
              <w:jc w:val="center"/>
              <w:rPr>
                <w:noProof/>
                <w:sz w:val="18"/>
                <w:szCs w:val="18"/>
              </w:rPr>
            </w:pPr>
          </w:p>
        </w:tc>
        <w:tc>
          <w:tcPr>
            <w:tcW w:w="720" w:type="dxa"/>
            <w:gridSpan w:val="2"/>
          </w:tcPr>
          <w:p>
            <w:pPr>
              <w:ind w:right="-29"/>
              <w:jc w:val="center"/>
              <w:rPr>
                <w:noProof/>
                <w:sz w:val="18"/>
                <w:szCs w:val="18"/>
              </w:rPr>
            </w:pPr>
          </w:p>
        </w:tc>
        <w:tc>
          <w:tcPr>
            <w:tcW w:w="720" w:type="dxa"/>
            <w:gridSpan w:val="2"/>
          </w:tcPr>
          <w:p>
            <w:pPr>
              <w:ind w:right="-29"/>
              <w:jc w:val="center"/>
              <w:rPr>
                <w:noProof/>
                <w:sz w:val="18"/>
                <w:szCs w:val="18"/>
              </w:rPr>
            </w:pPr>
          </w:p>
        </w:tc>
        <w:tc>
          <w:tcPr>
            <w:tcW w:w="720" w:type="dxa"/>
            <w:gridSpan w:val="2"/>
          </w:tcPr>
          <w:p>
            <w:pPr>
              <w:ind w:right="-29"/>
              <w:jc w:val="center"/>
              <w:rPr>
                <w:noProof/>
                <w:sz w:val="18"/>
                <w:szCs w:val="18"/>
              </w:rPr>
            </w:pPr>
          </w:p>
        </w:tc>
        <w:tc>
          <w:tcPr>
            <w:tcW w:w="900" w:type="dxa"/>
            <w:gridSpan w:val="2"/>
          </w:tcPr>
          <w:p>
            <w:pPr>
              <w:ind w:right="-29"/>
              <w:jc w:val="center"/>
              <w:rPr>
                <w:noProof/>
                <w:sz w:val="18"/>
                <w:szCs w:val="18"/>
              </w:rPr>
            </w:pPr>
          </w:p>
        </w:tc>
        <w:tc>
          <w:tcPr>
            <w:tcW w:w="723" w:type="dxa"/>
            <w:gridSpan w:val="2"/>
          </w:tcPr>
          <w:p>
            <w:pPr>
              <w:ind w:right="-29"/>
              <w:jc w:val="center"/>
              <w:rPr>
                <w:noProof/>
                <w:sz w:val="18"/>
                <w:szCs w:val="18"/>
              </w:rPr>
            </w:pPr>
          </w:p>
        </w:tc>
        <w:tc>
          <w:tcPr>
            <w:tcW w:w="540" w:type="dxa"/>
            <w:gridSpan w:val="2"/>
          </w:tcPr>
          <w:p>
            <w:pPr>
              <w:ind w:right="-29"/>
              <w:jc w:val="center"/>
              <w:rPr>
                <w:noProof/>
                <w:sz w:val="18"/>
                <w:szCs w:val="18"/>
              </w:rPr>
            </w:pPr>
          </w:p>
        </w:tc>
        <w:tc>
          <w:tcPr>
            <w:tcW w:w="708" w:type="dxa"/>
            <w:gridSpan w:val="2"/>
          </w:tcPr>
          <w:p>
            <w:pPr>
              <w:ind w:right="-29"/>
              <w:jc w:val="center"/>
              <w:rPr>
                <w:noProof/>
                <w:sz w:val="18"/>
                <w:szCs w:val="18"/>
              </w:rPr>
            </w:pPr>
          </w:p>
        </w:tc>
        <w:tc>
          <w:tcPr>
            <w:tcW w:w="942" w:type="dxa"/>
            <w:gridSpan w:val="2"/>
          </w:tcPr>
          <w:p>
            <w:pPr>
              <w:ind w:right="-29"/>
              <w:jc w:val="center"/>
              <w:rPr>
                <w:noProof/>
                <w:sz w:val="18"/>
                <w:szCs w:val="18"/>
              </w:rPr>
            </w:pPr>
          </w:p>
        </w:tc>
        <w:tc>
          <w:tcPr>
            <w:tcW w:w="1284" w:type="dxa"/>
            <w:gridSpan w:val="2"/>
          </w:tcPr>
          <w:p>
            <w:pPr>
              <w:ind w:right="-29"/>
              <w:jc w:val="center"/>
              <w:rPr>
                <w:noProof/>
                <w:sz w:val="18"/>
                <w:szCs w:val="18"/>
              </w:rPr>
            </w:pPr>
          </w:p>
        </w:tc>
        <w:tc>
          <w:tcPr>
            <w:tcW w:w="900" w:type="dxa"/>
            <w:gridSpan w:val="2"/>
          </w:tcPr>
          <w:p>
            <w:pPr>
              <w:ind w:right="-29"/>
              <w:jc w:val="center"/>
              <w:rPr>
                <w:noProof/>
                <w:sz w:val="18"/>
                <w:szCs w:val="18"/>
              </w:rPr>
            </w:pPr>
          </w:p>
        </w:tc>
      </w:tr>
      <w:tr>
        <w:trPr>
          <w:gridAfter w:val="2"/>
          <w:wAfter w:w="18" w:type="dxa"/>
          <w:trHeight w:val="77"/>
          <w:jc w:val="center"/>
        </w:trPr>
        <w:tc>
          <w:tcPr>
            <w:tcW w:w="2841" w:type="dxa"/>
            <w:gridSpan w:val="6"/>
            <w:tcBorders>
              <w:bottom w:val="single" w:sz="12" w:space="0" w:color="auto"/>
            </w:tcBorders>
            <w:vAlign w:val="center"/>
          </w:tcPr>
          <w:p>
            <w:pPr>
              <w:ind w:right="-29"/>
              <w:jc w:val="center"/>
              <w:rPr>
                <w:noProof/>
                <w:sz w:val="18"/>
                <w:szCs w:val="18"/>
              </w:rPr>
            </w:pPr>
            <w:r>
              <w:rPr>
                <w:noProof/>
                <w:sz w:val="18"/>
              </w:rPr>
              <w:t>Междинен сбор за конкретна цел № 1</w:t>
            </w:r>
          </w:p>
        </w:tc>
        <w:tc>
          <w:tcPr>
            <w:tcW w:w="504" w:type="dxa"/>
            <w:gridSpan w:val="3"/>
            <w:tcBorders>
              <w:bottom w:val="single" w:sz="12" w:space="0" w:color="auto"/>
            </w:tcBorders>
          </w:tcPr>
          <w:p>
            <w:pPr>
              <w:ind w:right="-29"/>
              <w:jc w:val="center"/>
              <w:rPr>
                <w:noProof/>
                <w:sz w:val="18"/>
                <w:szCs w:val="18"/>
              </w:rPr>
            </w:pPr>
          </w:p>
        </w:tc>
        <w:tc>
          <w:tcPr>
            <w:tcW w:w="720" w:type="dxa"/>
            <w:gridSpan w:val="2"/>
            <w:tcBorders>
              <w:bottom w:val="single" w:sz="12" w:space="0" w:color="auto"/>
            </w:tcBorders>
          </w:tcPr>
          <w:p>
            <w:pPr>
              <w:ind w:right="-29"/>
              <w:jc w:val="center"/>
              <w:rPr>
                <w:noProof/>
                <w:sz w:val="18"/>
                <w:szCs w:val="18"/>
              </w:rPr>
            </w:pPr>
          </w:p>
        </w:tc>
        <w:tc>
          <w:tcPr>
            <w:tcW w:w="540" w:type="dxa"/>
            <w:gridSpan w:val="2"/>
            <w:tcBorders>
              <w:bottom w:val="single" w:sz="12" w:space="0" w:color="auto"/>
            </w:tcBorders>
          </w:tcPr>
          <w:p>
            <w:pPr>
              <w:ind w:right="-29"/>
              <w:jc w:val="center"/>
              <w:rPr>
                <w:noProof/>
                <w:sz w:val="18"/>
                <w:szCs w:val="18"/>
              </w:rPr>
            </w:pPr>
          </w:p>
        </w:tc>
        <w:tc>
          <w:tcPr>
            <w:tcW w:w="720" w:type="dxa"/>
            <w:gridSpan w:val="2"/>
            <w:tcBorders>
              <w:bottom w:val="single" w:sz="12" w:space="0" w:color="auto"/>
            </w:tcBorders>
          </w:tcPr>
          <w:p>
            <w:pPr>
              <w:ind w:right="-29"/>
              <w:jc w:val="center"/>
              <w:rPr>
                <w:noProof/>
                <w:sz w:val="18"/>
                <w:szCs w:val="18"/>
              </w:rPr>
            </w:pPr>
          </w:p>
        </w:tc>
        <w:tc>
          <w:tcPr>
            <w:tcW w:w="720" w:type="dxa"/>
            <w:gridSpan w:val="2"/>
            <w:tcBorders>
              <w:bottom w:val="single" w:sz="12" w:space="0" w:color="auto"/>
            </w:tcBorders>
          </w:tcPr>
          <w:p>
            <w:pPr>
              <w:ind w:right="-29"/>
              <w:jc w:val="center"/>
              <w:rPr>
                <w:noProof/>
                <w:sz w:val="18"/>
                <w:szCs w:val="18"/>
              </w:rPr>
            </w:pPr>
          </w:p>
        </w:tc>
        <w:tc>
          <w:tcPr>
            <w:tcW w:w="720" w:type="dxa"/>
            <w:gridSpan w:val="2"/>
            <w:tcBorders>
              <w:bottom w:val="single" w:sz="12" w:space="0" w:color="auto"/>
            </w:tcBorders>
          </w:tcPr>
          <w:p>
            <w:pPr>
              <w:ind w:right="-29"/>
              <w:jc w:val="center"/>
              <w:rPr>
                <w:noProof/>
                <w:sz w:val="18"/>
                <w:szCs w:val="18"/>
              </w:rPr>
            </w:pPr>
          </w:p>
        </w:tc>
        <w:tc>
          <w:tcPr>
            <w:tcW w:w="900" w:type="dxa"/>
            <w:gridSpan w:val="2"/>
            <w:tcBorders>
              <w:bottom w:val="single" w:sz="12" w:space="0" w:color="auto"/>
            </w:tcBorders>
          </w:tcPr>
          <w:p>
            <w:pPr>
              <w:ind w:right="-29"/>
              <w:jc w:val="center"/>
              <w:rPr>
                <w:noProof/>
                <w:sz w:val="18"/>
                <w:szCs w:val="18"/>
              </w:rPr>
            </w:pPr>
          </w:p>
        </w:tc>
        <w:tc>
          <w:tcPr>
            <w:tcW w:w="723" w:type="dxa"/>
            <w:gridSpan w:val="2"/>
            <w:tcBorders>
              <w:bottom w:val="single" w:sz="12" w:space="0" w:color="auto"/>
            </w:tcBorders>
          </w:tcPr>
          <w:p>
            <w:pPr>
              <w:ind w:right="-29"/>
              <w:jc w:val="center"/>
              <w:rPr>
                <w:noProof/>
                <w:sz w:val="18"/>
                <w:szCs w:val="18"/>
              </w:rPr>
            </w:pPr>
          </w:p>
        </w:tc>
        <w:tc>
          <w:tcPr>
            <w:tcW w:w="540" w:type="dxa"/>
            <w:gridSpan w:val="2"/>
            <w:tcBorders>
              <w:bottom w:val="single" w:sz="12" w:space="0" w:color="auto"/>
            </w:tcBorders>
          </w:tcPr>
          <w:p>
            <w:pPr>
              <w:ind w:right="-29"/>
              <w:jc w:val="center"/>
              <w:rPr>
                <w:noProof/>
                <w:sz w:val="18"/>
                <w:szCs w:val="18"/>
              </w:rPr>
            </w:pPr>
          </w:p>
        </w:tc>
        <w:tc>
          <w:tcPr>
            <w:tcW w:w="708" w:type="dxa"/>
            <w:gridSpan w:val="2"/>
            <w:tcBorders>
              <w:bottom w:val="single" w:sz="12" w:space="0" w:color="auto"/>
            </w:tcBorders>
          </w:tcPr>
          <w:p>
            <w:pPr>
              <w:ind w:right="-29"/>
              <w:jc w:val="center"/>
              <w:rPr>
                <w:noProof/>
                <w:sz w:val="18"/>
                <w:szCs w:val="18"/>
              </w:rPr>
            </w:pPr>
          </w:p>
        </w:tc>
        <w:tc>
          <w:tcPr>
            <w:tcW w:w="942" w:type="dxa"/>
            <w:gridSpan w:val="2"/>
            <w:tcBorders>
              <w:bottom w:val="single" w:sz="12" w:space="0" w:color="auto"/>
            </w:tcBorders>
          </w:tcPr>
          <w:p>
            <w:pPr>
              <w:ind w:right="-29"/>
              <w:jc w:val="center"/>
              <w:rPr>
                <w:noProof/>
                <w:sz w:val="18"/>
                <w:szCs w:val="18"/>
              </w:rPr>
            </w:pPr>
          </w:p>
        </w:tc>
        <w:tc>
          <w:tcPr>
            <w:tcW w:w="1284" w:type="dxa"/>
            <w:gridSpan w:val="2"/>
            <w:tcBorders>
              <w:bottom w:val="single" w:sz="12" w:space="0" w:color="auto"/>
            </w:tcBorders>
          </w:tcPr>
          <w:p>
            <w:pPr>
              <w:ind w:right="-29"/>
              <w:jc w:val="center"/>
              <w:rPr>
                <w:noProof/>
                <w:sz w:val="18"/>
                <w:szCs w:val="18"/>
              </w:rPr>
            </w:pPr>
          </w:p>
        </w:tc>
        <w:tc>
          <w:tcPr>
            <w:tcW w:w="900" w:type="dxa"/>
            <w:gridSpan w:val="2"/>
            <w:tcBorders>
              <w:bottom w:val="single" w:sz="12" w:space="0" w:color="auto"/>
            </w:tcBorders>
          </w:tcPr>
          <w:p>
            <w:pPr>
              <w:ind w:right="-29"/>
              <w:jc w:val="center"/>
              <w:rPr>
                <w:noProof/>
                <w:sz w:val="18"/>
                <w:szCs w:val="18"/>
              </w:rPr>
            </w:pPr>
          </w:p>
        </w:tc>
      </w:tr>
      <w:tr>
        <w:trPr>
          <w:gridAfter w:val="2"/>
          <w:wAfter w:w="18" w:type="dxa"/>
          <w:jc w:val="center"/>
        </w:trPr>
        <w:tc>
          <w:tcPr>
            <w:tcW w:w="2841" w:type="dxa"/>
            <w:gridSpan w:val="6"/>
            <w:tcBorders>
              <w:top w:val="single" w:sz="12" w:space="0" w:color="auto"/>
              <w:left w:val="single" w:sz="12" w:space="0" w:color="auto"/>
              <w:bottom w:val="single" w:sz="12" w:space="0" w:color="auto"/>
            </w:tcBorders>
            <w:vAlign w:val="center"/>
          </w:tcPr>
          <w:p>
            <w:pPr>
              <w:ind w:right="-29"/>
              <w:jc w:val="center"/>
              <w:rPr>
                <w:noProof/>
                <w:sz w:val="18"/>
                <w:szCs w:val="18"/>
              </w:rPr>
            </w:pPr>
            <w:r>
              <w:rPr>
                <w:b/>
                <w:noProof/>
                <w:sz w:val="18"/>
              </w:rPr>
              <w:t>ОБЩО</w:t>
            </w:r>
          </w:p>
        </w:tc>
        <w:tc>
          <w:tcPr>
            <w:tcW w:w="504" w:type="dxa"/>
            <w:gridSpan w:val="3"/>
            <w:tcBorders>
              <w:top w:val="single" w:sz="12" w:space="0" w:color="auto"/>
              <w:bottom w:val="single" w:sz="12" w:space="0" w:color="auto"/>
            </w:tcBorders>
          </w:tcPr>
          <w:p>
            <w:pPr>
              <w:spacing w:before="180" w:after="180"/>
              <w:ind w:right="-29"/>
              <w:jc w:val="center"/>
              <w:rPr>
                <w:noProof/>
                <w:sz w:val="18"/>
                <w:szCs w:val="18"/>
              </w:rPr>
            </w:pPr>
          </w:p>
        </w:tc>
        <w:tc>
          <w:tcPr>
            <w:tcW w:w="720" w:type="dxa"/>
            <w:gridSpan w:val="2"/>
            <w:tcBorders>
              <w:top w:val="single" w:sz="12" w:space="0" w:color="auto"/>
              <w:bottom w:val="single" w:sz="12" w:space="0" w:color="auto"/>
            </w:tcBorders>
          </w:tcPr>
          <w:p>
            <w:pPr>
              <w:spacing w:before="180" w:after="180"/>
              <w:ind w:right="-29"/>
              <w:rPr>
                <w:noProof/>
                <w:sz w:val="18"/>
                <w:szCs w:val="18"/>
              </w:rPr>
            </w:pPr>
            <w:r>
              <w:rPr>
                <w:noProof/>
                <w:sz w:val="20"/>
              </w:rPr>
              <w:t>5,300</w:t>
            </w:r>
          </w:p>
        </w:tc>
        <w:tc>
          <w:tcPr>
            <w:tcW w:w="540" w:type="dxa"/>
            <w:gridSpan w:val="2"/>
            <w:tcBorders>
              <w:top w:val="single" w:sz="12" w:space="0" w:color="auto"/>
              <w:bottom w:val="single" w:sz="12" w:space="0" w:color="auto"/>
            </w:tcBorders>
          </w:tcPr>
          <w:p>
            <w:pPr>
              <w:spacing w:before="180" w:after="180"/>
              <w:ind w:right="-29"/>
              <w:jc w:val="center"/>
              <w:rPr>
                <w:noProof/>
                <w:sz w:val="18"/>
                <w:szCs w:val="18"/>
              </w:rPr>
            </w:pPr>
          </w:p>
        </w:tc>
        <w:tc>
          <w:tcPr>
            <w:tcW w:w="720" w:type="dxa"/>
            <w:gridSpan w:val="2"/>
            <w:tcBorders>
              <w:top w:val="single" w:sz="12" w:space="0" w:color="auto"/>
              <w:bottom w:val="single" w:sz="12" w:space="0" w:color="auto"/>
            </w:tcBorders>
          </w:tcPr>
          <w:p>
            <w:pPr>
              <w:spacing w:before="180" w:after="180"/>
              <w:ind w:right="-29"/>
              <w:jc w:val="center"/>
              <w:rPr>
                <w:noProof/>
                <w:sz w:val="18"/>
                <w:szCs w:val="18"/>
              </w:rPr>
            </w:pPr>
            <w:r>
              <w:rPr>
                <w:noProof/>
                <w:sz w:val="20"/>
              </w:rPr>
              <w:t>5,300</w:t>
            </w:r>
          </w:p>
        </w:tc>
        <w:tc>
          <w:tcPr>
            <w:tcW w:w="720" w:type="dxa"/>
            <w:gridSpan w:val="2"/>
            <w:tcBorders>
              <w:top w:val="single" w:sz="12" w:space="0" w:color="auto"/>
              <w:bottom w:val="single" w:sz="12" w:space="0" w:color="auto"/>
            </w:tcBorders>
          </w:tcPr>
          <w:p>
            <w:pPr>
              <w:spacing w:before="180" w:after="180"/>
              <w:ind w:right="-29"/>
              <w:jc w:val="center"/>
              <w:rPr>
                <w:noProof/>
                <w:sz w:val="18"/>
                <w:szCs w:val="18"/>
              </w:rPr>
            </w:pPr>
          </w:p>
        </w:tc>
        <w:tc>
          <w:tcPr>
            <w:tcW w:w="720" w:type="dxa"/>
            <w:gridSpan w:val="2"/>
            <w:tcBorders>
              <w:top w:val="single" w:sz="12" w:space="0" w:color="auto"/>
              <w:bottom w:val="single" w:sz="12" w:space="0" w:color="auto"/>
            </w:tcBorders>
          </w:tcPr>
          <w:p>
            <w:pPr>
              <w:spacing w:before="180" w:after="180"/>
              <w:ind w:right="-29"/>
              <w:jc w:val="center"/>
              <w:rPr>
                <w:noProof/>
                <w:sz w:val="18"/>
                <w:szCs w:val="18"/>
              </w:rPr>
            </w:pPr>
            <w:r>
              <w:rPr>
                <w:noProof/>
                <w:sz w:val="20"/>
              </w:rPr>
              <w:t>5,300</w:t>
            </w:r>
          </w:p>
        </w:tc>
        <w:tc>
          <w:tcPr>
            <w:tcW w:w="900" w:type="dxa"/>
            <w:gridSpan w:val="2"/>
            <w:tcBorders>
              <w:top w:val="single" w:sz="12" w:space="0" w:color="auto"/>
              <w:bottom w:val="single" w:sz="12" w:space="0" w:color="auto"/>
            </w:tcBorders>
          </w:tcPr>
          <w:p>
            <w:pPr>
              <w:spacing w:before="180" w:after="180"/>
              <w:ind w:right="-29"/>
              <w:jc w:val="center"/>
              <w:rPr>
                <w:noProof/>
                <w:sz w:val="18"/>
                <w:szCs w:val="18"/>
              </w:rPr>
            </w:pPr>
          </w:p>
        </w:tc>
        <w:tc>
          <w:tcPr>
            <w:tcW w:w="723" w:type="dxa"/>
            <w:gridSpan w:val="2"/>
            <w:tcBorders>
              <w:top w:val="single" w:sz="12" w:space="0" w:color="auto"/>
              <w:bottom w:val="single" w:sz="12" w:space="0" w:color="auto"/>
            </w:tcBorders>
          </w:tcPr>
          <w:p>
            <w:pPr>
              <w:spacing w:before="180" w:after="180"/>
              <w:ind w:right="-29"/>
              <w:jc w:val="center"/>
              <w:rPr>
                <w:noProof/>
                <w:sz w:val="18"/>
                <w:szCs w:val="18"/>
              </w:rPr>
            </w:pPr>
            <w:r>
              <w:rPr>
                <w:noProof/>
                <w:sz w:val="20"/>
              </w:rPr>
              <w:t>5,300</w:t>
            </w:r>
          </w:p>
        </w:tc>
        <w:tc>
          <w:tcPr>
            <w:tcW w:w="540" w:type="dxa"/>
            <w:gridSpan w:val="2"/>
            <w:tcBorders>
              <w:top w:val="single" w:sz="12" w:space="0" w:color="auto"/>
              <w:bottom w:val="single" w:sz="12" w:space="0" w:color="auto"/>
            </w:tcBorders>
          </w:tcPr>
          <w:p>
            <w:pPr>
              <w:spacing w:before="180" w:after="180"/>
              <w:ind w:right="-29"/>
              <w:jc w:val="center"/>
              <w:rPr>
                <w:noProof/>
                <w:sz w:val="18"/>
                <w:szCs w:val="18"/>
              </w:rPr>
            </w:pPr>
          </w:p>
        </w:tc>
        <w:tc>
          <w:tcPr>
            <w:tcW w:w="708" w:type="dxa"/>
            <w:gridSpan w:val="2"/>
            <w:tcBorders>
              <w:top w:val="single" w:sz="12" w:space="0" w:color="auto"/>
              <w:bottom w:val="single" w:sz="12" w:space="0" w:color="auto"/>
            </w:tcBorders>
          </w:tcPr>
          <w:p>
            <w:pPr>
              <w:spacing w:before="180" w:after="180"/>
              <w:ind w:right="-29"/>
              <w:jc w:val="center"/>
              <w:rPr>
                <w:noProof/>
                <w:sz w:val="18"/>
                <w:szCs w:val="18"/>
              </w:rPr>
            </w:pPr>
            <w:r>
              <w:rPr>
                <w:noProof/>
                <w:sz w:val="20"/>
              </w:rPr>
              <w:t>5,300</w:t>
            </w:r>
          </w:p>
        </w:tc>
        <w:tc>
          <w:tcPr>
            <w:tcW w:w="942" w:type="dxa"/>
            <w:gridSpan w:val="2"/>
            <w:tcBorders>
              <w:top w:val="single" w:sz="12" w:space="0" w:color="auto"/>
              <w:bottom w:val="single" w:sz="12" w:space="0" w:color="auto"/>
            </w:tcBorders>
          </w:tcPr>
          <w:p>
            <w:pPr>
              <w:spacing w:before="180" w:after="180"/>
              <w:ind w:right="-29"/>
              <w:jc w:val="center"/>
              <w:rPr>
                <w:noProof/>
                <w:sz w:val="18"/>
                <w:szCs w:val="18"/>
              </w:rPr>
            </w:pPr>
            <w:r>
              <w:rPr>
                <w:noProof/>
                <w:sz w:val="18"/>
                <w:szCs w:val="18"/>
              </w:rPr>
              <w:t>5,300</w:t>
            </w:r>
          </w:p>
        </w:tc>
        <w:tc>
          <w:tcPr>
            <w:tcW w:w="1284" w:type="dxa"/>
            <w:gridSpan w:val="2"/>
            <w:tcBorders>
              <w:top w:val="single" w:sz="12" w:space="0" w:color="auto"/>
              <w:bottom w:val="single" w:sz="12" w:space="0" w:color="auto"/>
            </w:tcBorders>
          </w:tcPr>
          <w:p>
            <w:pPr>
              <w:spacing w:before="180" w:after="180"/>
              <w:ind w:right="-29"/>
              <w:jc w:val="center"/>
              <w:rPr>
                <w:noProof/>
                <w:sz w:val="18"/>
                <w:szCs w:val="18"/>
              </w:rPr>
            </w:pPr>
          </w:p>
        </w:tc>
        <w:tc>
          <w:tcPr>
            <w:tcW w:w="900" w:type="dxa"/>
            <w:gridSpan w:val="2"/>
            <w:tcBorders>
              <w:top w:val="single" w:sz="12" w:space="0" w:color="auto"/>
              <w:bottom w:val="single" w:sz="12" w:space="0" w:color="auto"/>
              <w:right w:val="single" w:sz="12" w:space="0" w:color="auto"/>
            </w:tcBorders>
          </w:tcPr>
          <w:p>
            <w:pPr>
              <w:spacing w:before="180" w:after="180"/>
              <w:ind w:right="-29"/>
              <w:jc w:val="center"/>
              <w:rPr>
                <w:noProof/>
                <w:sz w:val="18"/>
                <w:szCs w:val="18"/>
              </w:rPr>
            </w:pPr>
            <w:r>
              <w:rPr>
                <w:noProof/>
                <w:sz w:val="18"/>
                <w:szCs w:val="18"/>
              </w:rPr>
              <w:t>31,800</w:t>
            </w:r>
          </w:p>
        </w:tc>
      </w:tr>
    </w:tbl>
    <w:p>
      <w:pPr>
        <w:rPr>
          <w:noProof/>
        </w:rPr>
        <w:sectPr>
          <w:headerReference w:type="default" r:id="rId14"/>
          <w:footerReference w:type="default" r:id="rId15"/>
          <w:headerReference w:type="first" r:id="rId16"/>
          <w:footerReference w:type="first" r:id="rId17"/>
          <w:pgSz w:w="16840" w:h="11907" w:orient="landscape" w:code="9"/>
          <w:pgMar w:top="1134" w:right="1418" w:bottom="567" w:left="1418" w:header="709" w:footer="709" w:gutter="0"/>
          <w:cols w:space="708"/>
          <w:docGrid w:linePitch="360"/>
        </w:sectPr>
      </w:pPr>
    </w:p>
    <w:p>
      <w:pPr>
        <w:pStyle w:val="ManualHeading3"/>
        <w:rPr>
          <w:bCs/>
          <w:noProof/>
          <w:szCs w:val="24"/>
        </w:rPr>
      </w:pPr>
      <w:r>
        <w:rPr>
          <w:noProof/>
        </w:rPr>
        <w:t>3.2.3.</w:t>
      </w:r>
      <w:r>
        <w:rPr>
          <w:noProof/>
        </w:rPr>
        <w:tab/>
        <w:t xml:space="preserve">Обобщение на очакваното отражение върху бюджетните кредити за административни разходи </w:t>
      </w:r>
    </w:p>
    <w:p>
      <w:pPr>
        <w:pStyle w:val="ListDash1"/>
        <w:rPr>
          <w:noProof/>
        </w:rPr>
      </w:pPr>
      <w:r>
        <w:rPr>
          <w:noProof/>
        </w:rPr>
        <w:t>X</w:t>
      </w:r>
      <w:r>
        <w:rPr>
          <w:noProof/>
        </w:rPr>
        <w:tab/>
        <w:t xml:space="preserve">Предложението/инициативата не налага използване на бюджетни кредити за административни разходи </w:t>
      </w:r>
    </w:p>
    <w:p>
      <w:pPr>
        <w:pStyle w:val="ListDash1"/>
        <w:rPr>
          <w:noProof/>
        </w:rPr>
      </w:pPr>
      <w:r>
        <w:rPr>
          <w:noProof/>
        </w:rPr>
        <w:sym w:font="Wingdings" w:char="F0A8"/>
      </w:r>
      <w:r>
        <w:rPr>
          <w:noProof/>
        </w:rPr>
        <w:tab/>
        <w:t>Предложението/инициативата налага използване на бюджетни кредити за административни разходи съгласно обяснението по-долу:</w:t>
      </w:r>
    </w:p>
    <w:p>
      <w:pPr>
        <w:jc w:val="right"/>
        <w:rPr>
          <w:noProof/>
          <w:sz w:val="20"/>
        </w:rPr>
      </w:pPr>
      <w:r>
        <w:rPr>
          <w:noProof/>
          <w:sz w:val="20"/>
        </w:rPr>
        <w:t>млн. евро (до 3-тия знак след десетичната запетая)</w:t>
      </w: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3240"/>
        <w:gridCol w:w="1080"/>
      </w:tblGrid>
      <w:tr>
        <w:trPr>
          <w:trHeight w:val="585"/>
        </w:trPr>
        <w:tc>
          <w:tcPr>
            <w:tcW w:w="1980" w:type="dxa"/>
          </w:tcPr>
          <w:p>
            <w:pPr>
              <w:spacing w:before="60" w:after="60" w:line="200" w:lineRule="exact"/>
              <w:rPr>
                <w:noProof/>
                <w:sz w:val="16"/>
                <w:szCs w:val="16"/>
              </w:rPr>
            </w:pPr>
          </w:p>
        </w:tc>
        <w:tc>
          <w:tcPr>
            <w:tcW w:w="1080" w:type="dxa"/>
            <w:vAlign w:val="center"/>
          </w:tcPr>
          <w:p>
            <w:pPr>
              <w:spacing w:before="60" w:after="60" w:line="200" w:lineRule="exact"/>
              <w:jc w:val="center"/>
              <w:rPr>
                <w:noProof/>
                <w:sz w:val="16"/>
                <w:szCs w:val="16"/>
              </w:rPr>
            </w:pPr>
            <w:r>
              <w:rPr>
                <w:b/>
                <w:noProof/>
                <w:sz w:val="16"/>
              </w:rPr>
              <w:t xml:space="preserve">Година N </w:t>
            </w:r>
            <w:r>
              <w:rPr>
                <w:rStyle w:val="FootnoteReference"/>
                <w:b/>
                <w:noProof/>
                <w:sz w:val="16"/>
              </w:rPr>
              <w:footnoteReference w:id="16"/>
            </w:r>
          </w:p>
        </w:tc>
        <w:tc>
          <w:tcPr>
            <w:tcW w:w="1080" w:type="dxa"/>
            <w:vAlign w:val="center"/>
          </w:tcPr>
          <w:p>
            <w:pPr>
              <w:spacing w:before="60" w:after="60" w:line="200" w:lineRule="exact"/>
              <w:jc w:val="center"/>
              <w:rPr>
                <w:noProof/>
                <w:sz w:val="16"/>
                <w:szCs w:val="16"/>
              </w:rPr>
            </w:pPr>
            <w:r>
              <w:rPr>
                <w:b/>
                <w:noProof/>
                <w:sz w:val="16"/>
              </w:rPr>
              <w:t>Година N+1</w:t>
            </w:r>
          </w:p>
        </w:tc>
        <w:tc>
          <w:tcPr>
            <w:tcW w:w="1080" w:type="dxa"/>
            <w:vAlign w:val="center"/>
          </w:tcPr>
          <w:p>
            <w:pPr>
              <w:spacing w:before="60" w:after="60" w:line="200" w:lineRule="exact"/>
              <w:jc w:val="center"/>
              <w:rPr>
                <w:noProof/>
                <w:sz w:val="16"/>
                <w:szCs w:val="16"/>
              </w:rPr>
            </w:pPr>
            <w:r>
              <w:rPr>
                <w:b/>
                <w:noProof/>
                <w:sz w:val="16"/>
              </w:rPr>
              <w:t>Година N+2</w:t>
            </w:r>
          </w:p>
        </w:tc>
        <w:tc>
          <w:tcPr>
            <w:tcW w:w="1080" w:type="dxa"/>
            <w:vAlign w:val="center"/>
          </w:tcPr>
          <w:p>
            <w:pPr>
              <w:spacing w:before="60" w:after="60" w:line="200" w:lineRule="exact"/>
              <w:jc w:val="center"/>
              <w:rPr>
                <w:noProof/>
                <w:sz w:val="16"/>
                <w:szCs w:val="16"/>
              </w:rPr>
            </w:pPr>
            <w:r>
              <w:rPr>
                <w:b/>
                <w:noProof/>
                <w:sz w:val="16"/>
              </w:rPr>
              <w:t>Година N+3</w:t>
            </w:r>
          </w:p>
        </w:tc>
        <w:tc>
          <w:tcPr>
            <w:tcW w:w="3240" w:type="dxa"/>
            <w:vAlign w:val="center"/>
          </w:tcPr>
          <w:p>
            <w:pPr>
              <w:spacing w:line="200" w:lineRule="exact"/>
              <w:jc w:val="center"/>
              <w:rPr>
                <w:b/>
                <w:noProof/>
                <w:sz w:val="16"/>
                <w:szCs w:val="16"/>
              </w:rPr>
            </w:pPr>
            <w:r>
              <w:rPr>
                <w:noProof/>
                <w:sz w:val="16"/>
              </w:rPr>
              <w:t>Въведете толкова години, колкото е необходимо, за да се покаже продължителността на отражението (вж. точка 1.6)</w:t>
            </w:r>
          </w:p>
        </w:tc>
        <w:tc>
          <w:tcPr>
            <w:tcW w:w="1080" w:type="dxa"/>
            <w:vAlign w:val="center"/>
          </w:tcPr>
          <w:p>
            <w:pPr>
              <w:spacing w:before="60" w:after="60" w:line="200" w:lineRule="exact"/>
              <w:jc w:val="center"/>
              <w:rPr>
                <w:b/>
                <w:noProof/>
                <w:sz w:val="16"/>
                <w:szCs w:val="16"/>
              </w:rPr>
            </w:pPr>
            <w:r>
              <w:rPr>
                <w:b/>
                <w:noProof/>
                <w:sz w:val="16"/>
              </w:rPr>
              <w:t>ОБЩО</w:t>
            </w:r>
          </w:p>
        </w:tc>
      </w:tr>
    </w:tbl>
    <w:p>
      <w:pPr>
        <w:spacing w:line="200" w:lineRule="exact"/>
        <w:rPr>
          <w:noProof/>
          <w:sz w:val="16"/>
          <w:szCs w:val="16"/>
        </w:rPr>
      </w:pP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trPr>
          <w:trHeight w:val="585"/>
        </w:trPr>
        <w:tc>
          <w:tcPr>
            <w:tcW w:w="1980" w:type="dxa"/>
            <w:shd w:val="clear" w:color="auto" w:fill="CCCCCC"/>
            <w:vAlign w:val="center"/>
          </w:tcPr>
          <w:p>
            <w:pPr>
              <w:spacing w:before="60" w:after="60" w:line="200" w:lineRule="exact"/>
              <w:jc w:val="center"/>
              <w:rPr>
                <w:b/>
                <w:noProof/>
                <w:sz w:val="16"/>
                <w:szCs w:val="16"/>
              </w:rPr>
            </w:pPr>
            <w:r>
              <w:rPr>
                <w:b/>
                <w:noProof/>
                <w:sz w:val="16"/>
              </w:rPr>
              <w:t>ФУНКЦИЯ 5 от многогодишната финансова рамка</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c>
          <w:tcPr>
            <w:tcW w:w="1080" w:type="dxa"/>
            <w:vAlign w:val="center"/>
          </w:tcPr>
          <w:p>
            <w:pPr>
              <w:spacing w:before="60" w:after="60" w:line="200" w:lineRule="exact"/>
              <w:jc w:val="right"/>
              <w:rPr>
                <w:b/>
                <w:noProof/>
                <w:sz w:val="16"/>
                <w:szCs w:val="16"/>
              </w:rPr>
            </w:pPr>
          </w:p>
        </w:tc>
      </w:tr>
      <w:tr>
        <w:trPr>
          <w:trHeight w:val="585"/>
        </w:trPr>
        <w:tc>
          <w:tcPr>
            <w:tcW w:w="1980" w:type="dxa"/>
            <w:vAlign w:val="center"/>
          </w:tcPr>
          <w:p>
            <w:pPr>
              <w:spacing w:before="60" w:after="60" w:line="200" w:lineRule="exact"/>
              <w:ind w:left="72"/>
              <w:jc w:val="left"/>
              <w:rPr>
                <w:noProof/>
                <w:sz w:val="16"/>
                <w:szCs w:val="16"/>
              </w:rPr>
            </w:pPr>
            <w:r>
              <w:rPr>
                <w:noProof/>
                <w:sz w:val="16"/>
              </w:rPr>
              <w:t xml:space="preserve">Човешки ресурси </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c>
          <w:tcPr>
            <w:tcW w:w="1080" w:type="dxa"/>
            <w:vAlign w:val="center"/>
          </w:tcPr>
          <w:p>
            <w:pPr>
              <w:spacing w:before="60" w:after="60" w:line="200" w:lineRule="exact"/>
              <w:jc w:val="right"/>
              <w:rPr>
                <w:b/>
                <w:noProof/>
                <w:sz w:val="16"/>
                <w:szCs w:val="16"/>
              </w:rPr>
            </w:pPr>
          </w:p>
        </w:tc>
      </w:tr>
      <w:tr>
        <w:trPr>
          <w:trHeight w:val="585"/>
        </w:trPr>
        <w:tc>
          <w:tcPr>
            <w:tcW w:w="1980" w:type="dxa"/>
            <w:vAlign w:val="center"/>
          </w:tcPr>
          <w:p>
            <w:pPr>
              <w:spacing w:before="60" w:after="60" w:line="200" w:lineRule="exact"/>
              <w:ind w:left="72"/>
              <w:jc w:val="left"/>
              <w:rPr>
                <w:noProof/>
                <w:sz w:val="16"/>
                <w:szCs w:val="16"/>
              </w:rPr>
            </w:pPr>
            <w:r>
              <w:rPr>
                <w:noProof/>
                <w:sz w:val="16"/>
              </w:rPr>
              <w:t xml:space="preserve">Други административни разходи </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c>
          <w:tcPr>
            <w:tcW w:w="1080" w:type="dxa"/>
            <w:vAlign w:val="center"/>
          </w:tcPr>
          <w:p>
            <w:pPr>
              <w:spacing w:before="60" w:after="60" w:line="200" w:lineRule="exact"/>
              <w:jc w:val="right"/>
              <w:rPr>
                <w:b/>
                <w:noProof/>
                <w:sz w:val="16"/>
                <w:szCs w:val="16"/>
              </w:rPr>
            </w:pPr>
          </w:p>
        </w:tc>
      </w:tr>
      <w:tr>
        <w:trPr>
          <w:trHeight w:val="585"/>
        </w:trPr>
        <w:tc>
          <w:tcPr>
            <w:tcW w:w="1980" w:type="dxa"/>
            <w:shd w:val="clear" w:color="auto" w:fill="CCCCCC"/>
            <w:vAlign w:val="center"/>
          </w:tcPr>
          <w:p>
            <w:pPr>
              <w:spacing w:before="60" w:after="60" w:line="200" w:lineRule="exact"/>
              <w:jc w:val="center"/>
              <w:rPr>
                <w:b/>
                <w:noProof/>
                <w:sz w:val="16"/>
                <w:szCs w:val="16"/>
              </w:rPr>
            </w:pPr>
            <w:r>
              <w:rPr>
                <w:b/>
                <w:noProof/>
                <w:sz w:val="16"/>
              </w:rPr>
              <w:t>Междинен сбор за ФУНКЦИЯ 5 от многогодишната финансова рамка</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c>
          <w:tcPr>
            <w:tcW w:w="1080" w:type="dxa"/>
            <w:vAlign w:val="center"/>
          </w:tcPr>
          <w:p>
            <w:pPr>
              <w:spacing w:before="60" w:after="60" w:line="200" w:lineRule="exact"/>
              <w:jc w:val="right"/>
              <w:rPr>
                <w:b/>
                <w:noProof/>
                <w:sz w:val="16"/>
                <w:szCs w:val="16"/>
              </w:rPr>
            </w:pPr>
          </w:p>
        </w:tc>
      </w:tr>
    </w:tbl>
    <w:p>
      <w:pPr>
        <w:spacing w:line="200" w:lineRule="exact"/>
        <w:rPr>
          <w:noProof/>
          <w:sz w:val="16"/>
          <w:szCs w:val="16"/>
        </w:rPr>
      </w:pP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trPr>
          <w:trHeight w:val="585"/>
        </w:trPr>
        <w:tc>
          <w:tcPr>
            <w:tcW w:w="1980" w:type="dxa"/>
            <w:shd w:val="clear" w:color="auto" w:fill="CCCCCC"/>
            <w:vAlign w:val="center"/>
          </w:tcPr>
          <w:p>
            <w:pPr>
              <w:spacing w:before="60" w:after="60" w:line="200" w:lineRule="exact"/>
              <w:jc w:val="center"/>
              <w:rPr>
                <w:noProof/>
                <w:sz w:val="16"/>
                <w:szCs w:val="16"/>
              </w:rPr>
            </w:pPr>
            <w:r>
              <w:rPr>
                <w:b/>
                <w:noProof/>
                <w:sz w:val="16"/>
              </w:rPr>
              <w:t>Извън ФУНКЦИЯ</w:t>
            </w:r>
            <w:r>
              <w:rPr>
                <w:rStyle w:val="FootnoteReference"/>
                <w:b/>
                <w:noProof/>
                <w:sz w:val="16"/>
              </w:rPr>
              <w:footnoteReference w:id="17"/>
            </w:r>
            <w:r>
              <w:rPr>
                <w:b/>
                <w:noProof/>
                <w:sz w:val="16"/>
              </w:rPr>
              <w:t xml:space="preserve"> от многогодишната финансова рамка</w:t>
            </w:r>
          </w:p>
          <w:p>
            <w:pPr>
              <w:spacing w:before="0" w:after="0" w:line="200" w:lineRule="exact"/>
              <w:jc w:val="center"/>
              <w:rPr>
                <w:b/>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c>
          <w:tcPr>
            <w:tcW w:w="1080" w:type="dxa"/>
            <w:vAlign w:val="center"/>
          </w:tcPr>
          <w:p>
            <w:pPr>
              <w:spacing w:before="60" w:after="60" w:line="200" w:lineRule="exact"/>
              <w:jc w:val="right"/>
              <w:rPr>
                <w:b/>
                <w:noProof/>
                <w:sz w:val="16"/>
                <w:szCs w:val="16"/>
              </w:rPr>
            </w:pPr>
          </w:p>
        </w:tc>
      </w:tr>
      <w:tr>
        <w:trPr>
          <w:trHeight w:val="585"/>
        </w:trPr>
        <w:tc>
          <w:tcPr>
            <w:tcW w:w="1980" w:type="dxa"/>
            <w:vAlign w:val="center"/>
          </w:tcPr>
          <w:p>
            <w:pPr>
              <w:spacing w:before="60" w:after="60" w:line="200" w:lineRule="exact"/>
              <w:ind w:left="72"/>
              <w:jc w:val="left"/>
              <w:rPr>
                <w:noProof/>
                <w:sz w:val="16"/>
                <w:szCs w:val="16"/>
              </w:rPr>
            </w:pPr>
            <w:r>
              <w:rPr>
                <w:noProof/>
                <w:sz w:val="16"/>
              </w:rPr>
              <w:t xml:space="preserve">Човешки ресурси </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c>
          <w:tcPr>
            <w:tcW w:w="1080" w:type="dxa"/>
            <w:vAlign w:val="center"/>
          </w:tcPr>
          <w:p>
            <w:pPr>
              <w:spacing w:before="60" w:after="60" w:line="200" w:lineRule="exact"/>
              <w:jc w:val="right"/>
              <w:rPr>
                <w:b/>
                <w:noProof/>
                <w:sz w:val="16"/>
                <w:szCs w:val="16"/>
              </w:rPr>
            </w:pPr>
          </w:p>
        </w:tc>
      </w:tr>
      <w:tr>
        <w:trPr>
          <w:trHeight w:val="585"/>
        </w:trPr>
        <w:tc>
          <w:tcPr>
            <w:tcW w:w="1980" w:type="dxa"/>
            <w:vAlign w:val="center"/>
          </w:tcPr>
          <w:p>
            <w:pPr>
              <w:spacing w:before="60" w:after="60" w:line="200" w:lineRule="exact"/>
              <w:ind w:left="72"/>
              <w:jc w:val="left"/>
              <w:rPr>
                <w:noProof/>
                <w:sz w:val="16"/>
                <w:szCs w:val="16"/>
              </w:rPr>
            </w:pPr>
            <w:r>
              <w:rPr>
                <w:noProof/>
                <w:sz w:val="16"/>
              </w:rPr>
              <w:t>Други разходи с административен характер</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c>
          <w:tcPr>
            <w:tcW w:w="1080" w:type="dxa"/>
            <w:vAlign w:val="center"/>
          </w:tcPr>
          <w:p>
            <w:pPr>
              <w:spacing w:before="60" w:after="60" w:line="200" w:lineRule="exact"/>
              <w:jc w:val="right"/>
              <w:rPr>
                <w:b/>
                <w:noProof/>
                <w:sz w:val="16"/>
                <w:szCs w:val="16"/>
              </w:rPr>
            </w:pPr>
          </w:p>
        </w:tc>
      </w:tr>
      <w:tr>
        <w:trPr>
          <w:trHeight w:val="585"/>
        </w:trPr>
        <w:tc>
          <w:tcPr>
            <w:tcW w:w="1980" w:type="dxa"/>
            <w:shd w:val="clear" w:color="auto" w:fill="CCCCCC"/>
            <w:vAlign w:val="center"/>
          </w:tcPr>
          <w:p>
            <w:pPr>
              <w:spacing w:before="60" w:after="60" w:line="200" w:lineRule="exact"/>
              <w:jc w:val="center"/>
              <w:rPr>
                <w:b/>
                <w:noProof/>
                <w:sz w:val="16"/>
                <w:szCs w:val="16"/>
              </w:rPr>
            </w:pPr>
            <w:r>
              <w:rPr>
                <w:b/>
                <w:noProof/>
                <w:sz w:val="16"/>
              </w:rPr>
              <w:t xml:space="preserve">Междинен сбор извън ФУНКЦИЯ 5 от многогодишната финансова рамка </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c>
          <w:tcPr>
            <w:tcW w:w="1080" w:type="dxa"/>
            <w:vAlign w:val="center"/>
          </w:tcPr>
          <w:p>
            <w:pPr>
              <w:spacing w:before="60" w:after="60" w:line="200" w:lineRule="exact"/>
              <w:jc w:val="right"/>
              <w:rPr>
                <w:b/>
                <w:noProof/>
                <w:sz w:val="16"/>
                <w:szCs w:val="16"/>
              </w:rPr>
            </w:pPr>
          </w:p>
        </w:tc>
      </w:tr>
    </w:tbl>
    <w:p>
      <w:pPr>
        <w:spacing w:line="200" w:lineRule="exact"/>
        <w:rPr>
          <w:noProof/>
          <w:sz w:val="16"/>
          <w:szCs w:val="16"/>
        </w:rPr>
      </w:pPr>
    </w:p>
    <w:tbl>
      <w:tblPr>
        <w:tblW w:w="10620" w:type="dxa"/>
        <w:tblInd w:w="-612" w:type="dxa"/>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trPr>
          <w:trHeight w:val="585"/>
        </w:trPr>
        <w:tc>
          <w:tcPr>
            <w:tcW w:w="1980" w:type="dxa"/>
            <w:tcBorders>
              <w:top w:val="single" w:sz="12" w:space="0" w:color="auto"/>
              <w:left w:val="single" w:sz="12" w:space="0" w:color="auto"/>
              <w:bottom w:val="single" w:sz="12" w:space="0" w:color="auto"/>
              <w:right w:val="single" w:sz="2" w:space="0" w:color="auto"/>
            </w:tcBorders>
            <w:vAlign w:val="center"/>
          </w:tcPr>
          <w:p>
            <w:pPr>
              <w:spacing w:before="60" w:after="60" w:line="200" w:lineRule="exact"/>
              <w:jc w:val="center"/>
              <w:rPr>
                <w:noProof/>
                <w:sz w:val="16"/>
                <w:szCs w:val="16"/>
              </w:rPr>
            </w:pPr>
            <w:r>
              <w:rPr>
                <w:b/>
                <w:noProof/>
                <w:sz w:val="16"/>
              </w:rPr>
              <w:t>ОБЩО</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12" w:space="0" w:color="auto"/>
            </w:tcBorders>
            <w:vAlign w:val="center"/>
          </w:tcPr>
          <w:p>
            <w:pPr>
              <w:spacing w:before="60" w:after="60" w:line="200" w:lineRule="exact"/>
              <w:jc w:val="right"/>
              <w:rPr>
                <w:b/>
                <w:noProof/>
                <w:sz w:val="16"/>
                <w:szCs w:val="16"/>
              </w:rPr>
            </w:pPr>
          </w:p>
        </w:tc>
      </w:tr>
    </w:tbl>
    <w:p>
      <w:pPr>
        <w:rPr>
          <w:noProof/>
          <w:sz w:val="18"/>
        </w:rPr>
      </w:pPr>
      <w:r>
        <w:rPr>
          <w:noProof/>
          <w:sz w:val="18"/>
        </w:rPr>
        <w:t>Бюджетните кредити, необходими за човешки ресурси и други разходи с административен характер, ще бъдат покрити от бюджетни кредити на ГД, които вече са определени за управлението на действието и/или са преразпределени в рамките на ГД, при необходимост заедно с допълнително отпуснати ресурси, които могат да бъдат предоставени на управляващата ГД в рамките на годишната процедура за разпределяне на ресурси и като се имат предвид бюджетните ограничения.</w:t>
      </w:r>
    </w:p>
    <w:p>
      <w:pPr>
        <w:rPr>
          <w:noProof/>
          <w:sz w:val="18"/>
        </w:rPr>
        <w:sectPr>
          <w:headerReference w:type="default" r:id="rId18"/>
          <w:footerReference w:type="default" r:id="rId19"/>
          <w:headerReference w:type="first" r:id="rId20"/>
          <w:footerReference w:type="first" r:id="rId21"/>
          <w:pgSz w:w="11907" w:h="16840"/>
          <w:pgMar w:top="1134" w:right="1418" w:bottom="1134" w:left="1418" w:header="709" w:footer="709" w:gutter="0"/>
          <w:cols w:space="708"/>
          <w:docGrid w:linePitch="360"/>
        </w:sectPr>
      </w:pPr>
    </w:p>
    <w:p>
      <w:pPr>
        <w:pStyle w:val="ManualHeading4"/>
        <w:rPr>
          <w:bCs/>
          <w:noProof/>
          <w:szCs w:val="24"/>
        </w:rPr>
      </w:pPr>
      <w:r>
        <w:rPr>
          <w:noProof/>
        </w:rPr>
        <w:t>3.2.3.1.</w:t>
      </w:r>
      <w:r>
        <w:rPr>
          <w:noProof/>
        </w:rPr>
        <w:tab/>
        <w:t xml:space="preserve">Очаквани нужди от човешки ресурси </w:t>
      </w:r>
    </w:p>
    <w:p>
      <w:pPr>
        <w:pStyle w:val="ListDash1"/>
        <w:rPr>
          <w:noProof/>
        </w:rPr>
      </w:pPr>
      <w:r>
        <w:rPr>
          <w:noProof/>
        </w:rPr>
        <w:t>X</w:t>
      </w:r>
      <w:r>
        <w:rPr>
          <w:noProof/>
        </w:rPr>
        <w:tab/>
        <w:t xml:space="preserve">Предложението/инициативата не налага използване на човешки ресурси </w:t>
      </w:r>
    </w:p>
    <w:p>
      <w:pPr>
        <w:pStyle w:val="ListDash1"/>
        <w:rPr>
          <w:noProof/>
        </w:rPr>
      </w:pPr>
      <w:r>
        <w:rPr>
          <w:noProof/>
        </w:rPr>
        <w:sym w:font="Wingdings" w:char="F0A8"/>
      </w:r>
      <w:r>
        <w:rPr>
          <w:noProof/>
        </w:rPr>
        <w:tab/>
        <w:t>Предложението/инициативата налага използване на човешки ресурси съгласно обяснението по-долу:</w:t>
      </w:r>
    </w:p>
    <w:p>
      <w:pPr>
        <w:spacing w:after="60"/>
        <w:jc w:val="right"/>
        <w:rPr>
          <w:i/>
          <w:noProof/>
          <w:sz w:val="20"/>
        </w:rPr>
      </w:pPr>
      <w:r>
        <w:rPr>
          <w:i/>
          <w:noProof/>
          <w:sz w:val="20"/>
        </w:rPr>
        <w:t>Оценката се посочва в еквивалент на пълно работно време</w:t>
      </w:r>
    </w:p>
    <w:tbl>
      <w:tblPr>
        <w:tblW w:w="988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5"/>
        <w:gridCol w:w="2376"/>
        <w:gridCol w:w="2378"/>
        <w:gridCol w:w="731"/>
        <w:gridCol w:w="731"/>
        <w:gridCol w:w="731"/>
        <w:gridCol w:w="731"/>
        <w:gridCol w:w="731"/>
        <w:gridCol w:w="731"/>
        <w:gridCol w:w="731"/>
      </w:tblGrid>
      <w:tr>
        <w:trPr>
          <w:gridBefore w:val="1"/>
          <w:wBefore w:w="13" w:type="dxa"/>
          <w:trHeight w:val="289"/>
          <w:jc w:val="center"/>
        </w:trPr>
        <w:tc>
          <w:tcPr>
            <w:tcW w:w="3906" w:type="dxa"/>
            <w:gridSpan w:val="2"/>
            <w:shd w:val="clear" w:color="auto" w:fill="auto"/>
          </w:tcPr>
          <w:p>
            <w:pPr>
              <w:pStyle w:val="Text1"/>
              <w:spacing w:before="40" w:after="40"/>
              <w:ind w:left="0"/>
              <w:jc w:val="center"/>
              <w:rPr>
                <w:i/>
                <w:noProof/>
                <w:sz w:val="16"/>
                <w:szCs w:val="16"/>
              </w:rPr>
            </w:pPr>
          </w:p>
        </w:tc>
        <w:tc>
          <w:tcPr>
            <w:tcW w:w="600" w:type="dxa"/>
            <w:shd w:val="clear" w:color="auto" w:fill="auto"/>
            <w:vAlign w:val="center"/>
          </w:tcPr>
          <w:p>
            <w:pPr>
              <w:spacing w:before="20" w:after="20"/>
              <w:jc w:val="center"/>
              <w:rPr>
                <w:noProof/>
                <w:sz w:val="16"/>
                <w:szCs w:val="16"/>
              </w:rPr>
            </w:pPr>
            <w:r>
              <w:rPr>
                <w:b/>
                <w:noProof/>
                <w:sz w:val="16"/>
              </w:rPr>
              <w:t>Годинa N</w:t>
            </w:r>
          </w:p>
        </w:tc>
        <w:tc>
          <w:tcPr>
            <w:tcW w:w="600" w:type="dxa"/>
            <w:shd w:val="clear" w:color="auto" w:fill="auto"/>
            <w:vAlign w:val="center"/>
          </w:tcPr>
          <w:p>
            <w:pPr>
              <w:spacing w:before="20" w:after="20"/>
              <w:jc w:val="center"/>
              <w:rPr>
                <w:noProof/>
                <w:sz w:val="16"/>
                <w:szCs w:val="16"/>
              </w:rPr>
            </w:pPr>
            <w:r>
              <w:rPr>
                <w:b/>
                <w:noProof/>
                <w:sz w:val="16"/>
              </w:rPr>
              <w:t>Година N+1</w:t>
            </w:r>
          </w:p>
        </w:tc>
        <w:tc>
          <w:tcPr>
            <w:tcW w:w="600" w:type="dxa"/>
            <w:shd w:val="clear" w:color="auto" w:fill="auto"/>
            <w:vAlign w:val="center"/>
          </w:tcPr>
          <w:p>
            <w:pPr>
              <w:spacing w:before="20" w:after="20"/>
              <w:jc w:val="center"/>
              <w:rPr>
                <w:noProof/>
                <w:sz w:val="16"/>
                <w:szCs w:val="16"/>
              </w:rPr>
            </w:pPr>
            <w:r>
              <w:rPr>
                <w:noProof/>
                <w:sz w:val="16"/>
              </w:rPr>
              <w:t xml:space="preserve">Година </w:t>
            </w:r>
            <w:r>
              <w:rPr>
                <w:b/>
                <w:noProof/>
                <w:sz w:val="16"/>
              </w:rPr>
              <w:t>N+2</w:t>
            </w:r>
          </w:p>
        </w:tc>
        <w:tc>
          <w:tcPr>
            <w:tcW w:w="600" w:type="dxa"/>
            <w:shd w:val="clear" w:color="auto" w:fill="auto"/>
            <w:vAlign w:val="center"/>
          </w:tcPr>
          <w:p>
            <w:pPr>
              <w:spacing w:before="20" w:after="20"/>
              <w:jc w:val="center"/>
              <w:rPr>
                <w:noProof/>
                <w:sz w:val="16"/>
                <w:szCs w:val="16"/>
              </w:rPr>
            </w:pPr>
            <w:r>
              <w:rPr>
                <w:noProof/>
                <w:sz w:val="16"/>
              </w:rPr>
              <w:t xml:space="preserve">Година </w:t>
            </w:r>
            <w:r>
              <w:rPr>
                <w:b/>
                <w:noProof/>
                <w:sz w:val="16"/>
              </w:rPr>
              <w:t>N+3</w:t>
            </w:r>
          </w:p>
        </w:tc>
        <w:tc>
          <w:tcPr>
            <w:tcW w:w="600" w:type="dxa"/>
            <w:gridSpan w:val="3"/>
            <w:shd w:val="clear" w:color="auto" w:fill="auto"/>
            <w:vAlign w:val="center"/>
          </w:tcPr>
          <w:p>
            <w:pPr>
              <w:jc w:val="center"/>
              <w:rPr>
                <w:b/>
                <w:noProof/>
                <w:sz w:val="16"/>
                <w:szCs w:val="16"/>
              </w:rPr>
            </w:pPr>
            <w:r>
              <w:rPr>
                <w:noProof/>
                <w:sz w:val="16"/>
              </w:rPr>
              <w:t>Въведете толкова години, колкото е необходимо, за да се покаже продължителността на отражението (вж. точка 1.6)</w:t>
            </w:r>
          </w:p>
        </w:tc>
      </w:tr>
      <w:tr>
        <w:trPr>
          <w:gridBefore w:val="1"/>
          <w:wBefore w:w="13" w:type="dxa"/>
          <w:trHeight w:val="289"/>
          <w:jc w:val="center"/>
        </w:trPr>
        <w:tc>
          <w:tcPr>
            <w:tcW w:w="600" w:type="dxa"/>
            <w:gridSpan w:val="9"/>
            <w:shd w:val="clear" w:color="auto" w:fill="auto"/>
          </w:tcPr>
          <w:p>
            <w:pPr>
              <w:jc w:val="left"/>
              <w:rPr>
                <w:noProof/>
                <w:sz w:val="16"/>
                <w:szCs w:val="16"/>
              </w:rPr>
            </w:pPr>
            <w:r>
              <w:rPr>
                <w:b/>
                <w:noProof/>
                <w:sz w:val="16"/>
              </w:rPr>
              <w:sym w:font="Wingdings" w:char="F09F"/>
            </w:r>
            <w:r>
              <w:rPr>
                <w:noProof/>
              </w:rPr>
              <w:t xml:space="preserve"> </w:t>
            </w:r>
            <w:r>
              <w:rPr>
                <w:b/>
                <w:noProof/>
                <w:sz w:val="16"/>
              </w:rPr>
              <w:t>Длъжности в щатното разписание (длъжностни лица и срочно наети служители)</w:t>
            </w:r>
          </w:p>
        </w:tc>
      </w:tr>
      <w:tr>
        <w:trPr>
          <w:gridBefore w:val="1"/>
          <w:wBefore w:w="13" w:type="dxa"/>
          <w:trHeight w:val="289"/>
          <w:jc w:val="center"/>
        </w:trPr>
        <w:tc>
          <w:tcPr>
            <w:tcW w:w="3906" w:type="dxa"/>
            <w:gridSpan w:val="2"/>
            <w:shd w:val="clear" w:color="auto" w:fill="auto"/>
            <w:vAlign w:val="center"/>
          </w:tcPr>
          <w:p>
            <w:pPr>
              <w:pStyle w:val="Text1"/>
              <w:spacing w:beforeLines="20" w:before="48" w:afterLines="20" w:after="48"/>
              <w:ind w:left="134"/>
              <w:jc w:val="left"/>
              <w:rPr>
                <w:b/>
                <w:noProof/>
                <w:sz w:val="16"/>
                <w:szCs w:val="16"/>
              </w:rPr>
            </w:pPr>
            <w:r>
              <w:rPr>
                <w:noProof/>
                <w:sz w:val="16"/>
              </w:rPr>
              <w:t>XX 01 01 01 (Централа и представителства на Комисията)</w:t>
            </w: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r>
      <w:tr>
        <w:trPr>
          <w:gridBefore w:val="1"/>
          <w:wBefore w:w="13" w:type="dxa"/>
          <w:trHeight w:val="289"/>
          <w:jc w:val="center"/>
        </w:trPr>
        <w:tc>
          <w:tcPr>
            <w:tcW w:w="3906" w:type="dxa"/>
            <w:gridSpan w:val="2"/>
            <w:shd w:val="clear" w:color="auto" w:fill="auto"/>
            <w:vAlign w:val="center"/>
          </w:tcPr>
          <w:p>
            <w:pPr>
              <w:pStyle w:val="Text1"/>
              <w:spacing w:beforeLines="20" w:before="48" w:afterLines="20" w:after="48"/>
              <w:ind w:left="134"/>
              <w:jc w:val="left"/>
              <w:rPr>
                <w:noProof/>
                <w:sz w:val="16"/>
                <w:szCs w:val="16"/>
              </w:rPr>
            </w:pPr>
            <w:r>
              <w:rPr>
                <w:noProof/>
                <w:sz w:val="16"/>
              </w:rPr>
              <w:t>XX 01 01 02 (Делегации)</w:t>
            </w: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r>
      <w:tr>
        <w:trPr>
          <w:gridBefore w:val="1"/>
          <w:wBefore w:w="13" w:type="dxa"/>
          <w:trHeight w:val="289"/>
          <w:jc w:val="center"/>
        </w:trPr>
        <w:tc>
          <w:tcPr>
            <w:tcW w:w="3906" w:type="dxa"/>
            <w:gridSpan w:val="2"/>
            <w:shd w:val="clear" w:color="auto" w:fill="auto"/>
            <w:vAlign w:val="center"/>
          </w:tcPr>
          <w:p>
            <w:pPr>
              <w:pStyle w:val="Text1"/>
              <w:spacing w:beforeLines="20" w:before="48" w:afterLines="20" w:after="48"/>
              <w:ind w:left="134"/>
              <w:jc w:val="left"/>
              <w:rPr>
                <w:noProof/>
                <w:sz w:val="16"/>
                <w:szCs w:val="16"/>
              </w:rPr>
            </w:pPr>
            <w:r>
              <w:rPr>
                <w:noProof/>
                <w:sz w:val="16"/>
              </w:rPr>
              <w:t>XX 01 05 01/11/21 (Непреки научни изследвания)</w:t>
            </w: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r>
      <w:tr>
        <w:trPr>
          <w:gridBefore w:val="1"/>
          <w:wBefore w:w="13" w:type="dxa"/>
          <w:trHeight w:val="289"/>
          <w:jc w:val="center"/>
        </w:trPr>
        <w:tc>
          <w:tcPr>
            <w:tcW w:w="3906" w:type="dxa"/>
            <w:gridSpan w:val="2"/>
            <w:shd w:val="clear" w:color="auto" w:fill="auto"/>
            <w:vAlign w:val="center"/>
          </w:tcPr>
          <w:p>
            <w:pPr>
              <w:pStyle w:val="Text1"/>
              <w:spacing w:beforeLines="20" w:before="48" w:afterLines="20" w:after="48"/>
              <w:ind w:left="134"/>
              <w:jc w:val="left"/>
              <w:rPr>
                <w:noProof/>
                <w:sz w:val="16"/>
                <w:szCs w:val="16"/>
              </w:rPr>
            </w:pPr>
            <w:r>
              <w:rPr>
                <w:noProof/>
                <w:sz w:val="16"/>
              </w:rPr>
              <w:t>10 01 05 01/11 (Преки научни изследвания)</w:t>
            </w: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r>
      <w:tr>
        <w:trPr>
          <w:trHeight w:val="248"/>
          <w:jc w:val="center"/>
        </w:trPr>
        <w:tc>
          <w:tcPr>
            <w:tcW w:w="600" w:type="dxa"/>
            <w:gridSpan w:val="10"/>
            <w:shd w:val="clear" w:color="auto" w:fill="auto"/>
            <w:vAlign w:val="center"/>
          </w:tcPr>
          <w:p>
            <w:pPr>
              <w:pStyle w:val="Text1"/>
              <w:spacing w:before="60" w:after="60"/>
              <w:ind w:left="0"/>
              <w:jc w:val="left"/>
              <w:rPr>
                <w:b/>
                <w:noProof/>
                <w:sz w:val="16"/>
                <w:szCs w:val="16"/>
              </w:rPr>
            </w:pPr>
            <w:r>
              <w:rPr>
                <w:b/>
                <w:noProof/>
                <w:sz w:val="16"/>
              </w:rPr>
              <w:sym w:font="Wingdings" w:char="F09F"/>
            </w:r>
            <w:r>
              <w:rPr>
                <w:noProof/>
              </w:rPr>
              <w:t xml:space="preserve"> </w:t>
            </w:r>
            <w:r>
              <w:rPr>
                <w:b/>
                <w:noProof/>
                <w:sz w:val="16"/>
              </w:rPr>
              <w:t>Външен персонал (в еквивалент на пълно работно време: ЕПРВ)</w:t>
            </w:r>
            <w:r>
              <w:rPr>
                <w:rStyle w:val="FootnoteReference"/>
                <w:b/>
                <w:noProof/>
                <w:sz w:val="16"/>
              </w:rPr>
              <w:footnoteReference w:id="18"/>
            </w:r>
          </w:p>
          <w:p>
            <w:pPr>
              <w:pStyle w:val="Text1"/>
              <w:spacing w:before="0" w:after="0"/>
              <w:ind w:left="0"/>
              <w:jc w:val="left"/>
              <w:rPr>
                <w:noProof/>
                <w:sz w:val="16"/>
                <w:szCs w:val="16"/>
              </w:rPr>
            </w:pPr>
          </w:p>
        </w:tc>
      </w:tr>
      <w:tr>
        <w:trPr>
          <w:gridBefore w:val="1"/>
          <w:wBefore w:w="13" w:type="dxa"/>
          <w:trHeight w:val="289"/>
          <w:jc w:val="center"/>
        </w:trPr>
        <w:tc>
          <w:tcPr>
            <w:tcW w:w="3906" w:type="dxa"/>
            <w:gridSpan w:val="2"/>
            <w:shd w:val="clear" w:color="auto" w:fill="auto"/>
            <w:vAlign w:val="center"/>
          </w:tcPr>
          <w:p>
            <w:pPr>
              <w:pStyle w:val="Text1"/>
              <w:spacing w:beforeLines="20" w:before="48" w:afterLines="20" w:after="48"/>
              <w:ind w:left="136"/>
              <w:jc w:val="left"/>
              <w:rPr>
                <w:b/>
                <w:noProof/>
                <w:sz w:val="16"/>
                <w:szCs w:val="16"/>
              </w:rPr>
            </w:pPr>
            <w:r>
              <w:rPr>
                <w:noProof/>
                <w:sz w:val="16"/>
              </w:rPr>
              <w:t>XX 01 02 01 (ДНП, КНЕ и ПНА от общия финансов пакет)</w:t>
            </w: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r>
      <w:tr>
        <w:trPr>
          <w:gridBefore w:val="1"/>
          <w:wBefore w:w="13" w:type="dxa"/>
          <w:trHeight w:val="289"/>
          <w:jc w:val="center"/>
        </w:trPr>
        <w:tc>
          <w:tcPr>
            <w:tcW w:w="3906" w:type="dxa"/>
            <w:gridSpan w:val="2"/>
            <w:shd w:val="clear" w:color="auto" w:fill="auto"/>
            <w:vAlign w:val="center"/>
          </w:tcPr>
          <w:p>
            <w:pPr>
              <w:pStyle w:val="Text1"/>
              <w:spacing w:beforeLines="20" w:before="48" w:afterLines="20" w:after="48"/>
              <w:ind w:left="136"/>
              <w:jc w:val="left"/>
              <w:rPr>
                <w:noProof/>
                <w:sz w:val="16"/>
                <w:szCs w:val="16"/>
              </w:rPr>
            </w:pPr>
            <w:r>
              <w:rPr>
                <w:noProof/>
                <w:sz w:val="16"/>
              </w:rPr>
              <w:t>XX 01 02 02 (ДНП, МП, КНЕ, ПНА и МЕД в делегациите)</w:t>
            </w: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r>
      <w:tr>
        <w:trPr>
          <w:gridBefore w:val="1"/>
          <w:wBefore w:w="13" w:type="dxa"/>
          <w:trHeight w:val="289"/>
          <w:jc w:val="center"/>
        </w:trPr>
        <w:tc>
          <w:tcPr>
            <w:tcW w:w="1952" w:type="dxa"/>
            <w:vMerge w:val="restart"/>
            <w:shd w:val="clear" w:color="auto" w:fill="auto"/>
            <w:vAlign w:val="center"/>
          </w:tcPr>
          <w:p>
            <w:pPr>
              <w:pStyle w:val="Text1"/>
              <w:spacing w:beforeLines="20" w:before="48" w:afterLines="20" w:after="48"/>
              <w:ind w:left="136"/>
              <w:jc w:val="left"/>
              <w:rPr>
                <w:b/>
                <w:noProof/>
                <w:sz w:val="16"/>
                <w:szCs w:val="16"/>
              </w:rPr>
            </w:pPr>
            <w:r>
              <w:rPr>
                <w:b/>
                <w:noProof/>
                <w:sz w:val="16"/>
              </w:rPr>
              <w:t>XX</w:t>
            </w:r>
            <w:r>
              <w:rPr>
                <w:noProof/>
                <w:sz w:val="16"/>
              </w:rPr>
              <w:t xml:space="preserve"> 01 04 </w:t>
            </w:r>
            <w:r>
              <w:rPr>
                <w:b/>
                <w:noProof/>
                <w:sz w:val="16"/>
              </w:rPr>
              <w:t>yy</w:t>
            </w:r>
            <w:r>
              <w:rPr>
                <w:b/>
                <w:i/>
                <w:noProof/>
                <w:sz w:val="16"/>
              </w:rPr>
              <w:t xml:space="preserve"> </w:t>
            </w:r>
            <w:r>
              <w:rPr>
                <w:rStyle w:val="FootnoteReference"/>
                <w:b/>
                <w:i/>
                <w:noProof/>
                <w:sz w:val="16"/>
              </w:rPr>
              <w:footnoteReference w:id="19"/>
            </w:r>
          </w:p>
          <w:p>
            <w:pPr>
              <w:pStyle w:val="Text1"/>
              <w:spacing w:beforeLines="20" w:before="48" w:afterLines="20" w:after="48"/>
              <w:ind w:left="136"/>
              <w:jc w:val="left"/>
              <w:rPr>
                <w:b/>
                <w:noProof/>
                <w:sz w:val="16"/>
                <w:szCs w:val="16"/>
              </w:rPr>
            </w:pPr>
          </w:p>
        </w:tc>
        <w:tc>
          <w:tcPr>
            <w:tcW w:w="1954" w:type="dxa"/>
            <w:shd w:val="clear" w:color="auto" w:fill="auto"/>
            <w:vAlign w:val="center"/>
          </w:tcPr>
          <w:p>
            <w:pPr>
              <w:pStyle w:val="Text1"/>
              <w:spacing w:beforeLines="20" w:before="48" w:afterLines="20" w:after="48"/>
              <w:ind w:left="136"/>
              <w:jc w:val="left"/>
              <w:rPr>
                <w:b/>
                <w:noProof/>
                <w:sz w:val="16"/>
                <w:szCs w:val="16"/>
              </w:rPr>
            </w:pPr>
            <w:r>
              <w:rPr>
                <w:noProof/>
                <w:sz w:val="16"/>
              </w:rPr>
              <w:t>- в централата</w:t>
            </w:r>
          </w:p>
          <w:p>
            <w:pPr>
              <w:pStyle w:val="Text1"/>
              <w:spacing w:beforeLines="20" w:before="48" w:afterLines="20" w:after="48"/>
              <w:ind w:left="136"/>
              <w:jc w:val="left"/>
              <w:rPr>
                <w:b/>
                <w:noProof/>
                <w:sz w:val="16"/>
                <w:szCs w:val="16"/>
              </w:rPr>
            </w:pPr>
          </w:p>
        </w:tc>
        <w:tc>
          <w:tcPr>
            <w:tcW w:w="600" w:type="dxa"/>
            <w:shd w:val="clear" w:color="auto" w:fill="auto"/>
            <w:vAlign w:val="center"/>
          </w:tcPr>
          <w:p>
            <w:pPr>
              <w:pStyle w:val="Text1"/>
              <w:spacing w:beforeLines="20" w:before="48" w:afterLines="20" w:after="48"/>
              <w:ind w:left="0"/>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r>
      <w:tr>
        <w:trPr>
          <w:gridBefore w:val="1"/>
          <w:wBefore w:w="13" w:type="dxa"/>
          <w:trHeight w:val="289"/>
          <w:jc w:val="center"/>
        </w:trPr>
        <w:tc>
          <w:tcPr>
            <w:tcW w:w="1952" w:type="dxa"/>
            <w:vMerge/>
            <w:shd w:val="clear" w:color="auto" w:fill="auto"/>
            <w:vAlign w:val="center"/>
          </w:tcPr>
          <w:p>
            <w:pPr>
              <w:pStyle w:val="Text1"/>
              <w:spacing w:beforeLines="20" w:before="48" w:afterLines="20" w:after="48"/>
              <w:ind w:left="136"/>
              <w:jc w:val="left"/>
              <w:rPr>
                <w:b/>
                <w:noProof/>
                <w:sz w:val="16"/>
                <w:szCs w:val="16"/>
              </w:rPr>
            </w:pPr>
          </w:p>
        </w:tc>
        <w:tc>
          <w:tcPr>
            <w:tcW w:w="1954" w:type="dxa"/>
            <w:shd w:val="clear" w:color="auto" w:fill="auto"/>
            <w:vAlign w:val="center"/>
          </w:tcPr>
          <w:p>
            <w:pPr>
              <w:pStyle w:val="Text1"/>
              <w:spacing w:beforeLines="20" w:before="48" w:afterLines="20" w:after="48"/>
              <w:ind w:left="136"/>
              <w:jc w:val="left"/>
              <w:rPr>
                <w:b/>
                <w:noProof/>
                <w:sz w:val="16"/>
                <w:szCs w:val="16"/>
              </w:rPr>
            </w:pPr>
            <w:r>
              <w:rPr>
                <w:noProof/>
                <w:sz w:val="16"/>
              </w:rPr>
              <w:t xml:space="preserve">- в делегациите </w:t>
            </w:r>
          </w:p>
        </w:tc>
        <w:tc>
          <w:tcPr>
            <w:tcW w:w="600" w:type="dxa"/>
            <w:shd w:val="clear" w:color="auto" w:fill="auto"/>
            <w:vAlign w:val="center"/>
          </w:tcPr>
          <w:p>
            <w:pPr>
              <w:pStyle w:val="Text1"/>
              <w:spacing w:beforeLines="20" w:before="48" w:afterLines="20" w:after="48"/>
              <w:ind w:left="0"/>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r>
      <w:tr>
        <w:trPr>
          <w:gridBefore w:val="1"/>
          <w:wBefore w:w="13" w:type="dxa"/>
          <w:trHeight w:val="289"/>
          <w:jc w:val="center"/>
        </w:trPr>
        <w:tc>
          <w:tcPr>
            <w:tcW w:w="3906" w:type="dxa"/>
            <w:gridSpan w:val="2"/>
            <w:shd w:val="clear" w:color="auto" w:fill="auto"/>
            <w:vAlign w:val="center"/>
          </w:tcPr>
          <w:p>
            <w:pPr>
              <w:pStyle w:val="Text1"/>
              <w:spacing w:beforeLines="20" w:before="48" w:afterLines="20" w:after="48"/>
              <w:ind w:left="136"/>
              <w:jc w:val="left"/>
              <w:rPr>
                <w:noProof/>
                <w:sz w:val="16"/>
                <w:szCs w:val="16"/>
              </w:rPr>
            </w:pPr>
            <w:r>
              <w:rPr>
                <w:b/>
                <w:noProof/>
                <w:sz w:val="16"/>
              </w:rPr>
              <w:t>XX</w:t>
            </w:r>
            <w:r>
              <w:rPr>
                <w:noProof/>
                <w:sz w:val="16"/>
              </w:rPr>
              <w:t xml:space="preserve"> 01 05 02/12/22 (ДНП, КНЕ, ПНА — Непреки научни изследвания)</w:t>
            </w: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r>
      <w:tr>
        <w:trPr>
          <w:gridBefore w:val="1"/>
          <w:wBefore w:w="13" w:type="dxa"/>
          <w:trHeight w:val="289"/>
          <w:jc w:val="center"/>
        </w:trPr>
        <w:tc>
          <w:tcPr>
            <w:tcW w:w="3906" w:type="dxa"/>
            <w:gridSpan w:val="2"/>
            <w:shd w:val="clear" w:color="auto" w:fill="auto"/>
            <w:vAlign w:val="center"/>
          </w:tcPr>
          <w:p>
            <w:pPr>
              <w:pStyle w:val="Text1"/>
              <w:spacing w:beforeLines="20" w:before="48" w:afterLines="20" w:after="48"/>
              <w:ind w:left="136"/>
              <w:jc w:val="left"/>
              <w:rPr>
                <w:noProof/>
                <w:sz w:val="16"/>
                <w:szCs w:val="16"/>
              </w:rPr>
            </w:pPr>
            <w:r>
              <w:rPr>
                <w:noProof/>
                <w:sz w:val="16"/>
              </w:rPr>
              <w:t>10 01 05 02/12 (ДНП, КНЕ, ПНА — Преки научни изследвания)</w:t>
            </w: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r>
      <w:tr>
        <w:trPr>
          <w:gridBefore w:val="1"/>
          <w:wBefore w:w="13" w:type="dxa"/>
          <w:trHeight w:val="289"/>
          <w:jc w:val="center"/>
        </w:trPr>
        <w:tc>
          <w:tcPr>
            <w:tcW w:w="3906" w:type="dxa"/>
            <w:gridSpan w:val="2"/>
            <w:tcBorders>
              <w:bottom w:val="double" w:sz="4" w:space="0" w:color="auto"/>
            </w:tcBorders>
            <w:shd w:val="clear" w:color="auto" w:fill="auto"/>
            <w:vAlign w:val="center"/>
          </w:tcPr>
          <w:p>
            <w:pPr>
              <w:pStyle w:val="Text1"/>
              <w:spacing w:beforeLines="20" w:before="48" w:afterLines="20" w:after="48"/>
              <w:ind w:left="134"/>
              <w:jc w:val="left"/>
              <w:rPr>
                <w:noProof/>
                <w:sz w:val="16"/>
                <w:szCs w:val="16"/>
              </w:rPr>
            </w:pPr>
            <w:r>
              <w:rPr>
                <w:noProof/>
                <w:sz w:val="16"/>
              </w:rPr>
              <w:t>Други бюджетни редове (посочете)</w:t>
            </w:r>
          </w:p>
        </w:tc>
        <w:tc>
          <w:tcPr>
            <w:tcW w:w="600" w:type="dxa"/>
            <w:tcBorders>
              <w:bottom w:val="double" w:sz="4" w:space="0" w:color="auto"/>
            </w:tcBorders>
            <w:shd w:val="clear" w:color="auto" w:fill="auto"/>
            <w:vAlign w:val="center"/>
          </w:tcPr>
          <w:p>
            <w:pPr>
              <w:spacing w:beforeLines="20" w:before="48" w:afterLines="20" w:after="48"/>
              <w:jc w:val="center"/>
              <w:rPr>
                <w:noProof/>
                <w:sz w:val="16"/>
                <w:szCs w:val="16"/>
              </w:rPr>
            </w:pPr>
          </w:p>
        </w:tc>
        <w:tc>
          <w:tcPr>
            <w:tcW w:w="600" w:type="dxa"/>
            <w:tcBorders>
              <w:bottom w:val="double" w:sz="4" w:space="0" w:color="auto"/>
            </w:tcBorders>
            <w:shd w:val="clear" w:color="auto" w:fill="auto"/>
            <w:vAlign w:val="center"/>
          </w:tcPr>
          <w:p>
            <w:pPr>
              <w:spacing w:beforeLines="20" w:before="48" w:afterLines="20" w:after="48"/>
              <w:jc w:val="center"/>
              <w:rPr>
                <w:noProof/>
                <w:sz w:val="16"/>
                <w:szCs w:val="16"/>
              </w:rPr>
            </w:pPr>
          </w:p>
        </w:tc>
        <w:tc>
          <w:tcPr>
            <w:tcW w:w="600" w:type="dxa"/>
            <w:tcBorders>
              <w:bottom w:val="double" w:sz="4" w:space="0" w:color="auto"/>
            </w:tcBorders>
            <w:shd w:val="clear" w:color="auto" w:fill="auto"/>
            <w:vAlign w:val="center"/>
          </w:tcPr>
          <w:p>
            <w:pPr>
              <w:spacing w:beforeLines="20" w:before="48" w:afterLines="20" w:after="48"/>
              <w:jc w:val="center"/>
              <w:rPr>
                <w:noProof/>
                <w:sz w:val="16"/>
                <w:szCs w:val="16"/>
              </w:rPr>
            </w:pPr>
          </w:p>
        </w:tc>
        <w:tc>
          <w:tcPr>
            <w:tcW w:w="600" w:type="dxa"/>
            <w:tcBorders>
              <w:bottom w:val="double" w:sz="4" w:space="0" w:color="auto"/>
            </w:tcBorders>
            <w:shd w:val="clear" w:color="auto" w:fill="auto"/>
            <w:vAlign w:val="center"/>
          </w:tcPr>
          <w:p>
            <w:pPr>
              <w:spacing w:beforeLines="20" w:before="48" w:afterLines="20" w:after="48"/>
              <w:jc w:val="center"/>
              <w:rPr>
                <w:noProof/>
                <w:sz w:val="16"/>
                <w:szCs w:val="16"/>
              </w:rPr>
            </w:pPr>
          </w:p>
        </w:tc>
        <w:tc>
          <w:tcPr>
            <w:tcW w:w="600" w:type="dxa"/>
            <w:tcBorders>
              <w:bottom w:val="double" w:sz="4" w:space="0" w:color="auto"/>
            </w:tcBorders>
            <w:shd w:val="clear" w:color="auto" w:fill="auto"/>
            <w:vAlign w:val="center"/>
          </w:tcPr>
          <w:p>
            <w:pPr>
              <w:spacing w:beforeLines="20" w:before="48" w:afterLines="20" w:after="48"/>
              <w:jc w:val="center"/>
              <w:rPr>
                <w:noProof/>
                <w:sz w:val="16"/>
                <w:szCs w:val="16"/>
              </w:rPr>
            </w:pPr>
          </w:p>
        </w:tc>
        <w:tc>
          <w:tcPr>
            <w:tcW w:w="600" w:type="dxa"/>
            <w:tcBorders>
              <w:bottom w:val="double" w:sz="4" w:space="0" w:color="auto"/>
            </w:tcBorders>
            <w:shd w:val="clear" w:color="auto" w:fill="auto"/>
            <w:vAlign w:val="center"/>
          </w:tcPr>
          <w:p>
            <w:pPr>
              <w:spacing w:beforeLines="20" w:before="48" w:afterLines="20" w:after="48"/>
              <w:jc w:val="center"/>
              <w:rPr>
                <w:noProof/>
                <w:sz w:val="16"/>
                <w:szCs w:val="16"/>
              </w:rPr>
            </w:pPr>
          </w:p>
        </w:tc>
        <w:tc>
          <w:tcPr>
            <w:tcW w:w="600" w:type="dxa"/>
            <w:tcBorders>
              <w:bottom w:val="double" w:sz="4" w:space="0" w:color="auto"/>
            </w:tcBorders>
            <w:shd w:val="clear" w:color="auto" w:fill="auto"/>
            <w:vAlign w:val="center"/>
          </w:tcPr>
          <w:p>
            <w:pPr>
              <w:spacing w:beforeLines="20" w:before="48" w:afterLines="20" w:after="48"/>
              <w:jc w:val="center"/>
              <w:rPr>
                <w:noProof/>
                <w:sz w:val="16"/>
                <w:szCs w:val="16"/>
              </w:rPr>
            </w:pPr>
          </w:p>
        </w:tc>
      </w:tr>
      <w:tr>
        <w:trPr>
          <w:gridBefore w:val="1"/>
          <w:wBefore w:w="13" w:type="dxa"/>
          <w:trHeight w:val="289"/>
          <w:jc w:val="center"/>
        </w:trPr>
        <w:tc>
          <w:tcPr>
            <w:tcW w:w="3906" w:type="dxa"/>
            <w:gridSpan w:val="2"/>
            <w:tcBorders>
              <w:top w:val="double" w:sz="4" w:space="0" w:color="auto"/>
            </w:tcBorders>
            <w:shd w:val="clear" w:color="auto" w:fill="auto"/>
            <w:vAlign w:val="center"/>
          </w:tcPr>
          <w:p>
            <w:pPr>
              <w:pStyle w:val="Text1"/>
              <w:spacing w:beforeLines="20" w:before="48" w:afterLines="20" w:after="48"/>
              <w:ind w:left="136"/>
              <w:jc w:val="left"/>
              <w:rPr>
                <w:noProof/>
                <w:sz w:val="16"/>
                <w:szCs w:val="16"/>
              </w:rPr>
            </w:pPr>
            <w:r>
              <w:rPr>
                <w:b/>
                <w:noProof/>
                <w:sz w:val="16"/>
              </w:rPr>
              <w:t>ОБЩО</w:t>
            </w:r>
          </w:p>
        </w:tc>
        <w:tc>
          <w:tcPr>
            <w:tcW w:w="600" w:type="dxa"/>
            <w:tcBorders>
              <w:top w:val="double" w:sz="4" w:space="0" w:color="auto"/>
            </w:tcBorders>
            <w:shd w:val="clear" w:color="auto" w:fill="auto"/>
            <w:vAlign w:val="center"/>
          </w:tcPr>
          <w:p>
            <w:pPr>
              <w:spacing w:beforeLines="20" w:before="48" w:afterLines="20" w:after="48"/>
              <w:jc w:val="center"/>
              <w:rPr>
                <w:b/>
                <w:noProof/>
                <w:sz w:val="16"/>
                <w:szCs w:val="16"/>
              </w:rPr>
            </w:pPr>
          </w:p>
        </w:tc>
        <w:tc>
          <w:tcPr>
            <w:tcW w:w="600" w:type="dxa"/>
            <w:tcBorders>
              <w:top w:val="double" w:sz="4" w:space="0" w:color="auto"/>
            </w:tcBorders>
            <w:shd w:val="clear" w:color="auto" w:fill="auto"/>
            <w:vAlign w:val="center"/>
          </w:tcPr>
          <w:p>
            <w:pPr>
              <w:spacing w:beforeLines="20" w:before="48" w:afterLines="20" w:after="48"/>
              <w:jc w:val="center"/>
              <w:rPr>
                <w:b/>
                <w:noProof/>
                <w:sz w:val="16"/>
                <w:szCs w:val="16"/>
              </w:rPr>
            </w:pPr>
          </w:p>
        </w:tc>
        <w:tc>
          <w:tcPr>
            <w:tcW w:w="600" w:type="dxa"/>
            <w:tcBorders>
              <w:top w:val="double" w:sz="4" w:space="0" w:color="auto"/>
            </w:tcBorders>
            <w:shd w:val="clear" w:color="auto" w:fill="auto"/>
            <w:vAlign w:val="center"/>
          </w:tcPr>
          <w:p>
            <w:pPr>
              <w:spacing w:beforeLines="20" w:before="48" w:afterLines="20" w:after="48"/>
              <w:jc w:val="center"/>
              <w:rPr>
                <w:b/>
                <w:noProof/>
                <w:sz w:val="16"/>
                <w:szCs w:val="16"/>
              </w:rPr>
            </w:pPr>
          </w:p>
        </w:tc>
        <w:tc>
          <w:tcPr>
            <w:tcW w:w="600" w:type="dxa"/>
            <w:tcBorders>
              <w:top w:val="double" w:sz="4" w:space="0" w:color="auto"/>
            </w:tcBorders>
            <w:shd w:val="clear" w:color="auto" w:fill="auto"/>
            <w:vAlign w:val="center"/>
          </w:tcPr>
          <w:p>
            <w:pPr>
              <w:spacing w:beforeLines="20" w:before="48" w:afterLines="20" w:after="48"/>
              <w:jc w:val="center"/>
              <w:rPr>
                <w:b/>
                <w:noProof/>
                <w:sz w:val="16"/>
                <w:szCs w:val="16"/>
              </w:rPr>
            </w:pPr>
          </w:p>
        </w:tc>
        <w:tc>
          <w:tcPr>
            <w:tcW w:w="600" w:type="dxa"/>
            <w:tcBorders>
              <w:top w:val="double" w:sz="4" w:space="0" w:color="auto"/>
            </w:tcBorders>
            <w:shd w:val="clear" w:color="auto" w:fill="auto"/>
            <w:vAlign w:val="center"/>
          </w:tcPr>
          <w:p>
            <w:pPr>
              <w:spacing w:beforeLines="20" w:before="48" w:afterLines="20" w:after="48"/>
              <w:jc w:val="center"/>
              <w:rPr>
                <w:b/>
                <w:noProof/>
                <w:sz w:val="16"/>
                <w:szCs w:val="16"/>
              </w:rPr>
            </w:pPr>
          </w:p>
        </w:tc>
        <w:tc>
          <w:tcPr>
            <w:tcW w:w="600" w:type="dxa"/>
            <w:tcBorders>
              <w:top w:val="double" w:sz="4" w:space="0" w:color="auto"/>
            </w:tcBorders>
            <w:shd w:val="clear" w:color="auto" w:fill="auto"/>
            <w:vAlign w:val="center"/>
          </w:tcPr>
          <w:p>
            <w:pPr>
              <w:spacing w:beforeLines="20" w:before="48" w:afterLines="20" w:after="48"/>
              <w:jc w:val="center"/>
              <w:rPr>
                <w:b/>
                <w:noProof/>
                <w:sz w:val="16"/>
                <w:szCs w:val="16"/>
              </w:rPr>
            </w:pPr>
          </w:p>
        </w:tc>
        <w:tc>
          <w:tcPr>
            <w:tcW w:w="600" w:type="dxa"/>
            <w:tcBorders>
              <w:top w:val="double" w:sz="4" w:space="0" w:color="auto"/>
            </w:tcBorders>
            <w:shd w:val="clear" w:color="auto" w:fill="auto"/>
            <w:vAlign w:val="center"/>
          </w:tcPr>
          <w:p>
            <w:pPr>
              <w:spacing w:beforeLines="20" w:before="48" w:afterLines="20" w:after="48"/>
              <w:jc w:val="center"/>
              <w:rPr>
                <w:b/>
                <w:noProof/>
                <w:sz w:val="16"/>
                <w:szCs w:val="16"/>
              </w:rPr>
            </w:pPr>
          </w:p>
        </w:tc>
      </w:tr>
    </w:tbl>
    <w:p>
      <w:pPr>
        <w:pStyle w:val="Text1"/>
        <w:spacing w:before="60" w:after="60"/>
        <w:ind w:left="851"/>
        <w:rPr>
          <w:noProof/>
          <w:sz w:val="18"/>
          <w:szCs w:val="18"/>
        </w:rPr>
      </w:pPr>
      <w:r>
        <w:rPr>
          <w:b/>
          <w:noProof/>
          <w:sz w:val="18"/>
        </w:rPr>
        <w:t>XX</w:t>
      </w:r>
      <w:r>
        <w:rPr>
          <w:noProof/>
          <w:sz w:val="18"/>
        </w:rPr>
        <w:t xml:space="preserve"> е съответната област на политиката или съответния бюджетен дял.</w:t>
      </w:r>
    </w:p>
    <w:p>
      <w:pPr>
        <w:pStyle w:val="Text1"/>
        <w:rPr>
          <w:noProof/>
          <w:sz w:val="18"/>
          <w:szCs w:val="18"/>
        </w:rPr>
      </w:pPr>
      <w:r>
        <w:rPr>
          <w:noProof/>
          <w:sz w:val="18"/>
        </w:rPr>
        <w:t>Нуждите от човешки ресурси ще бъдат покрити от персонала на ГД, на който вече е възложено управлението на дейността и/или който е преразпределен в рамките на ГД, при необходимост заедно с всички допълнителни отпуснати ресурси, които могат да бъдат предоставени на управляващата ГД в рамките на годишната процедура за разпределяне на ресурси и като се имат предвид бюджетните ограничения.</w:t>
      </w:r>
    </w:p>
    <w:p>
      <w:pPr>
        <w:rPr>
          <w:noProof/>
          <w:sz w:val="20"/>
        </w:rPr>
      </w:pPr>
      <w:r>
        <w:rPr>
          <w:noProof/>
          <w:sz w:val="20"/>
        </w:rPr>
        <w:t>Описание на задачите, които трябва да се изпълнят:</w:t>
      </w:r>
    </w:p>
    <w:tbl>
      <w:tblPr>
        <w:tblW w:w="10440" w:type="dxa"/>
        <w:tblInd w:w="-4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3240"/>
        <w:gridCol w:w="7200"/>
      </w:tblGrid>
      <w:tr>
        <w:tc>
          <w:tcPr>
            <w:tcW w:w="3240" w:type="dxa"/>
          </w:tcPr>
          <w:p>
            <w:pPr>
              <w:rPr>
                <w:noProof/>
                <w:sz w:val="20"/>
              </w:rPr>
            </w:pPr>
            <w:r>
              <w:rPr>
                <w:noProof/>
                <w:sz w:val="20"/>
              </w:rPr>
              <w:t>Длъжностни лица и срочно наети служители</w:t>
            </w:r>
          </w:p>
        </w:tc>
        <w:tc>
          <w:tcPr>
            <w:tcW w:w="7200" w:type="dxa"/>
          </w:tcPr>
          <w:p>
            <w:pPr>
              <w:rPr>
                <w:noProof/>
                <w:sz w:val="20"/>
              </w:rPr>
            </w:pPr>
          </w:p>
        </w:tc>
      </w:tr>
      <w:tr>
        <w:tc>
          <w:tcPr>
            <w:tcW w:w="3240" w:type="dxa"/>
          </w:tcPr>
          <w:p>
            <w:pPr>
              <w:spacing w:before="60" w:after="60"/>
              <w:rPr>
                <w:noProof/>
                <w:sz w:val="20"/>
              </w:rPr>
            </w:pPr>
            <w:r>
              <w:rPr>
                <w:noProof/>
                <w:sz w:val="20"/>
              </w:rPr>
              <w:t>Външен персонал</w:t>
            </w:r>
          </w:p>
        </w:tc>
        <w:tc>
          <w:tcPr>
            <w:tcW w:w="7200" w:type="dxa"/>
          </w:tcPr>
          <w:p>
            <w:pPr>
              <w:rPr>
                <w:noProof/>
                <w:sz w:val="20"/>
              </w:rPr>
            </w:pPr>
          </w:p>
        </w:tc>
      </w:tr>
    </w:tbl>
    <w:p>
      <w:pPr>
        <w:rPr>
          <w:noProof/>
        </w:rPr>
        <w:sectPr>
          <w:pgSz w:w="11907" w:h="16840"/>
          <w:pgMar w:top="1134" w:right="1418" w:bottom="1134" w:left="1418" w:header="709" w:footer="709" w:gutter="0"/>
          <w:cols w:space="708"/>
          <w:docGrid w:linePitch="360"/>
        </w:sectPr>
      </w:pPr>
    </w:p>
    <w:p>
      <w:pPr>
        <w:pStyle w:val="ManualHeading3"/>
        <w:rPr>
          <w:noProof/>
        </w:rPr>
      </w:pPr>
      <w:r>
        <w:rPr>
          <w:noProof/>
        </w:rPr>
        <w:t>3.2.4.</w:t>
      </w:r>
      <w:r>
        <w:rPr>
          <w:noProof/>
        </w:rPr>
        <w:tab/>
        <w:t xml:space="preserve">Съвместимост с настоящата многогодишна финансова рамка </w:t>
      </w:r>
    </w:p>
    <w:p>
      <w:pPr>
        <w:pStyle w:val="Text1"/>
        <w:rPr>
          <w:noProof/>
        </w:rPr>
      </w:pPr>
      <w:r>
        <w:rPr>
          <w:noProof/>
        </w:rPr>
        <w:t>Предложението/инициативата:</w:t>
      </w:r>
    </w:p>
    <w:p>
      <w:pPr>
        <w:pStyle w:val="ListDash1"/>
        <w:rPr>
          <w:noProof/>
        </w:rPr>
      </w:pPr>
      <w:r>
        <w:rPr>
          <w:noProof/>
        </w:rPr>
        <w:t>X</w:t>
      </w:r>
      <w:r>
        <w:rPr>
          <w:noProof/>
        </w:rPr>
        <w:tab/>
        <w:t>може да се финансира изцяло чрез преразпределяне на средства в рамките на съответната функция от многогодишната финансова рамка (МФР).</w:t>
      </w:r>
    </w:p>
    <w:p>
      <w:pPr>
        <w:pStyle w:val="Text1"/>
        <w:pBdr>
          <w:top w:val="single" w:sz="4" w:space="1" w:color="auto"/>
          <w:left w:val="single" w:sz="4" w:space="4" w:color="auto"/>
          <w:bottom w:val="single" w:sz="4" w:space="1" w:color="auto"/>
          <w:right w:val="single" w:sz="4" w:space="4" w:color="auto"/>
        </w:pBdr>
        <w:rPr>
          <w:noProof/>
          <w:sz w:val="20"/>
        </w:rPr>
      </w:pPr>
      <w:r>
        <w:rPr>
          <w:noProof/>
          <w:sz w:val="20"/>
        </w:rPr>
        <w:t>Отнася се за използването на бюджетния ред с резервни средства (глава 40).</w:t>
      </w:r>
    </w:p>
    <w:p>
      <w:pPr>
        <w:pStyle w:val="ListDash1"/>
        <w:rPr>
          <w:noProof/>
        </w:rPr>
      </w:pPr>
      <w:r>
        <w:rPr>
          <w:noProof/>
        </w:rPr>
        <w:sym w:font="Wingdings" w:char="F0A8"/>
      </w:r>
      <w:r>
        <w:rPr>
          <w:noProof/>
        </w:rPr>
        <w:tab/>
        <w:t>налага да се използват неразпределеният марж под съответната функция от МФР и/или специалните инструменти, предвидени в Регламента за МФР.</w:t>
      </w:r>
    </w:p>
    <w:p>
      <w:pPr>
        <w:pStyle w:val="Text1"/>
        <w:pBdr>
          <w:top w:val="single" w:sz="4" w:space="1" w:color="auto"/>
          <w:left w:val="single" w:sz="4" w:space="4" w:color="auto"/>
          <w:bottom w:val="single" w:sz="4" w:space="1" w:color="auto"/>
          <w:right w:val="single" w:sz="4" w:space="4" w:color="auto"/>
        </w:pBdr>
        <w:rPr>
          <w:noProof/>
          <w:sz w:val="20"/>
        </w:rPr>
      </w:pPr>
      <w:r>
        <w:rPr>
          <w:noProof/>
          <w:sz w:val="20"/>
        </w:rPr>
        <w:t>Обяснете какво е необходимо, като посочите съответните функции, бюджетни редове и суми и инструментите, които се предлага да бъдат използвани.</w:t>
      </w:r>
    </w:p>
    <w:p>
      <w:pPr>
        <w:pStyle w:val="ListDash1"/>
        <w:rPr>
          <w:noProof/>
        </w:rPr>
      </w:pPr>
      <w:r>
        <w:rPr>
          <w:noProof/>
        </w:rPr>
        <w:sym w:font="Wingdings" w:char="F0A8"/>
      </w:r>
      <w:r>
        <w:rPr>
          <w:noProof/>
        </w:rPr>
        <w:tab/>
        <w:t>изисква преразглеждане на МФР.</w:t>
      </w:r>
    </w:p>
    <w:p>
      <w:pPr>
        <w:pStyle w:val="Text1"/>
        <w:pBdr>
          <w:top w:val="single" w:sz="4" w:space="1" w:color="auto"/>
          <w:left w:val="single" w:sz="4" w:space="4" w:color="auto"/>
          <w:bottom w:val="single" w:sz="4" w:space="1" w:color="auto"/>
          <w:right w:val="single" w:sz="4" w:space="4" w:color="auto"/>
        </w:pBdr>
        <w:rPr>
          <w:noProof/>
          <w:sz w:val="20"/>
        </w:rPr>
      </w:pPr>
      <w:r>
        <w:rPr>
          <w:noProof/>
          <w:sz w:val="20"/>
        </w:rPr>
        <w:t>Обяснете какво е необходимо, като посочите съответните функции, бюджетни редове и суми.</w:t>
      </w:r>
    </w:p>
    <w:p>
      <w:pPr>
        <w:pStyle w:val="ManualHeading3"/>
        <w:rPr>
          <w:bCs/>
          <w:noProof/>
          <w:szCs w:val="24"/>
        </w:rPr>
      </w:pPr>
      <w:r>
        <w:rPr>
          <w:noProof/>
        </w:rPr>
        <w:t>3.2.5.</w:t>
      </w:r>
      <w:r>
        <w:rPr>
          <w:noProof/>
        </w:rPr>
        <w:tab/>
        <w:t xml:space="preserve">Принос от трети страни </w:t>
      </w:r>
    </w:p>
    <w:p>
      <w:pPr>
        <w:pStyle w:val="Text1"/>
        <w:rPr>
          <w:noProof/>
        </w:rPr>
      </w:pPr>
      <w:r>
        <w:rPr>
          <w:noProof/>
        </w:rPr>
        <w:t>Предложението/инициативата:</w:t>
      </w:r>
    </w:p>
    <w:p>
      <w:pPr>
        <w:pStyle w:val="ListDash1"/>
        <w:rPr>
          <w:noProof/>
        </w:rPr>
      </w:pPr>
      <w:r>
        <w:rPr>
          <w:noProof/>
        </w:rPr>
        <w:t>X</w:t>
      </w:r>
      <w:r>
        <w:rPr>
          <w:noProof/>
        </w:rPr>
        <w:tab/>
        <w:t>не предвижда съфинансиране от трети страни</w:t>
      </w:r>
    </w:p>
    <w:p>
      <w:pPr>
        <w:pStyle w:val="ListDash1"/>
        <w:rPr>
          <w:noProof/>
        </w:rPr>
      </w:pPr>
      <w:r>
        <w:rPr>
          <w:noProof/>
        </w:rPr>
        <w:sym w:font="Wingdings" w:char="F0A8"/>
      </w:r>
      <w:r>
        <w:rPr>
          <w:noProof/>
        </w:rPr>
        <w:tab/>
        <w:t>предвижда съфинансиране от трети страни, като преценката е дадена по-долу:</w:t>
      </w:r>
    </w:p>
    <w:p>
      <w:pPr>
        <w:jc w:val="right"/>
        <w:rPr>
          <w:noProof/>
          <w:sz w:val="20"/>
        </w:rPr>
      </w:pPr>
      <w:r>
        <w:rPr>
          <w:noProof/>
          <w:sz w:val="20"/>
        </w:rPr>
        <w:t>Бюджетни кредити в млн. евро (до 3-тия знак след десетичната запетая)</w:t>
      </w:r>
    </w:p>
    <w:tbl>
      <w:tblPr>
        <w:tblW w:w="10246" w:type="dxa"/>
        <w:tblInd w:w="-43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340"/>
        <w:gridCol w:w="964"/>
        <w:gridCol w:w="964"/>
        <w:gridCol w:w="964"/>
        <w:gridCol w:w="964"/>
        <w:gridCol w:w="964"/>
        <w:gridCol w:w="964"/>
        <w:gridCol w:w="964"/>
        <w:gridCol w:w="1158"/>
      </w:tblGrid>
      <w:tr>
        <w:trPr>
          <w:cantSplit/>
        </w:trPr>
        <w:tc>
          <w:tcPr>
            <w:tcW w:w="2340" w:type="dxa"/>
          </w:tcPr>
          <w:p>
            <w:pPr>
              <w:spacing w:before="60" w:after="60"/>
              <w:rPr>
                <w:noProof/>
                <w:sz w:val="20"/>
              </w:rPr>
            </w:pPr>
          </w:p>
        </w:tc>
        <w:tc>
          <w:tcPr>
            <w:tcW w:w="964" w:type="dxa"/>
            <w:vAlign w:val="center"/>
          </w:tcPr>
          <w:p>
            <w:pPr>
              <w:jc w:val="center"/>
              <w:rPr>
                <w:noProof/>
                <w:sz w:val="20"/>
              </w:rPr>
            </w:pPr>
            <w:r>
              <w:rPr>
                <w:b/>
                <w:noProof/>
                <w:sz w:val="20"/>
              </w:rPr>
              <w:t>Годинa N</w:t>
            </w:r>
            <w:r>
              <w:rPr>
                <w:rStyle w:val="FootnoteReference"/>
                <w:b/>
                <w:noProof/>
                <w:sz w:val="20"/>
              </w:rPr>
              <w:footnoteReference w:id="20"/>
            </w:r>
          </w:p>
        </w:tc>
        <w:tc>
          <w:tcPr>
            <w:tcW w:w="964" w:type="dxa"/>
            <w:vAlign w:val="center"/>
          </w:tcPr>
          <w:p>
            <w:pPr>
              <w:jc w:val="center"/>
              <w:rPr>
                <w:noProof/>
                <w:sz w:val="20"/>
              </w:rPr>
            </w:pPr>
            <w:r>
              <w:rPr>
                <w:b/>
                <w:noProof/>
                <w:sz w:val="20"/>
              </w:rPr>
              <w:t>Година N+1</w:t>
            </w:r>
          </w:p>
        </w:tc>
        <w:tc>
          <w:tcPr>
            <w:tcW w:w="964" w:type="dxa"/>
            <w:vAlign w:val="center"/>
          </w:tcPr>
          <w:p>
            <w:pPr>
              <w:jc w:val="center"/>
              <w:rPr>
                <w:noProof/>
                <w:sz w:val="20"/>
              </w:rPr>
            </w:pPr>
            <w:r>
              <w:rPr>
                <w:b/>
                <w:noProof/>
                <w:sz w:val="20"/>
              </w:rPr>
              <w:t>Година N+2</w:t>
            </w:r>
          </w:p>
        </w:tc>
        <w:tc>
          <w:tcPr>
            <w:tcW w:w="964" w:type="dxa"/>
            <w:vAlign w:val="center"/>
          </w:tcPr>
          <w:p>
            <w:pPr>
              <w:jc w:val="center"/>
              <w:rPr>
                <w:noProof/>
                <w:sz w:val="20"/>
              </w:rPr>
            </w:pPr>
            <w:r>
              <w:rPr>
                <w:b/>
                <w:noProof/>
                <w:sz w:val="20"/>
              </w:rPr>
              <w:t>Година N+3</w:t>
            </w:r>
          </w:p>
        </w:tc>
        <w:tc>
          <w:tcPr>
            <w:tcW w:w="2892" w:type="dxa"/>
            <w:gridSpan w:val="3"/>
            <w:vAlign w:val="center"/>
          </w:tcPr>
          <w:p>
            <w:pPr>
              <w:jc w:val="center"/>
              <w:rPr>
                <w:b/>
                <w:noProof/>
                <w:sz w:val="20"/>
              </w:rPr>
            </w:pPr>
            <w:r>
              <w:rPr>
                <w:noProof/>
                <w:sz w:val="20"/>
              </w:rPr>
              <w:t>Въведете толкова години, колкото е необходимо, за да се покаже продължителността на отражението (вж. точка 1.6)</w:t>
            </w:r>
          </w:p>
        </w:tc>
        <w:tc>
          <w:tcPr>
            <w:tcW w:w="1158" w:type="dxa"/>
            <w:vAlign w:val="center"/>
          </w:tcPr>
          <w:p>
            <w:pPr>
              <w:spacing w:before="60" w:after="60"/>
              <w:jc w:val="center"/>
              <w:rPr>
                <w:noProof/>
                <w:sz w:val="20"/>
              </w:rPr>
            </w:pPr>
            <w:r>
              <w:rPr>
                <w:noProof/>
                <w:sz w:val="20"/>
              </w:rPr>
              <w:t>Общо</w:t>
            </w:r>
          </w:p>
        </w:tc>
      </w:tr>
      <w:tr>
        <w:trPr>
          <w:cantSplit/>
        </w:trPr>
        <w:tc>
          <w:tcPr>
            <w:tcW w:w="2340" w:type="dxa"/>
          </w:tcPr>
          <w:p>
            <w:pPr>
              <w:rPr>
                <w:noProof/>
              </w:rPr>
            </w:pPr>
            <w:r>
              <w:rPr>
                <w:noProof/>
                <w:sz w:val="20"/>
              </w:rPr>
              <w:t>Посочете съфинансиращия орган</w:t>
            </w:r>
            <w:r>
              <w:rPr>
                <w:i/>
                <w:noProof/>
                <w:sz w:val="20"/>
              </w:rPr>
              <w:t xml:space="preserve"> </w:t>
            </w: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1158" w:type="dxa"/>
            <w:vAlign w:val="center"/>
          </w:tcPr>
          <w:p>
            <w:pPr>
              <w:spacing w:before="60" w:after="60"/>
              <w:jc w:val="center"/>
              <w:rPr>
                <w:noProof/>
                <w:sz w:val="20"/>
              </w:rPr>
            </w:pPr>
          </w:p>
        </w:tc>
      </w:tr>
      <w:tr>
        <w:trPr>
          <w:cantSplit/>
        </w:trPr>
        <w:tc>
          <w:tcPr>
            <w:tcW w:w="2340" w:type="dxa"/>
          </w:tcPr>
          <w:p>
            <w:pPr>
              <w:spacing w:before="60" w:after="60"/>
              <w:jc w:val="left"/>
              <w:rPr>
                <w:noProof/>
                <w:sz w:val="20"/>
              </w:rPr>
            </w:pPr>
            <w:r>
              <w:rPr>
                <w:noProof/>
                <w:sz w:val="20"/>
              </w:rPr>
              <w:t xml:space="preserve">ОБЩО съфинансирани бюджетни кредити </w:t>
            </w: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1158" w:type="dxa"/>
            <w:vAlign w:val="center"/>
          </w:tcPr>
          <w:p>
            <w:pPr>
              <w:spacing w:before="60" w:after="60"/>
              <w:jc w:val="center"/>
              <w:rPr>
                <w:noProof/>
                <w:sz w:val="20"/>
              </w:rPr>
            </w:pPr>
          </w:p>
        </w:tc>
      </w:tr>
    </w:tbl>
    <w:p>
      <w:pPr>
        <w:rPr>
          <w:noProof/>
        </w:rPr>
      </w:pPr>
      <w:r>
        <w:rPr>
          <w:noProof/>
        </w:rPr>
        <w:br/>
      </w:r>
    </w:p>
    <w:p>
      <w:pPr>
        <w:pStyle w:val="ManualHeading2"/>
        <w:rPr>
          <w:bCs/>
          <w:noProof/>
          <w:szCs w:val="24"/>
        </w:rPr>
      </w:pPr>
      <w:r>
        <w:rPr>
          <w:noProof/>
        </w:rPr>
        <w:br w:type="page"/>
        <w:t>3.3.</w:t>
      </w:r>
      <w:r>
        <w:rPr>
          <w:noProof/>
        </w:rPr>
        <w:tab/>
        <w:t xml:space="preserve">Очаквано отражение върху приходите </w:t>
      </w:r>
    </w:p>
    <w:p>
      <w:pPr>
        <w:pStyle w:val="ManualHeading2"/>
        <w:ind w:left="360" w:firstLine="0"/>
        <w:rPr>
          <w:noProof/>
        </w:rPr>
      </w:pPr>
      <w:r>
        <w:rPr>
          <w:noProof/>
        </w:rPr>
        <w:t>X</w:t>
      </w:r>
      <w:r>
        <w:rPr>
          <w:noProof/>
        </w:rPr>
        <w:tab/>
        <w:t>Предложението/инициативата няма финансово отражение върху приходите.</w:t>
      </w:r>
    </w:p>
    <w:p>
      <w:pPr>
        <w:pStyle w:val="ListDash1"/>
        <w:rPr>
          <w:noProof/>
        </w:rPr>
      </w:pPr>
      <w:r>
        <w:rPr>
          <w:noProof/>
        </w:rPr>
        <w:sym w:font="Wingdings" w:char="F0A8"/>
      </w:r>
      <w:r>
        <w:rPr>
          <w:noProof/>
        </w:rPr>
        <w:tab/>
        <w:t>Предложението/инициативата има следното финансово отражение:</w:t>
      </w:r>
    </w:p>
    <w:p>
      <w:pPr>
        <w:pStyle w:val="ListNumberLevel3"/>
        <w:rPr>
          <w:noProof/>
        </w:rPr>
      </w:pPr>
      <w:r>
        <w:rPr>
          <w:noProof/>
        </w:rPr>
        <w:sym w:font="Wingdings" w:char="F0A8"/>
      </w:r>
      <w:r>
        <w:rPr>
          <w:noProof/>
        </w:rPr>
        <w:tab/>
        <w:t xml:space="preserve">върху собствените ресурси </w:t>
      </w:r>
    </w:p>
    <w:p>
      <w:pPr>
        <w:pStyle w:val="ListNumberLevel3"/>
        <w:rPr>
          <w:noProof/>
        </w:rPr>
      </w:pPr>
      <w:r>
        <w:rPr>
          <w:noProof/>
        </w:rPr>
        <w:sym w:font="Wingdings" w:char="F0A8"/>
      </w:r>
      <w:r>
        <w:rPr>
          <w:noProof/>
        </w:rPr>
        <w:tab/>
        <w:t>върху разните приходи</w:t>
      </w:r>
    </w:p>
    <w:p>
      <w:pPr>
        <w:pStyle w:val="ListNumberLevel3"/>
        <w:rPr>
          <w:noProof/>
        </w:rPr>
      </w:pPr>
      <w:r>
        <w:rPr>
          <w:noProof/>
        </w:rPr>
        <w:t xml:space="preserve">посочете дали приходите са записани по разходни бюджетни редове </w:t>
      </w:r>
      <w:r>
        <w:rPr>
          <w:noProof/>
        </w:rPr>
        <w:sym w:font="Wingdings" w:char="F0A8"/>
      </w:r>
      <w:r>
        <w:rPr>
          <w:noProof/>
        </w:rPr>
        <w:tab/>
      </w:r>
    </w:p>
    <w:p>
      <w:pPr>
        <w:ind w:left="4320"/>
        <w:rPr>
          <w:i/>
          <w:noProof/>
          <w:sz w:val="20"/>
        </w:rPr>
      </w:pPr>
      <w:r>
        <w:rPr>
          <w:noProof/>
        </w:rPr>
        <w:t xml:space="preserve">     млн. евро (до 3-тия знак след десетичната запетая)</w:t>
      </w:r>
    </w:p>
    <w:tbl>
      <w:tblPr>
        <w:tblW w:w="1062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44"/>
        <w:gridCol w:w="1325"/>
        <w:gridCol w:w="1031"/>
        <w:gridCol w:w="900"/>
        <w:gridCol w:w="900"/>
        <w:gridCol w:w="1080"/>
        <w:gridCol w:w="1080"/>
        <w:gridCol w:w="1080"/>
        <w:gridCol w:w="1080"/>
      </w:tblGrid>
      <w:tr>
        <w:trPr>
          <w:trHeight w:val="388"/>
        </w:trPr>
        <w:tc>
          <w:tcPr>
            <w:tcW w:w="2144" w:type="dxa"/>
            <w:vMerge w:val="restart"/>
            <w:vAlign w:val="center"/>
          </w:tcPr>
          <w:p>
            <w:pPr>
              <w:spacing w:before="40" w:after="40"/>
              <w:rPr>
                <w:noProof/>
                <w:sz w:val="18"/>
              </w:rPr>
            </w:pPr>
            <w:r>
              <w:rPr>
                <w:noProof/>
                <w:sz w:val="18"/>
              </w:rPr>
              <w:t>Приходен бюджетен ред:</w:t>
            </w:r>
          </w:p>
        </w:tc>
        <w:tc>
          <w:tcPr>
            <w:tcW w:w="1325" w:type="dxa"/>
            <w:vMerge w:val="restart"/>
            <w:vAlign w:val="center"/>
          </w:tcPr>
          <w:p>
            <w:pPr>
              <w:jc w:val="center"/>
              <w:rPr>
                <w:noProof/>
                <w:sz w:val="18"/>
              </w:rPr>
            </w:pPr>
            <w:r>
              <w:rPr>
                <w:noProof/>
                <w:sz w:val="18"/>
              </w:rPr>
              <w:t>Налични бюджетни кредити за текущата финансова година</w:t>
            </w:r>
          </w:p>
        </w:tc>
        <w:tc>
          <w:tcPr>
            <w:tcW w:w="7151" w:type="dxa"/>
            <w:gridSpan w:val="7"/>
            <w:vAlign w:val="center"/>
          </w:tcPr>
          <w:p>
            <w:pPr>
              <w:jc w:val="center"/>
              <w:rPr>
                <w:noProof/>
                <w:sz w:val="18"/>
              </w:rPr>
            </w:pPr>
            <w:r>
              <w:rPr>
                <w:noProof/>
                <w:sz w:val="18"/>
              </w:rPr>
              <w:t>Отражение на предложението/инициативата</w:t>
            </w:r>
            <w:r>
              <w:rPr>
                <w:rStyle w:val="FootnoteReference"/>
                <w:noProof/>
                <w:sz w:val="18"/>
              </w:rPr>
              <w:footnoteReference w:id="21"/>
            </w:r>
          </w:p>
        </w:tc>
      </w:tr>
      <w:tr>
        <w:trPr>
          <w:trHeight w:val="388"/>
        </w:trPr>
        <w:tc>
          <w:tcPr>
            <w:tcW w:w="2144" w:type="dxa"/>
            <w:vMerge/>
          </w:tcPr>
          <w:p>
            <w:pPr>
              <w:spacing w:before="40" w:after="40"/>
              <w:rPr>
                <w:noProof/>
                <w:sz w:val="18"/>
              </w:rPr>
            </w:pPr>
          </w:p>
        </w:tc>
        <w:tc>
          <w:tcPr>
            <w:tcW w:w="1325" w:type="dxa"/>
            <w:vMerge/>
          </w:tcPr>
          <w:p>
            <w:pPr>
              <w:spacing w:beforeLines="40" w:before="96" w:afterLines="40" w:after="96"/>
              <w:rPr>
                <w:i/>
                <w:noProof/>
                <w:sz w:val="18"/>
              </w:rPr>
            </w:pPr>
          </w:p>
        </w:tc>
        <w:tc>
          <w:tcPr>
            <w:tcW w:w="1031" w:type="dxa"/>
            <w:vAlign w:val="center"/>
          </w:tcPr>
          <w:p>
            <w:pPr>
              <w:jc w:val="center"/>
              <w:rPr>
                <w:noProof/>
                <w:sz w:val="18"/>
              </w:rPr>
            </w:pPr>
            <w:r>
              <w:rPr>
                <w:b/>
                <w:noProof/>
                <w:sz w:val="18"/>
              </w:rPr>
              <w:t>Годинa N</w:t>
            </w:r>
          </w:p>
        </w:tc>
        <w:tc>
          <w:tcPr>
            <w:tcW w:w="900" w:type="dxa"/>
            <w:vAlign w:val="center"/>
          </w:tcPr>
          <w:p>
            <w:pPr>
              <w:jc w:val="center"/>
              <w:rPr>
                <w:noProof/>
                <w:sz w:val="18"/>
              </w:rPr>
            </w:pPr>
            <w:r>
              <w:rPr>
                <w:b/>
                <w:noProof/>
                <w:sz w:val="18"/>
              </w:rPr>
              <w:t>Година N+1</w:t>
            </w:r>
          </w:p>
        </w:tc>
        <w:tc>
          <w:tcPr>
            <w:tcW w:w="900" w:type="dxa"/>
            <w:vAlign w:val="center"/>
          </w:tcPr>
          <w:p>
            <w:pPr>
              <w:jc w:val="center"/>
              <w:rPr>
                <w:noProof/>
                <w:sz w:val="18"/>
              </w:rPr>
            </w:pPr>
            <w:r>
              <w:rPr>
                <w:b/>
                <w:noProof/>
                <w:sz w:val="18"/>
              </w:rPr>
              <w:t>Година N+2</w:t>
            </w:r>
          </w:p>
        </w:tc>
        <w:tc>
          <w:tcPr>
            <w:tcW w:w="1080" w:type="dxa"/>
            <w:vAlign w:val="center"/>
          </w:tcPr>
          <w:p>
            <w:pPr>
              <w:jc w:val="center"/>
              <w:rPr>
                <w:noProof/>
                <w:sz w:val="18"/>
              </w:rPr>
            </w:pPr>
            <w:r>
              <w:rPr>
                <w:b/>
                <w:noProof/>
                <w:sz w:val="18"/>
              </w:rPr>
              <w:t>Година N+3</w:t>
            </w:r>
          </w:p>
        </w:tc>
        <w:tc>
          <w:tcPr>
            <w:tcW w:w="3240" w:type="dxa"/>
            <w:gridSpan w:val="3"/>
            <w:vAlign w:val="center"/>
          </w:tcPr>
          <w:p>
            <w:pPr>
              <w:jc w:val="center"/>
              <w:rPr>
                <w:b/>
                <w:noProof/>
                <w:sz w:val="18"/>
              </w:rPr>
            </w:pPr>
            <w:r>
              <w:rPr>
                <w:noProof/>
                <w:sz w:val="18"/>
              </w:rPr>
              <w:t>Въведете толкова години, колкото е необходимо, за да се покаже продължителността на отражението (вж. точка 1.6)</w:t>
            </w:r>
          </w:p>
        </w:tc>
      </w:tr>
      <w:tr>
        <w:trPr>
          <w:trHeight w:val="388"/>
        </w:trPr>
        <w:tc>
          <w:tcPr>
            <w:tcW w:w="2144" w:type="dxa"/>
            <w:vAlign w:val="center"/>
          </w:tcPr>
          <w:p>
            <w:pPr>
              <w:spacing w:before="40" w:after="40"/>
              <w:rPr>
                <w:noProof/>
                <w:sz w:val="18"/>
              </w:rPr>
            </w:pPr>
            <w:r>
              <w:rPr>
                <w:noProof/>
                <w:sz w:val="18"/>
              </w:rPr>
              <w:t>Статия ………….</w:t>
            </w:r>
          </w:p>
        </w:tc>
        <w:tc>
          <w:tcPr>
            <w:tcW w:w="1325" w:type="dxa"/>
          </w:tcPr>
          <w:p>
            <w:pPr>
              <w:spacing w:beforeLines="40" w:before="96" w:afterLines="40" w:after="96"/>
              <w:jc w:val="center"/>
              <w:rPr>
                <w:i/>
                <w:noProof/>
                <w:sz w:val="18"/>
              </w:rPr>
            </w:pPr>
          </w:p>
        </w:tc>
        <w:tc>
          <w:tcPr>
            <w:tcW w:w="1031" w:type="dxa"/>
          </w:tcPr>
          <w:p>
            <w:pPr>
              <w:spacing w:beforeLines="40" w:before="96" w:afterLines="40" w:after="96"/>
              <w:jc w:val="center"/>
              <w:rPr>
                <w:noProof/>
                <w:sz w:val="18"/>
              </w:rPr>
            </w:pPr>
          </w:p>
        </w:tc>
        <w:tc>
          <w:tcPr>
            <w:tcW w:w="900" w:type="dxa"/>
          </w:tcPr>
          <w:p>
            <w:pPr>
              <w:spacing w:beforeLines="40" w:before="96" w:afterLines="40" w:after="96"/>
              <w:jc w:val="center"/>
              <w:rPr>
                <w:noProof/>
                <w:sz w:val="18"/>
              </w:rPr>
            </w:pPr>
          </w:p>
        </w:tc>
        <w:tc>
          <w:tcPr>
            <w:tcW w:w="90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r>
    </w:tbl>
    <w:p>
      <w:pPr>
        <w:pStyle w:val="Text1"/>
        <w:rPr>
          <w:noProof/>
          <w:sz w:val="20"/>
        </w:rPr>
      </w:pPr>
      <w:r>
        <w:rPr>
          <w:noProof/>
          <w:sz w:val="20"/>
        </w:rPr>
        <w:t>За целевите приходи посочете съответните разходни бюджетни редове.</w:t>
      </w:r>
    </w:p>
    <w:p>
      <w:pPr>
        <w:pStyle w:val="Text1"/>
        <w:pBdr>
          <w:top w:val="single" w:sz="4" w:space="1" w:color="auto"/>
          <w:left w:val="single" w:sz="4" w:space="4" w:color="auto"/>
          <w:bottom w:val="single" w:sz="4" w:space="1" w:color="auto"/>
          <w:right w:val="single" w:sz="4" w:space="4" w:color="auto"/>
        </w:pBdr>
        <w:rPr>
          <w:noProof/>
        </w:rPr>
      </w:pPr>
    </w:p>
    <w:p>
      <w:pPr>
        <w:pStyle w:val="Text1"/>
        <w:rPr>
          <w:noProof/>
          <w:sz w:val="20"/>
        </w:rPr>
      </w:pPr>
      <w:r>
        <w:rPr>
          <w:noProof/>
          <w:sz w:val="20"/>
        </w:rPr>
        <w:t>Други забележки (например метод/формула за изчисляване на отражението върху приходите или друга информация).</w:t>
      </w:r>
    </w:p>
    <w:p>
      <w:pPr>
        <w:pStyle w:val="Text1"/>
        <w:pBdr>
          <w:top w:val="single" w:sz="4" w:space="1" w:color="auto"/>
          <w:left w:val="single" w:sz="4" w:space="4" w:color="auto"/>
          <w:bottom w:val="single" w:sz="4" w:space="1" w:color="auto"/>
          <w:right w:val="single" w:sz="4" w:space="4" w:color="auto"/>
        </w:pBdr>
        <w:rPr>
          <w:noProof/>
        </w:rPr>
      </w:pPr>
    </w:p>
    <w:p>
      <w:pPr>
        <w:rPr>
          <w:noProof/>
        </w:rPr>
      </w:pPr>
    </w:p>
    <w:p>
      <w:pPr>
        <w:spacing w:before="0" w:after="200" w:line="276" w:lineRule="auto"/>
        <w:jc w:val="left"/>
        <w:rPr>
          <w:i/>
          <w:noProof/>
        </w:rPr>
      </w:pPr>
    </w:p>
    <w:sectPr>
      <w:pgSz w:w="11907" w:h="16840" w:code="9"/>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EUAlbertina">
    <w:altName w:val="EU Albertin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6</w:t>
    </w:r>
    <w:r>
      <w:fldChar w:fldCharType="end"/>
    </w:r>
    <w: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BG</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ОВ L 290, 20.10.2006 г., стр. 2.</w:t>
      </w:r>
    </w:p>
  </w:footnote>
  <w:footnote w:id="2">
    <w:p>
      <w:pPr>
        <w:pStyle w:val="FootnoteText"/>
      </w:pPr>
      <w:r>
        <w:rPr>
          <w:rStyle w:val="FootnoteReference"/>
        </w:rPr>
        <w:footnoteRef/>
      </w:r>
      <w:r>
        <w:rPr>
          <w:rStyle w:val="Hyperlink"/>
        </w:rPr>
        <w:tab/>
      </w:r>
      <w:hyperlink r:id="rId1" w:history="1">
        <w:r>
          <w:rPr>
            <w:rStyle w:val="Hyperlink"/>
          </w:rPr>
          <w:t>https://www.consilium.europa.eu/bg/documents-publications/treaties-agreements/agreement/?id=2006084&amp;DocLanguage=en</w:t>
        </w:r>
      </w:hyperlink>
    </w:p>
  </w:footnote>
  <w:footnote w:id="3">
    <w:p>
      <w:pPr>
        <w:pStyle w:val="FootnoteText"/>
      </w:pPr>
      <w:r>
        <w:rPr>
          <w:rStyle w:val="FootnoteReference"/>
        </w:rPr>
        <w:footnoteRef/>
      </w:r>
      <w:r>
        <w:tab/>
        <w:t>OВ L 4, 9.1.2014 г., стр. 3.</w:t>
      </w:r>
    </w:p>
  </w:footnote>
  <w:footnote w:id="4">
    <w:p>
      <w:pPr>
        <w:pStyle w:val="FootnoteText"/>
      </w:pPr>
      <w:r>
        <w:rPr>
          <w:rStyle w:val="FootnoteReference"/>
        </w:rPr>
        <w:footnoteRef/>
      </w:r>
      <w:r>
        <w:tab/>
        <w:t>Приети от Съвета по селско стопанство и рибарство на 15 юли 2019 г.</w:t>
      </w:r>
    </w:p>
  </w:footnote>
  <w:footnote w:id="5">
    <w:p>
      <w:pPr>
        <w:pStyle w:val="FootnoteText"/>
      </w:pPr>
      <w:r>
        <w:rPr>
          <w:rStyle w:val="FootnoteReference"/>
        </w:rPr>
        <w:footnoteRef/>
      </w:r>
      <w:r>
        <w:tab/>
        <w:t>ОВ 354, 28.12.2013 г., стр. 22.</w:t>
      </w:r>
    </w:p>
  </w:footnote>
  <w:footnote w:id="6">
    <w:p>
      <w:pPr>
        <w:pStyle w:val="FootnoteText"/>
      </w:pPr>
      <w:r>
        <w:rPr>
          <w:rStyle w:val="FootnoteReference"/>
        </w:rPr>
        <w:footnoteRef/>
      </w:r>
      <w:r>
        <w:tab/>
        <w:t>В съответствие с Междуинституционалното споразумение относно сътрудничеството по бюджетни въпроси (ОВ C 373, 20.12.2013 г., стр. 1).</w:t>
      </w:r>
    </w:p>
  </w:footnote>
  <w:footnote w:id="7">
    <w:p>
      <w:pPr>
        <w:pStyle w:val="FootnoteText"/>
        <w:rPr>
          <w:szCs w:val="24"/>
        </w:rPr>
      </w:pPr>
      <w:r>
        <w:rPr>
          <w:rStyle w:val="FootnoteReference"/>
        </w:rPr>
        <w:footnoteRef/>
      </w:r>
      <w:r>
        <w:tab/>
        <w:t>Съгласно член 58, параграф 2, буква а) или б) от Финансовия регламент.</w:t>
      </w:r>
    </w:p>
  </w:footnote>
  <w:footnote w:id="8">
    <w:p>
      <w:pPr>
        <w:pStyle w:val="FootnoteText"/>
        <w:jc w:val="left"/>
        <w:rPr>
          <w:szCs w:val="24"/>
        </w:rPr>
      </w:pPr>
      <w:r>
        <w:rPr>
          <w:rStyle w:val="FootnoteReference"/>
        </w:rPr>
        <w:footnoteRef/>
      </w:r>
      <w:r>
        <w:tab/>
        <w:t xml:space="preserve">Подробности във връзка с методите на управление и позоваванията на Финансовия регламент могат да бъдат намерени на уебсайта BudgWeb: </w:t>
      </w:r>
      <w:hyperlink r:id="rId2">
        <w:r>
          <w:rPr>
            <w:rStyle w:val="Hyperlink"/>
          </w:rPr>
          <w:t>https://myintracomm.ec.europa.eu/budgweb/EN/man/budgmanag/Pages/budgmanag.aspx</w:t>
        </w:r>
      </w:hyperlink>
      <w:r>
        <w:t xml:space="preserve"> </w:t>
      </w:r>
    </w:p>
  </w:footnote>
  <w:footnote w:id="9">
    <w:p>
      <w:pPr>
        <w:pStyle w:val="FootnoteText"/>
        <w:rPr>
          <w:szCs w:val="24"/>
        </w:rPr>
      </w:pPr>
      <w:r>
        <w:rPr>
          <w:rStyle w:val="FootnoteReference"/>
        </w:rPr>
        <w:footnoteRef/>
      </w:r>
      <w:r>
        <w:tab/>
        <w:t>Многогод. = многогодишни бюджетни кредити / едногод. = едногодишни бюджетни кредити.</w:t>
      </w:r>
    </w:p>
  </w:footnote>
  <w:footnote w:id="10">
    <w:p>
      <w:pPr>
        <w:pStyle w:val="FootnoteText"/>
        <w:rPr>
          <w:szCs w:val="24"/>
        </w:rPr>
      </w:pPr>
      <w:r>
        <w:rPr>
          <w:rStyle w:val="FootnoteReference"/>
        </w:rPr>
        <w:footnoteRef/>
      </w:r>
      <w:r>
        <w:tab/>
        <w:t xml:space="preserve">ЕАСТ: Европейска асоциация за свободна търговия. </w:t>
      </w:r>
    </w:p>
  </w:footnote>
  <w:footnote w:id="11">
    <w:p>
      <w:pPr>
        <w:pStyle w:val="FootnoteText"/>
        <w:rPr>
          <w:szCs w:val="24"/>
        </w:rPr>
      </w:pPr>
      <w:r>
        <w:rPr>
          <w:rStyle w:val="FootnoteReference"/>
        </w:rPr>
        <w:footnoteRef/>
      </w:r>
      <w:r>
        <w:tab/>
        <w:t>Държави кандидати и, ако е приложимо, държави потенциални кандидати от Западните Балкани.</w:t>
      </w:r>
    </w:p>
  </w:footnote>
  <w:footnote w:id="12">
    <w:p>
      <w:pPr>
        <w:pStyle w:val="FootnoteText"/>
        <w:rPr>
          <w:sz w:val="18"/>
          <w:szCs w:val="18"/>
        </w:rPr>
      </w:pPr>
      <w:r>
        <w:rPr>
          <w:rStyle w:val="FootnoteReference"/>
        </w:rPr>
        <w:footnoteRef/>
      </w:r>
      <w:r>
        <w:tab/>
      </w:r>
      <w:r>
        <w:rPr>
          <w:sz w:val="18"/>
        </w:rPr>
        <w:t>Съгласно официалната бюджетна номенклатура.</w:t>
      </w:r>
    </w:p>
  </w:footnote>
  <w:footnote w:id="13">
    <w:p>
      <w:pPr>
        <w:pStyle w:val="FootnoteText"/>
        <w:rPr>
          <w:szCs w:val="24"/>
        </w:rPr>
      </w:pPr>
      <w:r>
        <w:rPr>
          <w:rStyle w:val="FootnoteReference"/>
        </w:rPr>
        <w:footnoteRef/>
      </w:r>
      <w:r>
        <w:tab/>
      </w:r>
      <w:r>
        <w:rPr>
          <w:sz w:val="18"/>
        </w:rPr>
        <w:t>Техническа и/или административна помощ и разходи в подкрепа на изпълнението на програми и/или дейности на ЕС (предишни редове BA), непреки научни изследвания, преки научни изследвания.</w:t>
      </w:r>
    </w:p>
  </w:footnote>
  <w:footnote w:id="14">
    <w:p>
      <w:pPr>
        <w:pStyle w:val="FootnoteText"/>
        <w:rPr>
          <w:szCs w:val="24"/>
        </w:rPr>
      </w:pPr>
      <w:r>
        <w:rPr>
          <w:rStyle w:val="FootnoteReference"/>
        </w:rPr>
        <w:footnoteRef/>
      </w:r>
      <w:r>
        <w:tab/>
        <w:t>Резултатите са продуктите и услугите, които ще бъдат доставени (напр. брой финансирани обмени на учащи се, дължина на построените пътища в километри и т.н.).</w:t>
      </w:r>
    </w:p>
  </w:footnote>
  <w:footnote w:id="15">
    <w:p>
      <w:pPr>
        <w:pStyle w:val="FootnoteText"/>
        <w:rPr>
          <w:szCs w:val="24"/>
        </w:rPr>
      </w:pPr>
      <w:r>
        <w:rPr>
          <w:rStyle w:val="FootnoteReference"/>
        </w:rPr>
        <w:footnoteRef/>
      </w:r>
      <w:r>
        <w:tab/>
        <w:t xml:space="preserve">Съгласно описанието в точка 1.4.2. „Конкретни цели…“. </w:t>
      </w:r>
    </w:p>
  </w:footnote>
  <w:footnote w:id="16">
    <w:p>
      <w:pPr>
        <w:pStyle w:val="FootnoteText"/>
        <w:rPr>
          <w:sz w:val="18"/>
          <w:szCs w:val="18"/>
        </w:rPr>
      </w:pPr>
      <w:r>
        <w:rPr>
          <w:rStyle w:val="FootnoteReference"/>
        </w:rPr>
        <w:footnoteRef/>
      </w:r>
      <w:r>
        <w:tab/>
      </w:r>
      <w:r>
        <w:rPr>
          <w:sz w:val="18"/>
        </w:rPr>
        <w:t>Година N е годината, през която започва да се изпълнява предложението/инициативата. Заменете N с очакваната първа година от изпълнението (например: 2021). Повторете същото за следващите години.</w:t>
      </w:r>
    </w:p>
  </w:footnote>
  <w:footnote w:id="17">
    <w:p>
      <w:pPr>
        <w:pStyle w:val="FootnoteText"/>
        <w:rPr>
          <w:szCs w:val="24"/>
        </w:rPr>
      </w:pPr>
      <w:r>
        <w:rPr>
          <w:rStyle w:val="FootnoteReference"/>
        </w:rPr>
        <w:footnoteRef/>
      </w:r>
      <w:r>
        <w:tab/>
      </w:r>
      <w:r>
        <w:rPr>
          <w:sz w:val="18"/>
        </w:rPr>
        <w:t>Техническа и/или административна помощ и разходи в подкрепа на изпълнението на програми и/или дейности на ЕС (предишни редове BA), непреки научни изследвания, преки научни изследвания.</w:t>
      </w:r>
    </w:p>
  </w:footnote>
  <w:footnote w:id="18">
    <w:p>
      <w:pPr>
        <w:pStyle w:val="FootnoteText"/>
        <w:rPr>
          <w:szCs w:val="24"/>
        </w:rPr>
      </w:pPr>
      <w:r>
        <w:rPr>
          <w:rStyle w:val="FootnoteReference"/>
        </w:rPr>
        <w:footnoteRef/>
      </w:r>
      <w:r>
        <w:tab/>
        <w:t xml:space="preserve">ДНП = договорно нает персонал; МП = местен персонал; КНЕ = командирован национален експерт; ПНА = персонал, нает чрез агенции за временна заетост; МЕД = младши експерт в делегация. </w:t>
      </w:r>
    </w:p>
  </w:footnote>
  <w:footnote w:id="19">
    <w:p>
      <w:pPr>
        <w:pStyle w:val="FootnoteText"/>
        <w:rPr>
          <w:szCs w:val="24"/>
        </w:rPr>
      </w:pPr>
      <w:r>
        <w:rPr>
          <w:rStyle w:val="FootnoteReference"/>
        </w:rPr>
        <w:footnoteRef/>
      </w:r>
      <w:r>
        <w:tab/>
        <w:t>Подтаван за външния персонал, покрит с бюджетните кредити за оперативни разходи (предишни редове BA).</w:t>
      </w:r>
    </w:p>
  </w:footnote>
  <w:footnote w:id="20">
    <w:p>
      <w:pPr>
        <w:pStyle w:val="FootnoteText"/>
      </w:pPr>
      <w:r>
        <w:rPr>
          <w:rStyle w:val="FootnoteReference"/>
        </w:rPr>
        <w:footnoteRef/>
      </w:r>
      <w:r>
        <w:tab/>
        <w:t>Година N е годината, през която започва да се изпълнява предложението/инициативата. Заменете N с очакваната първа година от изпълнението (например: 2021). Повторете същото за следващите години.</w:t>
      </w:r>
    </w:p>
  </w:footnote>
  <w:footnote w:id="21">
    <w:p>
      <w:pPr>
        <w:pStyle w:val="FootnoteText"/>
        <w:rPr>
          <w:szCs w:val="24"/>
        </w:rPr>
      </w:pPr>
      <w:r>
        <w:rPr>
          <w:rStyle w:val="FootnoteReference"/>
        </w:rPr>
        <w:footnoteRef/>
      </w:r>
      <w:r>
        <w:tab/>
        <w:t>Що се отнася до традиционните собствени ресурси (мита, налози върху захарта), посочените суми трябва да бъдат нетни, т.е. брутни суми, от които са приспаднати 20 % за разходи по събирането.</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C6A95"/>
    <w:multiLevelType w:val="singleLevel"/>
    <w:tmpl w:val="02BAFA82"/>
    <w:name w:val="List Bullet 1"/>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1">
    <w:nsid w:val="128364B0"/>
    <w:multiLevelType w:val="singleLevel"/>
    <w:tmpl w:val="D084FB54"/>
    <w:lvl w:ilvl="0">
      <w:start w:val="1"/>
      <w:numFmt w:val="bullet"/>
      <w:pStyle w:val="ListDash3"/>
      <w:lvlText w:val="–"/>
      <w:lvlJc w:val="left"/>
      <w:pPr>
        <w:tabs>
          <w:tab w:val="num" w:pos="1134"/>
        </w:tabs>
        <w:ind w:left="1134" w:hanging="283"/>
      </w:pPr>
      <w:rPr>
        <w:rFonts w:ascii="Times New Roman" w:hAnsi="Times New Roman"/>
      </w:rPr>
    </w:lvl>
  </w:abstractNum>
  <w:abstractNum w:abstractNumId="2">
    <w:nsid w:val="13E4330B"/>
    <w:multiLevelType w:val="multilevel"/>
    <w:tmpl w:val="875C4416"/>
    <w:name w:val="List Dash 3"/>
    <w:lvl w:ilvl="0">
      <w:start w:val="1"/>
      <w:numFmt w:val="decimal"/>
      <w:pStyle w:val="ListNumber1"/>
      <w:lvlText w:val="(%1)"/>
      <w:lvlJc w:val="left"/>
      <w:pPr>
        <w:tabs>
          <w:tab w:val="num" w:pos="1560"/>
        </w:tabs>
        <w:ind w:left="1560" w:hanging="709"/>
      </w:pPr>
      <w:rPr>
        <w:rFonts w:cs="Times New Roman"/>
      </w:rPr>
    </w:lvl>
    <w:lvl w:ilvl="1">
      <w:start w:val="1"/>
      <w:numFmt w:val="lowerLetter"/>
      <w:pStyle w:val="ListNumber1Level2"/>
      <w:lvlText w:val="(%2)"/>
      <w:lvlJc w:val="left"/>
      <w:pPr>
        <w:tabs>
          <w:tab w:val="num" w:pos="2268"/>
        </w:tabs>
        <w:ind w:left="2268" w:hanging="708"/>
      </w:pPr>
      <w:rPr>
        <w:rFonts w:cs="Times New Roman"/>
      </w:rPr>
    </w:lvl>
    <w:lvl w:ilvl="2">
      <w:start w:val="1"/>
      <w:numFmt w:val="bullet"/>
      <w:pStyle w:val="ListNumber1Level3"/>
      <w:lvlText w:val="–"/>
      <w:lvlJc w:val="left"/>
      <w:pPr>
        <w:tabs>
          <w:tab w:val="num" w:pos="2977"/>
        </w:tabs>
        <w:ind w:left="2977" w:hanging="709"/>
      </w:pPr>
      <w:rPr>
        <w:rFonts w:ascii="Times New Roman" w:hAnsi="Times New Roman"/>
      </w:rPr>
    </w:lvl>
    <w:lvl w:ilvl="3">
      <w:start w:val="1"/>
      <w:numFmt w:val="bullet"/>
      <w:pStyle w:val="ListNumber1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4">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6">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7">
    <w:nsid w:val="2D820C1F"/>
    <w:multiLevelType w:val="singleLevel"/>
    <w:tmpl w:val="7896AADE"/>
    <w:name w:val="List Dash"/>
    <w:lvl w:ilvl="0">
      <w:start w:val="1"/>
      <w:numFmt w:val="bullet"/>
      <w:lvlRestart w:val="0"/>
      <w:pStyle w:val="ListDash"/>
      <w:lvlText w:val="–"/>
      <w:lvlJc w:val="left"/>
      <w:pPr>
        <w:tabs>
          <w:tab w:val="num" w:pos="283"/>
        </w:tabs>
        <w:ind w:left="283" w:hanging="283"/>
      </w:pPr>
      <w:rPr>
        <w:rFonts w:ascii="Times New Roman" w:hAnsi="Times New Roman" w:cs="Times New Roman"/>
      </w:rPr>
    </w:lvl>
  </w:abstractNum>
  <w:abstractNum w:abstractNumId="8">
    <w:nsid w:val="2F191641"/>
    <w:multiLevelType w:val="multilevel"/>
    <w:tmpl w:val="B67C4E92"/>
    <w:lvl w:ilvl="0">
      <w:start w:val="1"/>
      <w:numFmt w:val="decimal"/>
      <w:pStyle w:val="ListNumber3"/>
      <w:lvlText w:val="(%1)"/>
      <w:lvlJc w:val="left"/>
      <w:pPr>
        <w:tabs>
          <w:tab w:val="num" w:pos="1560"/>
        </w:tabs>
        <w:ind w:left="1560" w:hanging="709"/>
      </w:pPr>
      <w:rPr>
        <w:rFonts w:cs="Times New Roman"/>
      </w:rPr>
    </w:lvl>
    <w:lvl w:ilvl="1">
      <w:start w:val="1"/>
      <w:numFmt w:val="lowerLetter"/>
      <w:pStyle w:val="ListNumber3Level2"/>
      <w:lvlText w:val="(%2)"/>
      <w:lvlJc w:val="left"/>
      <w:pPr>
        <w:tabs>
          <w:tab w:val="num" w:pos="2268"/>
        </w:tabs>
        <w:ind w:left="2268" w:hanging="708"/>
      </w:pPr>
      <w:rPr>
        <w:rFonts w:cs="Times New Roman"/>
      </w:rPr>
    </w:lvl>
    <w:lvl w:ilvl="2">
      <w:start w:val="1"/>
      <w:numFmt w:val="bullet"/>
      <w:pStyle w:val="ListNumber3Level3"/>
      <w:lvlText w:val="–"/>
      <w:lvlJc w:val="left"/>
      <w:pPr>
        <w:tabs>
          <w:tab w:val="num" w:pos="2977"/>
        </w:tabs>
        <w:ind w:left="2977" w:hanging="709"/>
      </w:pPr>
      <w:rPr>
        <w:rFonts w:ascii="Times New Roman" w:hAnsi="Times New Roman"/>
      </w:rPr>
    </w:lvl>
    <w:lvl w:ilvl="3">
      <w:start w:val="1"/>
      <w:numFmt w:val="bullet"/>
      <w:pStyle w:val="ListNumber3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9">
    <w:nsid w:val="31CD398A"/>
    <w:multiLevelType w:val="singleLevel"/>
    <w:tmpl w:val="0276BF00"/>
    <w:lvl w:ilvl="0">
      <w:start w:val="1"/>
      <w:numFmt w:val="bullet"/>
      <w:pStyle w:val="ListDash4"/>
      <w:lvlText w:val="–"/>
      <w:lvlJc w:val="left"/>
      <w:pPr>
        <w:tabs>
          <w:tab w:val="num" w:pos="1134"/>
        </w:tabs>
        <w:ind w:left="1134" w:hanging="283"/>
      </w:pPr>
      <w:rPr>
        <w:rFonts w:ascii="Times New Roman" w:hAnsi="Times New Roman"/>
      </w:rPr>
    </w:lvl>
  </w:abstractNum>
  <w:abstractNum w:abstractNumId="10">
    <w:nsid w:val="398C015E"/>
    <w:multiLevelType w:val="multilevel"/>
    <w:tmpl w:val="027A66BA"/>
    <w:name w:val="List Dash 4"/>
    <w:lvl w:ilvl="0">
      <w:start w:val="1"/>
      <w:numFmt w:val="decimal"/>
      <w:pStyle w:val="ListNumber2"/>
      <w:lvlText w:val="(%1)"/>
      <w:lvlJc w:val="left"/>
      <w:pPr>
        <w:tabs>
          <w:tab w:val="num" w:pos="1560"/>
        </w:tabs>
        <w:ind w:left="1560" w:hanging="709"/>
      </w:pPr>
      <w:rPr>
        <w:rFonts w:cs="Times New Roman"/>
      </w:rPr>
    </w:lvl>
    <w:lvl w:ilvl="1">
      <w:start w:val="1"/>
      <w:numFmt w:val="lowerLetter"/>
      <w:pStyle w:val="ListNumber2Level2"/>
      <w:lvlText w:val="(%2)"/>
      <w:lvlJc w:val="left"/>
      <w:pPr>
        <w:tabs>
          <w:tab w:val="num" w:pos="2268"/>
        </w:tabs>
        <w:ind w:left="2268" w:hanging="708"/>
      </w:pPr>
      <w:rPr>
        <w:rFonts w:cs="Times New Roman"/>
      </w:rPr>
    </w:lvl>
    <w:lvl w:ilvl="2">
      <w:start w:val="1"/>
      <w:numFmt w:val="bullet"/>
      <w:pStyle w:val="ListNumber2Level3"/>
      <w:lvlText w:val="–"/>
      <w:lvlJc w:val="left"/>
      <w:pPr>
        <w:tabs>
          <w:tab w:val="num" w:pos="2977"/>
        </w:tabs>
        <w:ind w:left="2977" w:hanging="709"/>
      </w:pPr>
      <w:rPr>
        <w:rFonts w:ascii="Times New Roman" w:hAnsi="Times New Roman"/>
      </w:rPr>
    </w:lvl>
    <w:lvl w:ilvl="3">
      <w:start w:val="1"/>
      <w:numFmt w:val="bullet"/>
      <w:pStyle w:val="ListNumber2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1">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2">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3">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4">
    <w:nsid w:val="489D74ED"/>
    <w:multiLevelType w:val="singleLevel"/>
    <w:tmpl w:val="C2E2F936"/>
    <w:name w:val="List Dash 2"/>
    <w:lvl w:ilvl="0">
      <w:start w:val="1"/>
      <w:numFmt w:val="bullet"/>
      <w:lvlRestart w:val="0"/>
      <w:pStyle w:val="ListDash2"/>
      <w:lvlText w:val="–"/>
      <w:lvlJc w:val="left"/>
      <w:pPr>
        <w:tabs>
          <w:tab w:val="num" w:pos="1134"/>
        </w:tabs>
        <w:ind w:left="1134" w:hanging="283"/>
      </w:pPr>
      <w:rPr>
        <w:rFonts w:ascii="Times New Roman" w:hAnsi="Times New Roman" w:cs="Times New Roman"/>
      </w:rPr>
    </w:lvl>
  </w:abstractNum>
  <w:abstractNum w:abstractNumId="15">
    <w:nsid w:val="4D0C058A"/>
    <w:multiLevelType w:val="singleLevel"/>
    <w:tmpl w:val="BAE8D90E"/>
    <w:name w:val="List Dash 1"/>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16">
    <w:nsid w:val="542A1204"/>
    <w:multiLevelType w:val="multilevel"/>
    <w:tmpl w:val="BC1E8404"/>
    <w:lvl w:ilvl="0">
      <w:start w:val="1"/>
      <w:numFmt w:val="decimal"/>
      <w:pStyle w:val="ListNumber4"/>
      <w:lvlText w:val="(%1)"/>
      <w:lvlJc w:val="left"/>
      <w:pPr>
        <w:tabs>
          <w:tab w:val="num" w:pos="1560"/>
        </w:tabs>
        <w:ind w:left="1560" w:hanging="709"/>
      </w:pPr>
      <w:rPr>
        <w:rFonts w:cs="Times New Roman"/>
      </w:rPr>
    </w:lvl>
    <w:lvl w:ilvl="1">
      <w:start w:val="1"/>
      <w:numFmt w:val="lowerLetter"/>
      <w:pStyle w:val="ListNumber4Level2"/>
      <w:lvlText w:val="(%2)"/>
      <w:lvlJc w:val="left"/>
      <w:pPr>
        <w:tabs>
          <w:tab w:val="num" w:pos="2268"/>
        </w:tabs>
        <w:ind w:left="2268" w:hanging="708"/>
      </w:pPr>
      <w:rPr>
        <w:rFonts w:cs="Times New Roman"/>
      </w:rPr>
    </w:lvl>
    <w:lvl w:ilvl="2">
      <w:start w:val="1"/>
      <w:numFmt w:val="bullet"/>
      <w:pStyle w:val="ListNumber4Level3"/>
      <w:lvlText w:val="–"/>
      <w:lvlJc w:val="left"/>
      <w:pPr>
        <w:tabs>
          <w:tab w:val="num" w:pos="2977"/>
        </w:tabs>
        <w:ind w:left="2977" w:hanging="709"/>
      </w:pPr>
      <w:rPr>
        <w:rFonts w:ascii="Times New Roman" w:hAnsi="Times New Roman"/>
      </w:rPr>
    </w:lvl>
    <w:lvl w:ilvl="3">
      <w:start w:val="1"/>
      <w:numFmt w:val="bullet"/>
      <w:pStyle w:val="ListNumber4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7">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8">
    <w:nsid w:val="5B0B0635"/>
    <w:multiLevelType w:val="singleLevel"/>
    <w:tmpl w:val="017E7CEE"/>
    <w:lvl w:ilvl="0">
      <w:start w:val="1"/>
      <w:numFmt w:val="bullet"/>
      <w:lvlRestart w:val="0"/>
      <w:pStyle w:val="ListBullet4"/>
      <w:lvlText w:val=""/>
      <w:lvlJc w:val="left"/>
      <w:pPr>
        <w:tabs>
          <w:tab w:val="num" w:pos="1134"/>
        </w:tabs>
        <w:ind w:left="1134" w:hanging="283"/>
      </w:pPr>
      <w:rPr>
        <w:rFonts w:ascii="Symbol" w:hAnsi="Symbol" w:hint="default"/>
      </w:rPr>
    </w:lvl>
  </w:abstractNum>
  <w:abstractNum w:abstractNumId="19">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1">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2">
    <w:nsid w:val="5DF84969"/>
    <w:multiLevelType w:val="singleLevel"/>
    <w:tmpl w:val="1E12021A"/>
    <w:lvl w:ilvl="0">
      <w:start w:val="1"/>
      <w:numFmt w:val="bullet"/>
      <w:pStyle w:val="ListBullet"/>
      <w:lvlText w:val=""/>
      <w:lvlJc w:val="left"/>
      <w:pPr>
        <w:tabs>
          <w:tab w:val="num" w:pos="283"/>
        </w:tabs>
        <w:ind w:left="283" w:hanging="283"/>
      </w:pPr>
      <w:rPr>
        <w:rFonts w:ascii="Symbol" w:hAnsi="Symbol" w:hint="default"/>
      </w:rPr>
    </w:lvl>
  </w:abstractNum>
  <w:abstractNum w:abstractNumId="23">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5">
    <w:nsid w:val="71F06166"/>
    <w:multiLevelType w:val="multilevel"/>
    <w:tmpl w:val="C08066D2"/>
    <w:name w:val="0.6719891"/>
    <w:lvl w:ilvl="0">
      <w:start w:val="1"/>
      <w:numFmt w:val="decimal"/>
      <w:lvlRestart w:val="0"/>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nsid w:val="73D73F7A"/>
    <w:multiLevelType w:val="singleLevel"/>
    <w:tmpl w:val="26365734"/>
    <w:lvl w:ilvl="0">
      <w:start w:val="1"/>
      <w:numFmt w:val="bullet"/>
      <w:pStyle w:val="ListBullet2"/>
      <w:lvlText w:val=""/>
      <w:lvlJc w:val="left"/>
      <w:pPr>
        <w:tabs>
          <w:tab w:val="num" w:pos="1134"/>
        </w:tabs>
        <w:ind w:left="1134" w:hanging="283"/>
      </w:pPr>
      <w:rPr>
        <w:rFonts w:ascii="Symbol" w:hAnsi="Symbol" w:hint="default"/>
      </w:rPr>
    </w:lvl>
  </w:abstractNum>
  <w:abstractNum w:abstractNumId="27">
    <w:nsid w:val="76BC5C11"/>
    <w:multiLevelType w:val="singleLevel"/>
    <w:tmpl w:val="E44CE82E"/>
    <w:lvl w:ilvl="0">
      <w:start w:val="1"/>
      <w:numFmt w:val="bullet"/>
      <w:pStyle w:val="ListBullet3"/>
      <w:lvlText w:val=""/>
      <w:lvlJc w:val="left"/>
      <w:pPr>
        <w:tabs>
          <w:tab w:val="num" w:pos="1134"/>
        </w:tabs>
        <w:ind w:left="1134" w:hanging="283"/>
      </w:pPr>
      <w:rPr>
        <w:rFonts w:ascii="Symbol" w:hAnsi="Symbol" w:hint="default"/>
      </w:rPr>
    </w:lvl>
  </w:abstractNum>
  <w:abstractNum w:abstractNumId="28">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26"/>
  </w:num>
  <w:num w:numId="2">
    <w:abstractNumId w:val="25"/>
  </w:num>
  <w:num w:numId="3">
    <w:abstractNumId w:val="0"/>
  </w:num>
  <w:num w:numId="4">
    <w:abstractNumId w:val="18"/>
  </w:num>
  <w:num w:numId="5">
    <w:abstractNumId w:val="7"/>
  </w:num>
  <w:num w:numId="6">
    <w:abstractNumId w:val="15"/>
  </w:num>
  <w:num w:numId="7">
    <w:abstractNumId w:val="14"/>
  </w:num>
  <w:num w:numId="8">
    <w:abstractNumId w:val="22"/>
  </w:num>
  <w:num w:numId="9">
    <w:abstractNumId w:val="27"/>
  </w:num>
  <w:num w:numId="10">
    <w:abstractNumId w:val="1"/>
  </w:num>
  <w:num w:numId="11">
    <w:abstractNumId w:val="9"/>
  </w:num>
  <w:num w:numId="12">
    <w:abstractNumId w:val="2"/>
  </w:num>
  <w:num w:numId="13">
    <w:abstractNumId w:val="10"/>
  </w:num>
  <w:num w:numId="14">
    <w:abstractNumId w:val="8"/>
  </w:num>
  <w:num w:numId="15">
    <w:abstractNumId w:val="16"/>
  </w:num>
  <w:num w:numId="16">
    <w:abstractNumId w:val="28"/>
    <w:lvlOverride w:ilvl="0">
      <w:startOverride w:val="1"/>
    </w:lvlOverride>
  </w:num>
  <w:num w:numId="17">
    <w:abstractNumId w:val="21"/>
  </w:num>
  <w:num w:numId="18">
    <w:abstractNumId w:val="11"/>
  </w:num>
  <w:num w:numId="19">
    <w:abstractNumId w:val="24"/>
  </w:num>
  <w:num w:numId="20">
    <w:abstractNumId w:val="6"/>
  </w:num>
  <w:num w:numId="21">
    <w:abstractNumId w:val="12"/>
  </w:num>
  <w:num w:numId="22">
    <w:abstractNumId w:val="4"/>
  </w:num>
  <w:num w:numId="23">
    <w:abstractNumId w:val="23"/>
  </w:num>
  <w:num w:numId="24">
    <w:abstractNumId w:val="3"/>
  </w:num>
  <w:num w:numId="25">
    <w:abstractNumId w:val="13"/>
  </w:num>
  <w:num w:numId="26">
    <w:abstractNumId w:val="19"/>
  </w:num>
  <w:num w:numId="27">
    <w:abstractNumId w:val="20"/>
  </w:num>
  <w:num w:numId="28">
    <w:abstractNumId w:val="5"/>
  </w:num>
  <w:num w:numId="29">
    <w:abstractNumId w:val="17"/>
  </w:num>
  <w:num w:numId="30">
    <w:abstractNumId w:val="28"/>
  </w:num>
  <w:num w:numId="31">
    <w:abstractNumId w:val="21"/>
  </w:num>
  <w:num w:numId="32">
    <w:abstractNumId w:val="11"/>
  </w:num>
  <w:num w:numId="33">
    <w:abstractNumId w:val="24"/>
  </w:num>
  <w:num w:numId="34">
    <w:abstractNumId w:val="6"/>
  </w:num>
  <w:num w:numId="35">
    <w:abstractNumId w:val="12"/>
  </w:num>
  <w:num w:numId="36">
    <w:abstractNumId w:val="4"/>
  </w:num>
  <w:num w:numId="37">
    <w:abstractNumId w:val="23"/>
  </w:num>
  <w:num w:numId="38">
    <w:abstractNumId w:val="3"/>
  </w:num>
  <w:num w:numId="39">
    <w:abstractNumId w:val="13"/>
  </w:num>
  <w:num w:numId="40">
    <w:abstractNumId w:val="19"/>
  </w:num>
  <w:num w:numId="41">
    <w:abstractNumId w:val="20"/>
  </w:num>
  <w:num w:numId="42">
    <w:abstractNumId w:val="5"/>
  </w:num>
  <w:num w:numId="43">
    <w:abstractNumId w:val="17"/>
  </w:num>
  <w:num w:numId="44">
    <w:abstractNumId w:val="28"/>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revisionView w:markup="0"/>
  <w:defaultTabStop w:val="720"/>
  <w:hyphenationZone w:val="425"/>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01-07 09:39:15"/>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3"/>
    <w:docVar w:name="DQCResult_ModifiedMarkers" w:val="0;0"/>
    <w:docVar w:name="DQCResult_ModifiedNumbering" w:val="0;0"/>
    <w:docVar w:name="DQCResult_Objects" w:val="0;0"/>
    <w:docVar w:name="DQCResult_Sections" w:val="0;0"/>
    <w:docVar w:name="DQCResult_StructureCheck" w:val="0;0"/>
    <w:docVar w:name="DQCResult_SuperfluousWhitespace" w:val="0;16"/>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23003E3B-21F4-4F70-9FD9-2A68F6E8C2E2"/>
    <w:docVar w:name="LW_COVERPAGE_TYPE" w:val="1"/>
    <w:docVar w:name="LW_CROSSREFERENCE" w:val="&lt;UNUSED&gt;"/>
    <w:docVar w:name="LW_DocType" w:val="COM"/>
    <w:docVar w:name="LW_EMISSION" w:val="7.1.2020"/>
    <w:docVar w:name="LW_EMISSION_ISODATE" w:val="2020-01-07"/>
    <w:docVar w:name="LW_EMISSION_LOCATION" w:val="BRX"/>
    <w:docVar w:name="LW_EMISSION_PREFIX" w:val="Брюксел, "/>
    <w:docVar w:name="LW_EMISSION_SUFFIX" w:val=" \u1075?."/>
    <w:docVar w:name="LW_ID_DOCMODEL" w:val="SJ-019"/>
    <w:docVar w:name="LW_ID_DOCSIGNATURE" w:val="SJ-019"/>
    <w:docVar w:name="LW_ID_DOCSTRUCTURE" w:val="COM/PL/ORG"/>
    <w:docVar w:name="LW_ID_DOCTYPE" w:val="SJ-019"/>
    <w:docVar w:name="LW_ID_EXP.MOTIFS.NEW" w:val="EM_PL_"/>
    <w:docVar w:name="LW_ID_STATUT" w:val="SJ-019"/>
    <w:docVar w:name="LW_INTERETEEE.CP" w:val="&lt;UNUSED&gt;"/>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I.NEW.CP" w:val="NLE"/>
    <w:docVar w:name="LW_REF.II.NEW.CP_NUMBER" w:val="0003"/>
    <w:docVar w:name="LW_REF.II.NEW.CP_YEAR" w:val="2020"/>
    <w:docVar w:name="LW_REF.INST.NEW" w:val="COM"/>
    <w:docVar w:name="LW_REF.INST.NEW_ADOPTED" w:val="final"/>
    <w:docVar w:name="LW_REF.INST.NEW_TEXT" w:val="(2020) 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u1055?\u1088?\u1077?\u1076?\u1083?\u1086?\u1078?\u1077?\u1085?\u1080?\u1077? \u1079?\u1072?"/>
    <w:docVar w:name="LW_SUPERTITRE" w:val="&lt;UNUSED&gt;"/>
    <w:docVar w:name="LW_TITRE.OBJ.CP" w:val="\u1086?\u1090?\u1085?\u1086?\u1089?\u1085?\u1086? \u1087?\u1086?\u1076?\u1087?\u1080?\u1089?\u1074?\u1072?\u1085?\u1077?\u1090?\u1086? \u1086?\u1090? \u1080?\u1084?\u1077?\u1090?\u1086? \u1085?\u1072? \u1057?\u1098?\u1102?\u1079?\u1072? \u1080? \u1074?\u1088?\u1077?\u1084?\u1077?\u1085?\u1085?\u1086?\u1090?\u1086? \u1087?\u1088?\u1080?\u1083?\u1072?\u1075?\u1072?\u1085?\u1077? \u1085?\u1072? \u1057?\u1087?\u1086?\u1088?\u1072?\u1079?\u1091?\u1084?\u1077?\u1085?\u1080?\u1077?\u1090?\u1086? \u1079?\u1072? \u1087?\u1072?\u1088?\u1090?\u1085?\u1100?\u1086?\u1088?\u1089?\u1090?\u1074?\u1086? \u1074? \u1086?\u1073?\u1083?\u1072?\u1089?\u1090?\u1090?\u1072? \u1085?\u1072? \u1091?\u1089?\u1090?\u1086?\u1081?\u1095?\u1080?\u1074?\u1086?\u1090?\u1086? \u1088?\u1080?\u1073?\u1072?\u1088?\u1089?\u1090?\u1074?\u1086? \u1080? \u1085?\u1072? \u1080?\u1079?\u1087?\u1098?\u1083?\u1085?\u1080?\u1090?\u1077?\u1083?\u1077?\u1085? \u1087?\u1088?\u1086?\u1090?\u1086?\u1082?\u1086?\u1083? \u1082?\u1098?\u1084? \u1085?\u1077?\u1075?\u1086? (2020\u8212?2026 \u1075?\u1086?\u1076?\u1080?\u1085?\u1072?) \u1084?\u1077?\u1078?\u1076?\u1091? \u1045?\u1074?\u1088?\u1086?\u1087?\u1077?\u1081?\u1089?\u1082?\u1080?\u1103? \u1089?\u1098?\u1102?\u1079? \u1080? \u1056?\u1077?\u1087?\u1091?\u1073?\u1083?\u1080?\u1082?\u1072? \u1057?\u1077?\u1081?\u1096?\u1077?\u1083?\u1080?"/>
    <w:docVar w:name="LW_TYPE.DOC.CP" w:val="\u1056?\u1045?\u1064?\u1045?\u1053?\u1048?\u1045?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table of figures" w:uiPriority="0"/>
    <w:lsdException w:name="annotation reference" w:uiPriority="0"/>
    <w:lsdException w:name="page number"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3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2">
    <w:name w:val="List Bullet 2"/>
    <w:basedOn w:val="Normal"/>
    <w:pPr>
      <w:numPr>
        <w:numId w:val="1"/>
      </w:numPr>
    </w:pPr>
    <w:rPr>
      <w:rFonts w:eastAsia="Times New Roman"/>
      <w:lang w:eastAsia="en-GB"/>
    </w:rPr>
  </w:style>
  <w:style w:type="character" w:styleId="Hyperlink">
    <w:name w:val="Hyperlink"/>
    <w:basedOn w:val="DefaultParagraphFont"/>
    <w:uiPriority w:val="99"/>
    <w:unhideWhenUsed/>
    <w:rPr>
      <w:color w:val="0000FF" w:themeColor="hyperlink"/>
      <w:u w:val="single"/>
    </w:rPr>
  </w:style>
  <w:style w:type="paragraph" w:styleId="ListNumber">
    <w:name w:val="List Number"/>
    <w:basedOn w:val="Normal"/>
    <w:pPr>
      <w:numPr>
        <w:numId w:val="2"/>
      </w:numPr>
    </w:pPr>
    <w:rPr>
      <w:rFonts w:eastAsia="Times New Roman"/>
      <w:lang w:eastAsia="fr-FR" w:bidi="fr-FR"/>
    </w:rPr>
  </w:style>
  <w:style w:type="paragraph" w:customStyle="1" w:styleId="ListNumberLevel2">
    <w:name w:val="List Number (Level 2)"/>
    <w:basedOn w:val="Normal"/>
    <w:pPr>
      <w:numPr>
        <w:ilvl w:val="1"/>
        <w:numId w:val="2"/>
      </w:numPr>
    </w:pPr>
    <w:rPr>
      <w:rFonts w:eastAsia="Times New Roman"/>
      <w:lang w:eastAsia="fr-FR" w:bidi="fr-FR"/>
    </w:rPr>
  </w:style>
  <w:style w:type="paragraph" w:customStyle="1" w:styleId="ListNumberLevel3">
    <w:name w:val="List Number (Level 3)"/>
    <w:basedOn w:val="Normal"/>
    <w:pPr>
      <w:numPr>
        <w:ilvl w:val="2"/>
        <w:numId w:val="2"/>
      </w:numPr>
    </w:pPr>
    <w:rPr>
      <w:rFonts w:eastAsia="Times New Roman"/>
      <w:lang w:eastAsia="fr-FR" w:bidi="fr-FR"/>
    </w:rPr>
  </w:style>
  <w:style w:type="paragraph" w:customStyle="1" w:styleId="ListNumberLevel4">
    <w:name w:val="List Number (Level 4)"/>
    <w:basedOn w:val="Normal"/>
    <w:pPr>
      <w:numPr>
        <w:ilvl w:val="3"/>
        <w:numId w:val="2"/>
      </w:numPr>
    </w:pPr>
    <w:rPr>
      <w:rFonts w:eastAsia="Times New Roman"/>
      <w:lang w:eastAsia="fr-FR" w:bidi="fr-FR"/>
    </w:rPr>
  </w:style>
  <w:style w:type="paragraph" w:styleId="ListBullet4">
    <w:name w:val="List Bullet 4"/>
    <w:basedOn w:val="Normal"/>
    <w:pPr>
      <w:numPr>
        <w:numId w:val="4"/>
      </w:numPr>
    </w:pPr>
    <w:rPr>
      <w:rFonts w:eastAsia="Times New Roman"/>
      <w:lang w:eastAsia="de-DE"/>
    </w:rPr>
  </w:style>
  <w:style w:type="paragraph" w:customStyle="1" w:styleId="ListBullet1">
    <w:name w:val="List Bullet 1"/>
    <w:basedOn w:val="Normal"/>
    <w:pPr>
      <w:numPr>
        <w:numId w:val="3"/>
      </w:numPr>
    </w:pPr>
    <w:rPr>
      <w:rFonts w:eastAsia="Times New Roman"/>
      <w:lang w:eastAsia="de-DE"/>
    </w:rPr>
  </w:style>
  <w:style w:type="paragraph" w:customStyle="1" w:styleId="ListDash">
    <w:name w:val="List Dash"/>
    <w:basedOn w:val="Normal"/>
    <w:pPr>
      <w:numPr>
        <w:numId w:val="5"/>
      </w:numPr>
    </w:pPr>
    <w:rPr>
      <w:rFonts w:eastAsia="Times New Roman"/>
      <w:lang w:eastAsia="de-DE"/>
    </w:rPr>
  </w:style>
  <w:style w:type="paragraph" w:customStyle="1" w:styleId="ListDash1">
    <w:name w:val="List Dash 1"/>
    <w:basedOn w:val="Normal"/>
    <w:pPr>
      <w:numPr>
        <w:numId w:val="6"/>
      </w:numPr>
    </w:pPr>
    <w:rPr>
      <w:rFonts w:eastAsia="Times New Roman"/>
      <w:lang w:eastAsia="de-DE"/>
    </w:rPr>
  </w:style>
  <w:style w:type="paragraph" w:customStyle="1" w:styleId="ListDash2">
    <w:name w:val="List Dash 2"/>
    <w:basedOn w:val="Normal"/>
    <w:pPr>
      <w:numPr>
        <w:numId w:val="7"/>
      </w:numPr>
    </w:pPr>
    <w:rPr>
      <w:rFonts w:eastAsia="Times New Roman"/>
      <w:lang w:eastAsia="de-DE"/>
    </w:rPr>
  </w:style>
  <w:style w:type="table" w:styleId="TableGrid">
    <w:name w:val="Table Grid"/>
    <w:basedOn w:val="TableNormal"/>
    <w:pPr>
      <w:spacing w:before="120" w:after="120" w:line="240" w:lineRule="auto"/>
      <w:jc w:val="both"/>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pPr>
      <w:numPr>
        <w:numId w:val="8"/>
      </w:numPr>
    </w:pPr>
    <w:rPr>
      <w:rFonts w:eastAsia="Times New Roman"/>
      <w:lang w:eastAsia="en-GB"/>
    </w:rPr>
  </w:style>
  <w:style w:type="paragraph" w:styleId="ListBullet3">
    <w:name w:val="List Bullet 3"/>
    <w:basedOn w:val="Normal"/>
    <w:pPr>
      <w:numPr>
        <w:numId w:val="9"/>
      </w:numPr>
    </w:pPr>
    <w:rPr>
      <w:rFonts w:eastAsia="Times New Roman"/>
      <w:lang w:eastAsia="en-GB"/>
    </w:rPr>
  </w:style>
  <w:style w:type="paragraph" w:styleId="ListNumber2">
    <w:name w:val="List Number 2"/>
    <w:basedOn w:val="Normal"/>
    <w:pPr>
      <w:numPr>
        <w:numId w:val="13"/>
      </w:numPr>
    </w:pPr>
    <w:rPr>
      <w:rFonts w:eastAsia="Times New Roman"/>
      <w:lang w:eastAsia="en-GB"/>
    </w:rPr>
  </w:style>
  <w:style w:type="paragraph" w:styleId="ListNumber3">
    <w:name w:val="List Number 3"/>
    <w:basedOn w:val="Normal"/>
    <w:pPr>
      <w:numPr>
        <w:numId w:val="14"/>
      </w:numPr>
    </w:pPr>
    <w:rPr>
      <w:rFonts w:eastAsia="Times New Roman"/>
      <w:lang w:eastAsia="en-GB"/>
    </w:rPr>
  </w:style>
  <w:style w:type="paragraph" w:styleId="ListNumber4">
    <w:name w:val="List Number 4"/>
    <w:basedOn w:val="Normal"/>
    <w:pPr>
      <w:numPr>
        <w:numId w:val="15"/>
      </w:numPr>
    </w:pPr>
    <w:rPr>
      <w:rFonts w:eastAsia="Times New Roman"/>
      <w:lang w:eastAsia="en-GB"/>
    </w:rPr>
  </w:style>
  <w:style w:type="paragraph" w:customStyle="1" w:styleId="ListDash3">
    <w:name w:val="List Dash 3"/>
    <w:basedOn w:val="Normal"/>
    <w:pPr>
      <w:numPr>
        <w:numId w:val="10"/>
      </w:numPr>
    </w:pPr>
    <w:rPr>
      <w:rFonts w:eastAsia="Times New Roman"/>
      <w:lang w:eastAsia="en-GB"/>
    </w:rPr>
  </w:style>
  <w:style w:type="paragraph" w:customStyle="1" w:styleId="ListDash4">
    <w:name w:val="List Dash 4"/>
    <w:basedOn w:val="Normal"/>
    <w:pPr>
      <w:numPr>
        <w:numId w:val="11"/>
      </w:numPr>
    </w:pPr>
    <w:rPr>
      <w:rFonts w:eastAsia="Times New Roman"/>
      <w:lang w:eastAsia="en-GB"/>
    </w:rPr>
  </w:style>
  <w:style w:type="paragraph" w:customStyle="1" w:styleId="ListNumber1">
    <w:name w:val="List Number 1"/>
    <w:basedOn w:val="Text1"/>
    <w:pPr>
      <w:numPr>
        <w:numId w:val="12"/>
      </w:numPr>
    </w:pPr>
    <w:rPr>
      <w:rFonts w:eastAsia="Times New Roman"/>
      <w:lang w:eastAsia="en-GB"/>
    </w:rPr>
  </w:style>
  <w:style w:type="paragraph" w:customStyle="1" w:styleId="ListNumber1Level2">
    <w:name w:val="List Number 1 (Level 2)"/>
    <w:basedOn w:val="Text1"/>
    <w:pPr>
      <w:numPr>
        <w:ilvl w:val="1"/>
        <w:numId w:val="12"/>
      </w:numPr>
    </w:pPr>
    <w:rPr>
      <w:rFonts w:eastAsia="Times New Roman"/>
      <w:lang w:eastAsia="en-GB"/>
    </w:rPr>
  </w:style>
  <w:style w:type="paragraph" w:customStyle="1" w:styleId="ListNumber2Level2">
    <w:name w:val="List Number 2 (Level 2)"/>
    <w:basedOn w:val="Text2"/>
    <w:pPr>
      <w:numPr>
        <w:ilvl w:val="1"/>
        <w:numId w:val="13"/>
      </w:numPr>
    </w:pPr>
    <w:rPr>
      <w:rFonts w:eastAsia="Times New Roman"/>
      <w:lang w:eastAsia="en-GB"/>
    </w:rPr>
  </w:style>
  <w:style w:type="paragraph" w:customStyle="1" w:styleId="ListNumber3Level2">
    <w:name w:val="List Number 3 (Level 2)"/>
    <w:basedOn w:val="Text3"/>
    <w:pPr>
      <w:numPr>
        <w:ilvl w:val="1"/>
        <w:numId w:val="14"/>
      </w:numPr>
    </w:pPr>
    <w:rPr>
      <w:rFonts w:eastAsia="Times New Roman"/>
      <w:lang w:eastAsia="en-GB"/>
    </w:rPr>
  </w:style>
  <w:style w:type="paragraph" w:customStyle="1" w:styleId="ListNumber4Level2">
    <w:name w:val="List Number 4 (Level 2)"/>
    <w:basedOn w:val="Text4"/>
    <w:pPr>
      <w:numPr>
        <w:ilvl w:val="1"/>
        <w:numId w:val="15"/>
      </w:numPr>
    </w:pPr>
    <w:rPr>
      <w:rFonts w:eastAsia="Times New Roman"/>
      <w:lang w:eastAsia="en-GB"/>
    </w:rPr>
  </w:style>
  <w:style w:type="paragraph" w:customStyle="1" w:styleId="ListNumber1Level3">
    <w:name w:val="List Number 1 (Level 3)"/>
    <w:basedOn w:val="Text1"/>
    <w:pPr>
      <w:numPr>
        <w:ilvl w:val="2"/>
        <w:numId w:val="12"/>
      </w:numPr>
    </w:pPr>
    <w:rPr>
      <w:rFonts w:eastAsia="Times New Roman"/>
      <w:lang w:eastAsia="en-GB"/>
    </w:rPr>
  </w:style>
  <w:style w:type="paragraph" w:customStyle="1" w:styleId="ListNumber2Level3">
    <w:name w:val="List Number 2 (Level 3)"/>
    <w:basedOn w:val="Text2"/>
    <w:pPr>
      <w:numPr>
        <w:ilvl w:val="2"/>
        <w:numId w:val="13"/>
      </w:numPr>
    </w:pPr>
    <w:rPr>
      <w:rFonts w:eastAsia="Times New Roman"/>
      <w:lang w:eastAsia="en-GB"/>
    </w:rPr>
  </w:style>
  <w:style w:type="paragraph" w:customStyle="1" w:styleId="ListNumber3Level3">
    <w:name w:val="List Number 3 (Level 3)"/>
    <w:basedOn w:val="Text3"/>
    <w:pPr>
      <w:numPr>
        <w:ilvl w:val="2"/>
        <w:numId w:val="14"/>
      </w:numPr>
    </w:pPr>
    <w:rPr>
      <w:rFonts w:eastAsia="Times New Roman"/>
      <w:lang w:eastAsia="en-GB"/>
    </w:rPr>
  </w:style>
  <w:style w:type="paragraph" w:customStyle="1" w:styleId="ListNumber4Level3">
    <w:name w:val="List Number 4 (Level 3)"/>
    <w:basedOn w:val="Text4"/>
    <w:pPr>
      <w:numPr>
        <w:ilvl w:val="2"/>
        <w:numId w:val="15"/>
      </w:numPr>
    </w:pPr>
    <w:rPr>
      <w:rFonts w:eastAsia="Times New Roman"/>
      <w:lang w:eastAsia="en-GB"/>
    </w:rPr>
  </w:style>
  <w:style w:type="paragraph" w:customStyle="1" w:styleId="ListNumber1Level4">
    <w:name w:val="List Number 1 (Level 4)"/>
    <w:basedOn w:val="Text1"/>
    <w:pPr>
      <w:numPr>
        <w:ilvl w:val="3"/>
        <w:numId w:val="12"/>
      </w:numPr>
    </w:pPr>
    <w:rPr>
      <w:rFonts w:eastAsia="Times New Roman"/>
      <w:lang w:eastAsia="en-GB"/>
    </w:rPr>
  </w:style>
  <w:style w:type="paragraph" w:customStyle="1" w:styleId="ListNumber2Level4">
    <w:name w:val="List Number 2 (Level 4)"/>
    <w:basedOn w:val="Text2"/>
    <w:pPr>
      <w:numPr>
        <w:ilvl w:val="3"/>
        <w:numId w:val="13"/>
      </w:numPr>
    </w:pPr>
    <w:rPr>
      <w:rFonts w:eastAsia="Times New Roman"/>
      <w:lang w:eastAsia="en-GB"/>
    </w:rPr>
  </w:style>
  <w:style w:type="paragraph" w:customStyle="1" w:styleId="ListNumber3Level4">
    <w:name w:val="List Number 3 (Level 4)"/>
    <w:basedOn w:val="Text3"/>
    <w:pPr>
      <w:numPr>
        <w:ilvl w:val="3"/>
        <w:numId w:val="14"/>
      </w:numPr>
    </w:pPr>
    <w:rPr>
      <w:rFonts w:eastAsia="Times New Roman"/>
      <w:lang w:eastAsia="en-GB"/>
    </w:rPr>
  </w:style>
  <w:style w:type="paragraph" w:customStyle="1" w:styleId="ListNumber4Level4">
    <w:name w:val="List Number 4 (Level 4)"/>
    <w:basedOn w:val="Text4"/>
    <w:pPr>
      <w:numPr>
        <w:ilvl w:val="3"/>
        <w:numId w:val="15"/>
      </w:numPr>
    </w:pPr>
    <w:rPr>
      <w:rFonts w:eastAsia="Times New Roman"/>
      <w:lang w:eastAsia="en-GB"/>
    </w:rPr>
  </w:style>
  <w:style w:type="paragraph" w:customStyle="1" w:styleId="Annexetitreacte">
    <w:name w:val="Annexe titre (acte)"/>
    <w:basedOn w:val="Normal"/>
    <w:next w:val="Normal"/>
    <w:pPr>
      <w:jc w:val="center"/>
    </w:pPr>
    <w:rPr>
      <w:rFonts w:eastAsia="Times New Roman"/>
      <w:b/>
      <w:u w:val="single"/>
      <w:lang w:eastAsia="en-GB"/>
    </w:rPr>
  </w:style>
  <w:style w:type="paragraph" w:customStyle="1" w:styleId="Annexetitreexposglobal">
    <w:name w:val="Annexe titre (exposé global)"/>
    <w:basedOn w:val="Normal"/>
    <w:next w:val="Normal"/>
    <w:pPr>
      <w:jc w:val="center"/>
    </w:pPr>
    <w:rPr>
      <w:rFonts w:eastAsia="Times New Roman"/>
      <w:b/>
      <w:u w:val="single"/>
      <w:lang w:eastAsia="en-GB"/>
    </w:rPr>
  </w:style>
  <w:style w:type="paragraph" w:customStyle="1" w:styleId="Annexetitrefichefinacte">
    <w:name w:val="Annexe titre (fiche fin. acte)"/>
    <w:basedOn w:val="Normal"/>
    <w:next w:val="Normal"/>
    <w:pPr>
      <w:jc w:val="center"/>
    </w:pPr>
    <w:rPr>
      <w:rFonts w:eastAsia="Times New Roman"/>
      <w:b/>
      <w:u w:val="single"/>
      <w:lang w:eastAsia="en-GB"/>
    </w:rPr>
  </w:style>
  <w:style w:type="paragraph" w:customStyle="1" w:styleId="Annexetitrefichefinglobale">
    <w:name w:val="Annexe titre (fiche fin. globale)"/>
    <w:basedOn w:val="Normal"/>
    <w:next w:val="Normal"/>
    <w:pPr>
      <w:jc w:val="center"/>
    </w:pPr>
    <w:rPr>
      <w:rFonts w:eastAsia="Times New Roman"/>
      <w:b/>
      <w:u w:val="single"/>
      <w:lang w:eastAsia="en-GB"/>
    </w:rPr>
  </w:style>
  <w:style w:type="paragraph" w:customStyle="1" w:styleId="Annexetitreglobale">
    <w:name w:val="Annexe titre (globale)"/>
    <w:basedOn w:val="Normal"/>
    <w:next w:val="Normal"/>
    <w:pPr>
      <w:jc w:val="center"/>
    </w:pPr>
    <w:rPr>
      <w:rFonts w:eastAsia="Times New Roman"/>
      <w:b/>
      <w:u w:val="single"/>
      <w:lang w:eastAsia="en-GB"/>
    </w:rPr>
  </w:style>
  <w:style w:type="paragraph" w:customStyle="1" w:styleId="Exposdesmotifstitreglobal">
    <w:name w:val="Exposé des motifs titre (global)"/>
    <w:basedOn w:val="Normal"/>
    <w:next w:val="Normal"/>
    <w:pPr>
      <w:jc w:val="center"/>
    </w:pPr>
    <w:rPr>
      <w:rFonts w:eastAsia="Times New Roman"/>
      <w:b/>
      <w:u w:val="single"/>
      <w:lang w:eastAsia="en-GB"/>
    </w:rPr>
  </w:style>
  <w:style w:type="paragraph" w:customStyle="1" w:styleId="Langueoriginale">
    <w:name w:val="Langue originale"/>
    <w:basedOn w:val="Normal"/>
    <w:pPr>
      <w:spacing w:before="360"/>
      <w:jc w:val="center"/>
    </w:pPr>
    <w:rPr>
      <w:rFonts w:eastAsia="Times New Roman"/>
      <w:caps/>
      <w:lang w:eastAsia="en-GB"/>
    </w:rPr>
  </w:style>
  <w:style w:type="paragraph" w:customStyle="1" w:styleId="Phrasefinale">
    <w:name w:val="Phrase finale"/>
    <w:basedOn w:val="Normal"/>
    <w:next w:val="Normal"/>
    <w:pPr>
      <w:spacing w:before="360" w:after="0"/>
      <w:jc w:val="center"/>
    </w:pPr>
    <w:rPr>
      <w:rFonts w:eastAsia="Times New Roman"/>
      <w:lang w:eastAsia="en-GB"/>
    </w:rPr>
  </w:style>
  <w:style w:type="paragraph" w:customStyle="1" w:styleId="Prliminairetitre">
    <w:name w:val="Préliminaire titre"/>
    <w:basedOn w:val="Normal"/>
    <w:next w:val="Normal"/>
    <w:pPr>
      <w:spacing w:before="360" w:after="360"/>
      <w:jc w:val="center"/>
    </w:pPr>
    <w:rPr>
      <w:rFonts w:eastAsia="Times New Roman"/>
      <w:b/>
      <w:lang w:eastAsia="en-GB"/>
    </w:rPr>
  </w:style>
  <w:style w:type="paragraph" w:customStyle="1" w:styleId="Prliminairetype">
    <w:name w:val="Préliminaire type"/>
    <w:basedOn w:val="Normal"/>
    <w:next w:val="Normal"/>
    <w:pPr>
      <w:spacing w:before="360" w:after="0"/>
      <w:jc w:val="center"/>
    </w:pPr>
    <w:rPr>
      <w:rFonts w:eastAsia="Times New Roman"/>
      <w:b/>
      <w:lang w:eastAsia="en-GB"/>
    </w:rPr>
  </w:style>
  <w:style w:type="paragraph" w:customStyle="1" w:styleId="Rfrenceinstitutionelle">
    <w:name w:val="Référence institutionelle"/>
    <w:basedOn w:val="Normal"/>
    <w:next w:val="Statut"/>
    <w:pPr>
      <w:spacing w:before="0" w:after="240"/>
      <w:ind w:left="5103"/>
      <w:jc w:val="left"/>
    </w:pPr>
    <w:rPr>
      <w:rFonts w:eastAsia="Times New Roman"/>
      <w:lang w:eastAsia="en-GB"/>
    </w:rPr>
  </w:style>
  <w:style w:type="paragraph" w:customStyle="1" w:styleId="Rfrenceinterinstitutionelle">
    <w:name w:val="Référence interinstitutionelle"/>
    <w:basedOn w:val="Normal"/>
    <w:next w:val="Statut"/>
    <w:pPr>
      <w:spacing w:before="0" w:after="0"/>
      <w:ind w:left="5103"/>
      <w:jc w:val="left"/>
    </w:pPr>
    <w:rPr>
      <w:rFonts w:eastAsia="Times New Roman"/>
      <w:lang w:eastAsia="en-GB"/>
    </w:rPr>
  </w:style>
  <w:style w:type="paragraph" w:customStyle="1" w:styleId="Rfrenceinterinstitutionelleprliminaire">
    <w:name w:val="Référence interinstitutionelle (préliminaire)"/>
    <w:basedOn w:val="Normal"/>
    <w:next w:val="Normal"/>
    <w:pPr>
      <w:spacing w:before="0" w:after="0"/>
      <w:ind w:left="5103"/>
      <w:jc w:val="left"/>
    </w:pPr>
    <w:rPr>
      <w:rFonts w:eastAsia="Times New Roman"/>
      <w:lang w:eastAsia="en-GB"/>
    </w:rPr>
  </w:style>
  <w:style w:type="paragraph" w:customStyle="1" w:styleId="Sous-titreobjetprliminaire">
    <w:name w:val="Sous-titre objet (préliminaire)"/>
    <w:basedOn w:val="Normal"/>
    <w:pPr>
      <w:spacing w:before="0" w:after="0"/>
      <w:jc w:val="center"/>
    </w:pPr>
    <w:rPr>
      <w:rFonts w:eastAsia="Times New Roman"/>
      <w:b/>
      <w:lang w:eastAsia="en-GB"/>
    </w:rPr>
  </w:style>
  <w:style w:type="paragraph" w:customStyle="1" w:styleId="Statutprliminaire">
    <w:name w:val="Statut (préliminaire)"/>
    <w:basedOn w:val="Normal"/>
    <w:next w:val="Normal"/>
    <w:pPr>
      <w:spacing w:before="360" w:after="0"/>
      <w:jc w:val="center"/>
    </w:pPr>
    <w:rPr>
      <w:rFonts w:eastAsia="Times New Roman"/>
      <w:lang w:eastAsia="en-GB"/>
    </w:rPr>
  </w:style>
  <w:style w:type="paragraph" w:customStyle="1" w:styleId="Titreobjetprliminaire">
    <w:name w:val="Titre objet (préliminaire)"/>
    <w:basedOn w:val="Normal"/>
    <w:next w:val="Normal"/>
    <w:pPr>
      <w:spacing w:before="360" w:after="360"/>
      <w:jc w:val="center"/>
    </w:pPr>
    <w:rPr>
      <w:rFonts w:eastAsia="Times New Roman"/>
      <w:b/>
      <w:lang w:eastAsia="en-GB"/>
    </w:rPr>
  </w:style>
  <w:style w:type="paragraph" w:customStyle="1" w:styleId="Typedudocumentprliminaire">
    <w:name w:val="Type du document (préliminaire)"/>
    <w:basedOn w:val="Normal"/>
    <w:next w:val="Normal"/>
    <w:pPr>
      <w:spacing w:before="360" w:after="0"/>
      <w:jc w:val="center"/>
    </w:pPr>
    <w:rPr>
      <w:rFonts w:eastAsia="Times New Roman"/>
      <w:b/>
      <w:lang w:eastAsia="en-GB"/>
    </w:rPr>
  </w:style>
  <w:style w:type="paragraph" w:customStyle="1" w:styleId="Fichefinancirestandardtitre">
    <w:name w:val="Fiche financière (standard) titre"/>
    <w:basedOn w:val="Normal"/>
    <w:next w:val="Normal"/>
    <w:pPr>
      <w:jc w:val="center"/>
    </w:pPr>
    <w:rPr>
      <w:rFonts w:eastAsia="Times New Roman"/>
      <w:b/>
      <w:u w:val="single"/>
      <w:lang w:eastAsia="en-GB"/>
    </w:rPr>
  </w:style>
  <w:style w:type="paragraph" w:customStyle="1" w:styleId="Fichefinancirestandardtitreacte">
    <w:name w:val="Fiche financière (standard) titre (acte)"/>
    <w:basedOn w:val="Normal"/>
    <w:next w:val="Normal"/>
    <w:pPr>
      <w:jc w:val="center"/>
    </w:pPr>
    <w:rPr>
      <w:rFonts w:eastAsia="Times New Roman"/>
      <w:b/>
      <w:u w:val="single"/>
      <w:lang w:eastAsia="en-GB"/>
    </w:rPr>
  </w:style>
  <w:style w:type="paragraph" w:customStyle="1" w:styleId="Fichefinanciretravailtitre">
    <w:name w:val="Fiche financière (travail) titre"/>
    <w:basedOn w:val="Normal"/>
    <w:next w:val="Normal"/>
    <w:pPr>
      <w:jc w:val="center"/>
    </w:pPr>
    <w:rPr>
      <w:rFonts w:eastAsia="Times New Roman"/>
      <w:b/>
      <w:u w:val="single"/>
      <w:lang w:eastAsia="en-GB"/>
    </w:rPr>
  </w:style>
  <w:style w:type="paragraph" w:customStyle="1" w:styleId="Fichefinanciretravailtitreacte">
    <w:name w:val="Fiche financière (travail) titre (acte)"/>
    <w:basedOn w:val="Normal"/>
    <w:next w:val="Normal"/>
    <w:pPr>
      <w:jc w:val="center"/>
    </w:pPr>
    <w:rPr>
      <w:rFonts w:eastAsia="Times New Roman"/>
      <w:b/>
      <w:u w:val="single"/>
      <w:lang w:eastAsia="en-GB"/>
    </w:rPr>
  </w:style>
  <w:style w:type="paragraph" w:customStyle="1" w:styleId="Fichefinancireattributiontitre">
    <w:name w:val="Fiche financière (attribution) titre"/>
    <w:basedOn w:val="Normal"/>
    <w:next w:val="Normal"/>
    <w:pPr>
      <w:jc w:val="center"/>
    </w:pPr>
    <w:rPr>
      <w:rFonts w:eastAsia="Times New Roman"/>
      <w:b/>
      <w:u w:val="single"/>
      <w:lang w:eastAsia="en-GB"/>
    </w:rPr>
  </w:style>
  <w:style w:type="paragraph" w:customStyle="1" w:styleId="Fichefinancireattributiontitreacte">
    <w:name w:val="Fiche financière (attribution) titre (acte)"/>
    <w:basedOn w:val="Normal"/>
    <w:next w:val="Normal"/>
    <w:pPr>
      <w:jc w:val="center"/>
    </w:pPr>
    <w:rPr>
      <w:rFonts w:eastAsia="Times New Roman"/>
      <w:b/>
      <w:u w:val="single"/>
      <w:lang w:eastAsia="en-GB"/>
    </w:rPr>
  </w:style>
  <w:style w:type="character" w:styleId="CommentReference">
    <w:name w:val="annotation reference"/>
    <w:rPr>
      <w:rFonts w:cs="Times New Roman"/>
      <w:sz w:val="16"/>
      <w:szCs w:val="16"/>
    </w:rPr>
  </w:style>
  <w:style w:type="paragraph" w:styleId="CommentText">
    <w:name w:val="annotation text"/>
    <w:basedOn w:val="Normal"/>
    <w:link w:val="CommentTextChar"/>
    <w:rPr>
      <w:rFonts w:eastAsia="Times New Roman"/>
      <w:sz w:val="20"/>
      <w:szCs w:val="20"/>
      <w:lang w:eastAsia="en-GB"/>
    </w:rPr>
  </w:style>
  <w:style w:type="character" w:customStyle="1" w:styleId="CommentTextChar">
    <w:name w:val="Comment Text Char"/>
    <w:basedOn w:val="DefaultParagraphFont"/>
    <w:link w:val="CommentText"/>
    <w:rPr>
      <w:rFonts w:ascii="Times New Roman" w:eastAsia="Times New Roman" w:hAnsi="Times New Roman" w:cs="Times New Roman"/>
      <w:sz w:val="20"/>
      <w:szCs w:val="20"/>
      <w:lang w:val="bg-BG" w:eastAsia="en-GB"/>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rFonts w:ascii="Times New Roman" w:eastAsia="Times New Roman" w:hAnsi="Times New Roman" w:cs="Times New Roman"/>
      <w:b/>
      <w:bCs/>
      <w:sz w:val="20"/>
      <w:szCs w:val="20"/>
      <w:lang w:val="bg-BG" w:eastAsia="en-GB"/>
    </w:rPr>
  </w:style>
  <w:style w:type="paragraph" w:styleId="BalloonText">
    <w:name w:val="Balloon Text"/>
    <w:basedOn w:val="Normal"/>
    <w:link w:val="BalloonTextChar"/>
    <w:rPr>
      <w:rFonts w:ascii="Tahoma" w:eastAsia="Times New Roman" w:hAnsi="Tahoma" w:cs="Tahoma"/>
      <w:sz w:val="16"/>
      <w:szCs w:val="16"/>
      <w:lang w:eastAsia="en-GB"/>
    </w:rPr>
  </w:style>
  <w:style w:type="character" w:customStyle="1" w:styleId="BalloonTextChar">
    <w:name w:val="Balloon Text Char"/>
    <w:basedOn w:val="DefaultParagraphFont"/>
    <w:link w:val="BalloonText"/>
    <w:rPr>
      <w:rFonts w:ascii="Tahoma" w:eastAsia="Times New Roman" w:hAnsi="Tahoma" w:cs="Tahoma"/>
      <w:sz w:val="16"/>
      <w:szCs w:val="16"/>
      <w:lang w:val="bg-BG" w:eastAsia="en-GB"/>
    </w:rPr>
  </w:style>
  <w:style w:type="paragraph" w:styleId="Caption">
    <w:name w:val="caption"/>
    <w:basedOn w:val="Normal"/>
    <w:next w:val="Normal"/>
    <w:qFormat/>
    <w:rPr>
      <w:rFonts w:eastAsia="Times New Roman"/>
      <w:b/>
      <w:bCs/>
      <w:sz w:val="20"/>
      <w:szCs w:val="20"/>
      <w:lang w:eastAsia="en-GB"/>
    </w:rPr>
  </w:style>
  <w:style w:type="paragraph" w:styleId="TableofFigures">
    <w:name w:val="table of figures"/>
    <w:basedOn w:val="Normal"/>
    <w:next w:val="Normal"/>
    <w:rPr>
      <w:rFonts w:eastAsia="Times New Roman"/>
      <w:lang w:eastAsia="en-GB"/>
    </w:rPr>
  </w:style>
  <w:style w:type="character" w:styleId="PageNumber">
    <w:name w:val="page number"/>
  </w:style>
  <w:style w:type="character" w:customStyle="1" w:styleId="tw4winMark">
    <w:name w:val="tw4winMark"/>
    <w:rPr>
      <w:vanish/>
      <w:color w:val="800080"/>
      <w:vertAlign w:val="subscript"/>
    </w:rPr>
  </w:style>
  <w:style w:type="character" w:styleId="FollowedHyperlink">
    <w:name w:val="FollowedHyperlink"/>
    <w:rPr>
      <w:color w:val="800080"/>
      <w:u w:val="single"/>
    </w:rPr>
  </w:style>
  <w:style w:type="paragraph" w:customStyle="1" w:styleId="Sous-titreobjet">
    <w:name w:val="Sous-titre objet"/>
    <w:basedOn w:val="Normal"/>
    <w:pPr>
      <w:spacing w:before="0" w:after="0"/>
      <w:jc w:val="center"/>
    </w:pPr>
    <w:rPr>
      <w:rFonts w:eastAsia="Times New Roman"/>
      <w:b/>
      <w:lang w:eastAsia="en-GB"/>
    </w:rPr>
  </w:style>
  <w:style w:type="paragraph" w:customStyle="1" w:styleId="Sous-titreobjetPagedecouverture">
    <w:name w:val="Sous-titre objet (Page de couverture)"/>
    <w:basedOn w:val="Sous-titreobjet"/>
  </w:style>
  <w:style w:type="character" w:customStyle="1" w:styleId="TOCHeadingChar">
    <w:name w:val="TOC Heading Char"/>
    <w:uiPriority w:val="39"/>
    <w:rPr>
      <w:rFonts w:ascii="Times New Roman" w:hAnsi="Times New Roman" w:cs="Times New Roman"/>
      <w:b/>
      <w:sz w:val="28"/>
      <w:lang w:val="bg-BG"/>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rPr>
      <w:rFonts w:eastAsia="Calibri"/>
    </w:rPr>
  </w:style>
  <w:style w:type="character" w:customStyle="1" w:styleId="FooterCoverPageChar">
    <w:name w:val="Footer Cover Page Char"/>
    <w:link w:val="FooterCoverPage"/>
    <w:rPr>
      <w:rFonts w:ascii="Times New Roman" w:eastAsia="Calibri" w:hAnsi="Times New Roman" w:cs="Times New Roman"/>
      <w:sz w:val="24"/>
      <w:lang w:val="bg-BG"/>
    </w:rPr>
  </w:style>
  <w:style w:type="paragraph" w:customStyle="1" w:styleId="HeaderCoverPage">
    <w:name w:val="Header Cover Page"/>
    <w:basedOn w:val="Normal"/>
    <w:link w:val="HeaderCoverPageChar"/>
    <w:pPr>
      <w:tabs>
        <w:tab w:val="center" w:pos="4535"/>
        <w:tab w:val="right" w:pos="9071"/>
      </w:tabs>
      <w:spacing w:before="0"/>
    </w:pPr>
    <w:rPr>
      <w:rFonts w:eastAsia="Calibri"/>
      <w:lang w:eastAsia="en-GB"/>
    </w:rPr>
  </w:style>
  <w:style w:type="character" w:customStyle="1" w:styleId="HeaderCoverPageChar">
    <w:name w:val="Header Cover Page Char"/>
    <w:link w:val="HeaderCoverPage"/>
    <w:rPr>
      <w:rFonts w:ascii="Times New Roman" w:eastAsia="Calibri" w:hAnsi="Times New Roman" w:cs="Times New Roman"/>
      <w:sz w:val="24"/>
      <w:lang w:val="bg-BG" w:eastAsia="en-GB"/>
    </w:rPr>
  </w:style>
  <w:style w:type="paragraph" w:customStyle="1" w:styleId="Normal1">
    <w:name w:val="Normal1"/>
    <w:basedOn w:val="Normal"/>
    <w:pPr>
      <w:spacing w:after="0"/>
    </w:pPr>
    <w:rPr>
      <w:szCs w:val="24"/>
      <w:lang w:eastAsia="en-GB" w:bidi="en-GB"/>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1"/>
      </w:numPr>
    </w:pPr>
  </w:style>
  <w:style w:type="paragraph" w:customStyle="1" w:styleId="Tiret1">
    <w:name w:val="Tiret 1"/>
    <w:basedOn w:val="Point1"/>
    <w:pPr>
      <w:numPr>
        <w:numId w:val="32"/>
      </w:numPr>
    </w:pPr>
  </w:style>
  <w:style w:type="paragraph" w:customStyle="1" w:styleId="Tiret2">
    <w:name w:val="Tiret 2"/>
    <w:basedOn w:val="Point2"/>
    <w:pPr>
      <w:numPr>
        <w:numId w:val="33"/>
      </w:numPr>
    </w:pPr>
  </w:style>
  <w:style w:type="paragraph" w:customStyle="1" w:styleId="Tiret3">
    <w:name w:val="Tiret 3"/>
    <w:basedOn w:val="Point3"/>
    <w:pPr>
      <w:numPr>
        <w:numId w:val="34"/>
      </w:numPr>
    </w:pPr>
  </w:style>
  <w:style w:type="paragraph" w:customStyle="1" w:styleId="Tiret4">
    <w:name w:val="Tiret 4"/>
    <w:basedOn w:val="Point4"/>
    <w:pPr>
      <w:numPr>
        <w:numId w:val="3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6"/>
      </w:numPr>
    </w:pPr>
  </w:style>
  <w:style w:type="paragraph" w:customStyle="1" w:styleId="NumPar2">
    <w:name w:val="NumPar 2"/>
    <w:basedOn w:val="Normal"/>
    <w:next w:val="Text1"/>
    <w:pPr>
      <w:numPr>
        <w:ilvl w:val="1"/>
        <w:numId w:val="36"/>
      </w:numPr>
    </w:pPr>
  </w:style>
  <w:style w:type="paragraph" w:customStyle="1" w:styleId="NumPar3">
    <w:name w:val="NumPar 3"/>
    <w:basedOn w:val="Normal"/>
    <w:next w:val="Text1"/>
    <w:pPr>
      <w:numPr>
        <w:ilvl w:val="2"/>
        <w:numId w:val="36"/>
      </w:numPr>
    </w:pPr>
  </w:style>
  <w:style w:type="paragraph" w:customStyle="1" w:styleId="NumPar4">
    <w:name w:val="NumPar 4"/>
    <w:basedOn w:val="Normal"/>
    <w:next w:val="Text1"/>
    <w:pPr>
      <w:numPr>
        <w:ilvl w:val="3"/>
        <w:numId w:val="3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8"/>
      </w:numPr>
    </w:pPr>
  </w:style>
  <w:style w:type="paragraph" w:customStyle="1" w:styleId="Point1number">
    <w:name w:val="Point 1 (number)"/>
    <w:basedOn w:val="Normal"/>
    <w:pPr>
      <w:numPr>
        <w:ilvl w:val="2"/>
        <w:numId w:val="38"/>
      </w:numPr>
    </w:pPr>
  </w:style>
  <w:style w:type="paragraph" w:customStyle="1" w:styleId="Point2number">
    <w:name w:val="Point 2 (number)"/>
    <w:basedOn w:val="Normal"/>
    <w:pPr>
      <w:numPr>
        <w:ilvl w:val="4"/>
        <w:numId w:val="38"/>
      </w:numPr>
    </w:pPr>
  </w:style>
  <w:style w:type="paragraph" w:customStyle="1" w:styleId="Point3number">
    <w:name w:val="Point 3 (number)"/>
    <w:basedOn w:val="Normal"/>
    <w:pPr>
      <w:numPr>
        <w:ilvl w:val="6"/>
        <w:numId w:val="38"/>
      </w:numPr>
    </w:pPr>
  </w:style>
  <w:style w:type="paragraph" w:customStyle="1" w:styleId="Point0letter">
    <w:name w:val="Point 0 (letter)"/>
    <w:basedOn w:val="Normal"/>
    <w:pPr>
      <w:numPr>
        <w:ilvl w:val="1"/>
        <w:numId w:val="38"/>
      </w:numPr>
    </w:pPr>
  </w:style>
  <w:style w:type="paragraph" w:customStyle="1" w:styleId="Point1letter">
    <w:name w:val="Point 1 (letter)"/>
    <w:basedOn w:val="Normal"/>
    <w:pPr>
      <w:numPr>
        <w:ilvl w:val="3"/>
        <w:numId w:val="38"/>
      </w:numPr>
    </w:pPr>
  </w:style>
  <w:style w:type="paragraph" w:customStyle="1" w:styleId="Point2letter">
    <w:name w:val="Point 2 (letter)"/>
    <w:basedOn w:val="Normal"/>
    <w:pPr>
      <w:numPr>
        <w:ilvl w:val="5"/>
        <w:numId w:val="38"/>
      </w:numPr>
    </w:pPr>
  </w:style>
  <w:style w:type="paragraph" w:customStyle="1" w:styleId="Point3letter">
    <w:name w:val="Point 3 (letter)"/>
    <w:basedOn w:val="Normal"/>
    <w:pPr>
      <w:numPr>
        <w:ilvl w:val="7"/>
        <w:numId w:val="38"/>
      </w:numPr>
    </w:pPr>
  </w:style>
  <w:style w:type="paragraph" w:customStyle="1" w:styleId="Point4letter">
    <w:name w:val="Point 4 (letter)"/>
    <w:basedOn w:val="Normal"/>
    <w:pPr>
      <w:numPr>
        <w:ilvl w:val="8"/>
        <w:numId w:val="38"/>
      </w:numPr>
    </w:pPr>
  </w:style>
  <w:style w:type="paragraph" w:customStyle="1" w:styleId="Bullet0">
    <w:name w:val="Bullet 0"/>
    <w:basedOn w:val="Normal"/>
    <w:pPr>
      <w:numPr>
        <w:numId w:val="39"/>
      </w:numPr>
    </w:pPr>
  </w:style>
  <w:style w:type="paragraph" w:customStyle="1" w:styleId="Bullet1">
    <w:name w:val="Bullet 1"/>
    <w:basedOn w:val="Normal"/>
    <w:pPr>
      <w:numPr>
        <w:numId w:val="40"/>
      </w:numPr>
    </w:pPr>
  </w:style>
  <w:style w:type="paragraph" w:customStyle="1" w:styleId="Bullet2">
    <w:name w:val="Bullet 2"/>
    <w:basedOn w:val="Normal"/>
    <w:pPr>
      <w:numPr>
        <w:numId w:val="41"/>
      </w:numPr>
    </w:pPr>
  </w:style>
  <w:style w:type="paragraph" w:customStyle="1" w:styleId="Bullet3">
    <w:name w:val="Bullet 3"/>
    <w:basedOn w:val="Normal"/>
    <w:pPr>
      <w:numPr>
        <w:numId w:val="42"/>
      </w:numPr>
    </w:pPr>
  </w:style>
  <w:style w:type="paragraph" w:customStyle="1" w:styleId="Bullet4">
    <w:name w:val="Bullet 4"/>
    <w:basedOn w:val="Normal"/>
    <w:pPr>
      <w:numPr>
        <w:numId w:val="43"/>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table of figures" w:uiPriority="0"/>
    <w:lsdException w:name="annotation reference" w:uiPriority="0"/>
    <w:lsdException w:name="page number"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3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2">
    <w:name w:val="List Bullet 2"/>
    <w:basedOn w:val="Normal"/>
    <w:pPr>
      <w:numPr>
        <w:numId w:val="1"/>
      </w:numPr>
    </w:pPr>
    <w:rPr>
      <w:rFonts w:eastAsia="Times New Roman"/>
      <w:lang w:eastAsia="en-GB"/>
    </w:rPr>
  </w:style>
  <w:style w:type="character" w:styleId="Hyperlink">
    <w:name w:val="Hyperlink"/>
    <w:basedOn w:val="DefaultParagraphFont"/>
    <w:uiPriority w:val="99"/>
    <w:unhideWhenUsed/>
    <w:rPr>
      <w:color w:val="0000FF" w:themeColor="hyperlink"/>
      <w:u w:val="single"/>
    </w:rPr>
  </w:style>
  <w:style w:type="paragraph" w:styleId="ListNumber">
    <w:name w:val="List Number"/>
    <w:basedOn w:val="Normal"/>
    <w:pPr>
      <w:numPr>
        <w:numId w:val="2"/>
      </w:numPr>
    </w:pPr>
    <w:rPr>
      <w:rFonts w:eastAsia="Times New Roman"/>
      <w:lang w:eastAsia="fr-FR" w:bidi="fr-FR"/>
    </w:rPr>
  </w:style>
  <w:style w:type="paragraph" w:customStyle="1" w:styleId="ListNumberLevel2">
    <w:name w:val="List Number (Level 2)"/>
    <w:basedOn w:val="Normal"/>
    <w:pPr>
      <w:numPr>
        <w:ilvl w:val="1"/>
        <w:numId w:val="2"/>
      </w:numPr>
    </w:pPr>
    <w:rPr>
      <w:rFonts w:eastAsia="Times New Roman"/>
      <w:lang w:eastAsia="fr-FR" w:bidi="fr-FR"/>
    </w:rPr>
  </w:style>
  <w:style w:type="paragraph" w:customStyle="1" w:styleId="ListNumberLevel3">
    <w:name w:val="List Number (Level 3)"/>
    <w:basedOn w:val="Normal"/>
    <w:pPr>
      <w:numPr>
        <w:ilvl w:val="2"/>
        <w:numId w:val="2"/>
      </w:numPr>
    </w:pPr>
    <w:rPr>
      <w:rFonts w:eastAsia="Times New Roman"/>
      <w:lang w:eastAsia="fr-FR" w:bidi="fr-FR"/>
    </w:rPr>
  </w:style>
  <w:style w:type="paragraph" w:customStyle="1" w:styleId="ListNumberLevel4">
    <w:name w:val="List Number (Level 4)"/>
    <w:basedOn w:val="Normal"/>
    <w:pPr>
      <w:numPr>
        <w:ilvl w:val="3"/>
        <w:numId w:val="2"/>
      </w:numPr>
    </w:pPr>
    <w:rPr>
      <w:rFonts w:eastAsia="Times New Roman"/>
      <w:lang w:eastAsia="fr-FR" w:bidi="fr-FR"/>
    </w:rPr>
  </w:style>
  <w:style w:type="paragraph" w:styleId="ListBullet4">
    <w:name w:val="List Bullet 4"/>
    <w:basedOn w:val="Normal"/>
    <w:pPr>
      <w:numPr>
        <w:numId w:val="4"/>
      </w:numPr>
    </w:pPr>
    <w:rPr>
      <w:rFonts w:eastAsia="Times New Roman"/>
      <w:lang w:eastAsia="de-DE"/>
    </w:rPr>
  </w:style>
  <w:style w:type="paragraph" w:customStyle="1" w:styleId="ListBullet1">
    <w:name w:val="List Bullet 1"/>
    <w:basedOn w:val="Normal"/>
    <w:pPr>
      <w:numPr>
        <w:numId w:val="3"/>
      </w:numPr>
    </w:pPr>
    <w:rPr>
      <w:rFonts w:eastAsia="Times New Roman"/>
      <w:lang w:eastAsia="de-DE"/>
    </w:rPr>
  </w:style>
  <w:style w:type="paragraph" w:customStyle="1" w:styleId="ListDash">
    <w:name w:val="List Dash"/>
    <w:basedOn w:val="Normal"/>
    <w:pPr>
      <w:numPr>
        <w:numId w:val="5"/>
      </w:numPr>
    </w:pPr>
    <w:rPr>
      <w:rFonts w:eastAsia="Times New Roman"/>
      <w:lang w:eastAsia="de-DE"/>
    </w:rPr>
  </w:style>
  <w:style w:type="paragraph" w:customStyle="1" w:styleId="ListDash1">
    <w:name w:val="List Dash 1"/>
    <w:basedOn w:val="Normal"/>
    <w:pPr>
      <w:numPr>
        <w:numId w:val="6"/>
      </w:numPr>
    </w:pPr>
    <w:rPr>
      <w:rFonts w:eastAsia="Times New Roman"/>
      <w:lang w:eastAsia="de-DE"/>
    </w:rPr>
  </w:style>
  <w:style w:type="paragraph" w:customStyle="1" w:styleId="ListDash2">
    <w:name w:val="List Dash 2"/>
    <w:basedOn w:val="Normal"/>
    <w:pPr>
      <w:numPr>
        <w:numId w:val="7"/>
      </w:numPr>
    </w:pPr>
    <w:rPr>
      <w:rFonts w:eastAsia="Times New Roman"/>
      <w:lang w:eastAsia="de-DE"/>
    </w:rPr>
  </w:style>
  <w:style w:type="table" w:styleId="TableGrid">
    <w:name w:val="Table Grid"/>
    <w:basedOn w:val="TableNormal"/>
    <w:pPr>
      <w:spacing w:before="120" w:after="120" w:line="240" w:lineRule="auto"/>
      <w:jc w:val="both"/>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pPr>
      <w:numPr>
        <w:numId w:val="8"/>
      </w:numPr>
    </w:pPr>
    <w:rPr>
      <w:rFonts w:eastAsia="Times New Roman"/>
      <w:lang w:eastAsia="en-GB"/>
    </w:rPr>
  </w:style>
  <w:style w:type="paragraph" w:styleId="ListBullet3">
    <w:name w:val="List Bullet 3"/>
    <w:basedOn w:val="Normal"/>
    <w:pPr>
      <w:numPr>
        <w:numId w:val="9"/>
      </w:numPr>
    </w:pPr>
    <w:rPr>
      <w:rFonts w:eastAsia="Times New Roman"/>
      <w:lang w:eastAsia="en-GB"/>
    </w:rPr>
  </w:style>
  <w:style w:type="paragraph" w:styleId="ListNumber2">
    <w:name w:val="List Number 2"/>
    <w:basedOn w:val="Normal"/>
    <w:pPr>
      <w:numPr>
        <w:numId w:val="13"/>
      </w:numPr>
    </w:pPr>
    <w:rPr>
      <w:rFonts w:eastAsia="Times New Roman"/>
      <w:lang w:eastAsia="en-GB"/>
    </w:rPr>
  </w:style>
  <w:style w:type="paragraph" w:styleId="ListNumber3">
    <w:name w:val="List Number 3"/>
    <w:basedOn w:val="Normal"/>
    <w:pPr>
      <w:numPr>
        <w:numId w:val="14"/>
      </w:numPr>
    </w:pPr>
    <w:rPr>
      <w:rFonts w:eastAsia="Times New Roman"/>
      <w:lang w:eastAsia="en-GB"/>
    </w:rPr>
  </w:style>
  <w:style w:type="paragraph" w:styleId="ListNumber4">
    <w:name w:val="List Number 4"/>
    <w:basedOn w:val="Normal"/>
    <w:pPr>
      <w:numPr>
        <w:numId w:val="15"/>
      </w:numPr>
    </w:pPr>
    <w:rPr>
      <w:rFonts w:eastAsia="Times New Roman"/>
      <w:lang w:eastAsia="en-GB"/>
    </w:rPr>
  </w:style>
  <w:style w:type="paragraph" w:customStyle="1" w:styleId="ListDash3">
    <w:name w:val="List Dash 3"/>
    <w:basedOn w:val="Normal"/>
    <w:pPr>
      <w:numPr>
        <w:numId w:val="10"/>
      </w:numPr>
    </w:pPr>
    <w:rPr>
      <w:rFonts w:eastAsia="Times New Roman"/>
      <w:lang w:eastAsia="en-GB"/>
    </w:rPr>
  </w:style>
  <w:style w:type="paragraph" w:customStyle="1" w:styleId="ListDash4">
    <w:name w:val="List Dash 4"/>
    <w:basedOn w:val="Normal"/>
    <w:pPr>
      <w:numPr>
        <w:numId w:val="11"/>
      </w:numPr>
    </w:pPr>
    <w:rPr>
      <w:rFonts w:eastAsia="Times New Roman"/>
      <w:lang w:eastAsia="en-GB"/>
    </w:rPr>
  </w:style>
  <w:style w:type="paragraph" w:customStyle="1" w:styleId="ListNumber1">
    <w:name w:val="List Number 1"/>
    <w:basedOn w:val="Text1"/>
    <w:pPr>
      <w:numPr>
        <w:numId w:val="12"/>
      </w:numPr>
    </w:pPr>
    <w:rPr>
      <w:rFonts w:eastAsia="Times New Roman"/>
      <w:lang w:eastAsia="en-GB"/>
    </w:rPr>
  </w:style>
  <w:style w:type="paragraph" w:customStyle="1" w:styleId="ListNumber1Level2">
    <w:name w:val="List Number 1 (Level 2)"/>
    <w:basedOn w:val="Text1"/>
    <w:pPr>
      <w:numPr>
        <w:ilvl w:val="1"/>
        <w:numId w:val="12"/>
      </w:numPr>
    </w:pPr>
    <w:rPr>
      <w:rFonts w:eastAsia="Times New Roman"/>
      <w:lang w:eastAsia="en-GB"/>
    </w:rPr>
  </w:style>
  <w:style w:type="paragraph" w:customStyle="1" w:styleId="ListNumber2Level2">
    <w:name w:val="List Number 2 (Level 2)"/>
    <w:basedOn w:val="Text2"/>
    <w:pPr>
      <w:numPr>
        <w:ilvl w:val="1"/>
        <w:numId w:val="13"/>
      </w:numPr>
    </w:pPr>
    <w:rPr>
      <w:rFonts w:eastAsia="Times New Roman"/>
      <w:lang w:eastAsia="en-GB"/>
    </w:rPr>
  </w:style>
  <w:style w:type="paragraph" w:customStyle="1" w:styleId="ListNumber3Level2">
    <w:name w:val="List Number 3 (Level 2)"/>
    <w:basedOn w:val="Text3"/>
    <w:pPr>
      <w:numPr>
        <w:ilvl w:val="1"/>
        <w:numId w:val="14"/>
      </w:numPr>
    </w:pPr>
    <w:rPr>
      <w:rFonts w:eastAsia="Times New Roman"/>
      <w:lang w:eastAsia="en-GB"/>
    </w:rPr>
  </w:style>
  <w:style w:type="paragraph" w:customStyle="1" w:styleId="ListNumber4Level2">
    <w:name w:val="List Number 4 (Level 2)"/>
    <w:basedOn w:val="Text4"/>
    <w:pPr>
      <w:numPr>
        <w:ilvl w:val="1"/>
        <w:numId w:val="15"/>
      </w:numPr>
    </w:pPr>
    <w:rPr>
      <w:rFonts w:eastAsia="Times New Roman"/>
      <w:lang w:eastAsia="en-GB"/>
    </w:rPr>
  </w:style>
  <w:style w:type="paragraph" w:customStyle="1" w:styleId="ListNumber1Level3">
    <w:name w:val="List Number 1 (Level 3)"/>
    <w:basedOn w:val="Text1"/>
    <w:pPr>
      <w:numPr>
        <w:ilvl w:val="2"/>
        <w:numId w:val="12"/>
      </w:numPr>
    </w:pPr>
    <w:rPr>
      <w:rFonts w:eastAsia="Times New Roman"/>
      <w:lang w:eastAsia="en-GB"/>
    </w:rPr>
  </w:style>
  <w:style w:type="paragraph" w:customStyle="1" w:styleId="ListNumber2Level3">
    <w:name w:val="List Number 2 (Level 3)"/>
    <w:basedOn w:val="Text2"/>
    <w:pPr>
      <w:numPr>
        <w:ilvl w:val="2"/>
        <w:numId w:val="13"/>
      </w:numPr>
    </w:pPr>
    <w:rPr>
      <w:rFonts w:eastAsia="Times New Roman"/>
      <w:lang w:eastAsia="en-GB"/>
    </w:rPr>
  </w:style>
  <w:style w:type="paragraph" w:customStyle="1" w:styleId="ListNumber3Level3">
    <w:name w:val="List Number 3 (Level 3)"/>
    <w:basedOn w:val="Text3"/>
    <w:pPr>
      <w:numPr>
        <w:ilvl w:val="2"/>
        <w:numId w:val="14"/>
      </w:numPr>
    </w:pPr>
    <w:rPr>
      <w:rFonts w:eastAsia="Times New Roman"/>
      <w:lang w:eastAsia="en-GB"/>
    </w:rPr>
  </w:style>
  <w:style w:type="paragraph" w:customStyle="1" w:styleId="ListNumber4Level3">
    <w:name w:val="List Number 4 (Level 3)"/>
    <w:basedOn w:val="Text4"/>
    <w:pPr>
      <w:numPr>
        <w:ilvl w:val="2"/>
        <w:numId w:val="15"/>
      </w:numPr>
    </w:pPr>
    <w:rPr>
      <w:rFonts w:eastAsia="Times New Roman"/>
      <w:lang w:eastAsia="en-GB"/>
    </w:rPr>
  </w:style>
  <w:style w:type="paragraph" w:customStyle="1" w:styleId="ListNumber1Level4">
    <w:name w:val="List Number 1 (Level 4)"/>
    <w:basedOn w:val="Text1"/>
    <w:pPr>
      <w:numPr>
        <w:ilvl w:val="3"/>
        <w:numId w:val="12"/>
      </w:numPr>
    </w:pPr>
    <w:rPr>
      <w:rFonts w:eastAsia="Times New Roman"/>
      <w:lang w:eastAsia="en-GB"/>
    </w:rPr>
  </w:style>
  <w:style w:type="paragraph" w:customStyle="1" w:styleId="ListNumber2Level4">
    <w:name w:val="List Number 2 (Level 4)"/>
    <w:basedOn w:val="Text2"/>
    <w:pPr>
      <w:numPr>
        <w:ilvl w:val="3"/>
        <w:numId w:val="13"/>
      </w:numPr>
    </w:pPr>
    <w:rPr>
      <w:rFonts w:eastAsia="Times New Roman"/>
      <w:lang w:eastAsia="en-GB"/>
    </w:rPr>
  </w:style>
  <w:style w:type="paragraph" w:customStyle="1" w:styleId="ListNumber3Level4">
    <w:name w:val="List Number 3 (Level 4)"/>
    <w:basedOn w:val="Text3"/>
    <w:pPr>
      <w:numPr>
        <w:ilvl w:val="3"/>
        <w:numId w:val="14"/>
      </w:numPr>
    </w:pPr>
    <w:rPr>
      <w:rFonts w:eastAsia="Times New Roman"/>
      <w:lang w:eastAsia="en-GB"/>
    </w:rPr>
  </w:style>
  <w:style w:type="paragraph" w:customStyle="1" w:styleId="ListNumber4Level4">
    <w:name w:val="List Number 4 (Level 4)"/>
    <w:basedOn w:val="Text4"/>
    <w:pPr>
      <w:numPr>
        <w:ilvl w:val="3"/>
        <w:numId w:val="15"/>
      </w:numPr>
    </w:pPr>
    <w:rPr>
      <w:rFonts w:eastAsia="Times New Roman"/>
      <w:lang w:eastAsia="en-GB"/>
    </w:rPr>
  </w:style>
  <w:style w:type="paragraph" w:customStyle="1" w:styleId="Annexetitreacte">
    <w:name w:val="Annexe titre (acte)"/>
    <w:basedOn w:val="Normal"/>
    <w:next w:val="Normal"/>
    <w:pPr>
      <w:jc w:val="center"/>
    </w:pPr>
    <w:rPr>
      <w:rFonts w:eastAsia="Times New Roman"/>
      <w:b/>
      <w:u w:val="single"/>
      <w:lang w:eastAsia="en-GB"/>
    </w:rPr>
  </w:style>
  <w:style w:type="paragraph" w:customStyle="1" w:styleId="Annexetitreexposglobal">
    <w:name w:val="Annexe titre (exposé global)"/>
    <w:basedOn w:val="Normal"/>
    <w:next w:val="Normal"/>
    <w:pPr>
      <w:jc w:val="center"/>
    </w:pPr>
    <w:rPr>
      <w:rFonts w:eastAsia="Times New Roman"/>
      <w:b/>
      <w:u w:val="single"/>
      <w:lang w:eastAsia="en-GB"/>
    </w:rPr>
  </w:style>
  <w:style w:type="paragraph" w:customStyle="1" w:styleId="Annexetitrefichefinacte">
    <w:name w:val="Annexe titre (fiche fin. acte)"/>
    <w:basedOn w:val="Normal"/>
    <w:next w:val="Normal"/>
    <w:pPr>
      <w:jc w:val="center"/>
    </w:pPr>
    <w:rPr>
      <w:rFonts w:eastAsia="Times New Roman"/>
      <w:b/>
      <w:u w:val="single"/>
      <w:lang w:eastAsia="en-GB"/>
    </w:rPr>
  </w:style>
  <w:style w:type="paragraph" w:customStyle="1" w:styleId="Annexetitrefichefinglobale">
    <w:name w:val="Annexe titre (fiche fin. globale)"/>
    <w:basedOn w:val="Normal"/>
    <w:next w:val="Normal"/>
    <w:pPr>
      <w:jc w:val="center"/>
    </w:pPr>
    <w:rPr>
      <w:rFonts w:eastAsia="Times New Roman"/>
      <w:b/>
      <w:u w:val="single"/>
      <w:lang w:eastAsia="en-GB"/>
    </w:rPr>
  </w:style>
  <w:style w:type="paragraph" w:customStyle="1" w:styleId="Annexetitreglobale">
    <w:name w:val="Annexe titre (globale)"/>
    <w:basedOn w:val="Normal"/>
    <w:next w:val="Normal"/>
    <w:pPr>
      <w:jc w:val="center"/>
    </w:pPr>
    <w:rPr>
      <w:rFonts w:eastAsia="Times New Roman"/>
      <w:b/>
      <w:u w:val="single"/>
      <w:lang w:eastAsia="en-GB"/>
    </w:rPr>
  </w:style>
  <w:style w:type="paragraph" w:customStyle="1" w:styleId="Exposdesmotifstitreglobal">
    <w:name w:val="Exposé des motifs titre (global)"/>
    <w:basedOn w:val="Normal"/>
    <w:next w:val="Normal"/>
    <w:pPr>
      <w:jc w:val="center"/>
    </w:pPr>
    <w:rPr>
      <w:rFonts w:eastAsia="Times New Roman"/>
      <w:b/>
      <w:u w:val="single"/>
      <w:lang w:eastAsia="en-GB"/>
    </w:rPr>
  </w:style>
  <w:style w:type="paragraph" w:customStyle="1" w:styleId="Langueoriginale">
    <w:name w:val="Langue originale"/>
    <w:basedOn w:val="Normal"/>
    <w:pPr>
      <w:spacing w:before="360"/>
      <w:jc w:val="center"/>
    </w:pPr>
    <w:rPr>
      <w:rFonts w:eastAsia="Times New Roman"/>
      <w:caps/>
      <w:lang w:eastAsia="en-GB"/>
    </w:rPr>
  </w:style>
  <w:style w:type="paragraph" w:customStyle="1" w:styleId="Phrasefinale">
    <w:name w:val="Phrase finale"/>
    <w:basedOn w:val="Normal"/>
    <w:next w:val="Normal"/>
    <w:pPr>
      <w:spacing w:before="360" w:after="0"/>
      <w:jc w:val="center"/>
    </w:pPr>
    <w:rPr>
      <w:rFonts w:eastAsia="Times New Roman"/>
      <w:lang w:eastAsia="en-GB"/>
    </w:rPr>
  </w:style>
  <w:style w:type="paragraph" w:customStyle="1" w:styleId="Prliminairetitre">
    <w:name w:val="Préliminaire titre"/>
    <w:basedOn w:val="Normal"/>
    <w:next w:val="Normal"/>
    <w:pPr>
      <w:spacing w:before="360" w:after="360"/>
      <w:jc w:val="center"/>
    </w:pPr>
    <w:rPr>
      <w:rFonts w:eastAsia="Times New Roman"/>
      <w:b/>
      <w:lang w:eastAsia="en-GB"/>
    </w:rPr>
  </w:style>
  <w:style w:type="paragraph" w:customStyle="1" w:styleId="Prliminairetype">
    <w:name w:val="Préliminaire type"/>
    <w:basedOn w:val="Normal"/>
    <w:next w:val="Normal"/>
    <w:pPr>
      <w:spacing w:before="360" w:after="0"/>
      <w:jc w:val="center"/>
    </w:pPr>
    <w:rPr>
      <w:rFonts w:eastAsia="Times New Roman"/>
      <w:b/>
      <w:lang w:eastAsia="en-GB"/>
    </w:rPr>
  </w:style>
  <w:style w:type="paragraph" w:customStyle="1" w:styleId="Rfrenceinstitutionelle">
    <w:name w:val="Référence institutionelle"/>
    <w:basedOn w:val="Normal"/>
    <w:next w:val="Statut"/>
    <w:pPr>
      <w:spacing w:before="0" w:after="240"/>
      <w:ind w:left="5103"/>
      <w:jc w:val="left"/>
    </w:pPr>
    <w:rPr>
      <w:rFonts w:eastAsia="Times New Roman"/>
      <w:lang w:eastAsia="en-GB"/>
    </w:rPr>
  </w:style>
  <w:style w:type="paragraph" w:customStyle="1" w:styleId="Rfrenceinterinstitutionelle">
    <w:name w:val="Référence interinstitutionelle"/>
    <w:basedOn w:val="Normal"/>
    <w:next w:val="Statut"/>
    <w:pPr>
      <w:spacing w:before="0" w:after="0"/>
      <w:ind w:left="5103"/>
      <w:jc w:val="left"/>
    </w:pPr>
    <w:rPr>
      <w:rFonts w:eastAsia="Times New Roman"/>
      <w:lang w:eastAsia="en-GB"/>
    </w:rPr>
  </w:style>
  <w:style w:type="paragraph" w:customStyle="1" w:styleId="Rfrenceinterinstitutionelleprliminaire">
    <w:name w:val="Référence interinstitutionelle (préliminaire)"/>
    <w:basedOn w:val="Normal"/>
    <w:next w:val="Normal"/>
    <w:pPr>
      <w:spacing w:before="0" w:after="0"/>
      <w:ind w:left="5103"/>
      <w:jc w:val="left"/>
    </w:pPr>
    <w:rPr>
      <w:rFonts w:eastAsia="Times New Roman"/>
      <w:lang w:eastAsia="en-GB"/>
    </w:rPr>
  </w:style>
  <w:style w:type="paragraph" w:customStyle="1" w:styleId="Sous-titreobjetprliminaire">
    <w:name w:val="Sous-titre objet (préliminaire)"/>
    <w:basedOn w:val="Normal"/>
    <w:pPr>
      <w:spacing w:before="0" w:after="0"/>
      <w:jc w:val="center"/>
    </w:pPr>
    <w:rPr>
      <w:rFonts w:eastAsia="Times New Roman"/>
      <w:b/>
      <w:lang w:eastAsia="en-GB"/>
    </w:rPr>
  </w:style>
  <w:style w:type="paragraph" w:customStyle="1" w:styleId="Statutprliminaire">
    <w:name w:val="Statut (préliminaire)"/>
    <w:basedOn w:val="Normal"/>
    <w:next w:val="Normal"/>
    <w:pPr>
      <w:spacing w:before="360" w:after="0"/>
      <w:jc w:val="center"/>
    </w:pPr>
    <w:rPr>
      <w:rFonts w:eastAsia="Times New Roman"/>
      <w:lang w:eastAsia="en-GB"/>
    </w:rPr>
  </w:style>
  <w:style w:type="paragraph" w:customStyle="1" w:styleId="Titreobjetprliminaire">
    <w:name w:val="Titre objet (préliminaire)"/>
    <w:basedOn w:val="Normal"/>
    <w:next w:val="Normal"/>
    <w:pPr>
      <w:spacing w:before="360" w:after="360"/>
      <w:jc w:val="center"/>
    </w:pPr>
    <w:rPr>
      <w:rFonts w:eastAsia="Times New Roman"/>
      <w:b/>
      <w:lang w:eastAsia="en-GB"/>
    </w:rPr>
  </w:style>
  <w:style w:type="paragraph" w:customStyle="1" w:styleId="Typedudocumentprliminaire">
    <w:name w:val="Type du document (préliminaire)"/>
    <w:basedOn w:val="Normal"/>
    <w:next w:val="Normal"/>
    <w:pPr>
      <w:spacing w:before="360" w:after="0"/>
      <w:jc w:val="center"/>
    </w:pPr>
    <w:rPr>
      <w:rFonts w:eastAsia="Times New Roman"/>
      <w:b/>
      <w:lang w:eastAsia="en-GB"/>
    </w:rPr>
  </w:style>
  <w:style w:type="paragraph" w:customStyle="1" w:styleId="Fichefinancirestandardtitre">
    <w:name w:val="Fiche financière (standard) titre"/>
    <w:basedOn w:val="Normal"/>
    <w:next w:val="Normal"/>
    <w:pPr>
      <w:jc w:val="center"/>
    </w:pPr>
    <w:rPr>
      <w:rFonts w:eastAsia="Times New Roman"/>
      <w:b/>
      <w:u w:val="single"/>
      <w:lang w:eastAsia="en-GB"/>
    </w:rPr>
  </w:style>
  <w:style w:type="paragraph" w:customStyle="1" w:styleId="Fichefinancirestandardtitreacte">
    <w:name w:val="Fiche financière (standard) titre (acte)"/>
    <w:basedOn w:val="Normal"/>
    <w:next w:val="Normal"/>
    <w:pPr>
      <w:jc w:val="center"/>
    </w:pPr>
    <w:rPr>
      <w:rFonts w:eastAsia="Times New Roman"/>
      <w:b/>
      <w:u w:val="single"/>
      <w:lang w:eastAsia="en-GB"/>
    </w:rPr>
  </w:style>
  <w:style w:type="paragraph" w:customStyle="1" w:styleId="Fichefinanciretravailtitre">
    <w:name w:val="Fiche financière (travail) titre"/>
    <w:basedOn w:val="Normal"/>
    <w:next w:val="Normal"/>
    <w:pPr>
      <w:jc w:val="center"/>
    </w:pPr>
    <w:rPr>
      <w:rFonts w:eastAsia="Times New Roman"/>
      <w:b/>
      <w:u w:val="single"/>
      <w:lang w:eastAsia="en-GB"/>
    </w:rPr>
  </w:style>
  <w:style w:type="paragraph" w:customStyle="1" w:styleId="Fichefinanciretravailtitreacte">
    <w:name w:val="Fiche financière (travail) titre (acte)"/>
    <w:basedOn w:val="Normal"/>
    <w:next w:val="Normal"/>
    <w:pPr>
      <w:jc w:val="center"/>
    </w:pPr>
    <w:rPr>
      <w:rFonts w:eastAsia="Times New Roman"/>
      <w:b/>
      <w:u w:val="single"/>
      <w:lang w:eastAsia="en-GB"/>
    </w:rPr>
  </w:style>
  <w:style w:type="paragraph" w:customStyle="1" w:styleId="Fichefinancireattributiontitre">
    <w:name w:val="Fiche financière (attribution) titre"/>
    <w:basedOn w:val="Normal"/>
    <w:next w:val="Normal"/>
    <w:pPr>
      <w:jc w:val="center"/>
    </w:pPr>
    <w:rPr>
      <w:rFonts w:eastAsia="Times New Roman"/>
      <w:b/>
      <w:u w:val="single"/>
      <w:lang w:eastAsia="en-GB"/>
    </w:rPr>
  </w:style>
  <w:style w:type="paragraph" w:customStyle="1" w:styleId="Fichefinancireattributiontitreacte">
    <w:name w:val="Fiche financière (attribution) titre (acte)"/>
    <w:basedOn w:val="Normal"/>
    <w:next w:val="Normal"/>
    <w:pPr>
      <w:jc w:val="center"/>
    </w:pPr>
    <w:rPr>
      <w:rFonts w:eastAsia="Times New Roman"/>
      <w:b/>
      <w:u w:val="single"/>
      <w:lang w:eastAsia="en-GB"/>
    </w:rPr>
  </w:style>
  <w:style w:type="character" w:styleId="CommentReference">
    <w:name w:val="annotation reference"/>
    <w:rPr>
      <w:rFonts w:cs="Times New Roman"/>
      <w:sz w:val="16"/>
      <w:szCs w:val="16"/>
    </w:rPr>
  </w:style>
  <w:style w:type="paragraph" w:styleId="CommentText">
    <w:name w:val="annotation text"/>
    <w:basedOn w:val="Normal"/>
    <w:link w:val="CommentTextChar"/>
    <w:rPr>
      <w:rFonts w:eastAsia="Times New Roman"/>
      <w:sz w:val="20"/>
      <w:szCs w:val="20"/>
      <w:lang w:eastAsia="en-GB"/>
    </w:rPr>
  </w:style>
  <w:style w:type="character" w:customStyle="1" w:styleId="CommentTextChar">
    <w:name w:val="Comment Text Char"/>
    <w:basedOn w:val="DefaultParagraphFont"/>
    <w:link w:val="CommentText"/>
    <w:rPr>
      <w:rFonts w:ascii="Times New Roman" w:eastAsia="Times New Roman" w:hAnsi="Times New Roman" w:cs="Times New Roman"/>
      <w:sz w:val="20"/>
      <w:szCs w:val="20"/>
      <w:lang w:val="bg-BG" w:eastAsia="en-GB"/>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rFonts w:ascii="Times New Roman" w:eastAsia="Times New Roman" w:hAnsi="Times New Roman" w:cs="Times New Roman"/>
      <w:b/>
      <w:bCs/>
      <w:sz w:val="20"/>
      <w:szCs w:val="20"/>
      <w:lang w:val="bg-BG" w:eastAsia="en-GB"/>
    </w:rPr>
  </w:style>
  <w:style w:type="paragraph" w:styleId="BalloonText">
    <w:name w:val="Balloon Text"/>
    <w:basedOn w:val="Normal"/>
    <w:link w:val="BalloonTextChar"/>
    <w:rPr>
      <w:rFonts w:ascii="Tahoma" w:eastAsia="Times New Roman" w:hAnsi="Tahoma" w:cs="Tahoma"/>
      <w:sz w:val="16"/>
      <w:szCs w:val="16"/>
      <w:lang w:eastAsia="en-GB"/>
    </w:rPr>
  </w:style>
  <w:style w:type="character" w:customStyle="1" w:styleId="BalloonTextChar">
    <w:name w:val="Balloon Text Char"/>
    <w:basedOn w:val="DefaultParagraphFont"/>
    <w:link w:val="BalloonText"/>
    <w:rPr>
      <w:rFonts w:ascii="Tahoma" w:eastAsia="Times New Roman" w:hAnsi="Tahoma" w:cs="Tahoma"/>
      <w:sz w:val="16"/>
      <w:szCs w:val="16"/>
      <w:lang w:val="bg-BG" w:eastAsia="en-GB"/>
    </w:rPr>
  </w:style>
  <w:style w:type="paragraph" w:styleId="Caption">
    <w:name w:val="caption"/>
    <w:basedOn w:val="Normal"/>
    <w:next w:val="Normal"/>
    <w:qFormat/>
    <w:rPr>
      <w:rFonts w:eastAsia="Times New Roman"/>
      <w:b/>
      <w:bCs/>
      <w:sz w:val="20"/>
      <w:szCs w:val="20"/>
      <w:lang w:eastAsia="en-GB"/>
    </w:rPr>
  </w:style>
  <w:style w:type="paragraph" w:styleId="TableofFigures">
    <w:name w:val="table of figures"/>
    <w:basedOn w:val="Normal"/>
    <w:next w:val="Normal"/>
    <w:rPr>
      <w:rFonts w:eastAsia="Times New Roman"/>
      <w:lang w:eastAsia="en-GB"/>
    </w:rPr>
  </w:style>
  <w:style w:type="character" w:styleId="PageNumber">
    <w:name w:val="page number"/>
  </w:style>
  <w:style w:type="character" w:customStyle="1" w:styleId="tw4winMark">
    <w:name w:val="tw4winMark"/>
    <w:rPr>
      <w:vanish/>
      <w:color w:val="800080"/>
      <w:vertAlign w:val="subscript"/>
    </w:rPr>
  </w:style>
  <w:style w:type="character" w:styleId="FollowedHyperlink">
    <w:name w:val="FollowedHyperlink"/>
    <w:rPr>
      <w:color w:val="800080"/>
      <w:u w:val="single"/>
    </w:rPr>
  </w:style>
  <w:style w:type="paragraph" w:customStyle="1" w:styleId="Sous-titreobjet">
    <w:name w:val="Sous-titre objet"/>
    <w:basedOn w:val="Normal"/>
    <w:pPr>
      <w:spacing w:before="0" w:after="0"/>
      <w:jc w:val="center"/>
    </w:pPr>
    <w:rPr>
      <w:rFonts w:eastAsia="Times New Roman"/>
      <w:b/>
      <w:lang w:eastAsia="en-GB"/>
    </w:rPr>
  </w:style>
  <w:style w:type="paragraph" w:customStyle="1" w:styleId="Sous-titreobjetPagedecouverture">
    <w:name w:val="Sous-titre objet (Page de couverture)"/>
    <w:basedOn w:val="Sous-titreobjet"/>
  </w:style>
  <w:style w:type="character" w:customStyle="1" w:styleId="TOCHeadingChar">
    <w:name w:val="TOC Heading Char"/>
    <w:uiPriority w:val="39"/>
    <w:rPr>
      <w:rFonts w:ascii="Times New Roman" w:hAnsi="Times New Roman" w:cs="Times New Roman"/>
      <w:b/>
      <w:sz w:val="28"/>
      <w:lang w:val="bg-BG"/>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rPr>
      <w:rFonts w:eastAsia="Calibri"/>
    </w:rPr>
  </w:style>
  <w:style w:type="character" w:customStyle="1" w:styleId="FooterCoverPageChar">
    <w:name w:val="Footer Cover Page Char"/>
    <w:link w:val="FooterCoverPage"/>
    <w:rPr>
      <w:rFonts w:ascii="Times New Roman" w:eastAsia="Calibri" w:hAnsi="Times New Roman" w:cs="Times New Roman"/>
      <w:sz w:val="24"/>
      <w:lang w:val="bg-BG"/>
    </w:rPr>
  </w:style>
  <w:style w:type="paragraph" w:customStyle="1" w:styleId="HeaderCoverPage">
    <w:name w:val="Header Cover Page"/>
    <w:basedOn w:val="Normal"/>
    <w:link w:val="HeaderCoverPageChar"/>
    <w:pPr>
      <w:tabs>
        <w:tab w:val="center" w:pos="4535"/>
        <w:tab w:val="right" w:pos="9071"/>
      </w:tabs>
      <w:spacing w:before="0"/>
    </w:pPr>
    <w:rPr>
      <w:rFonts w:eastAsia="Calibri"/>
      <w:lang w:eastAsia="en-GB"/>
    </w:rPr>
  </w:style>
  <w:style w:type="character" w:customStyle="1" w:styleId="HeaderCoverPageChar">
    <w:name w:val="Header Cover Page Char"/>
    <w:link w:val="HeaderCoverPage"/>
    <w:rPr>
      <w:rFonts w:ascii="Times New Roman" w:eastAsia="Calibri" w:hAnsi="Times New Roman" w:cs="Times New Roman"/>
      <w:sz w:val="24"/>
      <w:lang w:val="bg-BG" w:eastAsia="en-GB"/>
    </w:rPr>
  </w:style>
  <w:style w:type="paragraph" w:customStyle="1" w:styleId="Normal1">
    <w:name w:val="Normal1"/>
    <w:basedOn w:val="Normal"/>
    <w:pPr>
      <w:spacing w:after="0"/>
    </w:pPr>
    <w:rPr>
      <w:szCs w:val="24"/>
      <w:lang w:eastAsia="en-GB" w:bidi="en-GB"/>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1"/>
      </w:numPr>
    </w:pPr>
  </w:style>
  <w:style w:type="paragraph" w:customStyle="1" w:styleId="Tiret1">
    <w:name w:val="Tiret 1"/>
    <w:basedOn w:val="Point1"/>
    <w:pPr>
      <w:numPr>
        <w:numId w:val="32"/>
      </w:numPr>
    </w:pPr>
  </w:style>
  <w:style w:type="paragraph" w:customStyle="1" w:styleId="Tiret2">
    <w:name w:val="Tiret 2"/>
    <w:basedOn w:val="Point2"/>
    <w:pPr>
      <w:numPr>
        <w:numId w:val="33"/>
      </w:numPr>
    </w:pPr>
  </w:style>
  <w:style w:type="paragraph" w:customStyle="1" w:styleId="Tiret3">
    <w:name w:val="Tiret 3"/>
    <w:basedOn w:val="Point3"/>
    <w:pPr>
      <w:numPr>
        <w:numId w:val="34"/>
      </w:numPr>
    </w:pPr>
  </w:style>
  <w:style w:type="paragraph" w:customStyle="1" w:styleId="Tiret4">
    <w:name w:val="Tiret 4"/>
    <w:basedOn w:val="Point4"/>
    <w:pPr>
      <w:numPr>
        <w:numId w:val="3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6"/>
      </w:numPr>
    </w:pPr>
  </w:style>
  <w:style w:type="paragraph" w:customStyle="1" w:styleId="NumPar2">
    <w:name w:val="NumPar 2"/>
    <w:basedOn w:val="Normal"/>
    <w:next w:val="Text1"/>
    <w:pPr>
      <w:numPr>
        <w:ilvl w:val="1"/>
        <w:numId w:val="36"/>
      </w:numPr>
    </w:pPr>
  </w:style>
  <w:style w:type="paragraph" w:customStyle="1" w:styleId="NumPar3">
    <w:name w:val="NumPar 3"/>
    <w:basedOn w:val="Normal"/>
    <w:next w:val="Text1"/>
    <w:pPr>
      <w:numPr>
        <w:ilvl w:val="2"/>
        <w:numId w:val="36"/>
      </w:numPr>
    </w:pPr>
  </w:style>
  <w:style w:type="paragraph" w:customStyle="1" w:styleId="NumPar4">
    <w:name w:val="NumPar 4"/>
    <w:basedOn w:val="Normal"/>
    <w:next w:val="Text1"/>
    <w:pPr>
      <w:numPr>
        <w:ilvl w:val="3"/>
        <w:numId w:val="3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8"/>
      </w:numPr>
    </w:pPr>
  </w:style>
  <w:style w:type="paragraph" w:customStyle="1" w:styleId="Point1number">
    <w:name w:val="Point 1 (number)"/>
    <w:basedOn w:val="Normal"/>
    <w:pPr>
      <w:numPr>
        <w:ilvl w:val="2"/>
        <w:numId w:val="38"/>
      </w:numPr>
    </w:pPr>
  </w:style>
  <w:style w:type="paragraph" w:customStyle="1" w:styleId="Point2number">
    <w:name w:val="Point 2 (number)"/>
    <w:basedOn w:val="Normal"/>
    <w:pPr>
      <w:numPr>
        <w:ilvl w:val="4"/>
        <w:numId w:val="38"/>
      </w:numPr>
    </w:pPr>
  </w:style>
  <w:style w:type="paragraph" w:customStyle="1" w:styleId="Point3number">
    <w:name w:val="Point 3 (number)"/>
    <w:basedOn w:val="Normal"/>
    <w:pPr>
      <w:numPr>
        <w:ilvl w:val="6"/>
        <w:numId w:val="38"/>
      </w:numPr>
    </w:pPr>
  </w:style>
  <w:style w:type="paragraph" w:customStyle="1" w:styleId="Point0letter">
    <w:name w:val="Point 0 (letter)"/>
    <w:basedOn w:val="Normal"/>
    <w:pPr>
      <w:numPr>
        <w:ilvl w:val="1"/>
        <w:numId w:val="38"/>
      </w:numPr>
    </w:pPr>
  </w:style>
  <w:style w:type="paragraph" w:customStyle="1" w:styleId="Point1letter">
    <w:name w:val="Point 1 (letter)"/>
    <w:basedOn w:val="Normal"/>
    <w:pPr>
      <w:numPr>
        <w:ilvl w:val="3"/>
        <w:numId w:val="38"/>
      </w:numPr>
    </w:pPr>
  </w:style>
  <w:style w:type="paragraph" w:customStyle="1" w:styleId="Point2letter">
    <w:name w:val="Point 2 (letter)"/>
    <w:basedOn w:val="Normal"/>
    <w:pPr>
      <w:numPr>
        <w:ilvl w:val="5"/>
        <w:numId w:val="38"/>
      </w:numPr>
    </w:pPr>
  </w:style>
  <w:style w:type="paragraph" w:customStyle="1" w:styleId="Point3letter">
    <w:name w:val="Point 3 (letter)"/>
    <w:basedOn w:val="Normal"/>
    <w:pPr>
      <w:numPr>
        <w:ilvl w:val="7"/>
        <w:numId w:val="38"/>
      </w:numPr>
    </w:pPr>
  </w:style>
  <w:style w:type="paragraph" w:customStyle="1" w:styleId="Point4letter">
    <w:name w:val="Point 4 (letter)"/>
    <w:basedOn w:val="Normal"/>
    <w:pPr>
      <w:numPr>
        <w:ilvl w:val="8"/>
        <w:numId w:val="38"/>
      </w:numPr>
    </w:pPr>
  </w:style>
  <w:style w:type="paragraph" w:customStyle="1" w:styleId="Bullet0">
    <w:name w:val="Bullet 0"/>
    <w:basedOn w:val="Normal"/>
    <w:pPr>
      <w:numPr>
        <w:numId w:val="39"/>
      </w:numPr>
    </w:pPr>
  </w:style>
  <w:style w:type="paragraph" w:customStyle="1" w:styleId="Bullet1">
    <w:name w:val="Bullet 1"/>
    <w:basedOn w:val="Normal"/>
    <w:pPr>
      <w:numPr>
        <w:numId w:val="40"/>
      </w:numPr>
    </w:pPr>
  </w:style>
  <w:style w:type="paragraph" w:customStyle="1" w:styleId="Bullet2">
    <w:name w:val="Bullet 2"/>
    <w:basedOn w:val="Normal"/>
    <w:pPr>
      <w:numPr>
        <w:numId w:val="41"/>
      </w:numPr>
    </w:pPr>
  </w:style>
  <w:style w:type="paragraph" w:customStyle="1" w:styleId="Bullet3">
    <w:name w:val="Bullet 3"/>
    <w:basedOn w:val="Normal"/>
    <w:pPr>
      <w:numPr>
        <w:numId w:val="42"/>
      </w:numPr>
    </w:pPr>
  </w:style>
  <w:style w:type="paragraph" w:customStyle="1" w:styleId="Bullet4">
    <w:name w:val="Bullet 4"/>
    <w:basedOn w:val="Normal"/>
    <w:pPr>
      <w:numPr>
        <w:numId w:val="43"/>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myintracomm.ec.europa.eu/budgweb/EN/leg/internal/Documents/2016-5-legislative-financial-statement-ann-en.docx"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4.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6.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1.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myintracomm.ec.europa.eu/budgweb/EN/man/budgmanag/Pages/budgmanag.aspx" TargetMode="External"/><Relationship Id="rId1" Type="http://schemas.openxmlformats.org/officeDocument/2006/relationships/hyperlink" Target="https://www.consilium.europa.eu/bg/documents-publications/treaties-agreements/agreement/?id=2006084&amp;DocLanguage=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81E6CA-E1CD-41F1-8000-6024656415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3</TotalTime>
  <Pages>24</Pages>
  <Words>5612</Words>
  <Characters>33005</Characters>
  <Application>Microsoft Office Word</Application>
  <DocSecurity>0</DocSecurity>
  <Lines>1500</Lines>
  <Paragraphs>665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37952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WES PDFC Administrator</cp:lastModifiedBy>
  <cp:revision>19</cp:revision>
  <cp:lastPrinted>2019-11-29T15:33:00Z</cp:lastPrinted>
  <dcterms:created xsi:type="dcterms:W3CDTF">2020-01-06T12:15:00Z</dcterms:created>
  <dcterms:modified xsi:type="dcterms:W3CDTF">2020-01-07T08:39:00Z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7.0.8.0</vt:lpwstr>
  </property>
  <property fmtid="{D5CDD505-2E9C-101B-9397-08002B2CF9AE}" pid="4" name="Last edited using">
    <vt:lpwstr>LW 7.0, Build 20190717</vt:lpwstr>
  </property>
  <property fmtid="{D5CDD505-2E9C-101B-9397-08002B2CF9AE}" pid="5" name="Created using">
    <vt:lpwstr>LW 7.0, Build 20190717</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SJ-019</vt:lpwstr>
  </property>
  <property fmtid="{D5CDD505-2E9C-101B-9397-08002B2CF9AE}" pid="10" name="DQCStatus">
    <vt:lpwstr>Green (DQC version 03)</vt:lpwstr>
  </property>
</Properties>
</file>