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AE809E-A730-467F-8FF1-29DDB0AF08D1"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L’accord existant de partenariat dans le secteur de la pêche (APP) entre l’Union européenne et les Seychelles</w:t>
      </w:r>
      <w:r>
        <w:rPr>
          <w:rStyle w:val="FootnoteReference"/>
          <w:noProof/>
        </w:rPr>
        <w:footnoteReference w:id="1"/>
      </w:r>
      <w:r>
        <w:rPr>
          <w:noProof/>
        </w:rPr>
        <w:t xml:space="preserve"> a été signé le 28 février 2007</w:t>
      </w:r>
      <w:r>
        <w:rPr>
          <w:rStyle w:val="FootnoteReference"/>
          <w:noProof/>
        </w:rPr>
        <w:footnoteReference w:id="2"/>
      </w:r>
      <w:r>
        <w:rPr>
          <w:noProof/>
        </w:rPr>
        <w:t xml:space="preserve"> et est entré en vigueur le 2 novembre 2007 pour une durée de six ans. L’accord est renouvelable par tacite reconduction, de sorte qu’il est encore en vigueur. L’actuel protocole à l’APP</w:t>
      </w:r>
      <w:r>
        <w:rPr>
          <w:rStyle w:val="FootnoteReference"/>
          <w:noProof/>
        </w:rPr>
        <w:footnoteReference w:id="3"/>
      </w:r>
      <w:r>
        <w:rPr>
          <w:noProof/>
        </w:rPr>
        <w:t xml:space="preserve">, d’une durée de six ans, est entré en application le 18 janvier 2014 et expirera le 17 janvier 2020. </w:t>
      </w:r>
    </w:p>
    <w:p>
      <w:pPr>
        <w:pBdr>
          <w:top w:val="nil"/>
          <w:left w:val="nil"/>
          <w:bottom w:val="nil"/>
          <w:right w:val="nil"/>
          <w:between w:val="nil"/>
          <w:bar w:val="nil"/>
        </w:pBdr>
        <w:spacing w:before="0" w:after="240"/>
        <w:rPr>
          <w:noProof/>
        </w:rPr>
      </w:pPr>
      <w:r>
        <w:rPr>
          <w:noProof/>
        </w:rPr>
        <w:t>Sur la base des directives de négociation pertinentes</w:t>
      </w:r>
      <w:r>
        <w:rPr>
          <w:rStyle w:val="FootnoteReference"/>
          <w:noProof/>
        </w:rPr>
        <w:footnoteReference w:id="4"/>
      </w:r>
      <w:r>
        <w:rPr>
          <w:noProof/>
        </w:rPr>
        <w:t xml:space="preserve">, la Commission a mené des négociations avec le gouvernement de la République des Seychelles (ci-après les «Seychelles») en vue de la conclusion, au nom de l’Union européenne, d’un nouvel accord de partenariat dans le domaine de la pêche durable et de son protocole de mise en œuvre (2020-2026). À l’issue de ces négociations, un accord et un protocole ont été paraphés par les négociateurs le 22 octobre 2019. Le nouvel accord abroge et remplace l’accord existant; il couvre une période de six ans à compter de la date d’application provisoire fixée à l’article 15, à savoir la date de sa signature par les Parties, et est renouvelable par tacite reconduction. Le nouveau protocole couvre une période de six ans à compter de la date d’application provisoire fixée à l’article 15, à savoir la date de sa signature par les deux Parties.  Le nouveau protocole couvre une période de six ans à compter de la date d’application provisoire fixée à l’article 15, à savoir la date de sa signature par les deux Parties. </w:t>
      </w:r>
    </w:p>
    <w:p>
      <w:pPr>
        <w:pBdr>
          <w:top w:val="nil"/>
          <w:left w:val="nil"/>
          <w:bottom w:val="nil"/>
          <w:right w:val="nil"/>
          <w:between w:val="nil"/>
          <w:bar w:val="nil"/>
        </w:pBdr>
        <w:spacing w:before="0" w:after="240"/>
        <w:rPr>
          <w:rFonts w:eastAsia="Arial Unicode MS"/>
          <w:noProof/>
        </w:rPr>
      </w:pPr>
      <w:r>
        <w:rPr>
          <w:noProof/>
        </w:rPr>
        <w:t xml:space="preserve">La proposition vise à autoriser la signature de l’accord et de son protocole de mise en œuvre.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rPr>
          <w:rFonts w:eastAsia="Calibri"/>
          <w:noProof/>
        </w:rPr>
      </w:pPr>
      <w:r>
        <w:rPr>
          <w:noProof/>
        </w:rPr>
        <w:t>L’objectif principal du nouvel accord est de fournir un cadre actualisé, c’est-à-dire prenant en compte les priorités de la politique commune de la pêche réformée</w:t>
      </w:r>
      <w:r>
        <w:rPr>
          <w:rStyle w:val="FootnoteReference"/>
          <w:noProof/>
        </w:rPr>
        <w:footnoteReference w:id="5"/>
      </w:r>
      <w:r>
        <w:rPr>
          <w:noProof/>
        </w:rPr>
        <w:t xml:space="preserve"> et de sa dimension externe, en vue de poursuivre et de renforcer le partenariat stratégique entre l’Union européenne et la République des Seychelles dans le domaine de la pêche.</w:t>
      </w:r>
    </w:p>
    <w:p>
      <w:pPr>
        <w:rPr>
          <w:rFonts w:eastAsia="Calibri"/>
          <w:noProof/>
        </w:rPr>
      </w:pPr>
      <w:r>
        <w:rPr>
          <w:noProof/>
        </w:rPr>
        <w:t>L’objectif du protocole est l’octroi de possibilités de pêche aux navires de l’Union européenne dans la zone de pêche des Seychelles, dans le respect des meilleurs avis scientifiques disponibles et des résolutions et recommandations de la Commission des thons de l’océan Indien (CTOI), dans les limites du reliquat disponible. La Commission a fondé sa position en partie sur les résultats d’une évaluation des précédents accord et protocole (2014-2020) et d’une évaluation prospective de l’opportunité de conclure un nouvel accord et un nouveau protocole. Ces deux évaluations ont été effectuées par des experts externes. L’objectif est également de renforcer la coopération entre l’Union européenne et la République des Seychelles pour favoriser une politique de pêche durable et l’exploitation responsable des ressources halieutiques dans la zone de pêche des Seychelles et dans l’océan Indien, dans l’intérêt des deux Parties. Cette coopération contribuera en outre à encourager des conditions de travail décentes lors des activités de pêche.</w:t>
      </w:r>
    </w:p>
    <w:p>
      <w:pPr>
        <w:rPr>
          <w:rFonts w:eastAsia="Calibri"/>
          <w:noProof/>
        </w:rPr>
      </w:pPr>
      <w:r>
        <w:rPr>
          <w:noProof/>
        </w:rPr>
        <w:lastRenderedPageBreak/>
        <w:t>Le nouveau protocole prévoit des possibilités de pêche dans les catégories suivantes:</w:t>
      </w:r>
    </w:p>
    <w:p>
      <w:pPr>
        <w:rPr>
          <w:rFonts w:eastAsia="Calibri"/>
          <w:noProof/>
        </w:rPr>
      </w:pPr>
      <w:r>
        <w:rPr>
          <w:noProof/>
        </w:rPr>
        <w:t>-</w:t>
      </w:r>
      <w:r>
        <w:rPr>
          <w:noProof/>
        </w:rPr>
        <w:tab/>
        <w:t>40 thoniers à senne coulissante;</w:t>
      </w:r>
    </w:p>
    <w:p>
      <w:pPr>
        <w:rPr>
          <w:rFonts w:eastAsia="Calibri"/>
          <w:noProof/>
        </w:rPr>
      </w:pPr>
      <w:r>
        <w:rPr>
          <w:noProof/>
        </w:rPr>
        <w:t>-</w:t>
      </w:r>
      <w:r>
        <w:rPr>
          <w:noProof/>
        </w:rPr>
        <w:tab/>
        <w:t>8 palangriers de surface;</w:t>
      </w:r>
    </w:p>
    <w:p>
      <w:pPr>
        <w:rPr>
          <w:rFonts w:eastAsia="Calibri"/>
          <w:noProof/>
        </w:rPr>
      </w:pPr>
      <w:r>
        <w:rPr>
          <w:noProof/>
        </w:rPr>
        <w:t>-</w:t>
      </w:r>
      <w:r>
        <w:rPr>
          <w:noProof/>
        </w:rPr>
        <w:tab/>
        <w:t>des navires d’appui conformément aux résolutions pertinentes de la CTOI.</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spacing w:before="0" w:after="240"/>
        <w:rPr>
          <w:noProof/>
        </w:rPr>
      </w:pPr>
      <w:r>
        <w:rPr>
          <w:noProof/>
        </w:rPr>
        <w:t xml:space="preserve">La négociation d’un nouvel accord de partenariat dans le domaine de la pêche durable avec les Seychelles s’inscrit dans le cadre de l’action extérieure de l’Union envers les pays d’Afrique, des Caraïbes et du Pacifique (ACP), et tient compte en particulier des objectifs de l’Union en matière de respect des principes démocratiques et des droits de l’homme.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keepNext/>
        <w:rPr>
          <w:noProof/>
          <w:sz w:val="22"/>
        </w:rPr>
      </w:pPr>
      <w:r>
        <w:rPr>
          <w:noProof/>
        </w:rPr>
        <w:t xml:space="preserve">La base juridique est l’article 43, paragraphe 2, du traité sur le fonctionnement de l’Union européenne (TFUE), qui établit la politique commune de la pêche, ainsi que son article 218, paragraphe 5, qui concerne la signature d’accords entre l’Union et les pays tiers et la possibilité d’une application provisoire de ces accords.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spacing w:before="0" w:after="240"/>
        <w:rPr>
          <w:rFonts w:eastAsia="Arial Unicode MS"/>
          <w:noProof/>
        </w:rPr>
      </w:pPr>
      <w:r>
        <w:rPr>
          <w:noProof/>
        </w:rPr>
        <w:t>La proposition relève de la compétence exclusive de l’Union européenne.</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spacing w:before="0" w:after="240"/>
        <w:rPr>
          <w:rFonts w:eastAsia="Arial Unicode MS"/>
          <w:noProof/>
        </w:rPr>
      </w:pPr>
      <w:r>
        <w:rPr>
          <w:noProof/>
        </w:rPr>
        <w:t xml:space="preserve">La proposition est proportionnée à l’objectif d’établir un cadre de gouvernance juridique, environnementale, économique et sociale pour les activités de pêche menées par les navires de l’Union dans les eaux de pays tiers, fixé par l’article 31 du règlement établissant la politique commune de la pêche. Elle est conforme à ces dispositions ainsi qu’à celles relatives à l’aide financière au pays tiers fixées à l’article 32 de ce même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En 2019, la Commission a procédé à une évaluation ex post du protocole actuel à l’APP conclu avec les Seychelles, ainsi qu’à une évaluation ex ante d’un renouvellement éventuel dudit protocole. </w:t>
      </w:r>
    </w:p>
    <w:p>
      <w:pPr>
        <w:pBdr>
          <w:top w:val="nil"/>
          <w:left w:val="nil"/>
          <w:bottom w:val="nil"/>
          <w:right w:val="nil"/>
          <w:between w:val="nil"/>
          <w:bar w:val="nil"/>
        </w:pBdr>
        <w:spacing w:before="0" w:after="240"/>
        <w:rPr>
          <w:rFonts w:eastAsia="Arial Unicode MS"/>
          <w:noProof/>
        </w:rPr>
      </w:pPr>
      <w:r>
        <w:rPr>
          <w:noProof/>
        </w:rPr>
        <w:t xml:space="preserve">En conclusion, il ressort de l’évaluation que le secteur de la pêche de l’Union est fortement intéressé par la possibilité d’exercer son activité aux Seychelles et qu’un renouvellement du protocole serait dans l’intérêt des deux Parties. En outre, le renouvellement du protocole contribuerait à renforcer le suivi, le contrôle et la surveillance, ainsi qu’à améliorer la gouvernance des activités de pêche dans la région. </w:t>
      </w:r>
    </w:p>
    <w:p>
      <w:pPr>
        <w:pBdr>
          <w:top w:val="nil"/>
          <w:left w:val="nil"/>
          <w:bottom w:val="nil"/>
          <w:right w:val="nil"/>
          <w:between w:val="nil"/>
          <w:bar w:val="nil"/>
        </w:pBdr>
        <w:spacing w:before="0" w:after="240"/>
        <w:rPr>
          <w:rFonts w:eastAsia="Arial Unicode MS"/>
          <w:noProof/>
        </w:rPr>
      </w:pPr>
      <w:r>
        <w:rPr>
          <w:noProof/>
        </w:rPr>
        <w:t xml:space="preserve">Pour l’Union, il est important de maintenir un instrument permettant une coopération sectorielle étroite avec un acteur important de la gouvernance des océans au niveau sous-régional, en raison de l’étendue de la zone de pêche relevant de sa compétence. Le renforcement des relations avec les Seychelles permettra également de créer des alliances dans le cadre de la CTOI. Qui plus est, pour la flotte de l’Union, cela signifie le maintien de l’accès à une zone de pêche importante pour le déploiement de stratégies d’exploitation dans </w:t>
      </w:r>
      <w:r>
        <w:rPr>
          <w:noProof/>
        </w:rPr>
        <w:lastRenderedPageBreak/>
        <w:t>un cadre juridique international pluriannuel. En outre, l’importance de Victoria, qui est l’un des principaux ports de débarquement, contribue au bien-fondé du nouveau protocole envisagé, tant pour le secteur de la pêche de l’Union que pour le pays partenaire. Pour les autorités seychelloises, le but est d’entretenir les relations avec l’Union en vue de renforcer la gouvernance des océans et de bénéficier d’un appui sectoriel spécifique prévoyant des possibilités de financement pluriannuelles.</w:t>
      </w:r>
    </w:p>
    <w:p>
      <w:pPr>
        <w:pStyle w:val="ManualHeading2"/>
        <w:rPr>
          <w:rFonts w:eastAsia="Arial Unicode MS"/>
          <w:noProof/>
          <w:u w:color="000000"/>
          <w:bdr w:val="nil"/>
        </w:rPr>
      </w:pPr>
      <w:r>
        <w:rPr>
          <w:noProof/>
          <w:u w:color="000000"/>
          <w:bdr w:val="nil"/>
        </w:rPr>
        <w:t>•</w:t>
      </w:r>
      <w:r>
        <w:rPr>
          <w:noProof/>
          <w:u w:color="000000"/>
          <w:bdr w:val="nil"/>
        </w:rPr>
        <w:tab/>
        <w:t>Consultations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des Seychelles ont été consultés dans le cadre de l’évaluation. Des consultations ont également été organisées dans le cadre du conseil consultatif pour la pêche lointaine, notamment à l’occasion de sa réunion du 27 mars 2019.</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spacing w:before="0" w:after="240"/>
        <w:rPr>
          <w:noProof/>
        </w:rPr>
      </w:pPr>
      <w:r>
        <w:rPr>
          <w:noProof/>
        </w:rPr>
        <w:t xml:space="preserve">La Commission a fait appel à un consultant indépendant pour les évaluations ex post et ex ante, en conformité avec les dispositions de l’article 31, paragraphe 10, du règlement établissant la politique commune de la pêche.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L’accord négocié prévoit une clause relative aux conséquences des violations des droits de l’homme et des principes démocratiques.</w:t>
      </w:r>
    </w:p>
    <w:p>
      <w:pPr>
        <w:pStyle w:val="ManualHeading1"/>
        <w:rPr>
          <w:noProof/>
        </w:rPr>
      </w:pPr>
      <w:r>
        <w:rPr>
          <w:noProof/>
        </w:rPr>
        <w:t>4.</w:t>
      </w:r>
      <w:r>
        <w:rPr>
          <w:noProof/>
        </w:rPr>
        <w:tab/>
        <w:t>INCIDENCE BUDGÉTAIRE</w:t>
      </w:r>
    </w:p>
    <w:p>
      <w:pPr>
        <w:rPr>
          <w:rFonts w:eastAsia="Calibri"/>
          <w:noProof/>
        </w:rPr>
      </w:pPr>
      <w:r>
        <w:rPr>
          <w:noProof/>
        </w:rPr>
        <w:t>La contrepartie financière annuelle s’élève à 5</w:t>
      </w:r>
      <w:r>
        <w:rPr>
          <w:noProof/>
          <w:highlight w:val="yellow"/>
        </w:rPr>
        <w:t xml:space="preserve"> </w:t>
      </w:r>
      <w:r>
        <w:rPr>
          <w:noProof/>
        </w:rPr>
        <w:t>300</w:t>
      </w:r>
      <w:r>
        <w:rPr>
          <w:noProof/>
          <w:highlight w:val="yellow"/>
        </w:rPr>
        <w:t xml:space="preserve"> </w:t>
      </w:r>
      <w:r>
        <w:rPr>
          <w:noProof/>
        </w:rPr>
        <w:t>000 EUR, sur la base:</w:t>
      </w:r>
    </w:p>
    <w:p>
      <w:pPr>
        <w:rPr>
          <w:rFonts w:eastAsia="Calibri"/>
          <w:noProof/>
        </w:rPr>
      </w:pPr>
      <w:r>
        <w:rPr>
          <w:noProof/>
        </w:rPr>
        <w:t xml:space="preserve">a) d’un montant annuel de 2 500 000 EUR, pour l’accès aux ressources halieutiques dans la zone de pêche des Seychelles, équivalant à un tonnage de référence, pour les espèces hautement migratrices, de 50 000 tonnes par an; </w:t>
      </w:r>
    </w:p>
    <w:p>
      <w:pPr>
        <w:rPr>
          <w:rFonts w:eastAsia="Calibri"/>
          <w:noProof/>
        </w:rPr>
      </w:pPr>
      <w:r>
        <w:rPr>
          <w:noProof/>
        </w:rPr>
        <w:t>b) d’un appui au développement de la politique sectorielle des pêches des Seychelles s’élevant à 2 800 000 EUR par an. Cet appui répond aux objectifs du plan global pour la pêche des Seychelles.</w:t>
      </w:r>
    </w:p>
    <w:p>
      <w:pPr>
        <w:rPr>
          <w:noProof/>
        </w:rPr>
      </w:pPr>
      <w:r>
        <w:rPr>
          <w:noProof/>
        </w:rPr>
        <w:t>Le montant annuel pour les crédits d’engagement et de paiement est établi lors de la procédure budgétaire annuelle, y compris pour la ligne de la réserve pour les protocoles n’étant pas encore entrés en vigueur au début de l’année</w:t>
      </w:r>
      <w:r>
        <w:rPr>
          <w:rStyle w:val="FootnoteReference"/>
          <w:noProof/>
        </w:rPr>
        <w:footnoteReference w:id="6"/>
      </w:r>
      <w:r>
        <w:rPr>
          <w:noProof/>
        </w:rPr>
        <w:t>.</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Les modalités de suivi sont prévues dans l’accord de partenariat dans le domaine de la pêche durable et son protocole de mise en œuvre.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2020/0003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et à l’application provisoire de l’accord de partenariat dans le domaine de la pêche durable et de son protocole de mise en œuvre (2020-2026) entre l’Union européenne et la République des Seychelles</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15 juillet 2019, le Conseil a autorisé la Commission à ouvrir des négociations avec la République des Seychelles en vue d’établir un nouvel accord de partenariat dans le domaine de la pêche durable entre l’Union européenne et la République des Seychelles (ci-après l’«accord de partenariat») et un nouveau protocole de mise en œuvre (ci-après le «protocole»).</w:t>
      </w:r>
    </w:p>
    <w:p>
      <w:pPr>
        <w:pStyle w:val="ManualConsidrant"/>
        <w:rPr>
          <w:noProof/>
        </w:rPr>
      </w:pPr>
      <w:r>
        <w:t>(2)</w:t>
      </w:r>
      <w:r>
        <w:tab/>
      </w:r>
      <w:r>
        <w:rPr>
          <w:noProof/>
        </w:rPr>
        <w:t>Les négociations ont été menées à bonne fin et ont abouti au paraphe de l’accord de partenariat et du protocole le 22 octobre 2019.</w:t>
      </w:r>
    </w:p>
    <w:p>
      <w:pPr>
        <w:pStyle w:val="ManualConsidrant"/>
        <w:rPr>
          <w:noProof/>
        </w:rPr>
      </w:pPr>
      <w:r>
        <w:t>(3)</w:t>
      </w:r>
      <w:r>
        <w:tab/>
      </w:r>
      <w:r>
        <w:rPr>
          <w:noProof/>
        </w:rPr>
        <w:t>L’accord de partenariat abroge l’accord actuel de partenariat dans le secteur de la pêche (APP) entre l’Union européenne et les Seychelles, qui est entré en vigueur le 2 novembre 2007 pour une durée de 6 ans et qui, ayant été tacitement renouvelé, est toujours en vigueur.</w:t>
      </w:r>
    </w:p>
    <w:p>
      <w:pPr>
        <w:pStyle w:val="ManualConsidrant"/>
        <w:rPr>
          <w:noProof/>
        </w:rPr>
      </w:pPr>
      <w:r>
        <w:t>(4)</w:t>
      </w:r>
      <w:r>
        <w:tab/>
      </w:r>
      <w:r>
        <w:rPr>
          <w:noProof/>
        </w:rPr>
        <w:t>L’objectif de l’accord de partenariat et du protocole est de permettre à l’Union et à la République des Seychelles de collaborer plus étroitement afin de continuer à favoriser le développement d’une politique de pêche durable et une exploitation responsable des ressources halieutiques dans la zone de pêche des Seychelles et dans l’océan Indien, tout en contribuant à l’instauration de conditions de travail décentes dans le secteur de la pêche.</w:t>
      </w:r>
    </w:p>
    <w:p>
      <w:pPr>
        <w:pStyle w:val="ManualConsidrant"/>
        <w:rPr>
          <w:noProof/>
        </w:rPr>
      </w:pPr>
      <w:r>
        <w:t>(5)</w:t>
      </w:r>
      <w:r>
        <w:tab/>
      </w:r>
      <w:r>
        <w:rPr>
          <w:noProof/>
        </w:rPr>
        <w:t>Il convient par conséquent que l’accord de partenariat et le protocole soient signés au nom de l’Union européenne, sous réserve de leur conclusion à une date ultérieure.</w:t>
      </w:r>
    </w:p>
    <w:p>
      <w:pPr>
        <w:pStyle w:val="ManualConsidrant"/>
        <w:rPr>
          <w:rFonts w:eastAsia="Calibri"/>
          <w:noProof/>
        </w:rPr>
      </w:pPr>
      <w:r>
        <w:t>(6)</w:t>
      </w:r>
      <w:r>
        <w:tab/>
      </w:r>
      <w:r>
        <w:rPr>
          <w:noProof/>
        </w:rPr>
        <w:t>Ces mesures devraient entrer en vigueur dans les meilleurs délais étant donné l’importance économique que revêtent les activités de pêche de l’Union dans la zone de pêche des Seychelles et la nécessité de réduire autant que possible l’interruption de ces activités.</w:t>
      </w:r>
    </w:p>
    <w:p>
      <w:pPr>
        <w:pStyle w:val="ManualConsidrant"/>
        <w:rPr>
          <w:noProof/>
        </w:rPr>
      </w:pPr>
      <w:r>
        <w:t>(7)</w:t>
      </w:r>
      <w:r>
        <w:tab/>
      </w:r>
      <w:r>
        <w:rPr>
          <w:noProof/>
        </w:rPr>
        <w:t xml:space="preserve">Pour que les navires de l’Union puissent poursuivre leurs activités de pêche, il convient que l’accord de partenariat et le protocole s’appliquent à titre provisoire dès leur signature, dans l’attente de leur entrée en vigueur, </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signature de l’accord de partenariat dans le domaine de la pêche durable entre l’Union européenne et la République des Seychelles (ci-après l’«accord de partenariat») et du protocole de mise en œuvre de l’accord de partenariat dans le domaine de la pêche durable entre l’Union européenne et la République des Seychelles (2020-2026) (ci-après le «protocole») est approuvée au nom de l’Union, sous réserve de la conclusion de ces actes.</w:t>
      </w:r>
    </w:p>
    <w:p>
      <w:pPr>
        <w:rPr>
          <w:noProof/>
        </w:rPr>
      </w:pPr>
      <w:r>
        <w:rPr>
          <w:noProof/>
        </w:rPr>
        <w:t>Les textes de l’accord de partenariat et du protocole qui doivent être signés sont joints à la présente décision.</w:t>
      </w:r>
    </w:p>
    <w:p>
      <w:pPr>
        <w:pStyle w:val="Titrearticle"/>
        <w:rPr>
          <w:noProof/>
        </w:rPr>
      </w:pPr>
      <w:r>
        <w:rPr>
          <w:noProof/>
        </w:rPr>
        <w:t>Article 2</w:t>
      </w:r>
    </w:p>
    <w:p>
      <w:pPr>
        <w:rPr>
          <w:i/>
          <w:noProof/>
        </w:rPr>
      </w:pPr>
      <w:r>
        <w:rPr>
          <w:noProof/>
        </w:rPr>
        <w:t>Le secrétariat général du Conseil établit l’instrument de pleins pouvoirs autorisant la ou les personnes indiquées par le négociateur de l’accord de partenariat et du protocole à signer lesdits accord de partenariat et protocole, sous réserve de leur conclusion.</w:t>
      </w:r>
      <w:r>
        <w:rPr>
          <w:i/>
          <w:noProof/>
        </w:rPr>
        <w:t xml:space="preserve">  </w:t>
      </w:r>
    </w:p>
    <w:p>
      <w:pPr>
        <w:pStyle w:val="Titrearticle"/>
        <w:rPr>
          <w:noProof/>
        </w:rPr>
      </w:pPr>
      <w:r>
        <w:rPr>
          <w:noProof/>
        </w:rPr>
        <w:t>Article 3</w:t>
      </w:r>
    </w:p>
    <w:p>
      <w:pPr>
        <w:keepNext/>
        <w:rPr>
          <w:noProof/>
        </w:rPr>
      </w:pPr>
      <w:r>
        <w:rPr>
          <w:noProof/>
        </w:rPr>
        <w:t>L’accord de partenariat est appliqué à titre provisoire, conformément à son article 15, à partir de la date de sa signature, dans l’attente de son entrée en vigueur.</w:t>
      </w:r>
    </w:p>
    <w:p>
      <w:pPr>
        <w:pStyle w:val="Titrearticle"/>
        <w:rPr>
          <w:noProof/>
        </w:rPr>
      </w:pPr>
      <w:r>
        <w:rPr>
          <w:noProof/>
        </w:rPr>
        <w:t>Article 4</w:t>
      </w:r>
    </w:p>
    <w:p>
      <w:pPr>
        <w:keepNext/>
        <w:rPr>
          <w:noProof/>
        </w:rPr>
      </w:pPr>
      <w:r>
        <w:rPr>
          <w:noProof/>
        </w:rPr>
        <w:t>Le protocole est appliqué à titre provisoire, conformément à son article 15, à compter de la date de sa signature, dans l’attente de son entrée en vigueur.</w:t>
      </w:r>
    </w:p>
    <w:p>
      <w:pPr>
        <w:pStyle w:val="Titrearticle"/>
        <w:keepNext w:val="0"/>
        <w:rPr>
          <w:noProof/>
        </w:rPr>
      </w:pPr>
      <w:r>
        <w:rPr>
          <w:noProof/>
        </w:rPr>
        <w:t>Article 5</w:t>
      </w:r>
    </w:p>
    <w:p>
      <w:pPr>
        <w:keepLines/>
        <w:rPr>
          <w:noProof/>
        </w:rPr>
      </w:pPr>
      <w:r>
        <w:rPr>
          <w:noProof/>
        </w:rPr>
        <w:t xml:space="preserve">La présente décision entre en vigueur le jour suivant celui de sa publication au </w:t>
      </w:r>
      <w:r>
        <w:rPr>
          <w:i/>
          <w:iCs/>
          <w:noProof/>
        </w:rPr>
        <w:t>Journal officiel de l’Union européenne</w:t>
      </w:r>
      <w:r>
        <w:rPr>
          <w:noProof/>
        </w:rPr>
        <w:t xml:space="preserve">. </w:t>
      </w:r>
    </w:p>
    <w:p>
      <w:pPr>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pStyle w:val="Fichefinanciretitre"/>
        <w:rPr>
          <w:noProof/>
        </w:rPr>
      </w:pPr>
      <w:r>
        <w:rPr>
          <w:noProof/>
        </w:rPr>
        <w:br w:type="page"/>
      </w: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w:t>
      </w:r>
    </w:p>
    <w:p>
      <w:pPr>
        <w:pStyle w:val="ManualHeading2"/>
        <w:rPr>
          <w:b w:val="0"/>
          <w:noProof/>
        </w:rPr>
      </w:pPr>
      <w:r>
        <w:rPr>
          <w:noProof/>
        </w:rPr>
        <w:tab/>
      </w:r>
      <w:r>
        <w:rPr>
          <w:b w:val="0"/>
          <w:noProof/>
        </w:rPr>
        <w:t>1.3.</w:t>
      </w:r>
      <w:r>
        <w:rPr>
          <w:noProof/>
        </w:rPr>
        <w:tab/>
      </w:r>
      <w:r>
        <w:rPr>
          <w:b w:val="0"/>
          <w:noProof/>
        </w:rPr>
        <w:t xml:space="preserve">La proposition/l’initiative porte sur: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3"/>
        <w:rPr>
          <w:noProof/>
        </w:rPr>
      </w:pPr>
      <w:r>
        <w:rPr>
          <w:noProof/>
        </w:rPr>
        <w:tab/>
        <w:t>1.4.1.</w:t>
      </w:r>
      <w:r>
        <w:rPr>
          <w:noProof/>
        </w:rPr>
        <w:tab/>
        <w:t>Objectif général / objectifs généraux</w:t>
      </w:r>
    </w:p>
    <w:p>
      <w:pPr>
        <w:pStyle w:val="ManualHeading3"/>
        <w:rPr>
          <w:noProof/>
        </w:rPr>
      </w:pPr>
      <w:r>
        <w:rPr>
          <w:noProof/>
        </w:rPr>
        <w:tab/>
        <w:t>1.4.2.</w:t>
      </w:r>
      <w:r>
        <w:rPr>
          <w:noProof/>
        </w:rPr>
        <w:tab/>
        <w:t>Objectif(s) spécifique(s)</w:t>
      </w:r>
    </w:p>
    <w:p>
      <w:pPr>
        <w:pStyle w:val="ManualHeading3"/>
        <w:rPr>
          <w:noProof/>
        </w:rPr>
      </w:pPr>
      <w:r>
        <w:rPr>
          <w:noProof/>
        </w:rPr>
        <w:tab/>
        <w:t>1.4.3.</w:t>
      </w:r>
      <w:r>
        <w:rPr>
          <w:noProof/>
        </w:rPr>
        <w:tab/>
        <w:t>Résultat(s) et incidence(s) attendus</w:t>
      </w:r>
    </w:p>
    <w:p>
      <w:pPr>
        <w:pStyle w:val="ManualHeading3"/>
        <w:rPr>
          <w:noProof/>
        </w:rPr>
      </w:pPr>
      <w:r>
        <w:rPr>
          <w:noProof/>
        </w:rPr>
        <w:tab/>
        <w:t>1.4.4.</w:t>
      </w:r>
      <w:r>
        <w:rPr>
          <w:noProof/>
        </w:rPr>
        <w:tab/>
        <w:t>Indicateurs de performance</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3"/>
        <w:rPr>
          <w:noProof/>
        </w:rPr>
      </w:pPr>
      <w:r>
        <w:rPr>
          <w:noProof/>
        </w:rPr>
        <w:tab/>
        <w:t>1.5.1.</w:t>
      </w:r>
      <w:r>
        <w:rPr>
          <w:noProof/>
        </w:rPr>
        <w:tab/>
        <w:t>Besoin(s) à satisfaire à court ou à long terme, assorti(s) d’un calendrier détaillé pour la mise en œuvre de l’initiative</w:t>
      </w:r>
    </w:p>
    <w:p>
      <w:pPr>
        <w:pStyle w:val="ManualHeading3"/>
        <w:rPr>
          <w:noProof/>
        </w:rPr>
      </w:pPr>
      <w:r>
        <w:rPr>
          <w:noProof/>
        </w:rPr>
        <w:tab/>
        <w:t>1.5.2.</w:t>
      </w:r>
      <w:r>
        <w:rPr>
          <w:noProof/>
        </w:rPr>
        <w:tab/>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ManualHeading3"/>
        <w:rPr>
          <w:noProof/>
        </w:rPr>
      </w:pPr>
      <w:r>
        <w:rPr>
          <w:noProof/>
        </w:rPr>
        <w:tab/>
        <w:t>1.5.3.</w:t>
      </w:r>
      <w:r>
        <w:rPr>
          <w:noProof/>
        </w:rPr>
        <w:tab/>
        <w:t>Leçons tirées d’expériences similaires</w:t>
      </w:r>
    </w:p>
    <w:p>
      <w:pPr>
        <w:pStyle w:val="ManualHeading3"/>
        <w:rPr>
          <w:noProof/>
        </w:rPr>
      </w:pPr>
      <w:r>
        <w:rPr>
          <w:noProof/>
        </w:rPr>
        <w:tab/>
        <w:t>1.5.4.</w:t>
      </w:r>
      <w:r>
        <w:rPr>
          <w:noProof/>
        </w:rPr>
        <w:tab/>
        <w:t>Compatibilité avec le cadre financier pluriannuel et synergies éventuelles avec d’autres instruments appropriés</w:t>
      </w:r>
    </w:p>
    <w:p>
      <w:pPr>
        <w:pStyle w:val="ManualHeading3"/>
        <w:rPr>
          <w:noProof/>
        </w:rPr>
      </w:pPr>
      <w:r>
        <w:rPr>
          <w:noProof/>
        </w:rPr>
        <w:tab/>
        <w:t>1.5.5.</w:t>
      </w:r>
      <w:r>
        <w:rPr>
          <w:noProof/>
        </w:rPr>
        <w:tab/>
        <w:t>Évaluation des différentes possibilités de financement disponibles, y compris des possibilités de redéploiement</w:t>
      </w:r>
    </w:p>
    <w:p>
      <w:pPr>
        <w:pStyle w:val="ManualHeading2"/>
        <w:rPr>
          <w:b w:val="0"/>
          <w:noProof/>
        </w:rPr>
      </w:pPr>
      <w:r>
        <w:rPr>
          <w:noProof/>
        </w:rPr>
        <w:tab/>
      </w:r>
      <w:r>
        <w:rPr>
          <w:b w:val="0"/>
          <w:noProof/>
        </w:rPr>
        <w:t>1.6.</w:t>
      </w:r>
      <w:r>
        <w:rPr>
          <w:noProof/>
        </w:rPr>
        <w:tab/>
      </w:r>
      <w:r>
        <w:rPr>
          <w:b w:val="0"/>
          <w:noProof/>
        </w:rPr>
        <w:t>Durée et incidence financière de la proposition/de l’initiative</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Mode(s) de gestion prévu(s)</w:t>
      </w:r>
      <w:r>
        <w:rPr>
          <w:noProof/>
        </w:rPr>
        <w:tab/>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Système(s) de gestion et de contrôle</w:t>
      </w:r>
    </w:p>
    <w:p>
      <w:pPr>
        <w:pStyle w:val="ManualHeading3"/>
        <w:rPr>
          <w:noProof/>
        </w:rPr>
      </w:pPr>
      <w:r>
        <w:rPr>
          <w:noProof/>
        </w:rPr>
        <w:tab/>
        <w:t>2.2.1.</w:t>
      </w:r>
      <w:r>
        <w:rPr>
          <w:noProof/>
        </w:rPr>
        <w:tab/>
        <w:t>Justification du (des) mode(s) de gestion, du (des) mécanisme(s) de mise en œuvre du financement, des modalités de paiement et de la stratégie de contrôle proposée</w:t>
      </w:r>
    </w:p>
    <w:p>
      <w:pPr>
        <w:pStyle w:val="ManualHeading3"/>
        <w:rPr>
          <w:noProof/>
        </w:rPr>
      </w:pPr>
      <w:r>
        <w:rPr>
          <w:noProof/>
        </w:rPr>
        <w:tab/>
        <w:t>2.2.2.</w:t>
      </w:r>
      <w:r>
        <w:rPr>
          <w:noProof/>
        </w:rPr>
        <w:tab/>
        <w:t>Informations sur les risques recensés et sur le(s) système(s) de contrôle interne mis en place pour les atténuer</w:t>
      </w:r>
    </w:p>
    <w:p>
      <w:pPr>
        <w:pStyle w:val="ManualHeading3"/>
        <w:rPr>
          <w:noProof/>
        </w:rPr>
      </w:pPr>
      <w:r>
        <w:rPr>
          <w:noProof/>
        </w:rPr>
        <w:tab/>
        <w:t>2.2.3.</w:t>
      </w:r>
      <w:r>
        <w:rPr>
          <w:noProof/>
        </w:rPr>
        <w:tab/>
        <w:t>Estimation et justification du rapport coût/efficacité des contrôles (rapport «coûts du contrôle ÷ valeur des fonds gérés concernés»), et évaluation du niveau attendu de risque d’erreur (lors du paiement et lors de la clôture)</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financière estimée de la proposition sur les crédits</w:t>
      </w:r>
    </w:p>
    <w:p>
      <w:pPr>
        <w:pStyle w:val="ManualHeading3"/>
        <w:rPr>
          <w:noProof/>
        </w:rPr>
      </w:pPr>
      <w:r>
        <w:rPr>
          <w:noProof/>
        </w:rPr>
        <w:tab/>
        <w:t>3.2.1.</w:t>
      </w:r>
      <w:r>
        <w:rPr>
          <w:noProof/>
        </w:rPr>
        <w:tab/>
        <w:t xml:space="preserve">Synthèse de l’incidence estimée sur les crédits opérationnels </w:t>
      </w:r>
    </w:p>
    <w:p>
      <w:pPr>
        <w:pStyle w:val="ManualHeading3"/>
        <w:rPr>
          <w:noProof/>
        </w:rPr>
      </w:pPr>
      <w:r>
        <w:rPr>
          <w:noProof/>
        </w:rPr>
        <w:tab/>
        <w:t>3.2.2.</w:t>
      </w:r>
      <w:r>
        <w:rPr>
          <w:noProof/>
        </w:rPr>
        <w:tab/>
        <w:t xml:space="preserve">Estimation des réalisations financées avec des crédits opérationnels </w:t>
      </w:r>
    </w:p>
    <w:p>
      <w:pPr>
        <w:pStyle w:val="ManualHeading3"/>
        <w:rPr>
          <w:noProof/>
        </w:rPr>
      </w:pPr>
      <w:r>
        <w:rPr>
          <w:noProof/>
        </w:rPr>
        <w:tab/>
        <w:t>3.2.3.</w:t>
      </w:r>
      <w:r>
        <w:rPr>
          <w:noProof/>
        </w:rPr>
        <w:tab/>
        <w:t>Synthèse de l’incidence estimée sur les crédits administratifs</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pPr>
      <w:r>
        <w:rPr>
          <w:noProof/>
        </w:rPr>
        <w:tab/>
      </w:r>
      <w:r>
        <w:rPr>
          <w:b w:val="0"/>
          <w:noProof/>
        </w:rPr>
        <w:t>3.3.</w:t>
      </w:r>
      <w:r>
        <w:rPr>
          <w:noProof/>
        </w:rPr>
        <w:tab/>
      </w:r>
      <w:r>
        <w:rPr>
          <w:b w:val="0"/>
          <w:noProof/>
        </w:rPr>
        <w:t>Incidence estimée sur les recettes</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signature, au nom de l’Union, et à l’application provisoire de l’accord de partenariat dans le domaine de la pêche durable et de son protocole de mise en œuvre (2020-2026) entre l’Union européenne et la République des Seychelles</w:t>
      </w:r>
    </w:p>
    <w:p>
      <w:pPr>
        <w:pStyle w:val="ManualHeading2"/>
        <w:rPr>
          <w:noProof/>
        </w:rPr>
      </w:pPr>
      <w:r>
        <w:rPr>
          <w:noProof/>
        </w:rPr>
        <w:t>1.2.</w:t>
      </w:r>
      <w:r>
        <w:rPr>
          <w:noProof/>
        </w:rPr>
        <w:tab/>
        <w:t>Domaine(s) politique(s) concerné(s)</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Text1"/>
        <w:pBdr>
          <w:top w:val="single" w:sz="4" w:space="1" w:color="auto"/>
          <w:left w:val="single" w:sz="4" w:space="4" w:color="auto"/>
          <w:bottom w:val="single" w:sz="4" w:space="1" w:color="auto"/>
          <w:right w:val="single" w:sz="4" w:space="4" w:color="auto"/>
        </w:pBdr>
        <w:rPr>
          <w:noProof/>
        </w:rPr>
      </w:pPr>
      <w:r>
        <w:rPr>
          <w:noProof/>
        </w:rPr>
        <w:t>11.03.01 — Établir un cadre de gouvernance pour les activités de pêche menées par les navires de pêche de l’Union dans les eaux des pays tiers</w:t>
      </w:r>
    </w:p>
    <w:p>
      <w:pPr>
        <w:pStyle w:val="ManualHeading2"/>
        <w:rPr>
          <w:noProof/>
          <w:szCs w:val="24"/>
        </w:rPr>
      </w:pPr>
      <w:r>
        <w:rPr>
          <w:noProof/>
        </w:rPr>
        <w:t>1.3.</w:t>
      </w:r>
      <w:r>
        <w:rPr>
          <w:noProof/>
        </w:rPr>
        <w:tab/>
        <w:t xml:space="preserve">La proposition/l’initiative porte sur: </w:t>
      </w:r>
    </w:p>
    <w:p>
      <w:pPr>
        <w:pStyle w:val="Text1"/>
        <w:rPr>
          <w:b/>
          <w:noProof/>
          <w:sz w:val="22"/>
        </w:rPr>
      </w:pPr>
      <w:r>
        <w:rPr>
          <w:b/>
          <w:noProof/>
        </w:rPr>
        <w:t>X 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7"/>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noProof/>
          <w:szCs w:val="24"/>
        </w:rPr>
      </w:pPr>
      <w:r>
        <w:rPr>
          <w:noProof/>
        </w:rPr>
        <w:t>1.4.</w:t>
      </w:r>
      <w:r>
        <w:rPr>
          <w:noProof/>
        </w:rPr>
        <w:tab/>
        <w:t>Objectif(s)</w:t>
      </w:r>
    </w:p>
    <w:p>
      <w:pPr>
        <w:pStyle w:val="ManualHeading3"/>
        <w:rPr>
          <w:noProof/>
        </w:rPr>
      </w:pPr>
      <w:r>
        <w:rPr>
          <w:noProof/>
        </w:rPr>
        <w:t>1.4.1.</w:t>
      </w:r>
      <w:r>
        <w:rPr>
          <w:noProof/>
        </w:rPr>
        <w:tab/>
        <w:t>Objectif général / objectifs généraux</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contribution au développement durable dans toutes ses dimensions, ainsi qu’une meilleure gouvernance des pêcheries au niveau politique et financier].</w:t>
      </w:r>
    </w:p>
    <w:p>
      <w:pPr>
        <w:pStyle w:val="ManualHeading3"/>
        <w:rPr>
          <w:bCs/>
          <w:noProof/>
          <w:szCs w:val="24"/>
        </w:rPr>
      </w:pPr>
      <w:r>
        <w:rPr>
          <w:noProof/>
        </w:rPr>
        <w:t>1.4.2.</w:t>
      </w:r>
      <w:r>
        <w:rPr>
          <w:noProof/>
        </w:rPr>
        <w:tab/>
        <w:t>Objectif(s) spécifique(s)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les autres politiques européennes.</w:t>
      </w:r>
    </w:p>
    <w:p>
      <w:pPr>
        <w:pStyle w:val="ManualHeading3"/>
        <w:rPr>
          <w:noProof/>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conclusion de l’accord et de son protocole de mise en œuvre permet de poursuivre et de renforcer le partenariat stratégique dans le domaine de la pêche entre l’Union européenne et les Seychelles. La conclusion du protocole créera des possibilités de pêche pour les navires de l’Union dans la zone de pêche des Seychelles.</w:t>
      </w:r>
    </w:p>
    <w:p>
      <w:pPr>
        <w:pStyle w:val="Text1"/>
        <w:pBdr>
          <w:top w:val="single" w:sz="4" w:space="1" w:color="auto"/>
          <w:left w:val="single" w:sz="4" w:space="4" w:color="auto"/>
          <w:bottom w:val="single" w:sz="4" w:space="1" w:color="auto"/>
          <w:right w:val="single" w:sz="4" w:space="4" w:color="auto"/>
        </w:pBdr>
        <w:rPr>
          <w:noProof/>
        </w:rPr>
      </w:pPr>
      <w:r>
        <w:rPr>
          <w:noProof/>
        </w:rPr>
        <w:t>L’accord et le protocole contribueront également à la meilleure gestion et conservation des ressources halieutiques, à travers le soutien financier (appui sectoriel) à la mise en œuvre des programmes adoptés au niveau national par le pays partenaire, notamment le plan global pour la pêche, la surveillance de la pêche illicite et la lutte contre cette pratique, et l’appui au secteur de la pêche artisanale.</w:t>
      </w:r>
    </w:p>
    <w:p>
      <w:pPr>
        <w:pStyle w:val="Text1"/>
        <w:pBdr>
          <w:top w:val="single" w:sz="4" w:space="1" w:color="auto"/>
          <w:left w:val="single" w:sz="4" w:space="4" w:color="auto"/>
          <w:bottom w:val="single" w:sz="4" w:space="1" w:color="auto"/>
          <w:right w:val="single" w:sz="4" w:space="4" w:color="auto"/>
        </w:pBdr>
        <w:rPr>
          <w:noProof/>
        </w:rPr>
      </w:pPr>
      <w:r>
        <w:rPr>
          <w:noProof/>
        </w:rPr>
        <w:t>Enfin, l’accord et le protocole contribueront à l’exploitation durable, par les Seychelles, de leurs ressources marines, ainsi qu’à l’économie de la pêche des Seychelles, en promouvant la croissance liée aux activités économiques en rapport avec la pêche et l’instauration de conditions de travail décentes.</w:t>
      </w:r>
    </w:p>
    <w:p>
      <w:pPr>
        <w:pStyle w:val="ManualHeading3"/>
        <w:rPr>
          <w:noProof/>
          <w:szCs w:val="24"/>
        </w:rPr>
      </w:pPr>
      <w:r>
        <w:rPr>
          <w:noProof/>
        </w:rPr>
        <w:t>1.4.4.</w:t>
      </w:r>
      <w:r>
        <w:rPr>
          <w:noProof/>
        </w:rPr>
        <w:tab/>
        <w:t>Indicateurs de performance</w:t>
      </w:r>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Données relatives aux captures (collecte et analyse) et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l’instauration de conditions de travail décentes dans le secteur de pêche, ainsi qu’à la création de valeur ajoutée dans l’Union et 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Contribution à l’amélioration de la recherche, du suivi et du contrôle des activités de pêche par le pays partenaire et du développement de son secteur de la pêche, notamment artisanale. </w:t>
      </w:r>
    </w:p>
    <w:p>
      <w:pPr>
        <w:pStyle w:val="ManualHeading2"/>
        <w:rPr>
          <w:noProof/>
        </w:rPr>
      </w:pPr>
      <w:r>
        <w:rPr>
          <w:noProof/>
        </w:rPr>
        <w:t>1.5.</w:t>
      </w:r>
      <w:r>
        <w:rPr>
          <w:noProof/>
        </w:rPr>
        <w:tab/>
        <w:t xml:space="preserve">Justification(s) de la proposition/de l’initiative </w:t>
      </w:r>
    </w:p>
    <w:p>
      <w:pPr>
        <w:pStyle w:val="ManualHeading3"/>
        <w:rPr>
          <w:noProof/>
        </w:rPr>
      </w:pPr>
      <w:r>
        <w:rPr>
          <w:noProof/>
        </w:rPr>
        <w:t>1.5.1.</w:t>
      </w:r>
      <w:r>
        <w:rPr>
          <w:noProof/>
        </w:rPr>
        <w:tab/>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rPr>
      </w:pPr>
      <w:r>
        <w:rPr>
          <w:noProof/>
        </w:rPr>
        <w:t>Il est prévu que le nouvel accord et le nouveau protocole de mise en œuvre s’appliquent de manière provisoire à partir de la date de leur signature afin de réduire l’interruption éventuelle des opérations de pêche en cours dans le cadre du protocole actuel.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nouvel accord et le nouveau protocole permettront d’encadrer les activités de pêche de la flotte de l’Union dans la zone de pêche des Seychelles, et autoriseront les armateurs des navires de l’Union à demander des autorisations de pêche leur permettant de pêcher dans cette zone. En outre, le nouvel accord et le nouveau protocole renforceront la coopération entre l’Union et les Seychelles en vue de promouvoir le développement d’une politique de pêche durable dans toutes ses dimensions. Ils prévoient notamment le suivi des navires par VMS et la communication des données relatives aux captures par voie électronique. L’appui sectoriel disponible en vertu du protocole aidera les Seychelles dans le cadre de sa stratégie nationale en matière de pêche, y compris la lutte contre la pêche INN, tout en promouvant l’instauration de conditions de travail décentes lors des activités de pêche. </w:t>
      </w:r>
    </w:p>
    <w:p>
      <w:pPr>
        <w:pStyle w:val="ManualHeading3"/>
        <w:rPr>
          <w:bCs/>
          <w:noProof/>
          <w:szCs w:val="24"/>
        </w:rPr>
      </w:pPr>
      <w:r>
        <w:rPr>
          <w:noProof/>
        </w:rPr>
        <w:t>1.5.2.</w:t>
      </w:r>
      <w:r>
        <w:rPr>
          <w:noProof/>
        </w:rPr>
        <w:tab/>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Si l’Union ne concluait pas de nouvel accord et de nouveau protocole, les navires de l’Union ne pourraient pas exercer leurs activités de pêche, étant donné que l’accord actuel comporte une clause excluant les activités de pêche ne se déroulant pas dans le cadre défini par un protocole à l’accord. La valeur ajoutée est donc évidente pour la flotte de pêche lointaine de l’Union. Le protocole offre également un cadre pour une coopération renforcée entre l’Union et les Seychelles. </w:t>
      </w:r>
    </w:p>
    <w:p>
      <w:pPr>
        <w:pStyle w:val="ManualHeading3"/>
        <w:rPr>
          <w:noProof/>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L’analyse des captures historiques dans la zone de pêche des Seychelles et des évaluations et avis scientifiques disponibles a conduit les Parties à fixer le tonnage de référence pour les thonidés et espèces apparentées à 50 000 tonnes par an, avec des possibilités de pêche pour 40 thoniers à senne coulissante et 8 palangriers de surface. L’appui sectoriel est important afin de tenir compte des priorités de la stratégie nationale en matière de pêche, et en particulier du plan global pour la pêche.</w:t>
      </w:r>
    </w:p>
    <w:p>
      <w:pPr>
        <w:pStyle w:val="ManualHeading3"/>
        <w:rPr>
          <w:noProof/>
        </w:rPr>
      </w:pPr>
      <w:r>
        <w:rPr>
          <w:noProof/>
        </w:rPr>
        <w:t>1.5.4.</w:t>
      </w:r>
      <w:r>
        <w:rPr>
          <w:noProof/>
        </w:rPr>
        <w:tab/>
        <w:t>Compatibilité avec le cadre financier pluriannuel et synergies éventuelles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Les fonds alloués au titre de la compensation financière pour l’accès de l’APPD constituent des recettes fongibles dans le budget national des Seychelles. Toutefois, les fonds dédiés à l’appui sectoriel sont affectés (généralement par inscription dans la loi annuelle de finances) au ministère en charge des pêches, cela étant une condition pour la conclusion et le suivi des APPD. Ces ressources financières sont compatibles avec d’autres sources de financement issues d’autres bailleurs de fonds internationaux pour la réalisation de projets et/ou de programmes à mettre en œuvre au niveau national dans le secteur de la pêche.</w:t>
      </w:r>
    </w:p>
    <w:p>
      <w:pPr>
        <w:pStyle w:val="ManualHeading3"/>
        <w:rPr>
          <w:noProof/>
        </w:rPr>
      </w:pPr>
      <w:r>
        <w:rPr>
          <w:noProof/>
        </w:rPr>
        <w:t>1.5.5.</w:t>
      </w:r>
      <w:r>
        <w:rPr>
          <w:noProof/>
        </w:rPr>
        <w:tab/>
        <w:t>Évaluation des différentes possibilités de financement disponibles, y compris des possibilités de redéploiement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 Sans objet.</w:t>
      </w:r>
    </w:p>
    <w:p>
      <w:pPr>
        <w:pStyle w:val="Text1"/>
        <w:rPr>
          <w:noProof/>
        </w:rPr>
      </w:pPr>
    </w:p>
    <w:p>
      <w:pPr>
        <w:pStyle w:val="ManualHeading2"/>
        <w:rPr>
          <w:bCs/>
          <w:noProof/>
          <w:szCs w:val="24"/>
        </w:rPr>
      </w:pPr>
      <w:r>
        <w:rPr>
          <w:noProof/>
        </w:rPr>
        <w:t>1.6.</w:t>
      </w:r>
      <w:r>
        <w:rPr>
          <w:noProof/>
        </w:rPr>
        <w:tab/>
        <w:t>Durée et incidence financière de la proposition/de l’initiative</w:t>
      </w:r>
    </w:p>
    <w:p>
      <w:pPr>
        <w:pStyle w:val="Text1"/>
        <w:rPr>
          <w:noProof/>
        </w:rPr>
      </w:pPr>
      <w:r>
        <w:rPr>
          <w:b/>
          <w:noProof/>
        </w:rPr>
        <w:t xml:space="preserve">X durée limitée </w:t>
      </w:r>
    </w:p>
    <w:p>
      <w:pPr>
        <w:pStyle w:val="ListDash2"/>
        <w:rPr>
          <w:noProof/>
        </w:rPr>
      </w:pPr>
      <w:r>
        <w:rPr>
          <w:b/>
          <w:noProof/>
        </w:rPr>
        <w:t>X</w:t>
      </w:r>
      <w:r>
        <w:rPr>
          <w:noProof/>
        </w:rPr>
        <w:tab/>
        <w:t>En vigueur à partir de 2020 jusqu’en 2026</w:t>
      </w:r>
    </w:p>
    <w:p>
      <w:pPr>
        <w:pStyle w:val="ListDash2"/>
        <w:rPr>
          <w:noProof/>
        </w:rPr>
      </w:pPr>
      <w:r>
        <w:rPr>
          <w:b/>
          <w:noProof/>
        </w:rPr>
        <w:t>X</w:t>
      </w:r>
      <w:r>
        <w:rPr>
          <w:noProof/>
        </w:rPr>
        <w:tab/>
        <w:t>Incidence financière de 2020 jusqu’en 2025 pour les crédits d’engagement et de 2020 jusqu’en 2025 pour les crédits de paiement.</w:t>
      </w:r>
    </w:p>
    <w:p>
      <w:pPr>
        <w:pStyle w:val="Text1"/>
        <w:rPr>
          <w:noProof/>
        </w:rPr>
      </w:pPr>
      <w:r>
        <w:rPr>
          <w:noProof/>
        </w:rPr>
        <w:sym w:font="Wingdings" w:char="F0A8"/>
      </w:r>
      <w:r>
        <w:rPr>
          <w:b/>
          <w:bCs/>
          <w:noProof/>
        </w:rPr>
        <w:t xml:space="preserve">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8"/>
      </w:r>
      <w:r>
        <w:rPr>
          <w:rStyle w:val="FootnoteReference"/>
          <w:noProof/>
        </w:rPr>
        <w:t xml:space="preserve">    </w:t>
      </w:r>
    </w:p>
    <w:p>
      <w:pPr>
        <w:pStyle w:val="Text1"/>
        <w:rPr>
          <w:noProof/>
        </w:rPr>
      </w:pPr>
      <w:r>
        <w:rPr>
          <w:b/>
          <w:bCs/>
          <w:noProof/>
        </w:rPr>
        <w:t>X</w:t>
      </w:r>
      <w:r>
        <w:rPr>
          <w:noProof/>
        </w:rPr>
        <w:t xml:space="preserve"> </w:t>
      </w:r>
      <w:r>
        <w:rPr>
          <w:b/>
          <w:bCs/>
          <w:noProof/>
        </w:rPr>
        <w:t>Gestion directe</w:t>
      </w:r>
      <w:r>
        <w:rPr>
          <w:noProof/>
        </w:rPr>
        <w:t xml:space="preserve"> par la Commission</w:t>
      </w:r>
    </w:p>
    <w:p>
      <w:pPr>
        <w:pStyle w:val="ListDash2"/>
        <w:rPr>
          <w:rFonts w:cs="EUAlbertina"/>
          <w:noProof/>
        </w:rPr>
      </w:pPr>
      <w:r>
        <w:rPr>
          <w:b/>
          <w:bCs/>
          <w:noProof/>
        </w:rPr>
        <w:t>X</w:t>
      </w:r>
      <w:r>
        <w:rPr>
          <w:noProof/>
        </w:rPr>
        <w:t xml:space="preserve"> par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bCs/>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bCs/>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en collaboration avec son attaché pêche compétent pour la région — Port Louis, Maurice, et en coordination avec les services concernés de la Commission), assurera un suivi régulier de la mise en œuvre du protocole en ce qui concerne l’utilisation par les opérateurs des possibilités de pêche, les données relatives aux captures et le respect des conditions de l’appui sectoriel. </w:t>
      </w:r>
    </w:p>
    <w:p>
      <w:pPr>
        <w:pBdr>
          <w:top w:val="single" w:sz="4" w:space="1" w:color="auto"/>
          <w:left w:val="single" w:sz="4" w:space="4" w:color="auto"/>
          <w:bottom w:val="single" w:sz="4" w:space="1" w:color="auto"/>
          <w:right w:val="single" w:sz="4" w:space="4" w:color="auto"/>
        </w:pBdr>
        <w:ind w:left="850"/>
        <w:rPr>
          <w:noProof/>
        </w:rPr>
      </w:pPr>
      <w:r>
        <w:rPr>
          <w:noProof/>
        </w:rPr>
        <w:t>En outre, l’APPD prévoit au moins une réunion annuelle de la commission mixte pendant laquelle la Commission et les Seychelles font le point sur la mise en œuvre de l’accord et de son protocole et apportent, si nécessaire, des ajustements à la programmation et, le cas échéant, à la contrepartie financière.</w:t>
      </w:r>
    </w:p>
    <w:p>
      <w:pPr>
        <w:pStyle w:val="ManualHeading2"/>
        <w:rPr>
          <w:bCs/>
          <w:noProof/>
          <w:szCs w:val="24"/>
        </w:rPr>
      </w:pPr>
      <w:r>
        <w:rPr>
          <w:noProof/>
        </w:rPr>
        <w:t>2.2.</w:t>
      </w:r>
      <w:r>
        <w:rPr>
          <w:noProof/>
        </w:rPr>
        <w:tab/>
        <w:t xml:space="preserve">Système(s) de gestion et de contrôle </w:t>
      </w:r>
    </w:p>
    <w:p>
      <w:pPr>
        <w:pStyle w:val="ManualHeading3"/>
        <w:rPr>
          <w:noProof/>
        </w:rPr>
      </w:pPr>
      <w:r>
        <w:rPr>
          <w:noProof/>
        </w:rPr>
        <w:t>2.2.1.</w:t>
      </w:r>
      <w:r>
        <w:rPr>
          <w:noProof/>
        </w:rPr>
        <w:tab/>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rPr>
      </w:pPr>
      <w:r>
        <w:rPr>
          <w:noProof/>
        </w:rPr>
        <w:t>Les paiements sont mis en œuvre de manière découplée pour la contrepartie liée à l’accès et la contrepartie liée à l’appui sectoriel.</w:t>
      </w:r>
      <w:r>
        <w:rPr>
          <w:noProof/>
        </w:rPr>
        <w:cr/>
      </w:r>
      <w:r>
        <w:rPr>
          <w:noProof/>
        </w:rPr>
        <w:b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relatifs à l’accès sont effectués chaque année à la date à la date anniversaire du protocole, sauf la première année, où le paiement a lieu dans les trois mois suivant le début de l’application provisoire. L’accès des navires est contrôlé par la délivrance des autorisations de pêche.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paiement de l’appui a lieu la première fois dans les trois mois suivant le début de l’application provisoire, sous réserve d’un accord sur le programme annuel et pluriannuel de mise en œuvre; pour les années suivantes, le paiement sera subordonné aux résultats obtenus. Les résultats obtenus et le taux d’exécution feront l’objet d’un suivi conformément aux Lignes directrices sur la mise en œuvre de l’appui sectoriel pour la politique de la pêche des Seychelles qui seront convenues par les Parties, sur la base des rapports ou des preuves documentaires fournis par le pays partenaire et des inspections techniques menées par l’attaché pêche. </w:t>
      </w:r>
    </w:p>
    <w:p>
      <w:pPr>
        <w:pStyle w:val="ManualHeading3"/>
        <w:rPr>
          <w:bCs/>
          <w:noProof/>
          <w:szCs w:val="24"/>
        </w:rPr>
      </w:pPr>
      <w:r>
        <w:rPr>
          <w:noProof/>
        </w:rPr>
        <w:t>2.2.2.</w:t>
      </w:r>
      <w:r>
        <w:rPr>
          <w:noProof/>
        </w:rPr>
        <w:tab/>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Le risque identifié est une sous-utilisation des possibilités de pêche de la part des armateurs de l’Union et une sous-utilisation ou des retards dans l’utilisation des fonds destinés au financement de la politique sectorielle de la pêche par les Seychelles. Il est prévu un dialogue soutenu sur la programmation et la mise en œuvre de la politique sectorielle prévue par l’accord et le protocole. L’analyse conjointe des résultats mentionnée à l’article 4 du protocole fait également partie de ces moyens de contrôle. Par ailleurs l’accord et le protocole prévoient des clauses spécifiques pour leur suspension, à certaines conditions et dans des circonstances déterminées.</w:t>
      </w:r>
    </w:p>
    <w:p>
      <w:pPr>
        <w:pStyle w:val="ManualHeading3"/>
        <w:rPr>
          <w:noProof/>
        </w:rPr>
      </w:pPr>
      <w:r>
        <w:rPr>
          <w:noProof/>
        </w:rPr>
        <w:t>2.2.3.</w:t>
      </w:r>
      <w:r>
        <w:rPr>
          <w:noProof/>
        </w:rPr>
        <w:tab/>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paiements des coûts d’accès des Accords de Partenariat de Pêche Durable (APPD) font l’objet de contrôles visant à assurer leur conformité aux dispositions des accords internationaux. Les contrôles relatifs à l’appui sectoriel visent à surveiller la mise en œuvre de cet appui. Le suivi est effectué par le personnel de la Commission basé dans les délégations de l’Union ainsi que lors des réunions de la commission mixte. Une matrice de programmation pluriannuelle sert à l’évaluation des progrès. Si ceux-ci sont insuffisants, le paiement de la tranche suivante est suspendu, ou éventuellement réduit. On estime que le coût global des contrôles sur l’ensemble des APPD avoisine les 1,8 % (de l’ensemble des contributions de 2018). Les procédures de contrôle des APPD reposent en grande partie sur les exigences réglementaires essentielles. Si aucune insuffisance susceptible d’avoir une incidence significative sur la légalité et la régularité des opérations financières n’est détectée, les contrôles sont estimés efficaces. Le taux moyen d’erreur est estimé à 0,0%. </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régulière avec les Seychelles afin de pouvoir améliorer la gestion de l’accord et du protocole et de renforcer la contribution de l’Union à la gestion durable des ressources. Tout paiement effectué par la Commission dans le cadre d’un APPD est soumis aux règles et aux procédures budgétaires et financières normales de la Commission. En particulier, les comptes bancaires des pays tiers sur lesquels sont versés les montants de la contrepartie financière sont identifiés de façon complète. L’article 3, paragraphe 7, du protocole dispose que la contrepartie financière relative à l’accès et celle destinée au développement du secteur doivent être versées dans un compte du Trésor public.</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rPr>
              <w:t>CD/CND</w:t>
            </w:r>
            <w:r>
              <w:rPr>
                <w:rStyle w:val="FootnoteReference"/>
                <w:noProof/>
              </w:rPr>
              <w:footnoteReference w:id="9"/>
            </w:r>
          </w:p>
        </w:tc>
        <w:tc>
          <w:tcPr>
            <w:tcW w:w="1076" w:type="dxa"/>
            <w:vAlign w:val="center"/>
          </w:tcPr>
          <w:p>
            <w:pPr>
              <w:jc w:val="center"/>
              <w:rPr>
                <w:noProof/>
              </w:rPr>
            </w:pPr>
            <w:r>
              <w:rPr>
                <w:noProof/>
                <w:sz w:val="18"/>
              </w:rPr>
              <w:t>de pays AELE</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11"/>
            </w:r>
          </w:p>
          <w:p>
            <w:pPr>
              <w:spacing w:before="0" w:after="0"/>
              <w:jc w:val="center"/>
              <w:rPr>
                <w:noProof/>
                <w:sz w:val="18"/>
              </w:rPr>
            </w:pP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 dans les eaux des pays tiers (APD)</w:t>
            </w:r>
          </w:p>
          <w:p>
            <w:pPr>
              <w:spacing w:after="60"/>
              <w:rPr>
                <w:noProof/>
              </w:rPr>
            </w:pPr>
          </w:p>
        </w:tc>
        <w:tc>
          <w:tcPr>
            <w:tcW w:w="1080" w:type="dxa"/>
            <w:vAlign w:val="center"/>
          </w:tcPr>
          <w:p>
            <w:pPr>
              <w:jc w:val="center"/>
              <w:rPr>
                <w:noProof/>
                <w:color w:val="0000FF"/>
              </w:rPr>
            </w:pPr>
            <w:r>
              <w:rPr>
                <w:noProof/>
                <w:sz w:val="22"/>
              </w:rPr>
              <w:t>CD</w:t>
            </w:r>
          </w:p>
        </w:tc>
        <w:tc>
          <w:tcPr>
            <w:tcW w:w="1076" w:type="dxa"/>
            <w:vAlign w:val="center"/>
          </w:tcPr>
          <w:p>
            <w:pPr>
              <w:jc w:val="center"/>
              <w:rPr>
                <w:noProof/>
                <w:sz w:val="20"/>
                <w:szCs w:val="20"/>
              </w:rPr>
            </w:pPr>
            <w:r>
              <w:rPr>
                <w:noProof/>
                <w:sz w:val="20"/>
              </w:rPr>
              <w:t>NON</w:t>
            </w:r>
          </w:p>
        </w:tc>
        <w:tc>
          <w:tcPr>
            <w:tcW w:w="1080" w:type="dxa"/>
            <w:vAlign w:val="center"/>
          </w:tcPr>
          <w:p>
            <w:pPr>
              <w:jc w:val="center"/>
              <w:rPr>
                <w:noProof/>
                <w:sz w:val="20"/>
                <w:szCs w:val="20"/>
              </w:rPr>
            </w:pPr>
            <w:r>
              <w:rPr>
                <w:noProof/>
                <w:sz w:val="20"/>
              </w:rPr>
              <w:t>NON</w:t>
            </w:r>
          </w:p>
        </w:tc>
        <w:tc>
          <w:tcPr>
            <w:tcW w:w="1084" w:type="dxa"/>
            <w:vAlign w:val="center"/>
          </w:tcPr>
          <w:p>
            <w:pPr>
              <w:jc w:val="center"/>
              <w:rPr>
                <w:noProof/>
                <w:sz w:val="20"/>
                <w:szCs w:val="20"/>
              </w:rPr>
            </w:pPr>
            <w:r>
              <w:rPr>
                <w:noProof/>
                <w:sz w:val="20"/>
              </w:rPr>
              <w:t>NON</w:t>
            </w:r>
          </w:p>
        </w:tc>
        <w:tc>
          <w:tcPr>
            <w:tcW w:w="1320" w:type="dxa"/>
            <w:vAlign w:val="center"/>
          </w:tcPr>
          <w:p>
            <w:pPr>
              <w:jc w:val="center"/>
              <w:rPr>
                <w:noProof/>
                <w:sz w:val="20"/>
                <w:szCs w:val="20"/>
              </w:rPr>
            </w:pPr>
            <w:r>
              <w:rPr>
                <w:noProof/>
                <w:sz w:val="20"/>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p>
        </w:tc>
        <w:tc>
          <w:tcPr>
            <w:tcW w:w="107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OUI/NON</w:t>
            </w:r>
          </w:p>
        </w:tc>
        <w:tc>
          <w:tcPr>
            <w:tcW w:w="1080" w:type="dxa"/>
            <w:vAlign w:val="center"/>
          </w:tcPr>
          <w:p>
            <w:pPr>
              <w:jc w:val="center"/>
              <w:rPr>
                <w:noProof/>
                <w:color w:val="0000FF"/>
                <w:sz w:val="20"/>
                <w:szCs w:val="20"/>
              </w:rPr>
            </w:pPr>
            <w:r>
              <w:rPr>
                <w:noProof/>
                <w:sz w:val="20"/>
              </w:rPr>
              <w:t>OUI/NON</w:t>
            </w:r>
          </w:p>
        </w:tc>
        <w:tc>
          <w:tcPr>
            <w:tcW w:w="1084" w:type="dxa"/>
            <w:vAlign w:val="center"/>
          </w:tcPr>
          <w:p>
            <w:pPr>
              <w:jc w:val="center"/>
              <w:rPr>
                <w:noProof/>
                <w:color w:val="0000FF"/>
                <w:sz w:val="20"/>
                <w:szCs w:val="20"/>
              </w:rPr>
            </w:pPr>
            <w:r>
              <w:rPr>
                <w:noProof/>
                <w:sz w:val="20"/>
              </w:rPr>
              <w:t>OUI/NON</w:t>
            </w:r>
          </w:p>
        </w:tc>
        <w:tc>
          <w:tcPr>
            <w:tcW w:w="1320" w:type="dxa"/>
            <w:vAlign w:val="center"/>
          </w:tcPr>
          <w:p>
            <w:pPr>
              <w:jc w:val="center"/>
              <w:rPr>
                <w:noProof/>
                <w:sz w:val="20"/>
                <w:szCs w:val="20"/>
              </w:rPr>
            </w:pPr>
            <w:r>
              <w:rPr>
                <w:noProof/>
                <w:sz w:val="20"/>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financière estimée de la proposition sur les crédits </w:t>
      </w:r>
    </w:p>
    <w:p>
      <w:pPr>
        <w:pStyle w:val="ManualHeading3"/>
        <w:rPr>
          <w:noProof/>
        </w:rPr>
      </w:pPr>
      <w:r>
        <w:rPr>
          <w:noProof/>
        </w:rPr>
        <w:t>3.2.1.</w:t>
      </w:r>
      <w:r>
        <w:rPr>
          <w:noProof/>
        </w:rPr>
        <w:tab/>
        <w:t xml:space="preserve">Synthèse de l’incidence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18"/>
          <w:szCs w:val="18"/>
        </w:rPr>
      </w:pPr>
      <w:r>
        <w:rPr>
          <w:noProof/>
          <w:sz w:val="18"/>
        </w:rPr>
        <w:t>En Mio EUR (à la 3</w:t>
      </w:r>
      <w:r>
        <w:rPr>
          <w:noProof/>
          <w:sz w:val="18"/>
          <w:vertAlign w:val="superscript"/>
        </w:rPr>
        <w:t>e</w:t>
      </w:r>
      <w:r>
        <w:rPr>
          <w:noProof/>
          <w:sz w:val="18"/>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 pluriannuel</w:t>
            </w:r>
            <w:r>
              <w:rPr>
                <w:noProof/>
                <w:sz w:val="22"/>
              </w:rPr>
              <w:br/>
            </w:r>
            <w:r>
              <w:rPr>
                <w:b/>
                <w:noProof/>
                <w:sz w:val="22"/>
              </w:rPr>
              <w:t xml:space="preserve"> </w:t>
            </w:r>
          </w:p>
        </w:tc>
        <w:tc>
          <w:tcPr>
            <w:tcW w:w="1080" w:type="dxa"/>
            <w:vAlign w:val="center"/>
          </w:tcPr>
          <w:p>
            <w:pPr>
              <w:spacing w:before="60" w:after="60"/>
              <w:jc w:val="center"/>
              <w:rPr>
                <w:noProof/>
              </w:rPr>
            </w:pPr>
            <w:r>
              <w:rPr>
                <w:noProof/>
                <w:sz w:val="22"/>
              </w:rPr>
              <w:t>Numéro 2</w:t>
            </w:r>
          </w:p>
        </w:tc>
        <w:tc>
          <w:tcPr>
            <w:tcW w:w="7817" w:type="dxa"/>
            <w:vAlign w:val="center"/>
          </w:tcPr>
          <w:p>
            <w:pPr>
              <w:spacing w:before="60" w:after="60"/>
              <w:rPr>
                <w:noProof/>
              </w:rPr>
            </w:pPr>
            <w:r>
              <w:rPr>
                <w:noProof/>
              </w:rPr>
              <w:t>Croissance durable: ressources naturelles</w:t>
            </w:r>
          </w:p>
        </w:tc>
      </w:tr>
    </w:tbl>
    <w:p>
      <w:pPr>
        <w:rPr>
          <w:noProof/>
          <w:sz w:val="16"/>
        </w:rPr>
      </w:pPr>
    </w:p>
    <w:tbl>
      <w:tblPr>
        <w:tblW w:w="12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77"/>
        <w:gridCol w:w="992"/>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914" w:type="dxa"/>
            <w:vAlign w:val="center"/>
          </w:tcPr>
          <w:p>
            <w:pPr>
              <w:jc w:val="center"/>
              <w:rPr>
                <w:noProof/>
                <w:sz w:val="20"/>
              </w:rPr>
            </w:pPr>
            <w:r>
              <w:rPr>
                <w:b/>
                <w:noProof/>
                <w:sz w:val="20"/>
              </w:rPr>
              <w:t>2024</w:t>
            </w:r>
          </w:p>
        </w:tc>
        <w:tc>
          <w:tcPr>
            <w:tcW w:w="977" w:type="dxa"/>
          </w:tcPr>
          <w:p>
            <w:pPr>
              <w:jc w:val="center"/>
              <w:rPr>
                <w:b/>
                <w:noProof/>
                <w:sz w:val="20"/>
              </w:rPr>
            </w:pPr>
            <w:r>
              <w:rPr>
                <w:b/>
                <w:noProof/>
                <w:sz w:val="20"/>
              </w:rPr>
              <w:t>2025</w:t>
            </w:r>
          </w:p>
        </w:tc>
        <w:tc>
          <w:tcPr>
            <w:tcW w:w="992"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w:t>
            </w:r>
            <w:r>
              <w:rPr>
                <w:noProof/>
              </w:rPr>
              <w:t>Crédits opérationnels</w:t>
            </w:r>
            <w:r>
              <w:rPr>
                <w:noProof/>
                <w:sz w:val="21"/>
              </w:rPr>
              <w:t xml:space="preserve">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14" w:type="dxa"/>
            <w:vAlign w:val="center"/>
          </w:tcPr>
          <w:p>
            <w:pPr>
              <w:rPr>
                <w:noProof/>
                <w:sz w:val="20"/>
              </w:rPr>
            </w:pPr>
          </w:p>
        </w:tc>
        <w:tc>
          <w:tcPr>
            <w:tcW w:w="977" w:type="dxa"/>
          </w:tcPr>
          <w:p>
            <w:pPr>
              <w:rPr>
                <w:b/>
                <w:noProof/>
                <w:sz w:val="20"/>
              </w:rPr>
            </w:pPr>
          </w:p>
        </w:tc>
        <w:tc>
          <w:tcPr>
            <w:tcW w:w="992" w:type="dxa"/>
            <w:vAlign w:val="center"/>
          </w:tcPr>
          <w:p>
            <w:pPr>
              <w:rPr>
                <w:b/>
                <w:noProof/>
                <w:sz w:val="20"/>
              </w:rPr>
            </w:pPr>
          </w:p>
        </w:tc>
      </w:tr>
      <w:tr>
        <w:trPr>
          <w:trHeight w:val="277"/>
        </w:trPr>
        <w:tc>
          <w:tcPr>
            <w:tcW w:w="3960" w:type="dxa"/>
            <w:vMerge w:val="restart"/>
            <w:vAlign w:val="center"/>
          </w:tcPr>
          <w:p>
            <w:pPr>
              <w:spacing w:before="60"/>
              <w:rPr>
                <w:noProof/>
              </w:rPr>
            </w:pPr>
            <w:r>
              <w:rPr>
                <w:noProof/>
              </w:rPr>
              <w:t>Ligne budgétaire</w:t>
            </w:r>
            <w:r>
              <w:rPr>
                <w:rStyle w:val="FootnoteReference"/>
                <w:noProof/>
              </w:rPr>
              <w:footnoteReference w:id="12"/>
            </w:r>
            <w:r>
              <w:rPr>
                <w:noProof/>
              </w:rPr>
              <w:t xml:space="preserve"> 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val="restart"/>
            <w:vAlign w:val="center"/>
          </w:tcPr>
          <w:p>
            <w:pPr>
              <w:rPr>
                <w:noProof/>
              </w:rPr>
            </w:pPr>
            <w:r>
              <w:rPr>
                <w:noProof/>
                <w:sz w:val="20"/>
              </w:rPr>
              <w:t xml:space="preserve">Ligne budgétaire </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14" w:type="dxa"/>
            <w:vAlign w:val="center"/>
          </w:tcPr>
          <w:p>
            <w:pPr>
              <w:spacing w:before="20" w:after="20"/>
              <w:jc w:val="right"/>
              <w:rPr>
                <w:noProof/>
                <w:sz w:val="20"/>
              </w:rPr>
            </w:pPr>
          </w:p>
        </w:tc>
        <w:tc>
          <w:tcPr>
            <w:tcW w:w="977"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14" w:type="dxa"/>
            <w:vAlign w:val="center"/>
          </w:tcPr>
          <w:p>
            <w:pPr>
              <w:spacing w:before="20" w:after="20"/>
              <w:jc w:val="right"/>
              <w:rPr>
                <w:noProof/>
                <w:sz w:val="20"/>
              </w:rPr>
            </w:pPr>
          </w:p>
        </w:tc>
        <w:tc>
          <w:tcPr>
            <w:tcW w:w="977" w:type="dxa"/>
          </w:tcPr>
          <w:p>
            <w:pPr>
              <w:spacing w:before="20" w:after="20"/>
              <w:jc w:val="right"/>
              <w:rPr>
                <w:b/>
                <w:noProof/>
                <w:sz w:val="20"/>
              </w:rPr>
            </w:pPr>
          </w:p>
        </w:tc>
        <w:tc>
          <w:tcPr>
            <w:tcW w:w="992"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3"/>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914" w:type="dxa"/>
            <w:vAlign w:val="center"/>
          </w:tcPr>
          <w:p>
            <w:pPr>
              <w:rPr>
                <w:b/>
                <w:noProof/>
                <w:sz w:val="20"/>
              </w:rPr>
            </w:pPr>
          </w:p>
        </w:tc>
        <w:tc>
          <w:tcPr>
            <w:tcW w:w="977" w:type="dxa"/>
          </w:tcPr>
          <w:p>
            <w:pPr>
              <w:rPr>
                <w:b/>
                <w:noProof/>
                <w:sz w:val="20"/>
              </w:rPr>
            </w:pPr>
          </w:p>
        </w:tc>
        <w:tc>
          <w:tcPr>
            <w:tcW w:w="992" w:type="dxa"/>
            <w:vAlign w:val="center"/>
          </w:tcPr>
          <w:p>
            <w:pPr>
              <w:rPr>
                <w:b/>
                <w:noProof/>
                <w:sz w:val="20"/>
              </w:rPr>
            </w:pPr>
          </w:p>
        </w:tc>
      </w:tr>
      <w:tr>
        <w:trPr>
          <w:trHeight w:val="319"/>
        </w:trPr>
        <w:tc>
          <w:tcPr>
            <w:tcW w:w="3960" w:type="dxa"/>
            <w:vAlign w:val="center"/>
          </w:tcPr>
          <w:p>
            <w:pPr>
              <w:spacing w:before="60" w:after="60"/>
              <w:rPr>
                <w:noProof/>
              </w:rPr>
            </w:pPr>
            <w:r>
              <w:rPr>
                <w:noProof/>
                <w:sz w:val="20"/>
              </w:rPr>
              <w:t>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14" w:type="dxa"/>
            <w:vAlign w:val="center"/>
          </w:tcPr>
          <w:p>
            <w:pPr>
              <w:spacing w:before="40" w:after="40"/>
              <w:jc w:val="right"/>
              <w:rPr>
                <w:b/>
                <w:noProof/>
                <w:sz w:val="20"/>
              </w:rPr>
            </w:pPr>
          </w:p>
        </w:tc>
        <w:tc>
          <w:tcPr>
            <w:tcW w:w="977" w:type="dxa"/>
          </w:tcPr>
          <w:p>
            <w:pPr>
              <w:spacing w:before="40" w:after="40"/>
              <w:jc w:val="right"/>
              <w:rPr>
                <w:b/>
                <w:noProof/>
                <w:sz w:val="20"/>
              </w:rPr>
            </w:pPr>
          </w:p>
        </w:tc>
        <w:tc>
          <w:tcPr>
            <w:tcW w:w="992"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sz w:val="22"/>
              </w:rPr>
              <w:br/>
              <w:t xml:space="preserve">pour la </w:t>
            </w:r>
            <w:r>
              <w:rPr>
                <w:b/>
                <w:bCs/>
                <w:noProof/>
                <w:sz w:val="22"/>
              </w:rPr>
              <w:t>DG MARE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 +3</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p>
            <w:pPr>
              <w:spacing w:before="20" w:after="20"/>
              <w:jc w:val="center"/>
              <w:rPr>
                <w:b/>
                <w:noProof/>
                <w:sz w:val="20"/>
              </w:rPr>
            </w:pP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w:t>
            </w:r>
            <w:r>
              <w:rPr>
                <w:noProof/>
              </w:rPr>
              <w:t>TOTAL des crédits opérationnels</w:t>
            </w:r>
            <w:r>
              <w:rPr>
                <w:noProof/>
                <w:sz w:val="21"/>
              </w:rPr>
              <w:t xml:space="preserve">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2</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=4+6</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=5+6</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bl>
    <w:p>
      <w:pPr>
        <w:spacing w:after="40"/>
        <w:rPr>
          <w:b/>
          <w:noProof/>
          <w:sz w:val="22"/>
          <w:u w:val="single"/>
        </w:rPr>
      </w:pPr>
      <w:r>
        <w:rPr>
          <w:b/>
          <w:noProof/>
          <w:sz w:val="22"/>
          <w:u w:val="single"/>
        </w:rPr>
        <w:t>Si plusieurs rubriques opérationnelles sont concernées par la proposition/l’initiative, dupliquer la section qui précède: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81"/>
        <w:gridCol w:w="851"/>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rPr>
              <w:t>TOTAL des crédits opérationnels (toutes 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81" w:type="dxa"/>
            <w:tcBorders>
              <w:top w:val="single" w:sz="4" w:space="0" w:color="auto"/>
            </w:tcBorders>
          </w:tcPr>
          <w:p>
            <w:pPr>
              <w:spacing w:before="20" w:after="20"/>
              <w:jc w:val="right"/>
              <w:rPr>
                <w:b/>
                <w:noProof/>
                <w:sz w:val="20"/>
              </w:rPr>
            </w:pPr>
            <w:r>
              <w:rPr>
                <w:noProof/>
                <w:sz w:val="20"/>
              </w:rPr>
              <w:t>5,30</w:t>
            </w:r>
          </w:p>
        </w:tc>
        <w:tc>
          <w:tcPr>
            <w:tcW w:w="851" w:type="dxa"/>
            <w:tcBorders>
              <w:top w:val="single" w:sz="4" w:space="0" w:color="auto"/>
              <w:right w:val="single" w:sz="4" w:space="0" w:color="auto"/>
            </w:tcBorders>
            <w:vAlign w:val="center"/>
          </w:tcPr>
          <w:p>
            <w:pPr>
              <w:spacing w:before="20" w:after="20"/>
              <w:jc w:val="right"/>
              <w:rPr>
                <w:b/>
                <w:noProof/>
                <w:sz w:val="20"/>
              </w:rPr>
            </w:pPr>
            <w:r>
              <w:rPr>
                <w:b/>
                <w:noProof/>
                <w:sz w:val="20"/>
              </w:rPr>
              <w:t>31,8</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81" w:type="dxa"/>
          </w:tcPr>
          <w:p>
            <w:pPr>
              <w:spacing w:before="20" w:after="20"/>
              <w:jc w:val="right"/>
              <w:rPr>
                <w:b/>
                <w:noProof/>
                <w:sz w:val="20"/>
              </w:rPr>
            </w:pPr>
            <w:r>
              <w:rPr>
                <w:noProof/>
                <w:sz w:val="20"/>
              </w:rPr>
              <w:t>5,30</w:t>
            </w:r>
          </w:p>
        </w:tc>
        <w:tc>
          <w:tcPr>
            <w:tcW w:w="851" w:type="dxa"/>
            <w:tcBorders>
              <w:right w:val="single" w:sz="4" w:space="0" w:color="auto"/>
            </w:tcBorders>
            <w:vAlign w:val="center"/>
          </w:tcPr>
          <w:p>
            <w:pPr>
              <w:spacing w:before="20" w:after="20"/>
              <w:jc w:val="right"/>
              <w:rPr>
                <w:b/>
                <w:noProof/>
                <w:sz w:val="20"/>
              </w:rPr>
            </w:pPr>
            <w:r>
              <w:rPr>
                <w:b/>
                <w:noProof/>
                <w:sz w:val="20"/>
              </w:rPr>
              <w:t>31,8</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des crédits de nature administrative financés par l’enveloppe de certains programmes spécifiques (toutes les rubriques opérationnelles)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851"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81" w:type="dxa"/>
          </w:tcPr>
          <w:p>
            <w:pPr>
              <w:spacing w:before="20" w:after="20"/>
              <w:jc w:val="right"/>
              <w:rPr>
                <w:b/>
                <w:noProof/>
                <w:sz w:val="20"/>
              </w:rPr>
            </w:pPr>
            <w:r>
              <w:rPr>
                <w:noProof/>
                <w:sz w:val="20"/>
              </w:rPr>
              <w:t>5,30</w:t>
            </w:r>
          </w:p>
        </w:tc>
        <w:tc>
          <w:tcPr>
            <w:tcW w:w="851" w:type="dxa"/>
            <w:tcBorders>
              <w:right w:val="single" w:sz="4" w:space="0" w:color="auto"/>
            </w:tcBorders>
            <w:vAlign w:val="center"/>
          </w:tcPr>
          <w:p>
            <w:pPr>
              <w:spacing w:before="20" w:after="20"/>
              <w:jc w:val="right"/>
              <w:rPr>
                <w:b/>
                <w:noProof/>
                <w:sz w:val="20"/>
              </w:rPr>
            </w:pPr>
            <w:r>
              <w:rPr>
                <w:b/>
                <w:noProof/>
                <w:sz w:val="20"/>
              </w:rPr>
              <w:t>31,8</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=5+6</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81" w:type="dxa"/>
            <w:tcBorders>
              <w:bottom w:val="single" w:sz="4" w:space="0" w:color="auto"/>
            </w:tcBorders>
          </w:tcPr>
          <w:p>
            <w:pPr>
              <w:spacing w:before="20" w:after="20"/>
              <w:jc w:val="right"/>
              <w:rPr>
                <w:b/>
                <w:noProof/>
                <w:sz w:val="20"/>
              </w:rPr>
            </w:pPr>
            <w:r>
              <w:rPr>
                <w:noProof/>
                <w:sz w:val="20"/>
              </w:rPr>
              <w:t>5,30</w:t>
            </w:r>
          </w:p>
        </w:tc>
        <w:tc>
          <w:tcPr>
            <w:tcW w:w="851" w:type="dxa"/>
            <w:tcBorders>
              <w:bottom w:val="single" w:sz="4" w:space="0" w:color="auto"/>
              <w:right w:val="single" w:sz="4" w:space="0" w:color="auto"/>
            </w:tcBorders>
            <w:vAlign w:val="center"/>
          </w:tcPr>
          <w:p>
            <w:pPr>
              <w:spacing w:before="20" w:after="20"/>
              <w:jc w:val="right"/>
              <w:rPr>
                <w:b/>
                <w:noProof/>
                <w:sz w:val="20"/>
              </w:rPr>
            </w:pPr>
            <w:r>
              <w:rPr>
                <w:b/>
                <w:noProof/>
                <w:sz w:val="20"/>
              </w:rPr>
              <w:t>31,8</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13">
        <w:r>
          <w:rPr>
            <w:rStyle w:val="Hyperlink"/>
            <w:noProof/>
          </w:rPr>
          <w:t>annexe de la fiche financière législative</w:t>
        </w:r>
      </w:hyperlink>
      <w:r>
        <w:rPr>
          <w:noProof/>
        </w:rPr>
        <w:t xml:space="preserve"> (annexe V des règles internes), à charger dans DÉCIDE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868"/>
        <w:gridCol w:w="881"/>
        <w:gridCol w:w="267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b/>
                <w:noProof/>
                <w:sz w:val="18"/>
              </w:rPr>
            </w:pPr>
            <w:r>
              <w:rPr>
                <w:b/>
                <w:noProof/>
                <w:sz w:val="20"/>
              </w:rPr>
              <w:t>2024</w:t>
            </w:r>
          </w:p>
        </w:tc>
        <w:tc>
          <w:tcPr>
            <w:tcW w:w="881" w:type="dxa"/>
          </w:tcPr>
          <w:p>
            <w:pPr>
              <w:jc w:val="center"/>
              <w:rPr>
                <w:b/>
                <w:noProof/>
                <w:sz w:val="20"/>
              </w:rPr>
            </w:pPr>
            <w:r>
              <w:rPr>
                <w:b/>
                <w:noProof/>
                <w:sz w:val="20"/>
              </w:rPr>
              <w:t>2025</w:t>
            </w:r>
          </w:p>
        </w:tc>
        <w:tc>
          <w:tcPr>
            <w:tcW w:w="2673" w:type="dxa"/>
            <w:vAlign w:val="center"/>
          </w:tcPr>
          <w:p>
            <w:pPr>
              <w:jc w:val="center"/>
              <w:rPr>
                <w:b/>
                <w:noProof/>
                <w:sz w:val="20"/>
              </w:rPr>
            </w:pPr>
            <w:r>
              <w:rPr>
                <w:b/>
                <w:noProof/>
                <w:sz w:val="20"/>
              </w:rPr>
              <w:t>TOTAL</w:t>
            </w:r>
          </w:p>
        </w:tc>
      </w:tr>
      <w:tr>
        <w:trPr>
          <w:gridAfter w:val="8"/>
          <w:wAfter w:w="8211" w:type="dxa"/>
        </w:trPr>
        <w:tc>
          <w:tcPr>
            <w:tcW w:w="3960" w:type="dxa"/>
            <w:vAlign w:val="center"/>
          </w:tcPr>
          <w:p>
            <w:pPr>
              <w:spacing w:before="60" w:after="60"/>
              <w:jc w:val="center"/>
              <w:rPr>
                <w:noProof/>
              </w:rPr>
            </w:pPr>
            <w:r>
              <w:rPr>
                <w:noProof/>
                <w:sz w:val="22"/>
              </w:rPr>
              <w:t>DG: MARE</w:t>
            </w:r>
          </w:p>
        </w:tc>
        <w:tc>
          <w:tcPr>
            <w:tcW w:w="1777" w:type="dxa"/>
            <w:gridSpan w:val="2"/>
          </w:tcPr>
          <w:p>
            <w:pPr>
              <w:spacing w:before="60" w:after="60"/>
              <w:jc w:val="center"/>
              <w:rPr>
                <w:noProof/>
                <w:sz w:val="22"/>
              </w:rPr>
            </w:pPr>
          </w:p>
        </w:tc>
      </w:tr>
      <w:tr>
        <w:trPr>
          <w:trHeight w:val="313"/>
        </w:trPr>
        <w:tc>
          <w:tcPr>
            <w:tcW w:w="6054" w:type="dxa"/>
            <w:gridSpan w:val="4"/>
            <w:vAlign w:val="center"/>
          </w:tcPr>
          <w:p>
            <w:pPr>
              <w:spacing w:before="20" w:after="20"/>
              <w:rPr>
                <w:noProof/>
              </w:rPr>
            </w:pPr>
            <w:r>
              <w:rPr>
                <w:noProof/>
                <w:sz w:val="22"/>
              </w:rPr>
              <w:sym w:font="Wingdings" w:char="F09F"/>
            </w:r>
            <w:r>
              <w:rPr>
                <w:noProof/>
                <w:sz w:val="22"/>
              </w:rPr>
              <w:t xml:space="preserve"> </w:t>
            </w:r>
            <w:r>
              <w:rPr>
                <w:noProof/>
              </w:rPr>
              <w:t>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r>
        <w:trPr>
          <w:trHeight w:val="351"/>
        </w:trPr>
        <w:tc>
          <w:tcPr>
            <w:tcW w:w="6054" w:type="dxa"/>
            <w:gridSpan w:val="4"/>
            <w:vAlign w:val="center"/>
          </w:tcPr>
          <w:p>
            <w:pPr>
              <w:spacing w:before="20" w:after="20"/>
              <w:rPr>
                <w:noProof/>
              </w:rPr>
            </w:pPr>
            <w:r>
              <w:rPr>
                <w:noProof/>
                <w:sz w:val="22"/>
              </w:rPr>
              <w:sym w:font="Wingdings" w:char="F09F"/>
            </w:r>
            <w:r>
              <w:rPr>
                <w:noProof/>
                <w:sz w:val="22"/>
              </w:rPr>
              <w:t xml:space="preserve"> </w:t>
            </w:r>
            <w:r>
              <w:rPr>
                <w:noProof/>
              </w:rPr>
              <w:t>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r>
        <w:tc>
          <w:tcPr>
            <w:tcW w:w="3960" w:type="dxa"/>
            <w:vAlign w:val="center"/>
          </w:tcPr>
          <w:p>
            <w:pPr>
              <w:jc w:val="center"/>
              <w:rPr>
                <w:b/>
                <w:noProof/>
              </w:rPr>
            </w:pPr>
            <w:r>
              <w:rPr>
                <w:b/>
                <w:bCs/>
                <w:noProof/>
                <w:sz w:val="22"/>
              </w:rPr>
              <w:t>TOTAL DG MARE</w:t>
            </w:r>
          </w:p>
        </w:tc>
        <w:tc>
          <w:tcPr>
            <w:tcW w:w="2094" w:type="dxa"/>
            <w:gridSpan w:val="3"/>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81"/>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81"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1"/>
        <w:gridCol w:w="267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b/>
                <w:noProof/>
                <w:sz w:val="18"/>
              </w:rPr>
            </w:pPr>
            <w:r>
              <w:rPr>
                <w:b/>
                <w:noProof/>
                <w:sz w:val="20"/>
              </w:rPr>
              <w:t>2024</w:t>
            </w:r>
          </w:p>
        </w:tc>
        <w:tc>
          <w:tcPr>
            <w:tcW w:w="881" w:type="dxa"/>
          </w:tcPr>
          <w:p>
            <w:pPr>
              <w:jc w:val="center"/>
              <w:rPr>
                <w:b/>
                <w:noProof/>
                <w:sz w:val="20"/>
              </w:rPr>
            </w:pPr>
            <w:r>
              <w:rPr>
                <w:b/>
                <w:noProof/>
                <w:sz w:val="20"/>
              </w:rPr>
              <w:t>2025</w:t>
            </w:r>
          </w:p>
        </w:tc>
        <w:tc>
          <w:tcPr>
            <w:tcW w:w="2673"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b/>
                <w:noProof/>
                <w:sz w:val="20"/>
              </w:rPr>
            </w:pPr>
            <w:r>
              <w:rPr>
                <w:noProof/>
                <w:sz w:val="20"/>
              </w:rPr>
              <w:t>5,30</w:t>
            </w:r>
          </w:p>
        </w:tc>
        <w:tc>
          <w:tcPr>
            <w:tcW w:w="881" w:type="dxa"/>
          </w:tcPr>
          <w:p>
            <w:pPr>
              <w:spacing w:before="60" w:after="60"/>
              <w:jc w:val="right"/>
              <w:rPr>
                <w:b/>
                <w:noProof/>
                <w:sz w:val="20"/>
              </w:rPr>
            </w:pPr>
            <w:r>
              <w:rPr>
                <w:noProof/>
                <w:sz w:val="20"/>
              </w:rPr>
              <w:t>5,30</w:t>
            </w:r>
          </w:p>
        </w:tc>
        <w:tc>
          <w:tcPr>
            <w:tcW w:w="2673" w:type="dxa"/>
            <w:vAlign w:val="center"/>
          </w:tcPr>
          <w:p>
            <w:pPr>
              <w:spacing w:before="60" w:after="60"/>
              <w:jc w:val="right"/>
              <w:rPr>
                <w:b/>
                <w:noProof/>
                <w:sz w:val="20"/>
              </w:rPr>
            </w:pPr>
            <w:r>
              <w:rPr>
                <w:b/>
                <w:noProof/>
                <w:sz w:val="20"/>
              </w:rPr>
              <w:t>31,8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b/>
                <w:noProof/>
                <w:sz w:val="20"/>
              </w:rPr>
            </w:pPr>
            <w:r>
              <w:rPr>
                <w:noProof/>
                <w:sz w:val="20"/>
              </w:rPr>
              <w:t>5,30</w:t>
            </w:r>
          </w:p>
        </w:tc>
        <w:tc>
          <w:tcPr>
            <w:tcW w:w="881" w:type="dxa"/>
          </w:tcPr>
          <w:p>
            <w:pPr>
              <w:spacing w:before="60" w:after="60"/>
              <w:jc w:val="right"/>
              <w:rPr>
                <w:b/>
                <w:noProof/>
                <w:sz w:val="20"/>
              </w:rPr>
            </w:pPr>
            <w:r>
              <w:rPr>
                <w:noProof/>
                <w:sz w:val="20"/>
              </w:rPr>
              <w:t>5,30</w:t>
            </w:r>
          </w:p>
        </w:tc>
        <w:tc>
          <w:tcPr>
            <w:tcW w:w="2673" w:type="dxa"/>
            <w:vAlign w:val="center"/>
          </w:tcPr>
          <w:p>
            <w:pPr>
              <w:spacing w:before="60" w:after="60"/>
              <w:jc w:val="right"/>
              <w:rPr>
                <w:b/>
                <w:noProof/>
                <w:sz w:val="20"/>
              </w:rPr>
            </w:pPr>
            <w:r>
              <w:rPr>
                <w:b/>
                <w:noProof/>
                <w:sz w:val="20"/>
              </w:rPr>
              <w:t>31,8</w:t>
            </w:r>
          </w:p>
        </w:tc>
      </w:tr>
    </w:tbl>
    <w:p>
      <w:pPr>
        <w:rPr>
          <w:noProof/>
        </w:rPr>
      </w:pPr>
    </w:p>
    <w:p>
      <w:pPr>
        <w:pStyle w:val="ManualHeading3"/>
        <w:rPr>
          <w:bCs/>
          <w:noProof/>
          <w:szCs w:val="24"/>
        </w:rPr>
      </w:pPr>
      <w:r>
        <w:rPr>
          <w:noProof/>
        </w:rPr>
        <w:t>3.2.2.</w:t>
      </w:r>
      <w:r>
        <w:rPr>
          <w:noProof/>
        </w:rPr>
        <w:tab/>
        <w:t xml:space="preserve">Estimation des réalisations financées avec des crédits opérationnels </w:t>
      </w:r>
    </w:p>
    <w:p>
      <w:pPr>
        <w:jc w:val="right"/>
        <w:rPr>
          <w:noProof/>
          <w:sz w:val="20"/>
        </w:rPr>
      </w:pPr>
      <w:r>
        <w:rPr>
          <w:noProof/>
          <w:sz w:val="20"/>
        </w:rPr>
        <w:t>Crédits d’engagement en Mio EUR (à la 3</w:t>
      </w:r>
      <w:r>
        <w:rPr>
          <w:noProof/>
          <w:sz w:val="20"/>
          <w:vertAlign w:val="superscript"/>
        </w:rPr>
        <w:t>e</w:t>
      </w:r>
      <w:r>
        <w:rPr>
          <w:noProof/>
          <w:sz w:val="20"/>
        </w:rPr>
        <w:t xml:space="preserve"> décimale)</w:t>
      </w:r>
    </w:p>
    <w:p>
      <w:pPr>
        <w:rPr>
          <w:noProof/>
        </w:rPr>
      </w:pPr>
    </w:p>
    <w:p>
      <w:pPr>
        <w:rPr>
          <w:noProof/>
        </w:rPr>
      </w:pP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513"/>
        <w:gridCol w:w="6"/>
        <w:gridCol w:w="147"/>
        <w:gridCol w:w="35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900" w:type="dxa"/>
            <w:gridSpan w:val="2"/>
            <w:vAlign w:val="center"/>
          </w:tcPr>
          <w:p>
            <w:pPr>
              <w:ind w:right="-29"/>
              <w:jc w:val="center"/>
              <w:rPr>
                <w:noProof/>
                <w:sz w:val="18"/>
                <w:szCs w:val="18"/>
              </w:rPr>
            </w:pPr>
          </w:p>
        </w:tc>
        <w:tc>
          <w:tcPr>
            <w:tcW w:w="519" w:type="dxa"/>
            <w:gridSpan w:val="2"/>
            <w:vAlign w:val="center"/>
          </w:tcPr>
          <w:p>
            <w:pPr>
              <w:ind w:right="-29"/>
              <w:jc w:val="center"/>
              <w:rPr>
                <w:noProof/>
                <w:sz w:val="18"/>
                <w:szCs w:val="18"/>
              </w:rPr>
            </w:pPr>
          </w:p>
        </w:tc>
        <w:tc>
          <w:tcPr>
            <w:tcW w:w="1224" w:type="dxa"/>
            <w:gridSpan w:val="5"/>
            <w:tcBorders>
              <w:left w:val="nil"/>
            </w:tcBorders>
            <w:vAlign w:val="center"/>
          </w:tcPr>
          <w:p>
            <w:pPr>
              <w:ind w:right="-29"/>
              <w:jc w:val="center"/>
              <w:rPr>
                <w:noProof/>
                <w:sz w:val="18"/>
                <w:szCs w:val="18"/>
              </w:rPr>
            </w:pPr>
            <w:r>
              <w:rPr>
                <w:b/>
                <w:noProof/>
                <w:sz w:val="18"/>
              </w:rPr>
              <w:t>2020</w:t>
            </w:r>
          </w:p>
        </w:tc>
        <w:tc>
          <w:tcPr>
            <w:tcW w:w="1260" w:type="dxa"/>
            <w:gridSpan w:val="4"/>
            <w:vAlign w:val="center"/>
          </w:tcPr>
          <w:p>
            <w:pPr>
              <w:ind w:right="-29"/>
              <w:jc w:val="center"/>
              <w:rPr>
                <w:noProof/>
                <w:sz w:val="18"/>
                <w:szCs w:val="18"/>
              </w:rPr>
            </w:pPr>
            <w:r>
              <w:rPr>
                <w:b/>
                <w:noProof/>
                <w:sz w:val="18"/>
              </w:rPr>
              <w:t>2021</w:t>
            </w:r>
          </w:p>
        </w:tc>
        <w:tc>
          <w:tcPr>
            <w:tcW w:w="1440" w:type="dxa"/>
            <w:gridSpan w:val="4"/>
            <w:vAlign w:val="center"/>
          </w:tcPr>
          <w:p>
            <w:pPr>
              <w:ind w:right="-29"/>
              <w:jc w:val="center"/>
              <w:rPr>
                <w:noProof/>
                <w:sz w:val="18"/>
                <w:szCs w:val="18"/>
              </w:rPr>
            </w:pPr>
            <w:r>
              <w:rPr>
                <w:b/>
                <w:noProof/>
                <w:sz w:val="18"/>
              </w:rPr>
              <w:t>2022</w:t>
            </w:r>
          </w:p>
        </w:tc>
        <w:tc>
          <w:tcPr>
            <w:tcW w:w="1623" w:type="dxa"/>
            <w:gridSpan w:val="4"/>
            <w:vAlign w:val="center"/>
          </w:tcPr>
          <w:p>
            <w:pPr>
              <w:ind w:right="-29"/>
              <w:jc w:val="center"/>
              <w:rPr>
                <w:noProof/>
                <w:sz w:val="18"/>
                <w:szCs w:val="18"/>
              </w:rPr>
            </w:pPr>
            <w:r>
              <w:rPr>
                <w:b/>
                <w:noProof/>
                <w:sz w:val="18"/>
              </w:rPr>
              <w:t>2023</w:t>
            </w:r>
          </w:p>
        </w:tc>
        <w:tc>
          <w:tcPr>
            <w:tcW w:w="1254" w:type="dxa"/>
            <w:gridSpan w:val="4"/>
            <w:vAlign w:val="center"/>
          </w:tcPr>
          <w:p>
            <w:pPr>
              <w:jc w:val="center"/>
              <w:rPr>
                <w:noProof/>
                <w:sz w:val="18"/>
                <w:szCs w:val="18"/>
              </w:rPr>
            </w:pPr>
            <w:r>
              <w:rPr>
                <w:b/>
                <w:noProof/>
                <w:sz w:val="18"/>
              </w:rPr>
              <w:t>2024</w:t>
            </w:r>
          </w:p>
        </w:tc>
        <w:tc>
          <w:tcPr>
            <w:tcW w:w="942" w:type="dxa"/>
            <w:gridSpan w:val="2"/>
            <w:tcBorders>
              <w:right w:val="nil"/>
            </w:tcBorders>
          </w:tcPr>
          <w:p>
            <w:pPr>
              <w:ind w:right="-29"/>
              <w:jc w:val="center"/>
              <w:rPr>
                <w:b/>
                <w:noProof/>
                <w:sz w:val="18"/>
              </w:rPr>
            </w:pPr>
            <w:r>
              <w:rPr>
                <w:b/>
                <w:noProof/>
                <w:sz w:val="18"/>
              </w:rPr>
              <w:t>2025</w:t>
            </w:r>
          </w:p>
        </w:tc>
        <w:tc>
          <w:tcPr>
            <w:tcW w:w="2190" w:type="dxa"/>
            <w:gridSpan w:val="5"/>
            <w:tcBorders>
              <w:left w:val="nil"/>
              <w:bottom w:val="nil"/>
            </w:tcBorders>
            <w:vAlign w:val="center"/>
          </w:tcPr>
          <w:p>
            <w:pPr>
              <w:ind w:right="-29"/>
              <w:jc w:val="center"/>
              <w:rPr>
                <w:noProof/>
                <w:sz w:val="18"/>
                <w:szCs w:val="18"/>
              </w:rPr>
            </w:pPr>
            <w:r>
              <w:rPr>
                <w:b/>
                <w:noProof/>
                <w:sz w:val="18"/>
              </w:rPr>
              <w:t>TOTAL</w:t>
            </w:r>
          </w:p>
        </w:tc>
      </w:tr>
      <w:tr>
        <w:trPr>
          <w:gridBefore w:val="1"/>
          <w:gridAfter w:val="27"/>
          <w:wBefore w:w="6" w:type="dxa"/>
          <w:wAfter w:w="9786" w:type="dxa"/>
          <w:trHeight w:val="465"/>
          <w:jc w:val="center"/>
        </w:trPr>
        <w:tc>
          <w:tcPr>
            <w:tcW w:w="1422" w:type="dxa"/>
            <w:gridSpan w:val="2"/>
            <w:vMerge/>
            <w:vAlign w:val="center"/>
          </w:tcPr>
          <w:p>
            <w:pPr>
              <w:ind w:right="-29"/>
              <w:jc w:val="center"/>
              <w:rPr>
                <w:noProof/>
                <w:sz w:val="18"/>
                <w:szCs w:val="18"/>
              </w:rPr>
            </w:pPr>
          </w:p>
        </w:tc>
        <w:tc>
          <w:tcPr>
            <w:tcW w:w="1566" w:type="dxa"/>
            <w:gridSpan w:val="5"/>
          </w:tcPr>
          <w:p>
            <w:pPr>
              <w:ind w:right="-29"/>
              <w:jc w:val="center"/>
              <w:rPr>
                <w:noProof/>
                <w:sz w:val="18"/>
                <w:szCs w:val="18"/>
              </w:rPr>
            </w:pPr>
          </w:p>
        </w:tc>
      </w:tr>
      <w:tr>
        <w:trPr>
          <w:gridBefore w:val="1"/>
          <w:gridAfter w:val="1"/>
          <w:wBefore w:w="6" w:type="dxa"/>
          <w:wAfter w:w="12" w:type="dxa"/>
          <w:cantSplit/>
          <w:trHeight w:val="1134"/>
          <w:jc w:val="center"/>
        </w:trPr>
        <w:tc>
          <w:tcPr>
            <w:tcW w:w="1422" w:type="dxa"/>
            <w:gridSpan w:val="2"/>
            <w:vMerge/>
            <w:vAlign w:val="center"/>
          </w:tcPr>
          <w:p>
            <w:pPr>
              <w:rPr>
                <w:noProof/>
                <w:sz w:val="18"/>
                <w:szCs w:val="18"/>
              </w:rPr>
            </w:pPr>
          </w:p>
        </w:tc>
        <w:tc>
          <w:tcPr>
            <w:tcW w:w="900" w:type="dxa"/>
            <w:gridSpan w:val="2"/>
            <w:vAlign w:val="center"/>
          </w:tcPr>
          <w:p>
            <w:pPr>
              <w:jc w:val="center"/>
              <w:rPr>
                <w:noProof/>
                <w:sz w:val="18"/>
                <w:szCs w:val="18"/>
              </w:rPr>
            </w:pPr>
            <w:r>
              <w:rPr>
                <w:noProof/>
                <w:sz w:val="18"/>
              </w:rPr>
              <w:t>Type</w:t>
            </w:r>
            <w:r>
              <w:rPr>
                <w:rStyle w:val="FootnoteReference"/>
                <w:noProof/>
                <w:sz w:val="18"/>
              </w:rPr>
              <w:footnoteReference w:id="14"/>
            </w:r>
          </w:p>
          <w:p>
            <w:pPr>
              <w:spacing w:before="0" w:after="0"/>
              <w:jc w:val="center"/>
              <w:rPr>
                <w:noProof/>
                <w:sz w:val="18"/>
                <w:szCs w:val="18"/>
              </w:rPr>
            </w:pPr>
          </w:p>
        </w:tc>
        <w:tc>
          <w:tcPr>
            <w:tcW w:w="519" w:type="dxa"/>
            <w:gridSpan w:val="2"/>
            <w:vAlign w:val="center"/>
          </w:tcPr>
          <w:p>
            <w:pPr>
              <w:jc w:val="center"/>
              <w:rPr>
                <w:noProof/>
                <w:sz w:val="18"/>
                <w:szCs w:val="18"/>
              </w:rPr>
            </w:pPr>
            <w:r>
              <w:rPr>
                <w:noProof/>
                <w:sz w:val="18"/>
              </w:rPr>
              <w:t>Coût moyen</w:t>
            </w:r>
          </w:p>
        </w:tc>
        <w:tc>
          <w:tcPr>
            <w:tcW w:w="504" w:type="dxa"/>
            <w:gridSpan w:val="3"/>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3"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14"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942" w:type="dxa"/>
            <w:gridSpan w:val="2"/>
            <w:shd w:val="pct10" w:color="auto" w:fill="auto"/>
          </w:tcPr>
          <w:p>
            <w:pPr>
              <w:jc w:val="center"/>
              <w:rPr>
                <w:noProof/>
                <w:sz w:val="18"/>
              </w:rPr>
            </w:pPr>
          </w:p>
        </w:tc>
        <w:tc>
          <w:tcPr>
            <w:tcW w:w="1278" w:type="dxa"/>
            <w:gridSpan w:val="2"/>
            <w:tcBorders>
              <w:right w:val="dashSmallGap" w:sz="4" w:space="0" w:color="auto"/>
            </w:tcBorders>
            <w:shd w:val="pct10" w:color="auto" w:fill="auto"/>
            <w:vAlign w:val="center"/>
          </w:tcPr>
          <w:p>
            <w:pPr>
              <w:jc w:val="center"/>
              <w:rPr>
                <w:noProof/>
                <w:sz w:val="18"/>
                <w:szCs w:val="18"/>
              </w:rPr>
            </w:pPr>
            <w:r>
              <w:rPr>
                <w:noProof/>
                <w:sz w:val="18"/>
              </w:rPr>
              <w:t>Nombre total</w:t>
            </w:r>
          </w:p>
        </w:tc>
        <w:tc>
          <w:tcPr>
            <w:tcW w:w="900" w:type="dxa"/>
            <w:gridSpan w:val="2"/>
            <w:tcBorders>
              <w:left w:val="dashSmallGap" w:sz="4" w:space="0" w:color="auto"/>
            </w:tcBorders>
            <w:shd w:val="pct10" w:color="auto" w:fill="auto"/>
            <w:vAlign w:val="center"/>
          </w:tcPr>
          <w:p>
            <w:pPr>
              <w:jc w:val="center"/>
              <w:rPr>
                <w:noProof/>
                <w:sz w:val="18"/>
                <w:szCs w:val="18"/>
              </w:rPr>
            </w:pPr>
            <w:r>
              <w:rPr>
                <w:noProof/>
                <w:sz w:val="18"/>
              </w:rPr>
              <w:t>Coût total</w:t>
            </w:r>
          </w:p>
        </w:tc>
      </w:tr>
      <w:tr>
        <w:trPr>
          <w:gridAfter w:val="2"/>
          <w:wAfter w:w="18" w:type="dxa"/>
          <w:jc w:val="center"/>
        </w:trPr>
        <w:tc>
          <w:tcPr>
            <w:tcW w:w="2841" w:type="dxa"/>
            <w:gridSpan w:val="6"/>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15"/>
            </w:r>
            <w:r>
              <w:rPr>
                <w:noProof/>
                <w:sz w:val="18"/>
              </w:rPr>
              <w:t>…</w:t>
            </w:r>
          </w:p>
        </w:tc>
        <w:tc>
          <w:tcPr>
            <w:tcW w:w="504" w:type="dxa"/>
            <w:gridSpan w:val="3"/>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3" w:type="dxa"/>
            <w:gridSpan w:val="2"/>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08" w:type="dxa"/>
            <w:gridSpan w:val="2"/>
            <w:tcBorders>
              <w:top w:val="nil"/>
              <w:left w:val="nil"/>
              <w:bottom w:val="nil"/>
              <w:right w:val="nil"/>
            </w:tcBorders>
          </w:tcPr>
          <w:p>
            <w:pPr>
              <w:spacing w:before="60" w:after="60"/>
              <w:ind w:right="-29"/>
              <w:jc w:val="center"/>
              <w:rPr>
                <w:noProof/>
                <w:sz w:val="18"/>
                <w:szCs w:val="18"/>
              </w:rPr>
            </w:pPr>
          </w:p>
        </w:tc>
        <w:tc>
          <w:tcPr>
            <w:tcW w:w="942" w:type="dxa"/>
            <w:gridSpan w:val="2"/>
            <w:tcBorders>
              <w:top w:val="nil"/>
              <w:left w:val="nil"/>
              <w:bottom w:val="nil"/>
              <w:right w:val="nil"/>
            </w:tcBorders>
          </w:tcPr>
          <w:p>
            <w:pPr>
              <w:spacing w:before="60" w:after="60"/>
              <w:ind w:right="-29"/>
              <w:jc w:val="center"/>
              <w:rPr>
                <w:noProof/>
                <w:sz w:val="18"/>
                <w:szCs w:val="18"/>
              </w:rPr>
            </w:pPr>
          </w:p>
        </w:tc>
        <w:tc>
          <w:tcPr>
            <w:tcW w:w="1284" w:type="dxa"/>
            <w:gridSpan w:val="2"/>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xml:space="preserve">- Accès </w:t>
            </w:r>
          </w:p>
        </w:tc>
        <w:tc>
          <w:tcPr>
            <w:tcW w:w="894" w:type="dxa"/>
            <w:gridSpan w:val="2"/>
          </w:tcPr>
          <w:p>
            <w:pPr>
              <w:ind w:right="-29"/>
              <w:jc w:val="center"/>
              <w:rPr>
                <w:noProof/>
                <w:sz w:val="18"/>
                <w:szCs w:val="18"/>
              </w:rPr>
            </w:pPr>
            <w:r>
              <w:rPr>
                <w:noProof/>
                <w:sz w:val="18"/>
                <w:szCs w:val="18"/>
              </w:rPr>
              <w:t>Annuel</w:t>
            </w:r>
          </w:p>
        </w:tc>
        <w:tc>
          <w:tcPr>
            <w:tcW w:w="525" w:type="dxa"/>
            <w:gridSpan w:val="2"/>
          </w:tcPr>
          <w:p>
            <w:pPr>
              <w:ind w:right="-29"/>
              <w:jc w:val="center"/>
              <w:rPr>
                <w:noProof/>
                <w:sz w:val="18"/>
                <w:szCs w:val="18"/>
              </w:rPr>
            </w:pPr>
          </w:p>
        </w:tc>
        <w:tc>
          <w:tcPr>
            <w:tcW w:w="504" w:type="dxa"/>
            <w:gridSpan w:val="3"/>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54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72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900" w:type="dxa"/>
            <w:gridSpan w:val="2"/>
            <w:tcBorders>
              <w:right w:val="dashSmallGap" w:sz="4" w:space="0" w:color="auto"/>
            </w:tcBorders>
          </w:tcPr>
          <w:p>
            <w:pPr>
              <w:ind w:right="-29"/>
              <w:jc w:val="center"/>
              <w:rPr>
                <w:noProof/>
                <w:sz w:val="18"/>
                <w:szCs w:val="18"/>
              </w:rPr>
            </w:pPr>
          </w:p>
        </w:tc>
        <w:tc>
          <w:tcPr>
            <w:tcW w:w="723" w:type="dxa"/>
            <w:gridSpan w:val="2"/>
            <w:tcBorders>
              <w:left w:val="dashSmallGap" w:sz="4" w:space="0" w:color="auto"/>
            </w:tcBorders>
          </w:tcPr>
          <w:p>
            <w:pPr>
              <w:ind w:right="-29"/>
              <w:jc w:val="center"/>
              <w:rPr>
                <w:noProof/>
                <w:sz w:val="18"/>
                <w:szCs w:val="18"/>
              </w:rPr>
            </w:pPr>
            <w:r>
              <w:rPr>
                <w:noProof/>
                <w:sz w:val="18"/>
                <w:szCs w:val="18"/>
              </w:rPr>
              <w:t>2,5</w:t>
            </w:r>
          </w:p>
        </w:tc>
        <w:tc>
          <w:tcPr>
            <w:tcW w:w="540" w:type="dxa"/>
            <w:gridSpan w:val="2"/>
            <w:tcBorders>
              <w:right w:val="dashSmallGap" w:sz="4" w:space="0" w:color="auto"/>
            </w:tcBorders>
          </w:tcPr>
          <w:p>
            <w:pPr>
              <w:ind w:right="-29"/>
              <w:jc w:val="center"/>
              <w:rPr>
                <w:noProof/>
                <w:sz w:val="18"/>
                <w:szCs w:val="18"/>
              </w:rPr>
            </w:pPr>
          </w:p>
        </w:tc>
        <w:tc>
          <w:tcPr>
            <w:tcW w:w="708" w:type="dxa"/>
            <w:gridSpan w:val="2"/>
            <w:tcBorders>
              <w:left w:val="dashSmallGap" w:sz="4" w:space="0" w:color="auto"/>
            </w:tcBorders>
          </w:tcPr>
          <w:p>
            <w:pPr>
              <w:ind w:right="-29"/>
              <w:jc w:val="center"/>
              <w:rPr>
                <w:noProof/>
                <w:sz w:val="18"/>
                <w:szCs w:val="18"/>
              </w:rPr>
            </w:pPr>
            <w:r>
              <w:rPr>
                <w:noProof/>
                <w:sz w:val="18"/>
                <w:szCs w:val="18"/>
              </w:rPr>
              <w:t>2,5</w:t>
            </w:r>
          </w:p>
        </w:tc>
        <w:tc>
          <w:tcPr>
            <w:tcW w:w="942" w:type="dxa"/>
            <w:gridSpan w:val="2"/>
          </w:tcPr>
          <w:p>
            <w:pPr>
              <w:ind w:right="-29"/>
              <w:jc w:val="center"/>
              <w:rPr>
                <w:noProof/>
                <w:sz w:val="18"/>
                <w:szCs w:val="18"/>
              </w:rPr>
            </w:pPr>
            <w:r>
              <w:rPr>
                <w:noProof/>
                <w:sz w:val="18"/>
                <w:szCs w:val="18"/>
              </w:rPr>
              <w:t>2,5</w:t>
            </w: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r>
              <w:rPr>
                <w:noProof/>
                <w:sz w:val="18"/>
                <w:szCs w:val="18"/>
              </w:rPr>
              <w:t>15,00</w:t>
            </w: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Sectoriel</w:t>
            </w:r>
          </w:p>
        </w:tc>
        <w:tc>
          <w:tcPr>
            <w:tcW w:w="894" w:type="dxa"/>
            <w:gridSpan w:val="2"/>
          </w:tcPr>
          <w:p>
            <w:pPr>
              <w:ind w:right="-29"/>
              <w:jc w:val="center"/>
              <w:rPr>
                <w:noProof/>
                <w:sz w:val="18"/>
                <w:szCs w:val="18"/>
              </w:rPr>
            </w:pPr>
            <w:r>
              <w:rPr>
                <w:noProof/>
                <w:sz w:val="18"/>
                <w:szCs w:val="18"/>
              </w:rPr>
              <w:t>Annuel</w:t>
            </w:r>
          </w:p>
        </w:tc>
        <w:tc>
          <w:tcPr>
            <w:tcW w:w="525" w:type="dxa"/>
            <w:gridSpan w:val="2"/>
          </w:tcPr>
          <w:p>
            <w:pPr>
              <w:ind w:right="-29"/>
              <w:jc w:val="center"/>
              <w:rPr>
                <w:noProof/>
                <w:sz w:val="18"/>
                <w:szCs w:val="18"/>
              </w:rPr>
            </w:pPr>
          </w:p>
        </w:tc>
        <w:tc>
          <w:tcPr>
            <w:tcW w:w="504" w:type="dxa"/>
            <w:gridSpan w:val="3"/>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54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72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900" w:type="dxa"/>
            <w:gridSpan w:val="2"/>
            <w:tcBorders>
              <w:right w:val="dashSmallGap" w:sz="4" w:space="0" w:color="auto"/>
            </w:tcBorders>
          </w:tcPr>
          <w:p>
            <w:pPr>
              <w:ind w:right="-29"/>
              <w:jc w:val="center"/>
              <w:rPr>
                <w:noProof/>
                <w:sz w:val="18"/>
                <w:szCs w:val="18"/>
              </w:rPr>
            </w:pPr>
          </w:p>
        </w:tc>
        <w:tc>
          <w:tcPr>
            <w:tcW w:w="723" w:type="dxa"/>
            <w:gridSpan w:val="2"/>
            <w:tcBorders>
              <w:left w:val="dashSmallGap" w:sz="4" w:space="0" w:color="auto"/>
            </w:tcBorders>
          </w:tcPr>
          <w:p>
            <w:pPr>
              <w:ind w:right="-29"/>
              <w:jc w:val="center"/>
              <w:rPr>
                <w:noProof/>
                <w:sz w:val="18"/>
                <w:szCs w:val="18"/>
              </w:rPr>
            </w:pPr>
            <w:r>
              <w:rPr>
                <w:noProof/>
                <w:sz w:val="18"/>
                <w:szCs w:val="18"/>
              </w:rPr>
              <w:t>2,8</w:t>
            </w:r>
          </w:p>
        </w:tc>
        <w:tc>
          <w:tcPr>
            <w:tcW w:w="540" w:type="dxa"/>
            <w:gridSpan w:val="2"/>
            <w:tcBorders>
              <w:right w:val="dashSmallGap" w:sz="4" w:space="0" w:color="auto"/>
            </w:tcBorders>
          </w:tcPr>
          <w:p>
            <w:pPr>
              <w:ind w:right="-29"/>
              <w:jc w:val="center"/>
              <w:rPr>
                <w:noProof/>
                <w:sz w:val="18"/>
                <w:szCs w:val="18"/>
              </w:rPr>
            </w:pPr>
          </w:p>
        </w:tc>
        <w:tc>
          <w:tcPr>
            <w:tcW w:w="708" w:type="dxa"/>
            <w:gridSpan w:val="2"/>
            <w:tcBorders>
              <w:left w:val="dashSmallGap" w:sz="4" w:space="0" w:color="auto"/>
            </w:tcBorders>
          </w:tcPr>
          <w:p>
            <w:pPr>
              <w:ind w:right="-29"/>
              <w:jc w:val="center"/>
              <w:rPr>
                <w:noProof/>
                <w:sz w:val="18"/>
                <w:szCs w:val="18"/>
              </w:rPr>
            </w:pPr>
            <w:r>
              <w:rPr>
                <w:noProof/>
                <w:sz w:val="18"/>
                <w:szCs w:val="18"/>
              </w:rPr>
              <w:t>2,8</w:t>
            </w:r>
          </w:p>
        </w:tc>
        <w:tc>
          <w:tcPr>
            <w:tcW w:w="942" w:type="dxa"/>
            <w:gridSpan w:val="2"/>
          </w:tcPr>
          <w:p>
            <w:pPr>
              <w:ind w:right="-29"/>
              <w:jc w:val="center"/>
              <w:rPr>
                <w:noProof/>
                <w:sz w:val="18"/>
                <w:szCs w:val="18"/>
              </w:rPr>
            </w:pPr>
            <w:r>
              <w:rPr>
                <w:noProof/>
                <w:sz w:val="18"/>
                <w:szCs w:val="18"/>
              </w:rPr>
              <w:t>2,8</w:t>
            </w: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r>
              <w:rPr>
                <w:noProof/>
                <w:sz w:val="18"/>
                <w:szCs w:val="18"/>
              </w:rPr>
              <w:t>16,80</w:t>
            </w: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Réalisation</w:t>
            </w:r>
          </w:p>
        </w:tc>
        <w:tc>
          <w:tcPr>
            <w:tcW w:w="894" w:type="dxa"/>
            <w:gridSpan w:val="2"/>
          </w:tcPr>
          <w:p>
            <w:pPr>
              <w:ind w:right="-29"/>
              <w:jc w:val="center"/>
              <w:rPr>
                <w:noProof/>
                <w:sz w:val="18"/>
                <w:szCs w:val="18"/>
              </w:rPr>
            </w:pPr>
          </w:p>
        </w:tc>
        <w:tc>
          <w:tcPr>
            <w:tcW w:w="525" w:type="dxa"/>
            <w:gridSpan w:val="2"/>
          </w:tcPr>
          <w:p>
            <w:pPr>
              <w:ind w:right="-29"/>
              <w:jc w:val="center"/>
              <w:rPr>
                <w:noProof/>
                <w:sz w:val="18"/>
                <w:szCs w:val="18"/>
              </w:rPr>
            </w:pPr>
          </w:p>
        </w:tc>
        <w:tc>
          <w:tcPr>
            <w:tcW w:w="504" w:type="dxa"/>
            <w:gridSpan w:val="3"/>
          </w:tcPr>
          <w:p>
            <w:pPr>
              <w:ind w:right="-29"/>
              <w:jc w:val="center"/>
              <w:rPr>
                <w:noProof/>
                <w:sz w:val="18"/>
                <w:szCs w:val="18"/>
              </w:rPr>
            </w:pPr>
          </w:p>
        </w:tc>
        <w:tc>
          <w:tcPr>
            <w:tcW w:w="720" w:type="dxa"/>
            <w:gridSpan w:val="2"/>
          </w:tcPr>
          <w:p>
            <w:pPr>
              <w:ind w:right="-29"/>
              <w:jc w:val="center"/>
              <w:rPr>
                <w:noProof/>
                <w:sz w:val="18"/>
                <w:szCs w:val="18"/>
              </w:rPr>
            </w:pPr>
          </w:p>
        </w:tc>
        <w:tc>
          <w:tcPr>
            <w:tcW w:w="54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900" w:type="dxa"/>
            <w:gridSpan w:val="2"/>
          </w:tcPr>
          <w:p>
            <w:pPr>
              <w:ind w:right="-29"/>
              <w:jc w:val="center"/>
              <w:rPr>
                <w:noProof/>
                <w:sz w:val="18"/>
                <w:szCs w:val="18"/>
              </w:rPr>
            </w:pPr>
          </w:p>
        </w:tc>
        <w:tc>
          <w:tcPr>
            <w:tcW w:w="723" w:type="dxa"/>
            <w:gridSpan w:val="2"/>
          </w:tcPr>
          <w:p>
            <w:pPr>
              <w:ind w:right="-29"/>
              <w:jc w:val="center"/>
              <w:rPr>
                <w:noProof/>
                <w:sz w:val="18"/>
                <w:szCs w:val="18"/>
              </w:rPr>
            </w:pPr>
          </w:p>
        </w:tc>
        <w:tc>
          <w:tcPr>
            <w:tcW w:w="540" w:type="dxa"/>
            <w:gridSpan w:val="2"/>
          </w:tcPr>
          <w:p>
            <w:pPr>
              <w:ind w:right="-29"/>
              <w:jc w:val="center"/>
              <w:rPr>
                <w:noProof/>
                <w:sz w:val="18"/>
                <w:szCs w:val="18"/>
              </w:rPr>
            </w:pPr>
          </w:p>
        </w:tc>
        <w:tc>
          <w:tcPr>
            <w:tcW w:w="708" w:type="dxa"/>
            <w:gridSpan w:val="2"/>
          </w:tcPr>
          <w:p>
            <w:pPr>
              <w:ind w:right="-29"/>
              <w:jc w:val="center"/>
              <w:rPr>
                <w:noProof/>
                <w:sz w:val="18"/>
                <w:szCs w:val="18"/>
              </w:rPr>
            </w:pPr>
          </w:p>
        </w:tc>
        <w:tc>
          <w:tcPr>
            <w:tcW w:w="942" w:type="dxa"/>
            <w:gridSpan w:val="2"/>
          </w:tcPr>
          <w:p>
            <w:pPr>
              <w:ind w:right="-29"/>
              <w:jc w:val="center"/>
              <w:rPr>
                <w:noProof/>
                <w:sz w:val="18"/>
                <w:szCs w:val="18"/>
              </w:rPr>
            </w:pP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p>
        </w:tc>
      </w:tr>
      <w:tr>
        <w:trPr>
          <w:gridAfter w:val="2"/>
          <w:wAfter w:w="18" w:type="dxa"/>
          <w:trHeight w:val="77"/>
          <w:jc w:val="center"/>
        </w:trPr>
        <w:tc>
          <w:tcPr>
            <w:tcW w:w="2841" w:type="dxa"/>
            <w:gridSpan w:val="6"/>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gridSpan w:val="3"/>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3" w:type="dxa"/>
            <w:gridSpan w:val="2"/>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08" w:type="dxa"/>
            <w:gridSpan w:val="2"/>
            <w:tcBorders>
              <w:bottom w:val="single" w:sz="12" w:space="0" w:color="auto"/>
            </w:tcBorders>
          </w:tcPr>
          <w:p>
            <w:pPr>
              <w:ind w:right="-29"/>
              <w:jc w:val="center"/>
              <w:rPr>
                <w:noProof/>
                <w:sz w:val="18"/>
                <w:szCs w:val="18"/>
              </w:rPr>
            </w:pPr>
          </w:p>
        </w:tc>
        <w:tc>
          <w:tcPr>
            <w:tcW w:w="942" w:type="dxa"/>
            <w:gridSpan w:val="2"/>
            <w:tcBorders>
              <w:bottom w:val="single" w:sz="12" w:space="0" w:color="auto"/>
            </w:tcBorders>
          </w:tcPr>
          <w:p>
            <w:pPr>
              <w:ind w:right="-29"/>
              <w:jc w:val="center"/>
              <w:rPr>
                <w:noProof/>
                <w:sz w:val="18"/>
                <w:szCs w:val="18"/>
              </w:rPr>
            </w:pPr>
          </w:p>
        </w:tc>
        <w:tc>
          <w:tcPr>
            <w:tcW w:w="1284" w:type="dxa"/>
            <w:gridSpan w:val="2"/>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gridAfter w:val="2"/>
          <w:wAfter w:w="18" w:type="dxa"/>
          <w:jc w:val="center"/>
        </w:trPr>
        <w:tc>
          <w:tcPr>
            <w:tcW w:w="2841" w:type="dxa"/>
            <w:gridSpan w:val="6"/>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gridSpan w:val="3"/>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rPr>
                <w:noProof/>
                <w:sz w:val="18"/>
                <w:szCs w:val="18"/>
              </w:rPr>
            </w:pPr>
            <w:r>
              <w:rPr>
                <w:noProof/>
                <w:sz w:val="20"/>
              </w:rPr>
              <w:t>5,300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3"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08"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942"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szCs w:val="18"/>
              </w:rPr>
              <w:t>5,300</w:t>
            </w:r>
          </w:p>
        </w:tc>
        <w:tc>
          <w:tcPr>
            <w:tcW w:w="1284"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31,800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 xml:space="preserve">Synthèse de l’incidence estimée sur les crédits administratifs </w:t>
      </w:r>
    </w:p>
    <w:p>
      <w:pPr>
        <w:pStyle w:val="ListDash1"/>
        <w:rPr>
          <w:noProof/>
        </w:rPr>
      </w:pPr>
      <w:r>
        <w:rPr>
          <w:noProof/>
        </w:rPr>
        <w:t>X</w:t>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b/>
                <w:noProof/>
                <w:sz w:val="16"/>
              </w:rPr>
              <w:t xml:space="preserve">Année N </w:t>
            </w:r>
            <w:r>
              <w:rPr>
                <w:rStyle w:val="FootnoteReference"/>
                <w:b/>
                <w:noProof/>
                <w:sz w:val="16"/>
              </w:rPr>
              <w:footnoteReference w:id="16"/>
            </w:r>
          </w:p>
        </w:tc>
        <w:tc>
          <w:tcPr>
            <w:tcW w:w="1080" w:type="dxa"/>
            <w:vAlign w:val="center"/>
          </w:tcPr>
          <w:p>
            <w:pPr>
              <w:spacing w:before="60" w:after="60" w:line="200" w:lineRule="exact"/>
              <w:jc w:val="center"/>
              <w:rPr>
                <w:noProof/>
                <w:sz w:val="16"/>
                <w:szCs w:val="16"/>
              </w:rPr>
            </w:pPr>
            <w:r>
              <w:rPr>
                <w:b/>
                <w:noProof/>
                <w:sz w:val="16"/>
              </w:rPr>
              <w:t>Année N+1</w:t>
            </w:r>
          </w:p>
        </w:tc>
        <w:tc>
          <w:tcPr>
            <w:tcW w:w="1080" w:type="dxa"/>
            <w:vAlign w:val="center"/>
          </w:tcPr>
          <w:p>
            <w:pPr>
              <w:spacing w:before="60" w:after="60" w:line="200" w:lineRule="exact"/>
              <w:jc w:val="center"/>
              <w:rPr>
                <w:noProof/>
                <w:sz w:val="16"/>
                <w:szCs w:val="16"/>
              </w:rPr>
            </w:pPr>
            <w:r>
              <w:rPr>
                <w:b/>
                <w:noProof/>
                <w:sz w:val="16"/>
              </w:rPr>
              <w:t>Année N+2</w:t>
            </w:r>
          </w:p>
        </w:tc>
        <w:tc>
          <w:tcPr>
            <w:tcW w:w="1080" w:type="dxa"/>
            <w:vAlign w:val="center"/>
          </w:tcPr>
          <w:p>
            <w:pPr>
              <w:spacing w:before="60" w:after="60" w:line="200" w:lineRule="exact"/>
              <w:jc w:val="center"/>
              <w:rPr>
                <w:noProof/>
                <w:sz w:val="16"/>
                <w:szCs w:val="16"/>
              </w:rPr>
            </w:pPr>
            <w:r>
              <w:rPr>
                <w:b/>
                <w:noProof/>
                <w:sz w:val="16"/>
              </w:rPr>
              <w:t>Année 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 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 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7"/>
            </w:r>
            <w:r>
              <w:rPr>
                <w:b/>
                <w:noProof/>
                <w:sz w:val="16"/>
              </w:rPr>
              <w:t xml:space="preserve"> du cadre financier pluriannuel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 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hors RUBRIQUE 5 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rPr>
          <w:noProof/>
        </w:rPr>
        <w:t>3.2.3.1.</w:t>
      </w:r>
      <w:r>
        <w:rPr>
          <w:noProof/>
        </w:rPr>
        <w:tab/>
        <w:t xml:space="preserve">Besoins estimés en ressources humaines </w:t>
      </w:r>
    </w:p>
    <w:p>
      <w:pPr>
        <w:pStyle w:val="ListDash1"/>
        <w:rPr>
          <w:noProof/>
        </w:rPr>
      </w:pPr>
      <w:r>
        <w:rPr>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b/>
                <w:noProof/>
                <w:sz w:val="16"/>
              </w:rPr>
              <w:t>Année N</w:t>
            </w:r>
          </w:p>
        </w:tc>
        <w:tc>
          <w:tcPr>
            <w:tcW w:w="600" w:type="dxa"/>
            <w:shd w:val="clear" w:color="auto" w:fill="auto"/>
            <w:vAlign w:val="center"/>
          </w:tcPr>
          <w:p>
            <w:pPr>
              <w:spacing w:before="20" w:after="20"/>
              <w:jc w:val="center"/>
              <w:rPr>
                <w:noProof/>
                <w:sz w:val="16"/>
                <w:szCs w:val="16"/>
              </w:rPr>
            </w:pPr>
            <w:r>
              <w:rPr>
                <w:b/>
                <w:noProof/>
                <w:sz w:val="16"/>
              </w:rPr>
              <w:t>Année N+1</w:t>
            </w:r>
          </w:p>
        </w:tc>
        <w:tc>
          <w:tcPr>
            <w:tcW w:w="600" w:type="dxa"/>
            <w:shd w:val="clear" w:color="auto" w:fill="auto"/>
            <w:vAlign w:val="center"/>
          </w:tcPr>
          <w:p>
            <w:pPr>
              <w:spacing w:before="20" w:after="20"/>
              <w:jc w:val="center"/>
              <w:rPr>
                <w:noProof/>
                <w:sz w:val="16"/>
                <w:szCs w:val="16"/>
              </w:rPr>
            </w:pPr>
            <w:r>
              <w:rPr>
                <w:noProof/>
                <w:sz w:val="16"/>
              </w:rPr>
              <w:t>Année </w:t>
            </w:r>
            <w:r>
              <w:rPr>
                <w:b/>
                <w:bCs/>
                <w:noProof/>
                <w:sz w:val="16"/>
              </w:rPr>
              <w:t>N+2</w:t>
            </w:r>
          </w:p>
        </w:tc>
        <w:tc>
          <w:tcPr>
            <w:tcW w:w="600" w:type="dxa"/>
            <w:shd w:val="clear" w:color="auto" w:fill="auto"/>
            <w:vAlign w:val="center"/>
          </w:tcPr>
          <w:p>
            <w:pPr>
              <w:spacing w:before="20" w:after="20"/>
              <w:jc w:val="center"/>
              <w:rPr>
                <w:noProof/>
                <w:sz w:val="16"/>
                <w:szCs w:val="16"/>
              </w:rPr>
            </w:pPr>
            <w:r>
              <w:rPr>
                <w:noProof/>
                <w:sz w:val="16"/>
              </w:rPr>
              <w:t>Année </w:t>
            </w:r>
            <w:r>
              <w:rPr>
                <w:b/>
                <w:bCs/>
                <w:noProof/>
                <w:sz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w:t>
            </w:r>
            <w:r>
              <w:rPr>
                <w:noProof/>
              </w:rPr>
              <w:t>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bCs/>
                <w:noProof/>
              </w:rPr>
              <w:t>Personnel externe (en équivalents temps plein:</w:t>
            </w:r>
            <w:r>
              <w:rPr>
                <w:b/>
                <w:noProof/>
                <w:sz w:val="16"/>
              </w:rPr>
              <w:t xml:space="preserve"> ETP)</w:t>
            </w:r>
            <w:r>
              <w:rPr>
                <w:rStyle w:val="FootnoteReference"/>
                <w:b/>
                <w:noProof/>
                <w:sz w:val="16"/>
              </w:rPr>
              <w:footnoteReference w:id="18"/>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bCs/>
                <w:noProof/>
                <w:sz w:val="16"/>
              </w:rPr>
              <w:t>XX</w:t>
            </w:r>
            <w:r>
              <w:rPr>
                <w:noProof/>
                <w:sz w:val="16"/>
              </w:rPr>
              <w:t xml:space="preserve"> 01 04 </w:t>
            </w:r>
            <w:r>
              <w:rPr>
                <w:b/>
                <w:bCs/>
                <w:noProof/>
                <w:sz w:val="16"/>
              </w:rPr>
              <w:t>yy</w:t>
            </w:r>
            <w:r>
              <w:rPr>
                <w:b/>
                <w:i/>
                <w:noProof/>
                <w:sz w:val="16"/>
              </w:rPr>
              <w:t xml:space="preserve"> </w:t>
            </w:r>
            <w:r>
              <w:rPr>
                <w:rStyle w:val="FootnoteReference"/>
                <w:b/>
                <w:i/>
                <w:noProof/>
                <w:sz w:val="16"/>
              </w:rPr>
              <w:footnoteReference w:id="19"/>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bCs/>
                <w:noProof/>
                <w:sz w:val="16"/>
              </w:rPr>
              <w:t>XX</w:t>
            </w:r>
            <w:r>
              <w:rPr>
                <w:noProof/>
                <w:sz w:val="16"/>
              </w:rPr>
              <w:t xml:space="preserve"> 01 05 02/12/22 (AC, END, INT –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bCs/>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rPr>
          <w:noProof/>
        </w:rPr>
        <w:t>3.2.4.</w:t>
      </w:r>
      <w:r>
        <w:rPr>
          <w:noProof/>
        </w:rPr>
        <w:tab/>
        <w:t xml:space="preserve">Compatibilité avec le cadre financier pluriannuel actuel </w:t>
      </w:r>
    </w:p>
    <w:p>
      <w:pPr>
        <w:pStyle w:val="Text1"/>
        <w:rPr>
          <w:noProof/>
        </w:rPr>
      </w:pPr>
      <w:r>
        <w:rPr>
          <w:noProof/>
        </w:rPr>
        <w:t>La proposition/l’initiative:</w:t>
      </w:r>
    </w:p>
    <w:p>
      <w:pPr>
        <w:pStyle w:val="ListDash1"/>
        <w:rPr>
          <w:noProof/>
        </w:rPr>
      </w:pPr>
      <w:r>
        <w:rPr>
          <w:noProof/>
        </w:rPr>
        <w:t>X</w:t>
      </w:r>
      <w:r>
        <w:rPr>
          <w:noProof/>
        </w:rPr>
        <w:tab/>
        <w:t>peut être intégralement financée par voie de redéploiement au sein de la rubrique concernée du cadre financier pluriannuel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Cela concerne l’utilisation de la ligne de réserve (Chapitre 40).</w:t>
      </w:r>
    </w:p>
    <w:p>
      <w:pPr>
        <w:pStyle w:val="ListDash1"/>
        <w:rPr>
          <w:noProof/>
        </w:rPr>
      </w:pPr>
      <w:r>
        <w:rPr>
          <w:noProof/>
        </w:rPr>
        <w:sym w:font="Wingdings" w:char="F0A8"/>
      </w:r>
      <w:r>
        <w:rPr>
          <w:noProof/>
        </w:rPr>
        <w:tab/>
        <w:t>nécessite l’utilisation de la marge non allouée sous la rubrique correspondante du CFP et/ou le recours aux instruments spéciaux comme le prévoit le règlement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les montants correspondants et les instruments dont le recours est proposé.</w:t>
      </w:r>
    </w:p>
    <w:p>
      <w:pPr>
        <w:pStyle w:val="ListDash1"/>
        <w:rPr>
          <w:noProof/>
        </w:rPr>
      </w:pPr>
      <w:r>
        <w:rPr>
          <w:noProof/>
        </w:rPr>
        <w:sym w:font="Wingdings" w:char="F0A8"/>
      </w:r>
      <w:r>
        <w:rPr>
          <w:noProof/>
        </w:rPr>
        <w:tab/>
        <w:t>nécessite une révision du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rPr>
          <w:noProof/>
        </w:rPr>
        <w:t>3.2.5.</w:t>
      </w:r>
      <w:r>
        <w:rPr>
          <w:noProof/>
        </w:rPr>
        <w:tab/>
        <w:t xml:space="preserve">Participation de tiers au financement </w:t>
      </w:r>
    </w:p>
    <w:p>
      <w:pPr>
        <w:pStyle w:val="Text1"/>
        <w:rPr>
          <w:noProof/>
        </w:rPr>
      </w:pPr>
      <w:r>
        <w:rPr>
          <w:noProof/>
        </w:rPr>
        <w:t>La proposition/l’initiative:</w:t>
      </w:r>
    </w:p>
    <w:p>
      <w:pPr>
        <w:pStyle w:val="ListDash1"/>
        <w:rPr>
          <w:noProof/>
        </w:rPr>
      </w:pPr>
      <w:r>
        <w:rPr>
          <w:noProof/>
        </w:rPr>
        <w:t>X</w:t>
      </w:r>
      <w:r>
        <w:rPr>
          <w:noProof/>
        </w:rPr>
        <w:tab/>
        <w:t>ne prévoit pas de cofinancement par des tierces parties</w:t>
      </w:r>
    </w:p>
    <w:p>
      <w:pPr>
        <w:pStyle w:val="ListDash1"/>
        <w:rPr>
          <w:noProof/>
        </w:rPr>
      </w:pPr>
      <w:r>
        <w:rPr>
          <w:noProof/>
        </w:rPr>
        <w:sym w:font="Wingdings" w:char="F0A8"/>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b/>
                <w:noProof/>
                <w:sz w:val="20"/>
              </w:rPr>
              <w:t>Année N</w:t>
            </w:r>
            <w:r>
              <w:rPr>
                <w:rStyle w:val="FootnoteReference"/>
                <w:b/>
                <w:noProof/>
                <w:sz w:val="20"/>
              </w:rPr>
              <w:footnoteReference w:id="20"/>
            </w:r>
          </w:p>
        </w:tc>
        <w:tc>
          <w:tcPr>
            <w:tcW w:w="964" w:type="dxa"/>
            <w:vAlign w:val="center"/>
          </w:tcPr>
          <w:p>
            <w:pPr>
              <w:jc w:val="center"/>
              <w:rPr>
                <w:noProof/>
                <w:sz w:val="20"/>
              </w:rPr>
            </w:pPr>
            <w:r>
              <w:rPr>
                <w:b/>
                <w:noProof/>
                <w:sz w:val="20"/>
              </w:rPr>
              <w:t>Année N+1</w:t>
            </w:r>
          </w:p>
        </w:tc>
        <w:tc>
          <w:tcPr>
            <w:tcW w:w="964" w:type="dxa"/>
            <w:vAlign w:val="center"/>
          </w:tcPr>
          <w:p>
            <w:pPr>
              <w:jc w:val="center"/>
              <w:rPr>
                <w:noProof/>
                <w:sz w:val="20"/>
              </w:rPr>
            </w:pPr>
            <w:r>
              <w:rPr>
                <w:b/>
                <w:noProof/>
                <w:sz w:val="20"/>
              </w:rPr>
              <w:t>Année N+2</w:t>
            </w:r>
          </w:p>
        </w:tc>
        <w:tc>
          <w:tcPr>
            <w:tcW w:w="964" w:type="dxa"/>
            <w:vAlign w:val="center"/>
          </w:tcPr>
          <w:p>
            <w:pPr>
              <w:jc w:val="center"/>
              <w:rPr>
                <w:noProof/>
                <w:sz w:val="20"/>
              </w:rPr>
            </w:pPr>
            <w:r>
              <w:rPr>
                <w:b/>
                <w:noProof/>
                <w:sz w:val="20"/>
              </w:rPr>
              <w:t>Année 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w:t>
      </w:r>
      <w:r>
        <w:rPr>
          <w:noProof/>
          <w:highlight w:val="yellow"/>
        </w:rPr>
        <w:t>.</w:t>
      </w:r>
      <w:r>
        <w:rPr>
          <w:noProof/>
        </w:rPr>
        <w:t>3.</w:t>
      </w:r>
      <w:r>
        <w:rPr>
          <w:noProof/>
        </w:rPr>
        <w:tab/>
        <w:t xml:space="preserve">Incidence estimée sur les recettes </w:t>
      </w:r>
    </w:p>
    <w:p>
      <w:pPr>
        <w:pStyle w:val="ManualHeading2"/>
        <w:ind w:left="360" w:firstLine="0"/>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sur les autres recettes</w:t>
      </w:r>
    </w:p>
    <w:p>
      <w:pPr>
        <w:pStyle w:val="ListNumberLevel3"/>
        <w:rPr>
          <w:noProof/>
        </w:rPr>
      </w:pPr>
      <w:r>
        <w:rPr>
          <w:noProof/>
        </w:rPr>
        <w:t xml:space="preserve">veuillez indiquer si les recettes sont affectées à des lignes de dépenses </w:t>
      </w:r>
      <w:r>
        <w:rPr>
          <w:noProof/>
        </w:rPr>
        <w:sym w:font="Wingdings" w:char="F0A8"/>
      </w:r>
      <w:r>
        <w:rPr>
          <w:noProof/>
        </w:rPr>
        <w:tab/>
      </w:r>
    </w:p>
    <w:p>
      <w:pPr>
        <w:ind w:left="4320"/>
        <w:rPr>
          <w:i/>
          <w:noProof/>
          <w:sz w:val="20"/>
        </w:rPr>
      </w:pPr>
      <w:r>
        <w:rPr>
          <w:noProof/>
        </w:rPr>
        <w:t xml:space="preserve">     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7"/>
            <w:vAlign w:val="center"/>
          </w:tcPr>
          <w:p>
            <w:pPr>
              <w:jc w:val="center"/>
              <w:rPr>
                <w:noProof/>
                <w:sz w:val="18"/>
              </w:rPr>
            </w:pPr>
            <w:r>
              <w:rPr>
                <w:noProof/>
                <w:sz w:val="18"/>
              </w:rPr>
              <w:t>Incidence de la proposition/de l’initiative</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b/>
                <w:noProof/>
                <w:sz w:val="18"/>
              </w:rPr>
              <w:t>Année N</w:t>
            </w:r>
          </w:p>
        </w:tc>
        <w:tc>
          <w:tcPr>
            <w:tcW w:w="900" w:type="dxa"/>
            <w:vAlign w:val="center"/>
          </w:tcPr>
          <w:p>
            <w:pPr>
              <w:jc w:val="center"/>
              <w:rPr>
                <w:noProof/>
                <w:sz w:val="18"/>
              </w:rPr>
            </w:pPr>
            <w:r>
              <w:rPr>
                <w:b/>
                <w:noProof/>
                <w:sz w:val="18"/>
              </w:rPr>
              <w:t>Année N+1</w:t>
            </w:r>
          </w:p>
        </w:tc>
        <w:tc>
          <w:tcPr>
            <w:tcW w:w="900" w:type="dxa"/>
            <w:vAlign w:val="center"/>
          </w:tcPr>
          <w:p>
            <w:pPr>
              <w:jc w:val="center"/>
              <w:rPr>
                <w:noProof/>
                <w:sz w:val="18"/>
              </w:rPr>
            </w:pPr>
            <w:r>
              <w:rPr>
                <w:b/>
                <w:noProof/>
                <w:sz w:val="18"/>
              </w:rPr>
              <w:t>Année N+2</w:t>
            </w:r>
          </w:p>
        </w:tc>
        <w:tc>
          <w:tcPr>
            <w:tcW w:w="1080" w:type="dxa"/>
            <w:vAlign w:val="center"/>
          </w:tcPr>
          <w:p>
            <w:pPr>
              <w:jc w:val="center"/>
              <w:rPr>
                <w:noProof/>
                <w:sz w:val="18"/>
              </w:rPr>
            </w:pPr>
            <w:r>
              <w:rPr>
                <w:b/>
                <w:noProof/>
                <w:sz w:val="18"/>
              </w:rPr>
              <w:t>Année 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spacing w:before="0" w:after="200" w:line="276" w:lineRule="auto"/>
        <w:jc w:val="left"/>
        <w:rPr>
          <w:i/>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290 du 20.10.2006, p. 2.</w:t>
      </w:r>
    </w:p>
  </w:footnote>
  <w:footnote w:id="2">
    <w:p>
      <w:pPr>
        <w:pStyle w:val="FootnoteText"/>
      </w:pPr>
      <w:r>
        <w:rPr>
          <w:rStyle w:val="FootnoteReference"/>
        </w:rPr>
        <w:footnoteRef/>
      </w:r>
      <w:r>
        <w:rPr>
          <w:rStyle w:val="Hyperlink"/>
        </w:rPr>
        <w:tab/>
      </w:r>
      <w:hyperlink r:id="rId1" w:history="1">
        <w:r>
          <w:rPr>
            <w:rStyle w:val="Hyperlink"/>
          </w:rPr>
          <w:t>https://www.consilium.europa.eu/en/documents-publications/treaties-agreements/agreement/?id=2006084&amp;DocLanguage=fr</w:t>
        </w:r>
      </w:hyperlink>
    </w:p>
  </w:footnote>
  <w:footnote w:id="3">
    <w:p>
      <w:pPr>
        <w:pStyle w:val="FootnoteText"/>
      </w:pPr>
      <w:r>
        <w:rPr>
          <w:rStyle w:val="FootnoteReference"/>
        </w:rPr>
        <w:footnoteRef/>
      </w:r>
      <w:r>
        <w:tab/>
        <w:t>JO L 4 du 9.1.2014, p. 3.</w:t>
      </w:r>
    </w:p>
  </w:footnote>
  <w:footnote w:id="4">
    <w:p>
      <w:pPr>
        <w:pStyle w:val="FootnoteText"/>
      </w:pPr>
      <w:r>
        <w:rPr>
          <w:rStyle w:val="FootnoteReference"/>
        </w:rPr>
        <w:footnoteRef/>
      </w:r>
      <w:r>
        <w:tab/>
        <w:t>Adoptées au cours du Conseil «Agriculture et Pêche» du 15 juillet 2019.</w:t>
      </w:r>
    </w:p>
  </w:footnote>
  <w:footnote w:id="5">
    <w:p>
      <w:pPr>
        <w:pStyle w:val="FootnoteText"/>
      </w:pPr>
      <w:r>
        <w:rPr>
          <w:rStyle w:val="FootnoteReference"/>
        </w:rPr>
        <w:footnoteRef/>
      </w:r>
      <w:r>
        <w:tab/>
        <w:t>JO L 354 du 28.12.2013, p. 22.</w:t>
      </w:r>
    </w:p>
  </w:footnote>
  <w:footnote w:id="6">
    <w:p>
      <w:pPr>
        <w:pStyle w:val="FootnoteText"/>
      </w:pPr>
      <w:r>
        <w:rPr>
          <w:rStyle w:val="FootnoteReference"/>
        </w:rPr>
        <w:footnoteRef/>
      </w:r>
      <w:r>
        <w:tab/>
        <w:t>Conformément à l’accord interinstitutionnel sur la coopération en matière budgétaire (JO C 373 du 20.12.2013, p. 1).</w:t>
      </w:r>
    </w:p>
  </w:footnote>
  <w:footnote w:id="7">
    <w:p>
      <w:pPr>
        <w:pStyle w:val="FootnoteText"/>
        <w:rPr>
          <w:szCs w:val="24"/>
        </w:rPr>
      </w:pPr>
      <w:r>
        <w:rPr>
          <w:rStyle w:val="FootnoteReference"/>
        </w:rPr>
        <w:footnoteRef/>
      </w:r>
      <w:r>
        <w:tab/>
        <w:t>Tel(le) que visé(e) à l’article 58, paragraphe 2, point a) ou b), du règlement financier.</w:t>
      </w:r>
    </w:p>
  </w:footnote>
  <w:footnote w:id="8">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rPr>
          <w:t>https://myintracomm.ec.europa.eu/budgweb/FR/man/budgmanag/Pages/budgmanag.aspx</w:t>
        </w:r>
      </w:hyperlink>
      <w:r>
        <w:t xml:space="preserve">. </w:t>
      </w:r>
    </w:p>
  </w:footnote>
  <w:footnote w:id="9">
    <w:p>
      <w:pPr>
        <w:pStyle w:val="FootnoteText"/>
        <w:rPr>
          <w:szCs w:val="24"/>
        </w:rPr>
      </w:pPr>
      <w:r>
        <w:rPr>
          <w:rStyle w:val="FootnoteReference"/>
        </w:rPr>
        <w:footnoteRef/>
      </w:r>
      <w:r>
        <w:tab/>
        <w:t>CD = crédits dissociés/CND = crédits non dissociés.</w:t>
      </w:r>
    </w:p>
  </w:footnote>
  <w:footnote w:id="10">
    <w:p>
      <w:pPr>
        <w:pStyle w:val="FootnoteText"/>
        <w:rPr>
          <w:szCs w:val="24"/>
        </w:rPr>
      </w:pPr>
      <w:r>
        <w:rPr>
          <w:rStyle w:val="FootnoteReference"/>
        </w:rPr>
        <w:footnoteRef/>
      </w:r>
      <w:r>
        <w:tab/>
        <w:t xml:space="preserve">AELE: Association européenne de libre-échange. </w:t>
      </w:r>
    </w:p>
  </w:footnote>
  <w:footnote w:id="11">
    <w:p>
      <w:pPr>
        <w:pStyle w:val="FootnoteText"/>
        <w:rPr>
          <w:szCs w:val="24"/>
        </w:rPr>
      </w:pPr>
      <w:r>
        <w:rPr>
          <w:rStyle w:val="FootnoteReference"/>
        </w:rPr>
        <w:footnoteRef/>
      </w:r>
      <w:r>
        <w:tab/>
        <w:t>Pays candidats et, le cas échéant, pays candidats potentiels des Balkans occidentaux.</w:t>
      </w:r>
    </w:p>
  </w:footnote>
  <w:footnote w:id="12">
    <w:p>
      <w:pPr>
        <w:pStyle w:val="FootnoteText"/>
        <w:rPr>
          <w:sz w:val="18"/>
          <w:szCs w:val="18"/>
        </w:rPr>
      </w:pPr>
      <w:r>
        <w:rPr>
          <w:rStyle w:val="FootnoteReference"/>
        </w:rPr>
        <w:footnoteRef/>
      </w:r>
      <w:r>
        <w:tab/>
        <w:t>Selon la nomenclature budgétaire officielle.</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5">
    <w:p>
      <w:pPr>
        <w:pStyle w:val="FootnoteText"/>
        <w:rPr>
          <w:szCs w:val="24"/>
        </w:rPr>
      </w:pPr>
      <w:r>
        <w:rPr>
          <w:rStyle w:val="FootnoteReference"/>
        </w:rPr>
        <w:footnoteRef/>
      </w:r>
      <w:r>
        <w:tab/>
        <w:t xml:space="preserve">Tel que décrit dans la partie 1.4.2. «Objectif(s) spécifique(s)…». </w:t>
      </w:r>
    </w:p>
  </w:footnote>
  <w:footnote w:id="16">
    <w:p>
      <w:pPr>
        <w:pStyle w:val="FootnoteText"/>
        <w:rPr>
          <w:sz w:val="18"/>
          <w:szCs w:val="18"/>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 la même façon pour les années suivantes.</w:t>
      </w:r>
    </w:p>
  </w:footnote>
  <w:footnote w:id="1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8">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9">
    <w:p>
      <w:pPr>
        <w:pStyle w:val="FootnoteText"/>
        <w:rPr>
          <w:szCs w:val="24"/>
        </w:rPr>
      </w:pPr>
      <w:r>
        <w:rPr>
          <w:rStyle w:val="FootnoteReference"/>
        </w:rPr>
        <w:footnoteRef/>
      </w:r>
      <w:r>
        <w:tab/>
        <w:t>Sous-plafonds de personnel externe financés sur crédits opérationnels (anciennes lignes «BA»).</w:t>
      </w:r>
    </w:p>
  </w:footnote>
  <w:footnote w:id="20">
    <w:p>
      <w:pPr>
        <w:pStyle w:val="FootnoteText"/>
      </w:pPr>
      <w:r>
        <w:rPr>
          <w:rStyle w:val="FootnoteReference"/>
        </w:rPr>
        <w:footnoteRef/>
      </w:r>
      <w:r>
        <w:tab/>
        <w:t>L’année N est l’année du début de la mise en œuvre de la proposition/de l’initiative. Veuillez remplacer «N» par la première année de mise en œuvre prévue (par exemple: 2021). Procédez de la même façon pour les années suivantes.</w:t>
      </w:r>
    </w:p>
  </w:footnote>
  <w:footnote w:id="21">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5"/>
  </w:num>
  <w:num w:numId="3">
    <w:abstractNumId w:val="0"/>
  </w:num>
  <w:num w:numId="4">
    <w:abstractNumId w:val="18"/>
  </w:num>
  <w:num w:numId="5">
    <w:abstractNumId w:val="7"/>
  </w:num>
  <w:num w:numId="6">
    <w:abstractNumId w:val="15"/>
  </w:num>
  <w:num w:numId="7">
    <w:abstractNumId w:val="14"/>
  </w:num>
  <w:num w:numId="8">
    <w:abstractNumId w:val="22"/>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1"/>
  </w:num>
  <w:num w:numId="18">
    <w:abstractNumId w:val="11"/>
  </w:num>
  <w:num w:numId="19">
    <w:abstractNumId w:val="24"/>
  </w:num>
  <w:num w:numId="20">
    <w:abstractNumId w:val="6"/>
  </w:num>
  <w:num w:numId="21">
    <w:abstractNumId w:val="12"/>
  </w:num>
  <w:num w:numId="22">
    <w:abstractNumId w:val="4"/>
  </w:num>
  <w:num w:numId="23">
    <w:abstractNumId w:val="23"/>
  </w:num>
  <w:num w:numId="24">
    <w:abstractNumId w:val="3"/>
  </w:num>
  <w:num w:numId="25">
    <w:abstractNumId w:val="13"/>
  </w:num>
  <w:num w:numId="26">
    <w:abstractNumId w:val="19"/>
  </w:num>
  <w:num w:numId="27">
    <w:abstractNumId w:val="20"/>
  </w:num>
  <w:num w:numId="28">
    <w:abstractNumId w:val="5"/>
  </w:num>
  <w:num w:numId="29">
    <w:abstractNumId w:val="17"/>
  </w:num>
  <w:num w:numId="30">
    <w:abstractNumId w:val="28"/>
  </w:num>
  <w:num w:numId="31">
    <w:abstractNumId w:val="21"/>
  </w:num>
  <w:num w:numId="32">
    <w:abstractNumId w:val="11"/>
  </w:num>
  <w:num w:numId="33">
    <w:abstractNumId w:val="24"/>
  </w:num>
  <w:num w:numId="34">
    <w:abstractNumId w:val="6"/>
  </w:num>
  <w:num w:numId="35">
    <w:abstractNumId w:val="12"/>
  </w:num>
  <w:num w:numId="36">
    <w:abstractNumId w:val="4"/>
  </w:num>
  <w:num w:numId="37">
    <w:abstractNumId w:val="23"/>
  </w:num>
  <w:num w:numId="38">
    <w:abstractNumId w:val="3"/>
  </w:num>
  <w:num w:numId="39">
    <w:abstractNumId w:val="13"/>
  </w:num>
  <w:num w:numId="40">
    <w:abstractNumId w:val="19"/>
  </w:num>
  <w:num w:numId="41">
    <w:abstractNumId w:val="20"/>
  </w:num>
  <w:num w:numId="42">
    <w:abstractNumId w:val="5"/>
  </w:num>
  <w:num w:numId="43">
    <w:abstractNumId w:val="17"/>
  </w:num>
  <w:num w:numId="4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7 09:38: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AAE809E-A730-467F-8FF1-29DDB0AF08D1"/>
    <w:docVar w:name="LW_COVERPAGE_TYPE" w:val="1"/>
    <w:docVar w:name="LW_CROSSREFERENCE" w:val="&lt;UNUSED&gt;"/>
    <w:docVar w:name="LW_DocType" w:val="COM"/>
    <w:docVar w:name="LW_EMISSION" w:val="7.1.2020"/>
    <w:docVar w:name="LW_EMISSION_ISODATE" w:val="2020-01-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3"/>
    <w:docVar w:name="LW_REF.II.NEW.CP_YEAR" w:val="2020"/>
    <w:docVar w:name="LW_REF.INST.NEW" w:val="COM"/>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t à l\u8217?application provisoire de l\u8217?accord de partenariat dans le domaine de la pêche durable et de son protocole de mise en \u339?uvre (2020-2026) entre l\u8217?Union européenne et la République des Seychell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en-GB"/>
    </w:rPr>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2"/>
      </w:numPr>
    </w:pPr>
    <w:rPr>
      <w:rFonts w:eastAsia="Times New Roman"/>
      <w:lang w:eastAsia="fr-FR" w:bidi="fr-FR"/>
    </w:rPr>
  </w:style>
  <w:style w:type="paragraph" w:customStyle="1" w:styleId="ListNumberLevel2">
    <w:name w:val="List Number (Level 2)"/>
    <w:basedOn w:val="Normal"/>
    <w:pPr>
      <w:numPr>
        <w:ilvl w:val="1"/>
        <w:numId w:val="2"/>
      </w:numPr>
    </w:pPr>
    <w:rPr>
      <w:rFonts w:eastAsia="Times New Roman"/>
      <w:lang w:eastAsia="fr-FR" w:bidi="fr-FR"/>
    </w:rPr>
  </w:style>
  <w:style w:type="paragraph" w:customStyle="1" w:styleId="ListNumberLevel3">
    <w:name w:val="List Number (Level 3)"/>
    <w:basedOn w:val="Normal"/>
    <w:pPr>
      <w:numPr>
        <w:ilvl w:val="2"/>
        <w:numId w:val="2"/>
      </w:numPr>
    </w:pPr>
    <w:rPr>
      <w:rFonts w:eastAsia="Times New Roman"/>
      <w:lang w:eastAsia="fr-FR" w:bidi="fr-FR"/>
    </w:rPr>
  </w:style>
  <w:style w:type="paragraph" w:customStyle="1" w:styleId="ListNumberLevel4">
    <w:name w:val="List Number (Level 4)"/>
    <w:basedOn w:val="Normal"/>
    <w:pPr>
      <w:numPr>
        <w:ilvl w:val="3"/>
        <w:numId w:val="2"/>
      </w:numPr>
    </w:pPr>
    <w:rPr>
      <w:rFonts w:eastAsia="Times New Roman"/>
      <w:lang w:eastAsia="fr-FR" w:bidi="fr-FR"/>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customStyle="1" w:styleId="Normal1">
    <w:name w:val="Normal1"/>
    <w:basedOn w:val="Normal"/>
    <w:pPr>
      <w:spacing w:after="0"/>
    </w:pPr>
    <w:rPr>
      <w:szCs w:val="24"/>
      <w:lang w:eastAsia="en-GB" w:bidi="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en-GB"/>
    </w:rPr>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2"/>
      </w:numPr>
    </w:pPr>
    <w:rPr>
      <w:rFonts w:eastAsia="Times New Roman"/>
      <w:lang w:eastAsia="fr-FR" w:bidi="fr-FR"/>
    </w:rPr>
  </w:style>
  <w:style w:type="paragraph" w:customStyle="1" w:styleId="ListNumberLevel2">
    <w:name w:val="List Number (Level 2)"/>
    <w:basedOn w:val="Normal"/>
    <w:pPr>
      <w:numPr>
        <w:ilvl w:val="1"/>
        <w:numId w:val="2"/>
      </w:numPr>
    </w:pPr>
    <w:rPr>
      <w:rFonts w:eastAsia="Times New Roman"/>
      <w:lang w:eastAsia="fr-FR" w:bidi="fr-FR"/>
    </w:rPr>
  </w:style>
  <w:style w:type="paragraph" w:customStyle="1" w:styleId="ListNumberLevel3">
    <w:name w:val="List Number (Level 3)"/>
    <w:basedOn w:val="Normal"/>
    <w:pPr>
      <w:numPr>
        <w:ilvl w:val="2"/>
        <w:numId w:val="2"/>
      </w:numPr>
    </w:pPr>
    <w:rPr>
      <w:rFonts w:eastAsia="Times New Roman"/>
      <w:lang w:eastAsia="fr-FR" w:bidi="fr-FR"/>
    </w:rPr>
  </w:style>
  <w:style w:type="paragraph" w:customStyle="1" w:styleId="ListNumberLevel4">
    <w:name w:val="List Number (Level 4)"/>
    <w:basedOn w:val="Normal"/>
    <w:pPr>
      <w:numPr>
        <w:ilvl w:val="3"/>
        <w:numId w:val="2"/>
      </w:numPr>
    </w:pPr>
    <w:rPr>
      <w:rFonts w:eastAsia="Times New Roman"/>
      <w:lang w:eastAsia="fr-FR" w:bidi="fr-FR"/>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customStyle="1" w:styleId="Normal1">
    <w:name w:val="Normal1"/>
    <w:basedOn w:val="Normal"/>
    <w:pPr>
      <w:spacing w:after="0"/>
    </w:pPr>
    <w:rPr>
      <w:szCs w:val="24"/>
      <w:lang w:eastAsia="en-GB" w:bidi="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www.consilium.europa.eu/en/documents-publications/treaties-agreements/agreement/?id=2006084&amp;Doc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8FDF-9D63-4465-871F-966F2AE2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24</Pages>
  <Words>6106</Words>
  <Characters>33890</Characters>
  <Application>Microsoft Office Word</Application>
  <DocSecurity>0</DocSecurity>
  <Lines>1355</Lines>
  <Paragraphs>666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2019-11-29T15:33:00Z</cp:lastPrinted>
  <dcterms:created xsi:type="dcterms:W3CDTF">2020-01-06T12:16:00Z</dcterms:created>
  <dcterms:modified xsi:type="dcterms:W3CDTF">2020-01-07T08:38:00Z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