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BE44314-F649-476C-A2DF-73CF20E9EC38"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noProof/>
        </w:rPr>
        <w:t>The current Fisheries Partnership Agreement (FPA) between the European Union and Seychelles</w:t>
      </w:r>
      <w:r>
        <w:rPr>
          <w:rStyle w:val="FootnoteReference"/>
          <w:rFonts w:eastAsia="Arial Unicode MS"/>
          <w:noProof/>
        </w:rPr>
        <w:footnoteReference w:id="1"/>
      </w:r>
      <w:r>
        <w:rPr>
          <w:noProof/>
        </w:rPr>
        <w:t xml:space="preserve"> was signed on 28 February 2007</w:t>
      </w:r>
      <w:r>
        <w:rPr>
          <w:rStyle w:val="FootnoteReference"/>
          <w:rFonts w:eastAsia="Arial Unicode MS"/>
          <w:noProof/>
        </w:rPr>
        <w:footnoteReference w:id="2"/>
      </w:r>
      <w:r>
        <w:rPr>
          <w:noProof/>
        </w:rPr>
        <w:t xml:space="preserve"> and entered into force on 2 November 2007 for a duration of six years. The agreement is tacitly renewable, and is therefore still in force. </w:t>
      </w:r>
      <w:r>
        <w:rPr>
          <w:rFonts w:eastAsia="Arial Unicode MS"/>
          <w:noProof/>
        </w:rPr>
        <w:t>The current 6-year Protocol</w:t>
      </w:r>
      <w:r>
        <w:rPr>
          <w:rStyle w:val="FootnoteReference"/>
          <w:rFonts w:eastAsia="Arial Unicode MS"/>
          <w:noProof/>
        </w:rPr>
        <w:footnoteReference w:id="3"/>
      </w:r>
      <w:r>
        <w:rPr>
          <w:rFonts w:eastAsia="Arial Unicode MS"/>
          <w:noProof/>
        </w:rPr>
        <w:t xml:space="preserve"> to the FPA entered into application on 18</w:t>
      </w:r>
      <w:r>
        <w:rPr>
          <w:rFonts w:eastAsia="Arial Unicode MS"/>
          <w:noProof/>
          <w:vertAlign w:val="superscript"/>
        </w:rPr>
        <w:t>th</w:t>
      </w:r>
      <w:r>
        <w:rPr>
          <w:rFonts w:eastAsia="Arial Unicode MS"/>
          <w:noProof/>
        </w:rPr>
        <w:t xml:space="preserve"> January 2014 and will expire on 17</w:t>
      </w:r>
      <w:r>
        <w:rPr>
          <w:rFonts w:eastAsia="Arial Unicode MS"/>
          <w:noProof/>
          <w:vertAlign w:val="superscript"/>
        </w:rPr>
        <w:t>th</w:t>
      </w:r>
      <w:r>
        <w:rPr>
          <w:rFonts w:eastAsia="Arial Unicode MS"/>
          <w:noProof/>
        </w:rPr>
        <w:t xml:space="preserve"> January 2020. </w:t>
      </w:r>
    </w:p>
    <w:p>
      <w:pPr>
        <w:pBdr>
          <w:top w:val="nil"/>
          <w:left w:val="nil"/>
          <w:bottom w:val="nil"/>
          <w:right w:val="nil"/>
          <w:between w:val="nil"/>
          <w:bar w:val="nil"/>
        </w:pBdr>
        <w:spacing w:before="0" w:after="240"/>
        <w:rPr>
          <w:noProof/>
        </w:rPr>
      </w:pPr>
      <w:r>
        <w:rPr>
          <w:noProof/>
        </w:rPr>
        <w:t>On the basis of the relevant negotiating directives</w:t>
      </w:r>
      <w:r>
        <w:rPr>
          <w:rStyle w:val="FootnoteReference"/>
          <w:rFonts w:eastAsia="Arial Unicode MS"/>
          <w:noProof/>
        </w:rPr>
        <w:footnoteReference w:id="4"/>
      </w:r>
      <w:r>
        <w:rPr>
          <w:noProof/>
        </w:rPr>
        <w:t xml:space="preserve">, the Commission conducted negotiations with the Government of the Republic of Seychelles (hereinafter “Seychelles”) with a view to concluding, on behalf of the European Union, a new Sustainable Fisheries Partnership Agreement and its Implementing Protocol (2020-2026). At the end of the negotiations, an Agreement and Protocol were initialled by the negotiators on 22 October 2019. The new Agreement repeals and replaces the existing Agreement; it covers a period of six years from the date of its provisional application laid down in Article 15, that being the date on which it is signed by the parties, and is renewable by tacit agreement. The new Protocol covers a period of six years from the date of provisional application laid down in Article 15, that being the date on which it is signed by both parties. </w:t>
      </w:r>
    </w:p>
    <w:p>
      <w:pPr>
        <w:pBdr>
          <w:top w:val="nil"/>
          <w:left w:val="nil"/>
          <w:bottom w:val="nil"/>
          <w:right w:val="nil"/>
          <w:between w:val="nil"/>
          <w:bar w:val="nil"/>
        </w:pBdr>
        <w:spacing w:before="0" w:after="240"/>
        <w:rPr>
          <w:rFonts w:eastAsia="Arial Unicode MS"/>
          <w:noProof/>
        </w:rPr>
      </w:pPr>
      <w:r>
        <w:rPr>
          <w:noProof/>
        </w:rPr>
        <w:t xml:space="preserve">The purpose of this proposal is to authorise the signing of the Agreement and its Implementing Protocol.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rFonts w:eastAsia="Calibri"/>
          <w:noProof/>
          <w:lang w:eastAsia="en-GB"/>
        </w:rPr>
      </w:pPr>
      <w:r>
        <w:rPr>
          <w:rFonts w:eastAsia="Calibri"/>
          <w:noProof/>
          <w:lang w:eastAsia="en-GB"/>
        </w:rPr>
        <w:t>The main aim of the new Agreement is to provide an updated framework taking into account the priorities of the reformed Common Fisheries Policy</w:t>
      </w:r>
      <w:r>
        <w:rPr>
          <w:rStyle w:val="FootnoteReference"/>
          <w:rFonts w:eastAsia="Calibri"/>
          <w:noProof/>
          <w:lang w:eastAsia="en-GB"/>
        </w:rPr>
        <w:footnoteReference w:id="5"/>
      </w:r>
      <w:r>
        <w:rPr>
          <w:rFonts w:eastAsia="Calibri"/>
          <w:noProof/>
          <w:lang w:eastAsia="en-GB"/>
        </w:rPr>
        <w:t xml:space="preserve"> and its external dimension, with a view to continuing and reiforcing the strategic partnership between the European Union and the Republic of the Seychelles in the field of fisheries.</w:t>
      </w:r>
    </w:p>
    <w:p>
      <w:pPr>
        <w:rPr>
          <w:rFonts w:eastAsia="Calibri"/>
          <w:noProof/>
          <w:lang w:eastAsia="en-GB"/>
        </w:rPr>
      </w:pPr>
      <w:r>
        <w:rPr>
          <w:rFonts w:eastAsia="Calibri"/>
          <w:noProof/>
          <w:lang w:eastAsia="en-GB"/>
        </w:rPr>
        <w:t>The aim of the Protocol is to grant fishing opportunities to European Union vessels in the Seychelles fishing zone in accordance with the best available scientific advice and the resolutions and recommendations of the Indian Ocean Tuna Commission (IOTC), within the limits of the available surplus. The Commission based its position in part on the results of an evaluation of the previous Agreement and Protocol (2014-2020), and of a forward-looking assessment of whether a new Agreement and Protocol should be concluded. Both were carried out by external experts. The aim is also to enhance cooperation between the European Union and the Republic of the Seychelles to promote a sustainable fisheries policy and sound exploitation of fisheries resources in the Seychelles fishing zone and in the Indian Ocean, in the interest of both parties. In addition, this cooperation will also contribute to promote decent working conditions in fisheries activities.</w:t>
      </w:r>
    </w:p>
    <w:p>
      <w:pPr>
        <w:rPr>
          <w:rFonts w:eastAsia="Calibri"/>
          <w:noProof/>
          <w:lang w:eastAsia="en-GB"/>
        </w:rPr>
      </w:pPr>
      <w:r>
        <w:rPr>
          <w:rFonts w:eastAsia="Calibri"/>
          <w:noProof/>
          <w:lang w:eastAsia="en-GB"/>
        </w:rPr>
        <w:t>The new Protocol provides for fishing opportunities in the following categories:</w:t>
      </w:r>
    </w:p>
    <w:p>
      <w:pPr>
        <w:rPr>
          <w:rFonts w:eastAsia="Calibri"/>
          <w:noProof/>
          <w:lang w:val="fr-BE" w:eastAsia="en-GB"/>
        </w:rPr>
      </w:pPr>
      <w:r>
        <w:rPr>
          <w:rFonts w:eastAsia="Calibri"/>
          <w:noProof/>
          <w:lang w:val="fr-BE" w:eastAsia="en-GB"/>
        </w:rPr>
        <w:t>-</w:t>
      </w:r>
      <w:r>
        <w:rPr>
          <w:rFonts w:eastAsia="Calibri"/>
          <w:noProof/>
          <w:lang w:val="fr-BE" w:eastAsia="en-GB"/>
        </w:rPr>
        <w:tab/>
        <w:t>40 tuna purse seine vessels;</w:t>
      </w:r>
    </w:p>
    <w:p>
      <w:pPr>
        <w:rPr>
          <w:rFonts w:eastAsia="Calibri"/>
          <w:noProof/>
          <w:lang w:val="fr-BE" w:eastAsia="en-GB"/>
        </w:rPr>
      </w:pPr>
      <w:r>
        <w:rPr>
          <w:rFonts w:eastAsia="Calibri"/>
          <w:noProof/>
          <w:lang w:val="fr-BE" w:eastAsia="en-GB"/>
        </w:rPr>
        <w:t>-</w:t>
      </w:r>
      <w:r>
        <w:rPr>
          <w:rFonts w:eastAsia="Calibri"/>
          <w:noProof/>
          <w:lang w:val="fr-BE" w:eastAsia="en-GB"/>
        </w:rPr>
        <w:tab/>
        <w:t>8 surface longliners;</w:t>
      </w:r>
    </w:p>
    <w:p>
      <w:pPr>
        <w:rPr>
          <w:rFonts w:eastAsia="Calibri"/>
          <w:noProof/>
          <w:lang w:eastAsia="en-GB"/>
        </w:rPr>
      </w:pPr>
      <w:r>
        <w:rPr>
          <w:rFonts w:eastAsia="Calibri"/>
          <w:noProof/>
          <w:lang w:eastAsia="en-GB"/>
        </w:rPr>
        <w:t>-</w:t>
      </w:r>
      <w:r>
        <w:rPr>
          <w:rFonts w:eastAsia="Calibri"/>
          <w:noProof/>
          <w:lang w:eastAsia="en-GB"/>
        </w:rPr>
        <w:tab/>
        <w:t>support vessels in accordance with the relevant IOTC resolutions.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spacing w:before="0" w:after="240"/>
        <w:rPr>
          <w:noProof/>
        </w:rPr>
      </w:pPr>
      <w:r>
        <w:rPr>
          <w:noProof/>
        </w:rPr>
        <w:t xml:space="preserve">The negotiation of a new Sustainable Fisheries Partnership Agreement and its Implementing Protocol with Seychelles forms part of the Union’s external action in relation to African Caribbean and Pacific (ACP) countries and takes into account, in particular, Union objectives on respecting democratic principles and human rights.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keepNext/>
        <w:rPr>
          <w:noProof/>
          <w:sz w:val="22"/>
        </w:rPr>
      </w:pPr>
      <w:r>
        <w:rPr>
          <w:noProof/>
        </w:rPr>
        <w:t xml:space="preserve">The legal basis is Article 43(2) of the Treaty on the Functioning of the European Union (TFEU), which establishes the common fisheries policy and Article 218(5) TFEU on the signing and the possibility of provisional application of agreements between the Union and third countries.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spacing w:before="0" w:after="240"/>
        <w:rPr>
          <w:rFonts w:eastAsia="Arial Unicode MS"/>
          <w:noProof/>
        </w:rPr>
      </w:pPr>
      <w:r>
        <w:rPr>
          <w:rFonts w:eastAsia="Calibri"/>
          <w:noProof/>
        </w:rPr>
        <w:t>The proposal falls under the exclusive competence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before="0" w:after="240"/>
        <w:rPr>
          <w:rFonts w:eastAsia="Arial Unicode MS"/>
          <w:noProof/>
        </w:rPr>
      </w:pPr>
      <w:r>
        <w:rPr>
          <w:rFonts w:eastAsia="Calibri"/>
          <w:noProof/>
        </w:rPr>
        <w:t xml:space="preserve">The proposal is proportionate to the objective of establishing a legal, environmental, economic and social governance framework for fishing activities carried out by Union vessels in third country waters, as set out in Article 31 of the Regulation establishing the Common Fisheries Policy. It complies with those provisions as well as with those on financial assistance to third countries laid down in Article 32 of that Regulation.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The Commission carried out in 2019 an </w:t>
      </w:r>
      <w:r>
        <w:rPr>
          <w:rFonts w:eastAsia="Arial Unicode MS"/>
          <w:i/>
          <w:noProof/>
        </w:rPr>
        <w:t>ex-post</w:t>
      </w:r>
      <w:r>
        <w:rPr>
          <w:rFonts w:eastAsia="Arial Unicode MS"/>
          <w:noProof/>
        </w:rPr>
        <w:t xml:space="preserve"> evaluation of the current Protocol to the FPA with </w:t>
      </w:r>
      <w:r>
        <w:rPr>
          <w:noProof/>
          <w:szCs w:val="24"/>
        </w:rPr>
        <w:t>Seychelles</w:t>
      </w:r>
      <w:r>
        <w:rPr>
          <w:b/>
          <w:noProof/>
          <w:szCs w:val="24"/>
        </w:rPr>
        <w:t xml:space="preserve"> </w:t>
      </w:r>
      <w:r>
        <w:rPr>
          <w:rFonts w:eastAsia="Arial Unicode MS"/>
          <w:noProof/>
        </w:rPr>
        <w:t xml:space="preserve">as well as an </w:t>
      </w:r>
      <w:r>
        <w:rPr>
          <w:rFonts w:eastAsia="Arial Unicode MS"/>
          <w:i/>
          <w:noProof/>
        </w:rPr>
        <w:t>ex-ante</w:t>
      </w:r>
      <w:r>
        <w:rPr>
          <w:rFonts w:eastAsia="Arial Unicode MS"/>
          <w:noProof/>
        </w:rPr>
        <w:t xml:space="preserve"> evaluation of a possible renewal of the Protocol.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evaluation concluded that the EU fishing sectors are firmly interested in fishing in Seychelles and that the renewal of the Protocol is in the interest of both parties. Furthermore, the renewal of the Protocol would help strengthening monitoring, control and surveillance and would contribute to improved governance of the fisheries in the region. </w:t>
      </w:r>
    </w:p>
    <w:p>
      <w:pPr>
        <w:pBdr>
          <w:top w:val="nil"/>
          <w:left w:val="nil"/>
          <w:bottom w:val="nil"/>
          <w:right w:val="nil"/>
          <w:between w:val="nil"/>
          <w:bar w:val="nil"/>
        </w:pBdr>
        <w:spacing w:before="0" w:after="240"/>
        <w:rPr>
          <w:rFonts w:eastAsia="Arial Unicode MS"/>
          <w:noProof/>
        </w:rPr>
      </w:pPr>
      <w:r>
        <w:rPr>
          <w:rFonts w:eastAsia="Arial Unicode MS"/>
          <w:noProof/>
        </w:rPr>
        <w:t>For the EU, it is important to maintain an instrument allowing a deep sectoral cooperation with a major player in ocean governance at the sub-regional level because of the extent of its fishing area under its jurisdiction. Strengthening the relationship with Seychelles is also functional to build alliances in the framework of the IOTC. Furthermore, for the EU fleet this means maintaining access to an important fishing area for the deployment of harvesting strategies under a multi-year international legal framework. Moreover, the importance of Victoria as one of the main landing ports contributes to the relevance of the envisaged new Protocol, both for the EU fishing industry and for the partner country. For Seychelles’ authorities, the aim is to continue relations with the EU for strengthening ocean governance, benefiting from dedicated sectoral support that provides for multi-year funding opportunities.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Member States, industry representatives, international civil society organisations, as well as </w:t>
      </w:r>
      <w:r>
        <w:rPr>
          <w:noProof/>
          <w:szCs w:val="24"/>
        </w:rPr>
        <w:t>Seychelles</w:t>
      </w:r>
      <w:r>
        <w:rPr>
          <w:rFonts w:eastAsia="Arial Unicode MS"/>
          <w:noProof/>
        </w:rPr>
        <w:t xml:space="preserve"> </w:t>
      </w:r>
      <w:r>
        <w:rPr>
          <w:noProof/>
        </w:rPr>
        <w:t>fisheries administration and civil society, were consulted as part of the evaluation. Consultations have also taken place in the framework of the Long Distance Advisory Council, notably at the occasion of its meeting on 27 March 2019.</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40"/>
        <w:rPr>
          <w:noProof/>
        </w:rPr>
      </w:pPr>
      <w:r>
        <w:rPr>
          <w:noProof/>
        </w:rPr>
        <w:t xml:space="preserve">The Commission used an independent consultant for the </w:t>
      </w:r>
      <w:r>
        <w:rPr>
          <w:i/>
          <w:iCs/>
          <w:noProof/>
        </w:rPr>
        <w:t>ex post</w:t>
      </w:r>
      <w:r>
        <w:rPr>
          <w:noProof/>
        </w:rPr>
        <w:t xml:space="preserve"> and </w:t>
      </w:r>
      <w:r>
        <w:rPr>
          <w:i/>
          <w:iCs/>
          <w:noProof/>
        </w:rPr>
        <w:t>ex ante</w:t>
      </w:r>
      <w:r>
        <w:rPr>
          <w:noProof/>
        </w:rPr>
        <w:t xml:space="preserve"> evaluations, in accordance with the provisions of Article 31(10) of the Regulation establishing the common fisheries policy.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The negotiated Agreement includes a clause on the consequences of violations of human rights and democratic principles.</w:t>
      </w:r>
    </w:p>
    <w:p>
      <w:pPr>
        <w:pStyle w:val="ManualHeading1"/>
        <w:rPr>
          <w:noProof/>
        </w:rPr>
      </w:pPr>
      <w:r>
        <w:rPr>
          <w:noProof/>
        </w:rPr>
        <w:t>4.</w:t>
      </w:r>
      <w:r>
        <w:rPr>
          <w:noProof/>
        </w:rPr>
        <w:tab/>
        <w:t>BUDGETARY IMPLICATIONS</w:t>
      </w:r>
    </w:p>
    <w:p>
      <w:pPr>
        <w:rPr>
          <w:rFonts w:eastAsia="Calibri"/>
          <w:noProof/>
          <w:lang w:eastAsia="en-GB" w:bidi="en-GB"/>
        </w:rPr>
      </w:pPr>
      <w:r>
        <w:rPr>
          <w:rFonts w:eastAsia="Calibri"/>
          <w:noProof/>
          <w:lang w:eastAsia="en-GB" w:bidi="en-GB"/>
        </w:rPr>
        <w:t>The EU annual financial contribution is EUR 5 300 000, based on:</w:t>
      </w:r>
    </w:p>
    <w:p>
      <w:pPr>
        <w:rPr>
          <w:rFonts w:eastAsia="Calibri"/>
          <w:noProof/>
          <w:lang w:eastAsia="en-GB" w:bidi="en-GB"/>
        </w:rPr>
      </w:pPr>
      <w:r>
        <w:rPr>
          <w:rFonts w:eastAsia="Calibri"/>
          <w:noProof/>
          <w:lang w:eastAsia="en-GB" w:bidi="en-GB"/>
        </w:rPr>
        <w:t xml:space="preserve">a) </w:t>
      </w:r>
      <w:r>
        <w:rPr>
          <w:rFonts w:eastAsia="Calibri"/>
          <w:noProof/>
          <w:szCs w:val="24"/>
        </w:rPr>
        <w:t>an annual amount for access to the fisheries resources in the Seychelles fishing zone of EUR 2 500 000 equivalent to a reference tonnage, for highly migratory species, of 50 000 tonnes per year</w:t>
      </w:r>
      <w:r>
        <w:rPr>
          <w:rFonts w:eastAsia="Calibri"/>
          <w:noProof/>
          <w:lang w:eastAsia="en-GB" w:bidi="en-GB"/>
        </w:rPr>
        <w:t xml:space="preserve">, </w:t>
      </w:r>
    </w:p>
    <w:p>
      <w:pPr>
        <w:rPr>
          <w:rFonts w:eastAsia="Calibri"/>
          <w:noProof/>
          <w:lang w:eastAsia="en-GB" w:bidi="en-GB"/>
        </w:rPr>
      </w:pPr>
      <w:r>
        <w:rPr>
          <w:rFonts w:eastAsia="Calibri"/>
          <w:noProof/>
          <w:lang w:eastAsia="en-GB" w:bidi="en-GB"/>
        </w:rPr>
        <w:t>b) support for development of the sectoral fisheries policy of the Seychelles, amounting to EUR 2 800 000 per year. This support meets the objectives of Seychelles’ Fisheries Comprehensive Plan.</w:t>
      </w:r>
    </w:p>
    <w:p>
      <w:pPr>
        <w:rPr>
          <w:noProof/>
        </w:rPr>
      </w:pPr>
      <w:r>
        <w:rPr>
          <w:noProof/>
        </w:rPr>
        <w:t>The annual amount for commitment and payment appropriations is established during the annual budgetary procedure, including for the reserve line for protocols not having entered into force at the beginning of the year</w:t>
      </w:r>
      <w:r>
        <w:rPr>
          <w:rStyle w:val="FootnoteReference"/>
          <w:noProof/>
        </w:rPr>
        <w:footnoteReference w:id="6"/>
      </w:r>
      <w:r>
        <w:rPr>
          <w:noProof/>
        </w:rPr>
        <w: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The monitoring arrangements are provided for in the Sustainable Fisheries Partnership Agreement and its Implementing Protocol.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2020/0003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Union, and the provisional application of the Sustainable Fisheries Partnership Agreement and its Implementing Protocol (2020-2026) between the European Union and the Republic of Seychelles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15 July 2019, the Council authorised the Commission to open negotiations with the Republic of Seychelles in order to establish a new Sustainable Fisheries Partnership Agreement between the European Union and the Republic of Seychelles ("Partnership Agreement") as well as a new Implementation Protocol thereto (“the Protocol”).</w:t>
      </w:r>
    </w:p>
    <w:p>
      <w:pPr>
        <w:pStyle w:val="ManualConsidrant"/>
        <w:rPr>
          <w:noProof/>
        </w:rPr>
      </w:pPr>
      <w:r>
        <w:t>(2)</w:t>
      </w:r>
      <w:r>
        <w:tab/>
      </w:r>
      <w:r>
        <w:rPr>
          <w:noProof/>
        </w:rPr>
        <w:t>The negotiations were successfully concluded by the initialling of the Partnership Agreement and the Protocol on 22 October 2019.</w:t>
      </w:r>
    </w:p>
    <w:p>
      <w:pPr>
        <w:pStyle w:val="ManualConsidrant"/>
        <w:rPr>
          <w:noProof/>
        </w:rPr>
      </w:pPr>
      <w:r>
        <w:t>(3)</w:t>
      </w:r>
      <w:r>
        <w:tab/>
      </w:r>
      <w:r>
        <w:rPr>
          <w:noProof/>
        </w:rPr>
        <w:t>The Partnership Agreement repeals the current Fisheries Partnership Agreement (FPA) between the European Union and Seychelles, which entered into force on 2 November 2007 for a duration of 6 years and which has been tacitly renewed, and therefore still in force.</w:t>
      </w:r>
    </w:p>
    <w:p>
      <w:pPr>
        <w:pStyle w:val="ManualConsidrant"/>
        <w:rPr>
          <w:noProof/>
        </w:rPr>
      </w:pPr>
      <w:r>
        <w:t>(4)</w:t>
      </w:r>
      <w:r>
        <w:tab/>
      </w:r>
      <w:r>
        <w:rPr>
          <w:noProof/>
          <w:lang w:eastAsia="en-GB"/>
        </w:rPr>
        <w:t>The objective of the Partnership Agreement and the Protocol is to enable the Union and the Republic of Seychelles to work more closely together to further promote the development of sustainable fisheries policy, and enable a responsible exploitation of fisheries resources in the Seychelles fishing zone and in the Indian Ocean, while contributing to decent working conditions in the fisheries sector.</w:t>
      </w:r>
    </w:p>
    <w:p>
      <w:pPr>
        <w:pStyle w:val="ManualConsidrant"/>
        <w:rPr>
          <w:noProof/>
        </w:rPr>
      </w:pPr>
      <w:r>
        <w:t>(5)</w:t>
      </w:r>
      <w:r>
        <w:tab/>
      </w:r>
      <w:r>
        <w:rPr>
          <w:noProof/>
          <w:lang w:eastAsia="en-GB"/>
        </w:rPr>
        <w:t>Therefore, the Partnership Agreement and Protocol should be signed on behalf of the Union, subject to their conclusion at a later date.</w:t>
      </w:r>
    </w:p>
    <w:p>
      <w:pPr>
        <w:pStyle w:val="ManualConsidrant"/>
        <w:rPr>
          <w:noProof/>
          <w:lang w:eastAsia="en-GB"/>
        </w:rPr>
      </w:pPr>
      <w:r>
        <w:t>(6)</w:t>
      </w:r>
      <w:r>
        <w:tab/>
      </w:r>
      <w:r>
        <w:rPr>
          <w:noProof/>
          <w:lang w:eastAsia="en-GB"/>
        </w:rPr>
        <w:t>These measures should enter into force as soon as possible in view of the economic importance related to Union fishing activities in the Seychelles fishing zone and the need to reduce as much as possible the interruption of such activities.</w:t>
      </w:r>
    </w:p>
    <w:p>
      <w:pPr>
        <w:pStyle w:val="ManualConsidrant"/>
        <w:rPr>
          <w:noProof/>
        </w:rPr>
      </w:pPr>
      <w:r>
        <w:t>(7)</w:t>
      </w:r>
      <w:r>
        <w:tab/>
      </w:r>
      <w:r>
        <w:rPr>
          <w:noProof/>
          <w:lang w:eastAsia="en-GB"/>
        </w:rPr>
        <w:t xml:space="preserve">In order to allow for the continuation of fishing activities by Union vessels, the Partnership Agreement and the Protocol should be applied provisionally upon their signature, pending their entry into force,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Sustainable Fisheries Partnership Agreement between the European Union and the Republic of Seychelles (‘the Partnership Agreement’) and the Protocol on the Implementation of the Sustainable Fisheries Partnership Agreement between the European Union and the Republic of Seychelles (2020-2026) (‘the Protocol’) is hereby approved on behalf of the Union, subject to the conclusion of those acts.</w:t>
      </w:r>
    </w:p>
    <w:p>
      <w:pPr>
        <w:rPr>
          <w:noProof/>
        </w:rPr>
      </w:pPr>
      <w:r>
        <w:rPr>
          <w:noProof/>
        </w:rPr>
        <w:t>The text of the Partnership Agreement and Protocol to be signed are attached to this Decision.</w:t>
      </w:r>
    </w:p>
    <w:p>
      <w:pPr>
        <w:pStyle w:val="Titrearticle"/>
        <w:rPr>
          <w:noProof/>
        </w:rPr>
      </w:pPr>
      <w:r>
        <w:rPr>
          <w:noProof/>
        </w:rPr>
        <w:t>Article 2</w:t>
      </w:r>
    </w:p>
    <w:p>
      <w:pPr>
        <w:rPr>
          <w:i/>
          <w:noProof/>
        </w:rPr>
      </w:pPr>
      <w:r>
        <w:rPr>
          <w:noProof/>
        </w:rPr>
        <w:t>The Council Secretariat-General shall establish the instrument of full powers to sign the Partnership Agreement and the Protocol, subject to their conclusion, for the person(s) indicated by the negotiator of the said Partnership Agreement and Protocol</w:t>
      </w:r>
      <w:r>
        <w:rPr>
          <w:i/>
          <w:noProof/>
        </w:rPr>
        <w:t xml:space="preserve">.  </w:t>
      </w:r>
    </w:p>
    <w:p>
      <w:pPr>
        <w:pStyle w:val="Titrearticle"/>
        <w:rPr>
          <w:noProof/>
        </w:rPr>
      </w:pPr>
      <w:r>
        <w:rPr>
          <w:noProof/>
        </w:rPr>
        <w:t>Article 3</w:t>
      </w:r>
    </w:p>
    <w:p>
      <w:pPr>
        <w:keepNext/>
        <w:rPr>
          <w:noProof/>
        </w:rPr>
      </w:pPr>
      <w:r>
        <w:rPr>
          <w:noProof/>
        </w:rPr>
        <w:t>The Partnership Agreement shall be applied provisionally, in accordance with Article 15 of the Partnership Agreement, as from the date of its signature, pending its entry into force.</w:t>
      </w:r>
    </w:p>
    <w:p>
      <w:pPr>
        <w:pStyle w:val="Titrearticle"/>
        <w:rPr>
          <w:noProof/>
        </w:rPr>
      </w:pPr>
      <w:r>
        <w:rPr>
          <w:noProof/>
        </w:rPr>
        <w:t>Article 4</w:t>
      </w:r>
    </w:p>
    <w:p>
      <w:pPr>
        <w:keepNext/>
        <w:rPr>
          <w:noProof/>
        </w:rPr>
      </w:pPr>
      <w:r>
        <w:rPr>
          <w:noProof/>
        </w:rPr>
        <w:t>The Protocol shall be applied provisionally, in accordance with Article 15 of the Protocol, as from the date of its signature, pending its entry into force.</w:t>
      </w:r>
    </w:p>
    <w:p>
      <w:pPr>
        <w:pStyle w:val="Titrearticle"/>
        <w:keepNext w:val="0"/>
        <w:rPr>
          <w:noProof/>
        </w:rPr>
      </w:pPr>
      <w:r>
        <w:rPr>
          <w:noProof/>
        </w:rPr>
        <w:t>Article 5</w:t>
      </w:r>
    </w:p>
    <w:p>
      <w:pPr>
        <w:keepLines/>
        <w:rPr>
          <w:noProof/>
        </w:rPr>
      </w:pPr>
      <w:r>
        <w:rPr>
          <w:noProof/>
        </w:rPr>
        <w:t xml:space="preserve">This Decision shall enter into force on the day following that of its publication in the </w:t>
      </w:r>
      <w:r>
        <w:rPr>
          <w:i/>
          <w:noProof/>
        </w:rPr>
        <w:t>Official Journal of the European Union</w:t>
      </w:r>
      <w:r>
        <w:rPr>
          <w:noProof/>
        </w:rPr>
        <w:t xml:space="preserve">. </w:t>
      </w:r>
    </w:p>
    <w:p>
      <w:pPr>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pStyle w:val="Fichefinanciretitre"/>
        <w:rPr>
          <w:noProof/>
        </w:rPr>
      </w:pPr>
      <w:r>
        <w:rPr>
          <w:noProof/>
        </w:rPr>
        <w:br w:type="page"/>
      </w: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noProof/>
        </w:rPr>
        <w:tab/>
      </w:r>
      <w:r>
        <w:rPr>
          <w:b w:val="0"/>
          <w:noProof/>
        </w:rPr>
        <w:t xml:space="preserve">Title of the proposal/initiative </w:t>
      </w:r>
    </w:p>
    <w:p>
      <w:pPr>
        <w:pStyle w:val="ManualHeading2"/>
        <w:rPr>
          <w:b w:val="0"/>
          <w:noProof/>
        </w:rPr>
      </w:pPr>
      <w:r>
        <w:rPr>
          <w:noProof/>
        </w:rPr>
        <w:tab/>
      </w:r>
      <w:r>
        <w:rPr>
          <w:b w:val="0"/>
          <w:noProof/>
        </w:rPr>
        <w:t>1.2.</w:t>
      </w:r>
      <w:r>
        <w:rPr>
          <w:noProof/>
        </w:rPr>
        <w:tab/>
      </w:r>
      <w:r>
        <w:rPr>
          <w:b w:val="0"/>
          <w:noProof/>
        </w:rPr>
        <w:t>Policy area(s) concerned</w:t>
      </w:r>
    </w:p>
    <w:p>
      <w:pPr>
        <w:pStyle w:val="ManualHeading2"/>
        <w:rPr>
          <w:b w:val="0"/>
          <w:noProof/>
        </w:rPr>
      </w:pPr>
      <w:r>
        <w:rPr>
          <w:noProof/>
        </w:rPr>
        <w:tab/>
      </w:r>
      <w:r>
        <w:rPr>
          <w:b w:val="0"/>
          <w:noProof/>
        </w:rPr>
        <w:t>1.3.</w:t>
      </w:r>
      <w:r>
        <w:rPr>
          <w:noProof/>
        </w:rPr>
        <w:tab/>
      </w:r>
      <w:r>
        <w:rPr>
          <w:b w:val="0"/>
          <w:noProof/>
        </w:rPr>
        <w:t xml:space="preserve">The proposal/initiative relates to: </w:t>
      </w:r>
    </w:p>
    <w:p>
      <w:pPr>
        <w:pStyle w:val="ManualHeading2"/>
        <w:rPr>
          <w:b w:val="0"/>
          <w:noProof/>
        </w:rPr>
      </w:pPr>
      <w:r>
        <w:rPr>
          <w:noProof/>
        </w:rPr>
        <w:tab/>
      </w:r>
      <w:r>
        <w:rPr>
          <w:b w:val="0"/>
          <w:noProof/>
        </w:rPr>
        <w:t>1.4.</w:t>
      </w:r>
      <w:r>
        <w:rPr>
          <w:noProof/>
        </w:rPr>
        <w:tab/>
      </w:r>
      <w:r>
        <w:rPr>
          <w:b w:val="0"/>
          <w:noProof/>
        </w:rPr>
        <w:t xml:space="preserve">Objective(s) </w:t>
      </w:r>
    </w:p>
    <w:p>
      <w:pPr>
        <w:pStyle w:val="ManualHeading3"/>
        <w:rPr>
          <w:noProof/>
        </w:rPr>
      </w:pPr>
      <w:r>
        <w:rPr>
          <w:noProof/>
        </w:rPr>
        <w:tab/>
        <w:t>1.4.1.</w:t>
      </w:r>
      <w:r>
        <w:rPr>
          <w:noProof/>
        </w:rPr>
        <w:tab/>
        <w:t>General objective(s)</w:t>
      </w:r>
    </w:p>
    <w:p>
      <w:pPr>
        <w:pStyle w:val="ManualHeading3"/>
        <w:rPr>
          <w:noProof/>
        </w:rPr>
      </w:pPr>
      <w:r>
        <w:rPr>
          <w:noProof/>
        </w:rPr>
        <w:tab/>
        <w:t>1.4.2.</w:t>
      </w:r>
      <w:r>
        <w:rPr>
          <w:noProof/>
        </w:rPr>
        <w:tab/>
        <w:t>Specific objective(s)</w:t>
      </w:r>
    </w:p>
    <w:p>
      <w:pPr>
        <w:pStyle w:val="ManualHeading3"/>
        <w:rPr>
          <w:noProof/>
        </w:rPr>
      </w:pPr>
      <w:r>
        <w:rPr>
          <w:noProof/>
        </w:rPr>
        <w:tab/>
        <w:t>1.4.3.</w:t>
      </w:r>
      <w:r>
        <w:rPr>
          <w:noProof/>
        </w:rPr>
        <w:tab/>
        <w:t>Expected result(s) and impact</w:t>
      </w:r>
    </w:p>
    <w:p>
      <w:pPr>
        <w:pStyle w:val="ManualHeading3"/>
        <w:rPr>
          <w:noProof/>
        </w:rPr>
      </w:pPr>
      <w:r>
        <w:rPr>
          <w:noProof/>
        </w:rPr>
        <w:tab/>
        <w:t>1.4.4.</w:t>
      </w:r>
      <w:r>
        <w:rPr>
          <w:noProof/>
        </w:rPr>
        <w:tab/>
        <w:t>Performance indicators</w:t>
      </w:r>
    </w:p>
    <w:p>
      <w:pPr>
        <w:pStyle w:val="ManualHeading2"/>
        <w:rPr>
          <w:b w:val="0"/>
          <w:noProof/>
        </w:rPr>
      </w:pPr>
      <w:r>
        <w:rPr>
          <w:noProof/>
        </w:rPr>
        <w:tab/>
      </w:r>
      <w:r>
        <w:rPr>
          <w:b w:val="0"/>
          <w:noProof/>
        </w:rPr>
        <w:t>1.5.</w:t>
      </w:r>
      <w:r>
        <w:rPr>
          <w:noProof/>
        </w:rPr>
        <w:tab/>
      </w:r>
      <w:r>
        <w:rPr>
          <w:b w:val="0"/>
          <w:noProof/>
        </w:rPr>
        <w:t xml:space="preserve">Grounds for the proposal/initiative </w:t>
      </w:r>
    </w:p>
    <w:p>
      <w:pPr>
        <w:pStyle w:val="ManualHeading3"/>
        <w:rPr>
          <w:noProof/>
        </w:rPr>
      </w:pPr>
      <w:r>
        <w:rPr>
          <w:noProof/>
        </w:rPr>
        <w:tab/>
        <w:t>1.5.1.</w:t>
      </w:r>
      <w:r>
        <w:rPr>
          <w:noProof/>
        </w:rPr>
        <w:tab/>
        <w:t>Requirement(s) to be met in the short or long term, including a detailed timeline for implementing the initiative</w:t>
      </w:r>
    </w:p>
    <w:p>
      <w:pPr>
        <w:pStyle w:val="ManualHeading3"/>
        <w:rPr>
          <w:noProof/>
        </w:rPr>
      </w:pPr>
      <w:r>
        <w:rPr>
          <w:noProof/>
        </w:rPr>
        <w:tab/>
        <w:t>1.5.2.</w:t>
      </w:r>
      <w:r>
        <w:rPr>
          <w:noProof/>
        </w:rPr>
        <w:tab/>
        <w:t>Added value of Union involvement (it may result from different factors, e.g. coordination gains, legal certainty, greater effectiveness or complementarity). For the purposes of this point, ‘added value of Union involvement’ is the value resulting from Union intervention which is additional to the value that would have been otherwise created by Member States alone.</w:t>
      </w:r>
    </w:p>
    <w:p>
      <w:pPr>
        <w:pStyle w:val="ManualHeading3"/>
        <w:rPr>
          <w:noProof/>
        </w:rPr>
      </w:pPr>
      <w:r>
        <w:rPr>
          <w:noProof/>
        </w:rPr>
        <w:tab/>
        <w:t>1.5.3.</w:t>
      </w:r>
      <w:r>
        <w:rPr>
          <w:noProof/>
        </w:rPr>
        <w:tab/>
        <w:t>Lessons learned from similar experiences in the past</w:t>
      </w:r>
    </w:p>
    <w:p>
      <w:pPr>
        <w:pStyle w:val="ManualHeading3"/>
        <w:rPr>
          <w:noProof/>
        </w:rPr>
      </w:pPr>
      <w:r>
        <w:rPr>
          <w:noProof/>
        </w:rPr>
        <w:tab/>
        <w:t>1.5.4.</w:t>
      </w:r>
      <w:r>
        <w:rPr>
          <w:noProof/>
        </w:rPr>
        <w:tab/>
        <w:t>Compatibility with the multiannual financial framework and possible synergies with other appropriate instruments</w:t>
      </w:r>
    </w:p>
    <w:p>
      <w:pPr>
        <w:pStyle w:val="ManualHeading3"/>
        <w:rPr>
          <w:noProof/>
        </w:rPr>
      </w:pPr>
      <w:r>
        <w:rPr>
          <w:noProof/>
        </w:rPr>
        <w:tab/>
        <w:t>1.5.5.</w:t>
      </w:r>
      <w:r>
        <w:rPr>
          <w:noProof/>
        </w:rPr>
        <w:tab/>
        <w:t>Assessment of the different available financing options, including scope for redeployment</w:t>
      </w:r>
    </w:p>
    <w:p>
      <w:pPr>
        <w:pStyle w:val="ManualHeading2"/>
        <w:rPr>
          <w:b w:val="0"/>
          <w:noProof/>
        </w:rPr>
      </w:pPr>
      <w:r>
        <w:rPr>
          <w:noProof/>
        </w:rPr>
        <w:tab/>
      </w:r>
      <w:r>
        <w:rPr>
          <w:b w:val="0"/>
          <w:noProof/>
        </w:rPr>
        <w:t>1.6.</w:t>
      </w:r>
      <w:r>
        <w:rPr>
          <w:noProof/>
        </w:rPr>
        <w:tab/>
      </w:r>
      <w:r>
        <w:rPr>
          <w:b w:val="0"/>
          <w:noProof/>
        </w:rPr>
        <w:t>Duration and financial impact of the proposal/initiative</w:t>
      </w:r>
    </w:p>
    <w:p>
      <w:pPr>
        <w:pStyle w:val="ManualHeading2"/>
        <w:rPr>
          <w:b w:val="0"/>
          <w:noProof/>
        </w:rPr>
        <w:sectPr>
          <w:pgSz w:w="11907" w:h="16840" w:code="9"/>
          <w:pgMar w:top="1134" w:right="1418" w:bottom="1134" w:left="1418" w:header="709" w:footer="709" w:gutter="0"/>
          <w:cols w:space="708"/>
          <w:docGrid w:linePitch="360"/>
        </w:sectPr>
      </w:pPr>
      <w:r>
        <w:rPr>
          <w:noProof/>
        </w:rPr>
        <w:tab/>
      </w:r>
      <w:r>
        <w:rPr>
          <w:b w:val="0"/>
          <w:noProof/>
        </w:rPr>
        <w:t>1.7.</w:t>
      </w:r>
      <w:r>
        <w:rPr>
          <w:noProof/>
        </w:rPr>
        <w:tab/>
      </w:r>
      <w:r>
        <w:rPr>
          <w:b w:val="0"/>
          <w:noProof/>
        </w:rPr>
        <w:t>Management mode(s) planned</w:t>
      </w:r>
      <w:r>
        <w:rPr>
          <w:noProof/>
        </w:rPr>
        <w:tab/>
      </w:r>
    </w:p>
    <w:p>
      <w:pPr>
        <w:pStyle w:val="ManualHeading1"/>
        <w:rPr>
          <w:noProof/>
        </w:rPr>
      </w:pPr>
      <w:r>
        <w:rPr>
          <w:noProof/>
        </w:rPr>
        <w:t>2.</w:t>
      </w:r>
      <w:r>
        <w:rPr>
          <w:noProof/>
        </w:rPr>
        <w:tab/>
        <w:t xml:space="preserve">MANAGEMENT MEASURES </w:t>
      </w:r>
    </w:p>
    <w:p>
      <w:pPr>
        <w:pStyle w:val="ManualHeading2"/>
        <w:rPr>
          <w:b w:val="0"/>
          <w:noProof/>
        </w:rPr>
      </w:pPr>
      <w:r>
        <w:rPr>
          <w:noProof/>
        </w:rPr>
        <w:tab/>
      </w:r>
      <w:r>
        <w:rPr>
          <w:b w:val="0"/>
          <w:noProof/>
        </w:rPr>
        <w:t>2.1.</w:t>
      </w:r>
      <w:r>
        <w:rPr>
          <w:noProof/>
        </w:rPr>
        <w:tab/>
      </w:r>
      <w:r>
        <w:rPr>
          <w:b w:val="0"/>
          <w:noProof/>
        </w:rPr>
        <w:t xml:space="preserve">Monitoring and reporting rules </w:t>
      </w:r>
    </w:p>
    <w:p>
      <w:pPr>
        <w:pStyle w:val="ManualHeading2"/>
        <w:rPr>
          <w:b w:val="0"/>
          <w:noProof/>
        </w:rPr>
      </w:pPr>
      <w:r>
        <w:rPr>
          <w:noProof/>
        </w:rPr>
        <w:tab/>
      </w:r>
      <w:r>
        <w:rPr>
          <w:b w:val="0"/>
          <w:noProof/>
        </w:rPr>
        <w:t>2.2.</w:t>
      </w:r>
      <w:r>
        <w:rPr>
          <w:noProof/>
        </w:rPr>
        <w:tab/>
      </w:r>
      <w:r>
        <w:rPr>
          <w:b w:val="0"/>
          <w:noProof/>
        </w:rPr>
        <w:t>Management and control system(s)</w:t>
      </w:r>
    </w:p>
    <w:p>
      <w:pPr>
        <w:pStyle w:val="ManualHeading3"/>
        <w:rPr>
          <w:noProof/>
        </w:rPr>
      </w:pPr>
      <w:r>
        <w:rPr>
          <w:noProof/>
        </w:rPr>
        <w:tab/>
        <w:t>2.2.1.</w:t>
      </w:r>
      <w:r>
        <w:rPr>
          <w:noProof/>
        </w:rPr>
        <w:tab/>
        <w:t>Justification of the management mode(s), the funding implementation mechanism(s), the payment modalities and the control strategy proposed</w:t>
      </w:r>
    </w:p>
    <w:p>
      <w:pPr>
        <w:pStyle w:val="ManualHeading3"/>
        <w:rPr>
          <w:noProof/>
        </w:rPr>
      </w:pPr>
      <w:r>
        <w:rPr>
          <w:noProof/>
        </w:rPr>
        <w:tab/>
        <w:t>2.2.2.</w:t>
      </w:r>
      <w:r>
        <w:rPr>
          <w:noProof/>
        </w:rPr>
        <w:tab/>
        <w:t>Information concerning the risks identified and the internal control system(s) set up to mitigate them</w:t>
      </w:r>
    </w:p>
    <w:p>
      <w:pPr>
        <w:pStyle w:val="ManualHeading3"/>
        <w:rPr>
          <w:noProof/>
        </w:rPr>
      </w:pPr>
      <w:r>
        <w:rPr>
          <w:noProof/>
        </w:rPr>
        <w:tab/>
        <w:t>2.2.3.</w:t>
      </w:r>
      <w:r>
        <w:rPr>
          <w:noProof/>
        </w:rPr>
        <w:tab/>
        <w:t>Estimation and justification of the cost-effectiveness of the controls (ratio of ‘control costs ÷ value of the related funds managed’), and assessment of the expected levels of risk of error (at payment and at closure)</w:t>
      </w:r>
    </w:p>
    <w:p>
      <w:pPr>
        <w:pStyle w:val="ManualHeading2"/>
        <w:rPr>
          <w:b w:val="0"/>
          <w:noProof/>
        </w:rPr>
      </w:pPr>
      <w:r>
        <w:rPr>
          <w:noProof/>
        </w:rPr>
        <w:tab/>
      </w:r>
      <w:r>
        <w:rPr>
          <w:b w:val="0"/>
          <w:noProof/>
        </w:rPr>
        <w:t>2.3.</w:t>
      </w:r>
      <w:r>
        <w:rPr>
          <w:noProof/>
        </w:rPr>
        <w:tab/>
      </w:r>
      <w:r>
        <w:rPr>
          <w:b w:val="0"/>
          <w:noProof/>
        </w:rPr>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noProof/>
        </w:rPr>
        <w:tab/>
      </w:r>
      <w:r>
        <w:rPr>
          <w:b w:val="0"/>
          <w:noProof/>
        </w:rPr>
        <w:t>3.1.</w:t>
      </w:r>
      <w:r>
        <w:rPr>
          <w:noProof/>
        </w:rPr>
        <w:tab/>
      </w:r>
      <w:r>
        <w:rPr>
          <w:b w:val="0"/>
          <w:noProof/>
        </w:rPr>
        <w:t xml:space="preserve">Heading(s) of the multiannual financial framework and expenditure budget line(s) affected </w:t>
      </w:r>
    </w:p>
    <w:p>
      <w:pPr>
        <w:pStyle w:val="ManualHeading2"/>
        <w:rPr>
          <w:noProof/>
        </w:rPr>
      </w:pPr>
      <w:r>
        <w:rPr>
          <w:noProof/>
        </w:rPr>
        <w:tab/>
      </w:r>
      <w:r>
        <w:rPr>
          <w:b w:val="0"/>
          <w:noProof/>
        </w:rPr>
        <w:t>3.2.</w:t>
      </w:r>
      <w:r>
        <w:rPr>
          <w:noProof/>
        </w:rPr>
        <w:tab/>
      </w:r>
      <w:r>
        <w:rPr>
          <w:b w:val="0"/>
          <w:noProof/>
        </w:rPr>
        <w:t>Estimated financial impact of the proposal on appropriations</w:t>
      </w:r>
    </w:p>
    <w:p>
      <w:pPr>
        <w:pStyle w:val="ManualHeading3"/>
        <w:rPr>
          <w:noProof/>
        </w:rPr>
      </w:pPr>
      <w:r>
        <w:rPr>
          <w:noProof/>
        </w:rPr>
        <w:tab/>
        <w:t>3.2.1.</w:t>
      </w:r>
      <w:r>
        <w:rPr>
          <w:noProof/>
        </w:rPr>
        <w:tab/>
        <w:t xml:space="preserve">Summary of estimated impact on operational appropriations </w:t>
      </w:r>
    </w:p>
    <w:p>
      <w:pPr>
        <w:pStyle w:val="ManualHeading3"/>
        <w:rPr>
          <w:noProof/>
        </w:rPr>
      </w:pPr>
      <w:r>
        <w:rPr>
          <w:noProof/>
        </w:rPr>
        <w:tab/>
        <w:t>3.2.2.</w:t>
      </w:r>
      <w:r>
        <w:rPr>
          <w:noProof/>
        </w:rPr>
        <w:tab/>
        <w:t xml:space="preserve">Estimated output funded with operational appropriations </w:t>
      </w:r>
    </w:p>
    <w:p>
      <w:pPr>
        <w:pStyle w:val="ManualHeading3"/>
        <w:rPr>
          <w:noProof/>
        </w:rPr>
      </w:pPr>
      <w:r>
        <w:rPr>
          <w:noProof/>
        </w:rPr>
        <w:tab/>
        <w:t>3.2.3.</w:t>
      </w:r>
      <w:r>
        <w:rPr>
          <w:noProof/>
        </w:rPr>
        <w:tab/>
        <w:t>Summary of estimated impact on administrative appropriations</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pPr>
      <w:r>
        <w:rPr>
          <w:noProof/>
        </w:rPr>
        <w:tab/>
      </w:r>
      <w:r>
        <w:rPr>
          <w:b w:val="0"/>
          <w:noProof/>
        </w:rPr>
        <w:t>3.3.</w:t>
      </w:r>
      <w:r>
        <w:rPr>
          <w:noProof/>
        </w:rPr>
        <w:tab/>
      </w:r>
      <w:r>
        <w:rPr>
          <w:b w:val="0"/>
          <w:noProof/>
        </w:rPr>
        <w:t>Estimated impact on revenue</w:t>
      </w:r>
    </w:p>
    <w:p>
      <w:pPr>
        <w:jc w:val="center"/>
        <w:rPr>
          <w:b/>
          <w:noProof/>
          <w:u w:val="single"/>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Title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on the signing, on behalf of the Union, and provisional application of the Sustainable Fisheries Partnership Agreement and its Implementing Protocol (2020-2026) between the European Union and the Republic of Seychelles.</w:t>
      </w:r>
    </w:p>
    <w:p>
      <w:pPr>
        <w:pStyle w:val="ManualHeading2"/>
        <w:rPr>
          <w:noProof/>
        </w:rPr>
      </w:pPr>
      <w:r>
        <w:rPr>
          <w:noProof/>
        </w:rPr>
        <w:t>1.2.</w:t>
      </w:r>
      <w:r>
        <w:rPr>
          <w:noProof/>
        </w:rPr>
        <w:tab/>
        <w:t>Policy area(s) concerned</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Maritime affairs and fisheries</w:t>
      </w:r>
    </w:p>
    <w:p>
      <w:pPr>
        <w:pStyle w:val="Text1"/>
        <w:pBdr>
          <w:top w:val="single" w:sz="4" w:space="1" w:color="auto"/>
          <w:left w:val="single" w:sz="4" w:space="4" w:color="auto"/>
          <w:bottom w:val="single" w:sz="4" w:space="1" w:color="auto"/>
          <w:right w:val="single" w:sz="4" w:space="4" w:color="auto"/>
        </w:pBdr>
        <w:rPr>
          <w:noProof/>
        </w:rPr>
      </w:pPr>
      <w:r>
        <w:rPr>
          <w:noProof/>
        </w:rPr>
        <w:t>11.03 – Compulsory contributions to regional fisheries management organisations (RFMOs) and other international organisations and sustainable fisheries agreements (SFAs)</w:t>
      </w:r>
    </w:p>
    <w:p>
      <w:pPr>
        <w:pStyle w:val="Text1"/>
        <w:pBdr>
          <w:top w:val="single" w:sz="4" w:space="1" w:color="auto"/>
          <w:left w:val="single" w:sz="4" w:space="4" w:color="auto"/>
          <w:bottom w:val="single" w:sz="4" w:space="1" w:color="auto"/>
          <w:right w:val="single" w:sz="4" w:space="4" w:color="auto"/>
        </w:pBdr>
        <w:rPr>
          <w:noProof/>
        </w:rPr>
      </w:pPr>
      <w:r>
        <w:rPr>
          <w:noProof/>
        </w:rPr>
        <w:t>11.03.01 – Establishing a governance framework for fishing activities carried out by Union fishing vessels in third-country waters.</w:t>
      </w:r>
    </w:p>
    <w:p>
      <w:pPr>
        <w:pStyle w:val="ManualHeading2"/>
        <w:rPr>
          <w:noProof/>
          <w:szCs w:val="24"/>
        </w:rPr>
      </w:pPr>
      <w:r>
        <w:rPr>
          <w:noProof/>
        </w:rPr>
        <w:t>1.3.</w:t>
      </w:r>
      <w:r>
        <w:rPr>
          <w:noProof/>
        </w:rPr>
        <w:tab/>
        <w:t xml:space="preserve">The proposal/initiative relates to: </w:t>
      </w:r>
    </w:p>
    <w:p>
      <w:pPr>
        <w:pStyle w:val="Text1"/>
        <w:rPr>
          <w:b/>
          <w:noProof/>
          <w:sz w:val="22"/>
        </w:rPr>
      </w:pPr>
      <w:r>
        <w:rPr>
          <w:b/>
          <w:noProof/>
          <w:sz w:val="22"/>
        </w:rPr>
        <w:t>X</w:t>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 / preparatory action</w:t>
      </w:r>
      <w:r>
        <w:rPr>
          <w:rStyle w:val="FootnoteReference"/>
          <w:b/>
          <w:noProof/>
        </w:rPr>
        <w:footnoteReference w:id="7"/>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 / a new action</w:t>
      </w:r>
      <w:r>
        <w:rPr>
          <w:noProof/>
        </w:rPr>
        <w:t xml:space="preserve"> </w:t>
      </w:r>
    </w:p>
    <w:p>
      <w:pPr>
        <w:pStyle w:val="ManualHeading2"/>
        <w:rPr>
          <w:noProof/>
          <w:szCs w:val="24"/>
        </w:rPr>
      </w:pPr>
      <w:r>
        <w:rPr>
          <w:noProof/>
        </w:rPr>
        <w:t>1.4.</w:t>
      </w:r>
      <w:r>
        <w:rPr>
          <w:noProof/>
        </w:rPr>
        <w:tab/>
        <w:t>Objective(s)</w:t>
      </w:r>
    </w:p>
    <w:p>
      <w:pPr>
        <w:pStyle w:val="ManualHeading3"/>
        <w:rPr>
          <w:noProof/>
        </w:rPr>
      </w:pPr>
      <w:r>
        <w:rPr>
          <w:noProof/>
        </w:rPr>
        <w:t>1.4.1.</w:t>
      </w:r>
      <w:r>
        <w:rPr>
          <w:noProof/>
        </w:rPr>
        <w:tab/>
        <w:t>General objective(s)</w:t>
      </w:r>
    </w:p>
    <w:p>
      <w:pPr>
        <w:pStyle w:val="Text1"/>
        <w:pBdr>
          <w:top w:val="single" w:sz="4" w:space="1" w:color="auto"/>
          <w:left w:val="single" w:sz="4" w:space="4" w:color="auto"/>
          <w:bottom w:val="single" w:sz="4" w:space="1" w:color="auto"/>
          <w:right w:val="single" w:sz="4" w:space="4" w:color="auto"/>
        </w:pBdr>
        <w:rPr>
          <w:noProof/>
        </w:rPr>
      </w:pPr>
      <w:r>
        <w:rPr>
          <w:noProof/>
        </w:rPr>
        <w:t>The negotiation and conclusion of Sustainable Fisheries Partnership Agreements (SFPAs) with third countries meet the general objective of giving EU fishing vessels access to the fishing zones of third countries and developing a partnership with those countries with a view to strengthening the sustainable exploitation of fishery resources outside EU waters.</w:t>
      </w:r>
    </w:p>
    <w:p>
      <w:pPr>
        <w:pStyle w:val="Text1"/>
        <w:pBdr>
          <w:top w:val="single" w:sz="4" w:space="1" w:color="auto"/>
          <w:left w:val="single" w:sz="4" w:space="4" w:color="auto"/>
          <w:bottom w:val="single" w:sz="4" w:space="1" w:color="auto"/>
          <w:right w:val="single" w:sz="4" w:space="4" w:color="auto"/>
        </w:pBdr>
        <w:rPr>
          <w:noProof/>
        </w:rPr>
      </w:pPr>
      <w:r>
        <w:rPr>
          <w:noProof/>
        </w:rPr>
        <w:t>SFPAs also ensure consistency between the principles governing the common fisheries policy and commitments made under other European policies (sustainable use of third-country resources, combating illegal, unreported and unregulated (IUU) fishing, integration of partner countries into the global economy, contribution to sustainable development in all its dimensions, and better political and financial governance of fisheries).</w:t>
      </w:r>
    </w:p>
    <w:p>
      <w:pPr>
        <w:pStyle w:val="ManualHeading3"/>
        <w:rPr>
          <w:bCs/>
          <w:noProof/>
          <w:szCs w:val="24"/>
        </w:rPr>
      </w:pPr>
      <w:r>
        <w:rPr>
          <w:noProof/>
        </w:rPr>
        <w:t>1.4.2.</w:t>
      </w:r>
      <w:r>
        <w:rPr>
          <w:noProof/>
        </w:rPr>
        <w:tab/>
        <w:t>Specific objective(s)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1</w:t>
      </w:r>
    </w:p>
    <w:p>
      <w:pPr>
        <w:pStyle w:val="Text1"/>
        <w:pBdr>
          <w:top w:val="single" w:sz="4" w:space="1" w:color="auto"/>
          <w:left w:val="single" w:sz="4" w:space="4" w:color="auto"/>
          <w:bottom w:val="single" w:sz="4" w:space="1" w:color="auto"/>
          <w:right w:val="single" w:sz="4" w:space="4" w:color="auto"/>
        </w:pBdr>
        <w:rPr>
          <w:noProof/>
        </w:rPr>
      </w:pPr>
      <w:r>
        <w:rPr>
          <w:noProof/>
        </w:rPr>
        <w:t>To contribute to sustainable fishing in non-EU waters, maintain a European presence in distant-water fisheries and protect the interests of the European fisheries sector and consumers by negotiating and concluding SFPAs with coastal states, consistent with other European policies.</w:t>
      </w:r>
    </w:p>
    <w:p>
      <w:pPr>
        <w:pStyle w:val="ManualHeading3"/>
        <w:rPr>
          <w:noProof/>
        </w:rPr>
      </w:pPr>
      <w:r>
        <w:rPr>
          <w:noProof/>
        </w:rPr>
        <w:t>1.4.3.</w:t>
      </w:r>
      <w:r>
        <w:rPr>
          <w:noProof/>
        </w:rPr>
        <w:tab/>
        <w:t>Expected result(s) and impact</w:t>
      </w:r>
    </w:p>
    <w:p>
      <w:pPr>
        <w:pStyle w:val="Text1"/>
        <w:rPr>
          <w:i/>
          <w:noProof/>
          <w:sz w:val="20"/>
        </w:rPr>
      </w:pPr>
      <w:r>
        <w:rPr>
          <w:i/>
          <w:noProof/>
          <w:sz w:val="20"/>
        </w:rPr>
        <w:t>Specify the effects that the proposal/initiative should have on the targeted beneficiaries/groups.</w:t>
      </w:r>
    </w:p>
    <w:p>
      <w:pPr>
        <w:pStyle w:val="Text1"/>
        <w:pBdr>
          <w:top w:val="single" w:sz="4" w:space="1" w:color="auto"/>
          <w:left w:val="single" w:sz="4" w:space="4" w:color="auto"/>
          <w:bottom w:val="single" w:sz="4" w:space="1" w:color="auto"/>
          <w:right w:val="single" w:sz="4" w:space="4" w:color="auto"/>
        </w:pBdr>
        <w:rPr>
          <w:noProof/>
        </w:rPr>
      </w:pPr>
      <w:r>
        <w:rPr>
          <w:noProof/>
        </w:rPr>
        <w:t>The conclusion of the Agreement and its Implementing Protocol enables to continue and reinforce the strategic fisheries partnership between the European Union and Seychelles. The conclusion of the Protocol will create fishing opportunities for Union vessels in the Seychelles fishing zone.</w:t>
      </w:r>
    </w:p>
    <w:p>
      <w:pPr>
        <w:pStyle w:val="Text1"/>
        <w:pBdr>
          <w:top w:val="single" w:sz="4" w:space="1" w:color="auto"/>
          <w:left w:val="single" w:sz="4" w:space="4" w:color="auto"/>
          <w:bottom w:val="single" w:sz="4" w:space="1" w:color="auto"/>
          <w:right w:val="single" w:sz="4" w:space="4" w:color="auto"/>
        </w:pBdr>
        <w:rPr>
          <w:noProof/>
        </w:rPr>
      </w:pPr>
      <w:r>
        <w:rPr>
          <w:noProof/>
        </w:rPr>
        <w:t>The Agreement and the Protocol will also contribute to better management and conservation of fishery resources, through financial support (sectoral support) for the implementation of programmes adopted at national level by the partner country, in particular the Fisheries Comprehensive Plan, the monitoring and combating illegal fishing, and the support for the small-scale fisheries sector.</w:t>
      </w:r>
    </w:p>
    <w:p>
      <w:pPr>
        <w:pStyle w:val="Text1"/>
        <w:pBdr>
          <w:top w:val="single" w:sz="4" w:space="1" w:color="auto"/>
          <w:left w:val="single" w:sz="4" w:space="4" w:color="auto"/>
          <w:bottom w:val="single" w:sz="4" w:space="1" w:color="auto"/>
          <w:right w:val="single" w:sz="4" w:space="4" w:color="auto"/>
        </w:pBdr>
        <w:rPr>
          <w:noProof/>
        </w:rPr>
      </w:pPr>
      <w:r>
        <w:rPr>
          <w:noProof/>
        </w:rPr>
        <w:t>Lastly, the Agreement and the Protocol will contribute to Seychelles’ sustainable exploitation of its marine resources and to Seychelles’ fishing economy by promoting growth and decent working conditions, associated with fishing-related economic activities.</w:t>
      </w:r>
    </w:p>
    <w:p>
      <w:pPr>
        <w:pStyle w:val="ManualHeading3"/>
        <w:rPr>
          <w:noProof/>
          <w:szCs w:val="24"/>
        </w:rPr>
      </w:pPr>
      <w:r>
        <w:rPr>
          <w:noProof/>
        </w:rPr>
        <w:t>1.4.4.</w:t>
      </w:r>
      <w:r>
        <w:rPr>
          <w:noProof/>
        </w:rPr>
        <w:tab/>
        <w:t>Performance indicators</w:t>
      </w:r>
    </w:p>
    <w:p>
      <w:pPr>
        <w:pStyle w:val="Text1"/>
        <w:rPr>
          <w:i/>
          <w:noProof/>
          <w:sz w:val="20"/>
        </w:rPr>
      </w:pPr>
      <w:r>
        <w:rPr>
          <w:i/>
          <w:noProof/>
          <w:sz w:val="20"/>
        </w:rPr>
        <w:t>Specify the indicators for monitoring progress and achievements.</w:t>
      </w:r>
    </w:p>
    <w:p>
      <w:pPr>
        <w:pStyle w:val="Text1"/>
        <w:pBdr>
          <w:top w:val="single" w:sz="4" w:space="1" w:color="auto"/>
          <w:left w:val="single" w:sz="4" w:space="4" w:color="auto"/>
          <w:bottom w:val="single" w:sz="4" w:space="1" w:color="auto"/>
          <w:right w:val="single" w:sz="4" w:space="4" w:color="auto"/>
        </w:pBdr>
        <w:rPr>
          <w:noProof/>
        </w:rPr>
      </w:pPr>
      <w:r>
        <w:rPr>
          <w:noProof/>
        </w:rPr>
        <w:t>Fishing opportunity utilisation rates (annual uptake of fishing authorisations as a percentage of availability under the Protocol).</w:t>
      </w:r>
    </w:p>
    <w:p>
      <w:pPr>
        <w:pStyle w:val="Text1"/>
        <w:pBdr>
          <w:top w:val="single" w:sz="4" w:space="1" w:color="auto"/>
          <w:left w:val="single" w:sz="4" w:space="4" w:color="auto"/>
          <w:bottom w:val="single" w:sz="4" w:space="1" w:color="auto"/>
          <w:right w:val="single" w:sz="4" w:space="4" w:color="auto"/>
        </w:pBdr>
        <w:rPr>
          <w:noProof/>
        </w:rPr>
      </w:pPr>
      <w:r>
        <w:rPr>
          <w:noProof/>
        </w:rPr>
        <w:t>Catch data (gathering and analysis) and the commercial value of the Agreement.</w:t>
      </w:r>
    </w:p>
    <w:p>
      <w:pPr>
        <w:pStyle w:val="Text1"/>
        <w:pBdr>
          <w:top w:val="single" w:sz="4" w:space="1" w:color="auto"/>
          <w:left w:val="single" w:sz="4" w:space="4" w:color="auto"/>
          <w:bottom w:val="single" w:sz="4" w:space="1" w:color="auto"/>
          <w:right w:val="single" w:sz="4" w:space="4" w:color="auto"/>
        </w:pBdr>
        <w:rPr>
          <w:noProof/>
        </w:rPr>
      </w:pPr>
      <w:r>
        <w:rPr>
          <w:noProof/>
        </w:rPr>
        <w:t>Contribution to employment and decent working conditions in fisheries and to added value in the Union and to stabilising the Union market (in aggregate with other SFPAs).</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Contribution to improving research, surveillance and control of fishing activity by the partner country and the development of its fisheries sector, in particular its small-scale fisheries sector. </w:t>
      </w:r>
    </w:p>
    <w:p>
      <w:pPr>
        <w:pStyle w:val="ManualHeading2"/>
        <w:rPr>
          <w:noProof/>
        </w:rPr>
      </w:pPr>
      <w:r>
        <w:rPr>
          <w:noProof/>
        </w:rPr>
        <w:t>1.5.</w:t>
      </w:r>
      <w:r>
        <w:rPr>
          <w:noProof/>
        </w:rPr>
        <w:tab/>
        <w:t xml:space="preserve">Grounds for the proposal/initiative </w:t>
      </w:r>
    </w:p>
    <w:p>
      <w:pPr>
        <w:pStyle w:val="ManualHeading3"/>
        <w:rPr>
          <w:noProof/>
        </w:rPr>
      </w:pPr>
      <w:r>
        <w:rPr>
          <w:noProof/>
        </w:rPr>
        <w:t>1.5.1.</w:t>
      </w:r>
      <w:r>
        <w:rPr>
          <w:noProof/>
        </w:rPr>
        <w:tab/>
        <w:t>Requirement(s) to be met in the short or long term, including a detailed timeline for implementing the initiative</w:t>
      </w:r>
    </w:p>
    <w:p>
      <w:pPr>
        <w:pStyle w:val="Text1"/>
        <w:pBdr>
          <w:top w:val="single" w:sz="4" w:space="1" w:color="auto"/>
          <w:left w:val="single" w:sz="4" w:space="4" w:color="auto"/>
          <w:bottom w:val="single" w:sz="4" w:space="1" w:color="auto"/>
          <w:right w:val="single" w:sz="4" w:space="4" w:color="auto"/>
        </w:pBdr>
        <w:rPr>
          <w:noProof/>
        </w:rPr>
      </w:pPr>
      <w:r>
        <w:rPr>
          <w:noProof/>
        </w:rPr>
        <w:t>It is intended that the new Agreement and Implementing Protocol will apply provisionally from the date of its signature, so as to minimise any interruption of fishing operations which are ongoing under the current Protocol.</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new Agreement and Protocol will provide a framework for the fishing activities of the Union fleet in Seychelles fishing zone and will authorise EU vessel owners to apply for fishing authorisations to fish in that zone. In addition, the new Agreement and Protocol will enhance cooperation between the EU and Seychelles with a view to promoting the development of a sustainable fisheries policy in all its dimensions. It provides, in particular, for vessels to be monitored via VMS and for the electronic transmission of catch data. The sectoral support available under the Protocol will help Seychelles with its national fisheries strategy, including the fight against IUU fishing while promoting decent working conditions in fishing activities. </w:t>
      </w:r>
    </w:p>
    <w:p>
      <w:pPr>
        <w:pStyle w:val="ManualHeading3"/>
        <w:rPr>
          <w:bCs/>
          <w:noProof/>
          <w:szCs w:val="24"/>
        </w:rPr>
      </w:pPr>
      <w:r>
        <w:rPr>
          <w:noProof/>
        </w:rPr>
        <w:t>1.5.2.</w:t>
      </w:r>
      <w:r>
        <w:rPr>
          <w:noProof/>
        </w:rPr>
        <w:tab/>
        <w:t>Added value of Union involvement (it may result from different factors, e.g. coordination gains, legal certainty, greater effectiveness or complementarity).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noProof/>
        </w:rPr>
        <w:t xml:space="preserve">Failure by the Union to agree on a new Agreement and Protocol would impede the fishing activity of Union vessels as the current Agreement contains a clause excluding fishing activities not taking place in the framework defined by a Protocol to the Agreement. Consequently, the added value for the EU’s long-distance fleet is very clear. The Protocol also offers a framework for enhanced cooperation between the Union and Seychelles. </w:t>
      </w:r>
    </w:p>
    <w:p>
      <w:pPr>
        <w:pStyle w:val="ManualHeading3"/>
        <w:rPr>
          <w:noProof/>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 analysis of past catches in the Seychelles fishing zone, available assessments and scientific advice, have led the Parties to set a reference tonnage for tuna and tuna-like species of 50 000 tonnes per year with fishing opportunities for 40 tuna purse seiners and 8 surface longliners. Sectoral support has been set at a high level in order to take account the priorities of the national fisheries strategy and in particular of the Fisheries Comprehensive Plan.</w:t>
      </w:r>
    </w:p>
    <w:p>
      <w:pPr>
        <w:pStyle w:val="ManualHeading3"/>
        <w:rPr>
          <w:noProof/>
        </w:rPr>
      </w:pPr>
      <w:r>
        <w:rPr>
          <w:noProof/>
        </w:rPr>
        <w:t>1.5.4.</w:t>
      </w:r>
      <w:r>
        <w:rPr>
          <w:noProof/>
        </w:rPr>
        <w:tab/>
        <w:t>Compatibility with the multiannual financial framework and possible synergies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Funds provided as financial compensation for access under the SFPA constitute fungible revenue in the national budget of Seychelles. However, funds intended for sectoral support are allocated (generally by introduction in the annual budget law) to the Ministry responsible for fisheries, as a condition for the conclusion and monitoring of SFPAs. These financial resources are compatible with other sources of funding from other providers of international funding for carrying out projects and/or programmes at national level in the fisheries sector.</w:t>
      </w:r>
    </w:p>
    <w:p>
      <w:pPr>
        <w:pStyle w:val="ManualHeading3"/>
        <w:rPr>
          <w:noProof/>
        </w:rPr>
      </w:pPr>
      <w:r>
        <w:rPr>
          <w:noProof/>
        </w:rPr>
        <w:t>1.5.5.</w:t>
      </w:r>
      <w:r>
        <w:rPr>
          <w:noProof/>
        </w:rPr>
        <w:tab/>
        <w:t>Assessment of the different available financing options, including scope for redeployment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Not applicable</w:t>
      </w:r>
    </w:p>
    <w:p>
      <w:pPr>
        <w:pStyle w:val="Text1"/>
        <w:rPr>
          <w:noProof/>
        </w:rPr>
      </w:pPr>
    </w:p>
    <w:p>
      <w:pPr>
        <w:pStyle w:val="ManualHeading2"/>
        <w:rPr>
          <w:bCs/>
          <w:noProof/>
          <w:szCs w:val="24"/>
        </w:rPr>
      </w:pPr>
      <w:r>
        <w:rPr>
          <w:noProof/>
        </w:rPr>
        <w:t>1.6.</w:t>
      </w:r>
      <w:r>
        <w:rPr>
          <w:noProof/>
        </w:rPr>
        <w:tab/>
        <w:t>Duration and financial impact of the proposal/initiative</w:t>
      </w:r>
    </w:p>
    <w:p>
      <w:pPr>
        <w:pStyle w:val="Text1"/>
        <w:rPr>
          <w:noProof/>
        </w:rPr>
      </w:pPr>
      <w:r>
        <w:rPr>
          <w:b/>
          <w:noProof/>
        </w:rPr>
        <w:t>X</w:t>
      </w:r>
      <w:r>
        <w:rPr>
          <w:b/>
          <w:i/>
          <w:noProof/>
        </w:rPr>
        <w:t xml:space="preserve"> </w:t>
      </w:r>
      <w:r>
        <w:rPr>
          <w:b/>
          <w:noProof/>
        </w:rPr>
        <w:t xml:space="preserve">limited duration </w:t>
      </w:r>
    </w:p>
    <w:p>
      <w:pPr>
        <w:pStyle w:val="ListDash2"/>
        <w:rPr>
          <w:noProof/>
        </w:rPr>
      </w:pPr>
      <w:r>
        <w:rPr>
          <w:b/>
          <w:noProof/>
        </w:rPr>
        <w:t>X</w:t>
      </w:r>
      <w:r>
        <w:rPr>
          <w:noProof/>
        </w:rPr>
        <w:tab/>
        <w:t>In force from 2020 to 2026</w:t>
      </w:r>
    </w:p>
    <w:p>
      <w:pPr>
        <w:pStyle w:val="ListDash2"/>
        <w:rPr>
          <w:noProof/>
        </w:rPr>
      </w:pPr>
      <w:r>
        <w:rPr>
          <w:b/>
          <w:noProof/>
        </w:rPr>
        <w:t>X</w:t>
      </w:r>
      <w:r>
        <w:rPr>
          <w:noProof/>
        </w:rPr>
        <w:tab/>
        <w:t>Financial impact from 2020 to 2025 for commitment appropriations and from 2020 to 2025 for payment appropriations.</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rPr>
          <w:noProof/>
        </w:rPr>
        <w:t>1.7.</w:t>
      </w:r>
      <w:r>
        <w:rPr>
          <w:noProof/>
        </w:rPr>
        <w:tab/>
        <w:t>Management mode(s) planned</w:t>
      </w:r>
      <w:r>
        <w:rPr>
          <w:rStyle w:val="FootnoteReference"/>
          <w:noProof/>
        </w:rPr>
        <w:footnoteReference w:id="8"/>
      </w:r>
      <w:r>
        <w:rPr>
          <w:rStyle w:val="FootnoteReference"/>
          <w:noProof/>
        </w:rPr>
        <w:t xml:space="preserve">  </w:t>
      </w:r>
    </w:p>
    <w:p>
      <w:pPr>
        <w:pStyle w:val="Text1"/>
        <w:rPr>
          <w:noProof/>
        </w:rPr>
      </w:pPr>
      <w:r>
        <w:rPr>
          <w:b/>
          <w:noProof/>
        </w:rPr>
        <w:t>X</w:t>
      </w:r>
      <w:r>
        <w:rPr>
          <w:i/>
          <w:noProof/>
        </w:rPr>
        <w:t xml:space="preserve"> </w:t>
      </w:r>
      <w:r>
        <w:rPr>
          <w:b/>
          <w:noProof/>
        </w:rPr>
        <w:t>Direct management</w:t>
      </w:r>
      <w:r>
        <w:rPr>
          <w:noProof/>
        </w:rPr>
        <w:t xml:space="preserve"> by the Commission</w:t>
      </w:r>
    </w:p>
    <w:p>
      <w:pPr>
        <w:pStyle w:val="ListDash2"/>
        <w:rPr>
          <w:rFonts w:cs="EUAlbertina"/>
          <w:noProof/>
        </w:rPr>
      </w:pPr>
      <w:r>
        <w:rPr>
          <w:b/>
          <w:noProof/>
        </w:rPr>
        <w:t>X</w:t>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public-law bodies;</w:t>
      </w:r>
    </w:p>
    <w:p>
      <w:pPr>
        <w:pStyle w:val="ListDash2"/>
        <w:rPr>
          <w:noProof/>
        </w:rPr>
      </w:pPr>
      <w:r>
        <w:rPr>
          <w:noProof/>
        </w:rPr>
        <w:sym w:font="Wingdings" w:char="F0A8"/>
      </w:r>
      <w:r>
        <w:rPr>
          <w:noProof/>
        </w:rPr>
        <w:t xml:space="preserve"> bodies governed by private law with a public-service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 xml:space="preserve">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(DG MARE, in cooperation with its fisheries attaché responsible for the region- Port Louis, Mauritius, and in coordination with relevant Commission services), will ensure regular monitoring of the implementation of the Protocol as regards the use of fishing opportunities by operators, catch data and compliance with conditions for sectoral support. </w:t>
      </w:r>
    </w:p>
    <w:p>
      <w:pPr>
        <w:pBdr>
          <w:top w:val="single" w:sz="4" w:space="1" w:color="auto"/>
          <w:left w:val="single" w:sz="4" w:space="4" w:color="auto"/>
          <w:bottom w:val="single" w:sz="4" w:space="1" w:color="auto"/>
          <w:right w:val="single" w:sz="4" w:space="4" w:color="auto"/>
        </w:pBdr>
        <w:ind w:left="850"/>
        <w:rPr>
          <w:noProof/>
        </w:rPr>
      </w:pPr>
      <w:r>
        <w:rPr>
          <w:noProof/>
        </w:rPr>
        <w:t>Furthermore, the SFPA provides for at least one annual meeting of the Joint Committee, at which the Commission and Seychelles will review the implementation of the Agreement and Protocol and, if necessary, adjust the programming and the financial contribution.</w:t>
      </w:r>
    </w:p>
    <w:p>
      <w:pPr>
        <w:pStyle w:val="ManualHeading2"/>
        <w:rPr>
          <w:bCs/>
          <w:noProof/>
          <w:szCs w:val="24"/>
        </w:rPr>
      </w:pPr>
      <w:r>
        <w:rPr>
          <w:noProof/>
        </w:rPr>
        <w:t>2.2.</w:t>
      </w:r>
      <w:r>
        <w:rPr>
          <w:noProof/>
        </w:rPr>
        <w:tab/>
        <w:t xml:space="preserve">Management and control system(s) </w:t>
      </w:r>
    </w:p>
    <w:p>
      <w:pPr>
        <w:pStyle w:val="ManualHeading3"/>
        <w:rPr>
          <w:noProof/>
        </w:rPr>
      </w:pPr>
      <w:r>
        <w:rPr>
          <w:noProof/>
        </w:rPr>
        <w:t>2.2.1.</w:t>
      </w:r>
      <w:r>
        <w:rPr>
          <w:noProof/>
        </w:rPr>
        <w:tab/>
        <w:t>Justification of the management mode(s), the funding implementation mechanism(s), the payment modalities and the control strategy proposed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Payments will be implemented in a decoupled manner as regards the contribution for access and the contribution for sectoral support.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payments for access will be made annually on the anniversary date of the Protocol, except in the first year, when the payment will be made in the three months after the start of provisional application. Vessel access will be controlled by the issuing of fishing authorisations.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support will be paid for the first time within three months after the start of the provisional application, subject to the agreement on an annual and multiannual implementation programme; for the following years, it will be conditional to the results achieved. The results achieved and the implementation rate will be monitored in accordance with the Guidelines on the Implementation of Sectoral Support for Seychelles Fisheries policy to be agreed by the Parties, on the basis of reports or documentary evidence provided by the partner country and technical inspections carried out by the fisheries attaché. </w:t>
      </w:r>
    </w:p>
    <w:p>
      <w:pPr>
        <w:pStyle w:val="ManualHeading3"/>
        <w:rPr>
          <w:bCs/>
          <w:noProof/>
          <w:szCs w:val="24"/>
        </w:rPr>
      </w:pPr>
      <w:r>
        <w:rPr>
          <w:noProof/>
        </w:rPr>
        <w:t>2.2.2.</w:t>
      </w:r>
      <w:r>
        <w:rPr>
          <w:noProof/>
        </w:rPr>
        <w:tab/>
        <w:t>Information concerning the risks identified and the internal control system(s) set up to mitigate them</w:t>
      </w:r>
    </w:p>
    <w:p>
      <w:pPr>
        <w:pStyle w:val="Text1"/>
        <w:pBdr>
          <w:top w:val="single" w:sz="4" w:space="1" w:color="auto"/>
          <w:left w:val="single" w:sz="4" w:space="4" w:color="auto"/>
          <w:bottom w:val="single" w:sz="4" w:space="1" w:color="auto"/>
          <w:right w:val="single" w:sz="4" w:space="4" w:color="auto"/>
        </w:pBdr>
        <w:rPr>
          <w:noProof/>
        </w:rPr>
      </w:pPr>
      <w:r>
        <w:rPr>
          <w:noProof/>
        </w:rPr>
        <w:t>The identified risk is the under-use of fishing opportunities by EU vessel owners and the under-use or delayed use by Seychelles of funds intended to finance the sectoral fisheries policy. Extensive dialogue is planned on the programming and implementation of the sectoral policy laid down in the Agreement and the Protocol. Joint analysis of results, as referred to in Article 4 of the Protocol, also forms part of these control methods. In addition, the Agreement and the Protocol contain specific clauses for their suspension, under certain conditions and in given circumstances.</w:t>
      </w:r>
    </w:p>
    <w:p>
      <w:pPr>
        <w:pStyle w:val="ManualHeading3"/>
        <w:rPr>
          <w:noProof/>
        </w:rPr>
      </w:pPr>
      <w:r>
        <w:rPr>
          <w:noProof/>
        </w:rPr>
        <w:t>2.2.3.</w:t>
      </w:r>
      <w:r>
        <w:rPr>
          <w:noProof/>
        </w:rPr>
        <w:tab/>
        <w:t xml:space="preserve">Estimation and justification of the cost-effectiveness of the controls (ratio of ‘control costs ÷ value of the related funds managed’), and assessment of the expected levels of risk of error (at payment and at closure)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Payments relating to access costs under Sustainable Fisheries Partnership Agreements (SFPAs) are subject to checks aimed at ensuring their compliance with the provisions of international agreements. Checks relating to sectoral support are aimed at monitoring the implementation of the support. Monitoring is carried out by Commission staff in EU Delegations and during Joint Committees meetings. A multiannual programming matrix is used to evaluate progress. If progress is insufficient, the payment of the next tranche is suspended or possibly reduced. The overall cost of the checks on all SFPAs is estimated to be around 1.8% (of the contributions in 2018). The procedures for checks on SFPAs are based largely on essential regulatory requirements. If no shortcomings that could have a significant impact on the legality and regularity of the financial transactions are detected, the checks are considered effective. The average error rate is estimated at 0.0%. </w:t>
      </w: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The Commission undertakes to establish political dialogue and regular coordination with Seychelles with a view to improving the management of the Agreement and the Protocol, and strengthening the Union’s contribution to sustainable resources management. Any payment which the Commission makes under an SFPA is subject to the Commission’s standard rules and budgetary and financial procedures. In particular, the bank accounts of the third countries into which the financial contribution is paid are fully identified. Article 3(7) of the Protocol provides that the financial contribution for access and that intended for development of the sector are to be paid into a Public Treasury account.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Heading(s) of the multiannual financial framework and expenditure budget line(s) affected </w:t>
      </w:r>
    </w:p>
    <w:p>
      <w:pPr>
        <w:pStyle w:val="ListBullet1"/>
        <w:rPr>
          <w:noProof/>
        </w:rPr>
      </w:pPr>
      <w:r>
        <w:rPr>
          <w:noProof/>
        </w:rPr>
        <w:t xml:space="preserve">Existing budget lines </w:t>
      </w:r>
    </w:p>
    <w:p>
      <w:pPr>
        <w:pStyle w:val="Text1"/>
        <w:rPr>
          <w:i/>
          <w:noProof/>
        </w:rPr>
      </w:pPr>
      <w:r>
        <w:rPr>
          <w:i/>
          <w:noProof/>
          <w:u w:val="single"/>
        </w:rPr>
        <w:t>In the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Heading of multiannual financial framework</w:t>
            </w:r>
          </w:p>
        </w:tc>
        <w:tc>
          <w:tcPr>
            <w:tcW w:w="384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 expenditure</w:t>
            </w:r>
          </w:p>
        </w:tc>
        <w:tc>
          <w:tcPr>
            <w:tcW w:w="456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sz w:val="18"/>
              </w:rPr>
              <w:footnoteReference w:id="9"/>
            </w:r>
          </w:p>
        </w:tc>
        <w:tc>
          <w:tcPr>
            <w:tcW w:w="1076" w:type="dxa"/>
            <w:vAlign w:val="center"/>
          </w:tcPr>
          <w:p>
            <w:pPr>
              <w:jc w:val="center"/>
              <w:rPr>
                <w:noProof/>
              </w:rPr>
            </w:pPr>
            <w:r>
              <w:rPr>
                <w:noProof/>
                <w:sz w:val="18"/>
              </w:rPr>
              <w:t>from EFTA countries</w:t>
            </w:r>
            <w:r>
              <w:rPr>
                <w:rStyle w:val="FootnoteReference"/>
                <w:noProof/>
                <w:sz w:val="18"/>
              </w:rPr>
              <w:footnoteReference w:id="10"/>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11"/>
            </w:r>
          </w:p>
          <w:p>
            <w:pPr>
              <w:spacing w:before="0" w:after="0"/>
              <w:jc w:val="center"/>
              <w:rPr>
                <w:noProof/>
                <w:sz w:val="18"/>
              </w:rPr>
            </w:pPr>
          </w:p>
        </w:tc>
        <w:tc>
          <w:tcPr>
            <w:tcW w:w="1084" w:type="dxa"/>
            <w:vAlign w:val="center"/>
          </w:tcPr>
          <w:p>
            <w:pPr>
              <w:jc w:val="center"/>
              <w:rPr>
                <w:noProof/>
                <w:sz w:val="18"/>
              </w:rPr>
            </w:pPr>
            <w:r>
              <w:rPr>
                <w:noProof/>
                <w:sz w:val="18"/>
              </w:rPr>
              <w:t>from third countries</w:t>
            </w:r>
          </w:p>
        </w:tc>
        <w:tc>
          <w:tcPr>
            <w:tcW w:w="1320"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Establishing a governance framework for fishing activities carried out by European Union fishing vessels in third-country waters (SFAs)</w:t>
            </w:r>
          </w:p>
          <w:p>
            <w:pPr>
              <w:spacing w:after="60"/>
              <w:rPr>
                <w:noProof/>
              </w:rPr>
            </w:pPr>
          </w:p>
        </w:tc>
        <w:tc>
          <w:tcPr>
            <w:tcW w:w="1080" w:type="dxa"/>
            <w:vAlign w:val="center"/>
          </w:tcPr>
          <w:p>
            <w:pPr>
              <w:jc w:val="center"/>
              <w:rPr>
                <w:noProof/>
                <w:color w:val="0000FF"/>
              </w:rPr>
            </w:pPr>
            <w:r>
              <w:rPr>
                <w:noProof/>
                <w:sz w:val="22"/>
              </w:rPr>
              <w:t>Diff.</w:t>
            </w:r>
          </w:p>
        </w:tc>
        <w:tc>
          <w:tcPr>
            <w:tcW w:w="1076" w:type="dxa"/>
            <w:vAlign w:val="center"/>
          </w:tcPr>
          <w:p>
            <w:pPr>
              <w:jc w:val="center"/>
              <w:rPr>
                <w:noProof/>
                <w:sz w:val="20"/>
                <w:szCs w:val="20"/>
              </w:rPr>
            </w:pPr>
            <w:r>
              <w:rPr>
                <w:noProof/>
                <w:sz w:val="20"/>
              </w:rPr>
              <w:t>NO</w:t>
            </w:r>
          </w:p>
        </w:tc>
        <w:tc>
          <w:tcPr>
            <w:tcW w:w="1080" w:type="dxa"/>
            <w:vAlign w:val="center"/>
          </w:tcPr>
          <w:p>
            <w:pPr>
              <w:jc w:val="center"/>
              <w:rPr>
                <w:noProof/>
                <w:sz w:val="20"/>
                <w:szCs w:val="20"/>
              </w:rPr>
            </w:pPr>
            <w:r>
              <w:rPr>
                <w:noProof/>
                <w:sz w:val="20"/>
              </w:rPr>
              <w:t>NO</w:t>
            </w:r>
          </w:p>
        </w:tc>
        <w:tc>
          <w:tcPr>
            <w:tcW w:w="1084" w:type="dxa"/>
            <w:vAlign w:val="center"/>
          </w:tcPr>
          <w:p>
            <w:pPr>
              <w:jc w:val="center"/>
              <w:rPr>
                <w:noProof/>
                <w:sz w:val="20"/>
                <w:szCs w:val="20"/>
              </w:rPr>
            </w:pPr>
            <w:r>
              <w:rPr>
                <w:noProof/>
                <w:sz w:val="20"/>
              </w:rPr>
              <w:t>NO</w:t>
            </w:r>
          </w:p>
        </w:tc>
        <w:tc>
          <w:tcPr>
            <w:tcW w:w="1320" w:type="dxa"/>
            <w:vAlign w:val="center"/>
          </w:tcPr>
          <w:p>
            <w:pPr>
              <w:jc w:val="center"/>
              <w:rPr>
                <w:noProof/>
                <w:sz w:val="20"/>
                <w:szCs w:val="20"/>
              </w:rPr>
            </w:pPr>
            <w:r>
              <w:rPr>
                <w:noProof/>
                <w:sz w:val="20"/>
              </w:rPr>
              <w:t>NO</w:t>
            </w:r>
          </w:p>
        </w:tc>
      </w:tr>
    </w:tbl>
    <w:p>
      <w:pPr>
        <w:pStyle w:val="ListBullet1"/>
        <w:rPr>
          <w:noProof/>
        </w:rPr>
      </w:pPr>
      <w:r>
        <w:rPr>
          <w:noProof/>
        </w:rPr>
        <w:t xml:space="preserve">New budget lines requested </w:t>
      </w:r>
    </w:p>
    <w:p>
      <w:pPr>
        <w:pStyle w:val="Text1"/>
        <w:rPr>
          <w:i/>
          <w:noProof/>
          <w:sz w:val="20"/>
        </w:rPr>
      </w:pPr>
      <w:r>
        <w:rPr>
          <w:i/>
          <w:noProof/>
          <w:u w:val="single"/>
        </w:rPr>
        <w:t>In the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84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 expenditure</w:t>
            </w:r>
          </w:p>
        </w:tc>
        <w:tc>
          <w:tcPr>
            <w:tcW w:w="456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p>
        </w:tc>
        <w:tc>
          <w:tcPr>
            <w:tcW w:w="107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1084" w:type="dxa"/>
            <w:vAlign w:val="center"/>
          </w:tcPr>
          <w:p>
            <w:pPr>
              <w:jc w:val="center"/>
              <w:rPr>
                <w:noProof/>
                <w:sz w:val="18"/>
              </w:rPr>
            </w:pPr>
            <w:r>
              <w:rPr>
                <w:noProof/>
                <w:sz w:val="18"/>
              </w:rPr>
              <w:t>from third countries</w:t>
            </w:r>
          </w:p>
        </w:tc>
        <w:tc>
          <w:tcPr>
            <w:tcW w:w="1320"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YES/NO</w:t>
            </w:r>
          </w:p>
        </w:tc>
        <w:tc>
          <w:tcPr>
            <w:tcW w:w="1080" w:type="dxa"/>
            <w:vAlign w:val="center"/>
          </w:tcPr>
          <w:p>
            <w:pPr>
              <w:jc w:val="center"/>
              <w:rPr>
                <w:noProof/>
                <w:color w:val="0000FF"/>
                <w:sz w:val="20"/>
                <w:szCs w:val="20"/>
              </w:rPr>
            </w:pPr>
            <w:r>
              <w:rPr>
                <w:noProof/>
                <w:sz w:val="20"/>
              </w:rPr>
              <w:t>YES/NO</w:t>
            </w:r>
          </w:p>
        </w:tc>
        <w:tc>
          <w:tcPr>
            <w:tcW w:w="1084" w:type="dxa"/>
            <w:vAlign w:val="center"/>
          </w:tcPr>
          <w:p>
            <w:pPr>
              <w:jc w:val="center"/>
              <w:rPr>
                <w:noProof/>
                <w:color w:val="0000FF"/>
                <w:sz w:val="20"/>
                <w:szCs w:val="20"/>
              </w:rPr>
            </w:pPr>
            <w:r>
              <w:rPr>
                <w:noProof/>
                <w:sz w:val="20"/>
              </w:rPr>
              <w:t>YES/NO</w:t>
            </w:r>
          </w:p>
        </w:tc>
        <w:tc>
          <w:tcPr>
            <w:tcW w:w="1320" w:type="dxa"/>
            <w:vAlign w:val="center"/>
          </w:tcPr>
          <w:p>
            <w:pPr>
              <w:jc w:val="center"/>
              <w:rPr>
                <w:noProof/>
                <w:sz w:val="20"/>
                <w:szCs w:val="20"/>
              </w:rPr>
            </w:pPr>
            <w:r>
              <w:rPr>
                <w:noProof/>
                <w:sz w:val="20"/>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Estimated financial impact of the proposal on appropriations </w:t>
      </w:r>
    </w:p>
    <w:p>
      <w:pPr>
        <w:pStyle w:val="ManualHeading3"/>
        <w:rPr>
          <w:noProof/>
        </w:rPr>
      </w:pPr>
      <w:r>
        <w:rPr>
          <w:noProof/>
        </w:rPr>
        <w:t>3.2.1.</w:t>
      </w:r>
      <w:r>
        <w:rPr>
          <w:noProof/>
        </w:rPr>
        <w:tab/>
        <w:t xml:space="preserve">Summary of 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t>X</w:t>
      </w:r>
      <w:r>
        <w:rPr>
          <w:noProof/>
        </w:rPr>
        <w:tab/>
        <w:t>The proposal/initiative requires the use of operational appropriations, as explained below:</w:t>
      </w:r>
    </w:p>
    <w:p>
      <w:pPr>
        <w:jc w:val="right"/>
        <w:rPr>
          <w:noProof/>
          <w:sz w:val="18"/>
          <w:szCs w:val="18"/>
        </w:rPr>
      </w:pPr>
      <w:r>
        <w:rPr>
          <w:noProof/>
          <w:sz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Heading of multiannual financial framework</w:t>
            </w:r>
            <w:r>
              <w:rPr>
                <w:noProof/>
                <w:sz w:val="22"/>
              </w:rPr>
              <w:br/>
            </w:r>
            <w:r>
              <w:rPr>
                <w:b/>
                <w:noProof/>
                <w:sz w:val="22"/>
              </w:rPr>
              <w:t xml:space="preserve"> </w:t>
            </w:r>
          </w:p>
        </w:tc>
        <w:tc>
          <w:tcPr>
            <w:tcW w:w="1080" w:type="dxa"/>
            <w:vAlign w:val="center"/>
          </w:tcPr>
          <w:p>
            <w:pPr>
              <w:spacing w:before="60" w:after="60"/>
              <w:jc w:val="center"/>
              <w:rPr>
                <w:noProof/>
              </w:rPr>
            </w:pPr>
            <w:r>
              <w:rPr>
                <w:noProof/>
                <w:sz w:val="22"/>
              </w:rPr>
              <w:t>No 2</w:t>
            </w:r>
          </w:p>
        </w:tc>
        <w:tc>
          <w:tcPr>
            <w:tcW w:w="7817" w:type="dxa"/>
            <w:vAlign w:val="center"/>
          </w:tcPr>
          <w:p>
            <w:pPr>
              <w:spacing w:before="60" w:after="60"/>
              <w:rPr>
                <w:noProof/>
              </w:rPr>
            </w:pPr>
            <w:r>
              <w:rPr>
                <w:noProof/>
              </w:rPr>
              <w:t>Sustainable growth: natural resources</w:t>
            </w:r>
          </w:p>
        </w:tc>
      </w:tr>
    </w:tbl>
    <w:p>
      <w:pPr>
        <w:rPr>
          <w:noProof/>
          <w:sz w:val="16"/>
        </w:rPr>
      </w:pPr>
    </w:p>
    <w:tbl>
      <w:tblPr>
        <w:tblW w:w="12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914"/>
        <w:gridCol w:w="977"/>
        <w:gridCol w:w="992"/>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914" w:type="dxa"/>
            <w:vAlign w:val="center"/>
          </w:tcPr>
          <w:p>
            <w:pPr>
              <w:jc w:val="center"/>
              <w:rPr>
                <w:noProof/>
                <w:sz w:val="20"/>
              </w:rPr>
            </w:pPr>
            <w:r>
              <w:rPr>
                <w:b/>
                <w:noProof/>
                <w:sz w:val="20"/>
              </w:rPr>
              <w:t>2024</w:t>
            </w:r>
          </w:p>
        </w:tc>
        <w:tc>
          <w:tcPr>
            <w:tcW w:w="977" w:type="dxa"/>
          </w:tcPr>
          <w:p>
            <w:pPr>
              <w:jc w:val="center"/>
              <w:rPr>
                <w:b/>
                <w:noProof/>
                <w:sz w:val="20"/>
              </w:rPr>
            </w:pPr>
            <w:r>
              <w:rPr>
                <w:b/>
                <w:noProof/>
                <w:sz w:val="20"/>
              </w:rPr>
              <w:t>2025</w:t>
            </w:r>
          </w:p>
        </w:tc>
        <w:tc>
          <w:tcPr>
            <w:tcW w:w="992"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914" w:type="dxa"/>
            <w:vAlign w:val="center"/>
          </w:tcPr>
          <w:p>
            <w:pPr>
              <w:rPr>
                <w:noProof/>
                <w:sz w:val="20"/>
              </w:rPr>
            </w:pPr>
          </w:p>
        </w:tc>
        <w:tc>
          <w:tcPr>
            <w:tcW w:w="977" w:type="dxa"/>
          </w:tcPr>
          <w:p>
            <w:pPr>
              <w:rPr>
                <w:b/>
                <w:noProof/>
                <w:sz w:val="20"/>
              </w:rPr>
            </w:pPr>
          </w:p>
        </w:tc>
        <w:tc>
          <w:tcPr>
            <w:tcW w:w="992" w:type="dxa"/>
            <w:vAlign w:val="center"/>
          </w:tcPr>
          <w:p>
            <w:pPr>
              <w:rPr>
                <w:b/>
                <w:noProof/>
                <w:sz w:val="20"/>
              </w:rPr>
            </w:pPr>
          </w:p>
        </w:tc>
      </w:tr>
      <w:tr>
        <w:trPr>
          <w:trHeight w:val="277"/>
        </w:trPr>
        <w:tc>
          <w:tcPr>
            <w:tcW w:w="3960" w:type="dxa"/>
            <w:vMerge w:val="restart"/>
            <w:vAlign w:val="center"/>
          </w:tcPr>
          <w:p>
            <w:pPr>
              <w:spacing w:before="60"/>
              <w:rPr>
                <w:noProof/>
              </w:rPr>
            </w:pPr>
            <w:r>
              <w:rPr>
                <w:noProof/>
                <w:sz w:val="20"/>
              </w:rPr>
              <w:t>Budget line</w:t>
            </w:r>
            <w:r>
              <w:rPr>
                <w:rStyle w:val="FootnoteReference"/>
                <w:noProof/>
                <w:sz w:val="20"/>
              </w:rPr>
              <w:footnoteReference w:id="12"/>
            </w:r>
            <w:r>
              <w:rPr>
                <w:noProof/>
                <w:sz w:val="20"/>
              </w:rPr>
              <w:t> </w:t>
            </w:r>
            <w:r>
              <w:rPr>
                <w:noProof/>
              </w:rPr>
              <w:t>11.03.01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914" w:type="dxa"/>
          </w:tcPr>
          <w:p>
            <w:pPr>
              <w:rPr>
                <w:noProof/>
              </w:rPr>
            </w:pPr>
            <w:r>
              <w:rPr>
                <w:noProof/>
                <w:sz w:val="20"/>
              </w:rPr>
              <w:t>5.30</w:t>
            </w:r>
          </w:p>
        </w:tc>
        <w:tc>
          <w:tcPr>
            <w:tcW w:w="977" w:type="dxa"/>
          </w:tcPr>
          <w:p>
            <w:pPr>
              <w:rPr>
                <w:noProof/>
              </w:rPr>
            </w:pPr>
            <w:r>
              <w:rPr>
                <w:noProof/>
                <w:sz w:val="20"/>
              </w:rPr>
              <w:t>5.30</w:t>
            </w:r>
          </w:p>
        </w:tc>
        <w:tc>
          <w:tcPr>
            <w:tcW w:w="992" w:type="dxa"/>
            <w:vAlign w:val="center"/>
          </w:tcPr>
          <w:p>
            <w:pPr>
              <w:spacing w:before="20" w:after="20"/>
              <w:jc w:val="right"/>
              <w:rPr>
                <w:b/>
                <w:noProof/>
                <w:sz w:val="20"/>
              </w:rPr>
            </w:pPr>
            <w:r>
              <w:rPr>
                <w:b/>
                <w:noProof/>
                <w:sz w:val="20"/>
              </w:rPr>
              <w:t>31.8</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914" w:type="dxa"/>
          </w:tcPr>
          <w:p>
            <w:pPr>
              <w:rPr>
                <w:noProof/>
              </w:rPr>
            </w:pPr>
            <w:r>
              <w:rPr>
                <w:noProof/>
                <w:sz w:val="20"/>
              </w:rPr>
              <w:t>5.30</w:t>
            </w:r>
          </w:p>
        </w:tc>
        <w:tc>
          <w:tcPr>
            <w:tcW w:w="977" w:type="dxa"/>
          </w:tcPr>
          <w:p>
            <w:pPr>
              <w:rPr>
                <w:noProof/>
              </w:rPr>
            </w:pPr>
            <w:r>
              <w:rPr>
                <w:noProof/>
                <w:sz w:val="20"/>
              </w:rPr>
              <w:t>5.30</w:t>
            </w:r>
          </w:p>
        </w:tc>
        <w:tc>
          <w:tcPr>
            <w:tcW w:w="992" w:type="dxa"/>
            <w:vAlign w:val="center"/>
          </w:tcPr>
          <w:p>
            <w:pPr>
              <w:spacing w:before="20" w:after="20"/>
              <w:jc w:val="right"/>
              <w:rPr>
                <w:b/>
                <w:noProof/>
                <w:sz w:val="20"/>
              </w:rPr>
            </w:pPr>
            <w:r>
              <w:rPr>
                <w:b/>
                <w:noProof/>
                <w:sz w:val="20"/>
              </w:rPr>
              <w:t>31.8</w:t>
            </w:r>
          </w:p>
        </w:tc>
      </w:tr>
      <w:tr>
        <w:tc>
          <w:tcPr>
            <w:tcW w:w="3960" w:type="dxa"/>
            <w:vMerge w:val="restart"/>
            <w:vAlign w:val="center"/>
          </w:tcPr>
          <w:p>
            <w:pPr>
              <w:rPr>
                <w:noProof/>
              </w:rPr>
            </w:pPr>
            <w:r>
              <w:rPr>
                <w:noProof/>
                <w:sz w:val="20"/>
              </w:rPr>
              <w:t xml:space="preserve">Budget line </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914" w:type="dxa"/>
            <w:vAlign w:val="center"/>
          </w:tcPr>
          <w:p>
            <w:pPr>
              <w:spacing w:before="20" w:after="20"/>
              <w:jc w:val="right"/>
              <w:rPr>
                <w:noProof/>
                <w:sz w:val="20"/>
              </w:rPr>
            </w:pPr>
          </w:p>
        </w:tc>
        <w:tc>
          <w:tcPr>
            <w:tcW w:w="977" w:type="dxa"/>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914" w:type="dxa"/>
            <w:vAlign w:val="center"/>
          </w:tcPr>
          <w:p>
            <w:pPr>
              <w:spacing w:before="20" w:after="20"/>
              <w:jc w:val="right"/>
              <w:rPr>
                <w:noProof/>
                <w:sz w:val="20"/>
              </w:rPr>
            </w:pPr>
          </w:p>
        </w:tc>
        <w:tc>
          <w:tcPr>
            <w:tcW w:w="977" w:type="dxa"/>
          </w:tcPr>
          <w:p>
            <w:pPr>
              <w:spacing w:before="20" w:after="20"/>
              <w:jc w:val="right"/>
              <w:rPr>
                <w:b/>
                <w:noProof/>
                <w:sz w:val="20"/>
              </w:rPr>
            </w:pPr>
          </w:p>
        </w:tc>
        <w:tc>
          <w:tcPr>
            <w:tcW w:w="992"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13"/>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914" w:type="dxa"/>
            <w:vAlign w:val="center"/>
          </w:tcPr>
          <w:p>
            <w:pPr>
              <w:rPr>
                <w:b/>
                <w:noProof/>
                <w:sz w:val="20"/>
              </w:rPr>
            </w:pPr>
          </w:p>
        </w:tc>
        <w:tc>
          <w:tcPr>
            <w:tcW w:w="977" w:type="dxa"/>
          </w:tcPr>
          <w:p>
            <w:pPr>
              <w:rPr>
                <w:b/>
                <w:noProof/>
                <w:sz w:val="20"/>
              </w:rPr>
            </w:pPr>
          </w:p>
        </w:tc>
        <w:tc>
          <w:tcPr>
            <w:tcW w:w="992" w:type="dxa"/>
            <w:vAlign w:val="center"/>
          </w:tcPr>
          <w:p>
            <w:pPr>
              <w:rPr>
                <w:b/>
                <w:noProof/>
                <w:sz w:val="20"/>
              </w:rPr>
            </w:pPr>
          </w:p>
        </w:tc>
      </w:tr>
      <w:tr>
        <w:trPr>
          <w:trHeight w:val="319"/>
        </w:trPr>
        <w:tc>
          <w:tcPr>
            <w:tcW w:w="3960" w:type="dxa"/>
            <w:vAlign w:val="center"/>
          </w:tcPr>
          <w:p>
            <w:pPr>
              <w:spacing w:before="60" w:after="60"/>
              <w:rPr>
                <w:noProof/>
              </w:rPr>
            </w:pPr>
            <w:r>
              <w:rPr>
                <w:noProof/>
                <w:sz w:val="20"/>
              </w:rPr>
              <w:t>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14" w:type="dxa"/>
            <w:vAlign w:val="center"/>
          </w:tcPr>
          <w:p>
            <w:pPr>
              <w:spacing w:before="40" w:after="40"/>
              <w:jc w:val="right"/>
              <w:rPr>
                <w:b/>
                <w:noProof/>
                <w:sz w:val="20"/>
              </w:rPr>
            </w:pPr>
          </w:p>
        </w:tc>
        <w:tc>
          <w:tcPr>
            <w:tcW w:w="977" w:type="dxa"/>
          </w:tcPr>
          <w:p>
            <w:pPr>
              <w:spacing w:before="40" w:after="40"/>
              <w:jc w:val="right"/>
              <w:rPr>
                <w:b/>
                <w:noProof/>
                <w:sz w:val="20"/>
              </w:rPr>
            </w:pPr>
          </w:p>
        </w:tc>
        <w:tc>
          <w:tcPr>
            <w:tcW w:w="992"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for DG </w:t>
            </w:r>
            <w:r>
              <w:rPr>
                <w:noProof/>
                <w:sz w:val="22"/>
              </w:rPr>
              <w:t>MARE</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=1a+1b +3</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914" w:type="dxa"/>
          </w:tcPr>
          <w:p>
            <w:pPr>
              <w:rPr>
                <w:noProof/>
              </w:rPr>
            </w:pPr>
            <w:r>
              <w:rPr>
                <w:noProof/>
                <w:sz w:val="20"/>
              </w:rPr>
              <w:t>5.30</w:t>
            </w:r>
          </w:p>
        </w:tc>
        <w:tc>
          <w:tcPr>
            <w:tcW w:w="977" w:type="dxa"/>
          </w:tcPr>
          <w:p>
            <w:pPr>
              <w:rPr>
                <w:noProof/>
              </w:rPr>
            </w:pPr>
            <w:r>
              <w:rPr>
                <w:noProof/>
                <w:sz w:val="20"/>
              </w:rPr>
              <w:t>5.30</w:t>
            </w:r>
          </w:p>
        </w:tc>
        <w:tc>
          <w:tcPr>
            <w:tcW w:w="992" w:type="dxa"/>
            <w:vAlign w:val="center"/>
          </w:tcPr>
          <w:p>
            <w:pPr>
              <w:spacing w:before="20" w:after="20"/>
              <w:jc w:val="right"/>
              <w:rPr>
                <w:b/>
                <w:noProof/>
                <w:sz w:val="20"/>
              </w:rPr>
            </w:pPr>
            <w:r>
              <w:rPr>
                <w:b/>
                <w:noProof/>
                <w:sz w:val="20"/>
              </w:rPr>
              <w:t>31.8</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914" w:type="dxa"/>
          </w:tcPr>
          <w:p>
            <w:pPr>
              <w:rPr>
                <w:noProof/>
              </w:rPr>
            </w:pPr>
            <w:r>
              <w:rPr>
                <w:noProof/>
                <w:sz w:val="20"/>
              </w:rPr>
              <w:t>5.30</w:t>
            </w:r>
          </w:p>
        </w:tc>
        <w:tc>
          <w:tcPr>
            <w:tcW w:w="977" w:type="dxa"/>
          </w:tcPr>
          <w:p>
            <w:pPr>
              <w:rPr>
                <w:noProof/>
              </w:rPr>
            </w:pPr>
            <w:r>
              <w:rPr>
                <w:noProof/>
                <w:sz w:val="20"/>
              </w:rPr>
              <w:t>5.30</w:t>
            </w:r>
          </w:p>
        </w:tc>
        <w:tc>
          <w:tcPr>
            <w:tcW w:w="992" w:type="dxa"/>
            <w:vAlign w:val="center"/>
          </w:tcPr>
          <w:p>
            <w:pPr>
              <w:spacing w:before="20" w:after="20"/>
              <w:jc w:val="right"/>
              <w:rPr>
                <w:b/>
                <w:noProof/>
                <w:sz w:val="20"/>
              </w:rPr>
            </w:pPr>
            <w:r>
              <w:rPr>
                <w:b/>
                <w:noProof/>
                <w:sz w:val="20"/>
              </w:rPr>
              <w:t>31.8</w:t>
            </w:r>
          </w:p>
          <w:p>
            <w:pPr>
              <w:spacing w:before="20" w:after="20"/>
              <w:jc w:val="center"/>
              <w:rPr>
                <w:b/>
                <w:noProof/>
                <w:sz w:val="20"/>
              </w:rPr>
            </w:pP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vAlign w:val="center"/>
          </w:tcPr>
          <w:p>
            <w:pPr>
              <w:spacing w:before="20" w:after="20"/>
              <w:jc w:val="right"/>
              <w:rPr>
                <w:b/>
                <w:noProof/>
                <w:sz w:val="20"/>
              </w:rPr>
            </w:pPr>
            <w:r>
              <w:rPr>
                <w:b/>
                <w:noProof/>
                <w:sz w:val="20"/>
              </w:rPr>
              <w:t>31.8</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vAlign w:val="center"/>
          </w:tcPr>
          <w:p>
            <w:pPr>
              <w:spacing w:before="20" w:after="20"/>
              <w:jc w:val="right"/>
              <w:rPr>
                <w:b/>
                <w:noProof/>
                <w:sz w:val="20"/>
              </w:rPr>
            </w:pPr>
            <w:r>
              <w:rPr>
                <w:b/>
                <w:noProof/>
                <w:sz w:val="20"/>
              </w:rPr>
              <w:t>31.8</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appropriations of an administrative nature financed from the envelope for specific programmes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tcPr>
          <w:p>
            <w:pPr>
              <w:spacing w:before="20" w:after="20"/>
              <w:jc w:val="right"/>
              <w:rPr>
                <w:b/>
                <w:noProof/>
                <w:sz w:val="20"/>
              </w:rPr>
            </w:pPr>
          </w:p>
        </w:tc>
        <w:tc>
          <w:tcPr>
            <w:tcW w:w="868"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TOTAL appropriations</w:t>
            </w:r>
            <w:r>
              <w:rPr>
                <w:noProof/>
                <w:sz w:val="22"/>
              </w:rPr>
              <w:br/>
            </w:r>
            <w:r>
              <w:rPr>
                <w:b/>
                <w:noProof/>
                <w:sz w:val="22"/>
              </w:rPr>
              <w:t>under HEADING 2</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=4+6</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vAlign w:val="center"/>
          </w:tcPr>
          <w:p>
            <w:pPr>
              <w:spacing w:before="20" w:after="20"/>
              <w:jc w:val="right"/>
              <w:rPr>
                <w:b/>
                <w:noProof/>
                <w:sz w:val="20"/>
              </w:rPr>
            </w:pPr>
            <w:r>
              <w:rPr>
                <w:b/>
                <w:noProof/>
                <w:sz w:val="20"/>
              </w:rPr>
              <w:t>31.8</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=5+6</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vAlign w:val="center"/>
          </w:tcPr>
          <w:p>
            <w:pPr>
              <w:spacing w:before="20" w:after="20"/>
              <w:jc w:val="right"/>
              <w:rPr>
                <w:b/>
                <w:noProof/>
                <w:sz w:val="20"/>
              </w:rPr>
            </w:pPr>
            <w:r>
              <w:rPr>
                <w:b/>
                <w:noProof/>
                <w:sz w:val="20"/>
              </w:rPr>
              <w:t>31.8</w:t>
            </w:r>
          </w:p>
        </w:tc>
      </w:tr>
    </w:tbl>
    <w:p>
      <w:pPr>
        <w:spacing w:after="40"/>
        <w:rPr>
          <w:b/>
          <w:noProof/>
          <w:sz w:val="22"/>
          <w:u w:val="single"/>
        </w:rPr>
      </w:pPr>
      <w:r>
        <w:rPr>
          <w:b/>
          <w:noProof/>
          <w:sz w:val="22"/>
          <w:u w:val="single"/>
        </w:rPr>
        <w:t>If more than one operational heading is affected by the proposal/initiative, repeat the section above: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81"/>
        <w:gridCol w:w="851"/>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TOTAL operational appropriations (all operational headings)</w:t>
            </w:r>
          </w:p>
        </w:tc>
        <w:tc>
          <w:tcPr>
            <w:tcW w:w="1440" w:type="dxa"/>
            <w:tcBorders>
              <w:top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81" w:type="dxa"/>
            <w:tcBorders>
              <w:top w:val="single" w:sz="4" w:space="0" w:color="auto"/>
            </w:tcBorders>
          </w:tcPr>
          <w:p>
            <w:pPr>
              <w:spacing w:before="20" w:after="20"/>
              <w:jc w:val="right"/>
              <w:rPr>
                <w:b/>
                <w:noProof/>
                <w:sz w:val="20"/>
              </w:rPr>
            </w:pPr>
            <w:r>
              <w:rPr>
                <w:noProof/>
                <w:sz w:val="20"/>
              </w:rPr>
              <w:t>5.30</w:t>
            </w:r>
          </w:p>
        </w:tc>
        <w:tc>
          <w:tcPr>
            <w:tcW w:w="851" w:type="dxa"/>
            <w:tcBorders>
              <w:top w:val="single" w:sz="4" w:space="0" w:color="auto"/>
              <w:right w:val="single" w:sz="4" w:space="0" w:color="auto"/>
            </w:tcBorders>
            <w:vAlign w:val="center"/>
          </w:tcPr>
          <w:p>
            <w:pPr>
              <w:spacing w:before="20" w:after="20"/>
              <w:jc w:val="right"/>
              <w:rPr>
                <w:b/>
                <w:noProof/>
                <w:sz w:val="20"/>
              </w:rPr>
            </w:pPr>
            <w:r>
              <w:rPr>
                <w:b/>
                <w:noProof/>
                <w:sz w:val="20"/>
              </w:rPr>
              <w:t>31.8</w:t>
            </w: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81" w:type="dxa"/>
          </w:tcPr>
          <w:p>
            <w:pPr>
              <w:spacing w:before="20" w:after="20"/>
              <w:jc w:val="right"/>
              <w:rPr>
                <w:b/>
                <w:noProof/>
                <w:sz w:val="20"/>
              </w:rPr>
            </w:pPr>
            <w:r>
              <w:rPr>
                <w:noProof/>
                <w:sz w:val="20"/>
              </w:rPr>
              <w:t>5.30</w:t>
            </w:r>
          </w:p>
        </w:tc>
        <w:tc>
          <w:tcPr>
            <w:tcW w:w="851" w:type="dxa"/>
            <w:tcBorders>
              <w:right w:val="single" w:sz="4" w:space="0" w:color="auto"/>
            </w:tcBorders>
            <w:vAlign w:val="center"/>
          </w:tcPr>
          <w:p>
            <w:pPr>
              <w:spacing w:before="20" w:after="20"/>
              <w:jc w:val="right"/>
              <w:rPr>
                <w:b/>
                <w:noProof/>
                <w:sz w:val="20"/>
              </w:rPr>
            </w:pPr>
            <w:r>
              <w:rPr>
                <w:b/>
                <w:noProof/>
                <w:sz w:val="20"/>
              </w:rPr>
              <w:t>31.8</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appropriations of an administrative nature financed from the envelope for specific programmes (all operational headings)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1" w:type="dxa"/>
          </w:tcPr>
          <w:p>
            <w:pPr>
              <w:spacing w:before="20" w:after="20"/>
              <w:jc w:val="right"/>
              <w:rPr>
                <w:b/>
                <w:noProof/>
                <w:sz w:val="20"/>
              </w:rPr>
            </w:pPr>
          </w:p>
        </w:tc>
        <w:tc>
          <w:tcPr>
            <w:tcW w:w="851"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TOTAL appropriations</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81" w:type="dxa"/>
          </w:tcPr>
          <w:p>
            <w:pPr>
              <w:spacing w:before="20" w:after="20"/>
              <w:jc w:val="right"/>
              <w:rPr>
                <w:b/>
                <w:noProof/>
                <w:sz w:val="20"/>
              </w:rPr>
            </w:pPr>
            <w:r>
              <w:rPr>
                <w:noProof/>
                <w:sz w:val="20"/>
              </w:rPr>
              <w:t>5.30</w:t>
            </w:r>
          </w:p>
        </w:tc>
        <w:tc>
          <w:tcPr>
            <w:tcW w:w="851" w:type="dxa"/>
            <w:tcBorders>
              <w:right w:val="single" w:sz="4" w:space="0" w:color="auto"/>
            </w:tcBorders>
            <w:vAlign w:val="center"/>
          </w:tcPr>
          <w:p>
            <w:pPr>
              <w:spacing w:before="20" w:after="20"/>
              <w:jc w:val="right"/>
              <w:rPr>
                <w:b/>
                <w:noProof/>
                <w:sz w:val="20"/>
              </w:rPr>
            </w:pPr>
            <w:r>
              <w:rPr>
                <w:b/>
                <w:noProof/>
                <w:sz w:val="20"/>
              </w:rPr>
              <w:t>31.8</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=5+6</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81" w:type="dxa"/>
            <w:tcBorders>
              <w:bottom w:val="single" w:sz="4" w:space="0" w:color="auto"/>
            </w:tcBorders>
          </w:tcPr>
          <w:p>
            <w:pPr>
              <w:spacing w:before="20" w:after="20"/>
              <w:jc w:val="right"/>
              <w:rPr>
                <w:b/>
                <w:noProof/>
                <w:sz w:val="20"/>
              </w:rPr>
            </w:pPr>
            <w:r>
              <w:rPr>
                <w:noProof/>
                <w:sz w:val="20"/>
              </w:rPr>
              <w:t>5.30</w:t>
            </w:r>
          </w:p>
        </w:tc>
        <w:tc>
          <w:tcPr>
            <w:tcW w:w="851" w:type="dxa"/>
            <w:tcBorders>
              <w:bottom w:val="single" w:sz="4" w:space="0" w:color="auto"/>
              <w:right w:val="single" w:sz="4" w:space="0" w:color="auto"/>
            </w:tcBorders>
            <w:vAlign w:val="center"/>
          </w:tcPr>
          <w:p>
            <w:pPr>
              <w:spacing w:before="20" w:after="20"/>
              <w:jc w:val="right"/>
              <w:rPr>
                <w:b/>
                <w:noProof/>
                <w:sz w:val="20"/>
              </w:rPr>
            </w:pPr>
            <w:r>
              <w:rPr>
                <w:b/>
                <w:noProof/>
                <w:sz w:val="20"/>
              </w:rPr>
              <w:t>31.8</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Heading of multiannual financial framework</w:t>
            </w:r>
            <w:r>
              <w:rPr>
                <w:noProof/>
                <w:sz w:val="22"/>
              </w:rPr>
              <w:br/>
            </w:r>
            <w:r>
              <w:rPr>
                <w:b/>
                <w:noProof/>
                <w:sz w:val="22"/>
              </w:rPr>
              <w:t xml:space="preserve">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left"/>
        <w:rPr>
          <w:noProof/>
          <w:sz w:val="20"/>
        </w:rPr>
      </w:pPr>
      <w:r>
        <w:rPr>
          <w:noProof/>
        </w:rPr>
        <w:t xml:space="preserve">This section should be completed using the ‘budget data of an administrative nature’ to be introduced first in the </w:t>
      </w:r>
      <w:hyperlink r:id="rId13">
        <w:r>
          <w:rPr>
            <w:rStyle w:val="Hyperlink"/>
            <w:noProof/>
          </w:rPr>
          <w:t>Annex to the Legislative Financial Statement</w:t>
        </w:r>
      </w:hyperlink>
      <w:r>
        <w:rPr>
          <w:noProof/>
        </w:rPr>
        <w:t xml:space="preserve"> (Annex V to the internal rules), which is uploaded to DECIDE for inter-service consultation purposes.</w:t>
      </w:r>
    </w:p>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17"/>
        <w:gridCol w:w="317"/>
        <w:gridCol w:w="868"/>
        <w:gridCol w:w="868"/>
        <w:gridCol w:w="868"/>
        <w:gridCol w:w="868"/>
        <w:gridCol w:w="868"/>
        <w:gridCol w:w="881"/>
        <w:gridCol w:w="2673"/>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gridSpan w:val="2"/>
            <w:tcBorders>
              <w:top w:val="nil"/>
              <w:left w:val="nil"/>
            </w:tcBorders>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b/>
                <w:noProof/>
                <w:sz w:val="18"/>
              </w:rPr>
            </w:pPr>
            <w:r>
              <w:rPr>
                <w:b/>
                <w:noProof/>
                <w:sz w:val="20"/>
              </w:rPr>
              <w:t>2024</w:t>
            </w:r>
          </w:p>
        </w:tc>
        <w:tc>
          <w:tcPr>
            <w:tcW w:w="881" w:type="dxa"/>
          </w:tcPr>
          <w:p>
            <w:pPr>
              <w:jc w:val="center"/>
              <w:rPr>
                <w:b/>
                <w:noProof/>
                <w:sz w:val="20"/>
              </w:rPr>
            </w:pPr>
            <w:r>
              <w:rPr>
                <w:b/>
                <w:noProof/>
                <w:sz w:val="20"/>
              </w:rPr>
              <w:t>2025</w:t>
            </w:r>
          </w:p>
        </w:tc>
        <w:tc>
          <w:tcPr>
            <w:tcW w:w="2673" w:type="dxa"/>
            <w:vAlign w:val="center"/>
          </w:tcPr>
          <w:p>
            <w:pPr>
              <w:jc w:val="center"/>
              <w:rPr>
                <w:b/>
                <w:noProof/>
                <w:sz w:val="20"/>
              </w:rPr>
            </w:pPr>
            <w:r>
              <w:rPr>
                <w:b/>
                <w:noProof/>
                <w:sz w:val="20"/>
              </w:rPr>
              <w:t>TOTAL</w:t>
            </w:r>
          </w:p>
        </w:tc>
      </w:tr>
      <w:tr>
        <w:trPr>
          <w:gridAfter w:val="8"/>
          <w:wAfter w:w="8211" w:type="dxa"/>
        </w:trPr>
        <w:tc>
          <w:tcPr>
            <w:tcW w:w="3960" w:type="dxa"/>
            <w:vAlign w:val="center"/>
          </w:tcPr>
          <w:p>
            <w:pPr>
              <w:spacing w:before="60" w:after="60"/>
              <w:jc w:val="center"/>
              <w:rPr>
                <w:noProof/>
              </w:rPr>
            </w:pPr>
            <w:r>
              <w:rPr>
                <w:noProof/>
                <w:sz w:val="22"/>
              </w:rPr>
              <w:t>DG: MARE</w:t>
            </w:r>
          </w:p>
        </w:tc>
        <w:tc>
          <w:tcPr>
            <w:tcW w:w="1777" w:type="dxa"/>
            <w:gridSpan w:val="2"/>
          </w:tcPr>
          <w:p>
            <w:pPr>
              <w:spacing w:before="60" w:after="60"/>
              <w:jc w:val="center"/>
              <w:rPr>
                <w:noProof/>
                <w:sz w:val="22"/>
              </w:rPr>
            </w:pPr>
          </w:p>
        </w:tc>
      </w:tr>
      <w:tr>
        <w:trPr>
          <w:trHeight w:val="313"/>
        </w:trPr>
        <w:tc>
          <w:tcPr>
            <w:tcW w:w="6054" w:type="dxa"/>
            <w:gridSpan w:val="4"/>
            <w:vAlign w:val="center"/>
          </w:tcPr>
          <w:p>
            <w:pPr>
              <w:spacing w:before="20" w:after="20"/>
              <w:rPr>
                <w:noProof/>
              </w:rPr>
            </w:pPr>
            <w:r>
              <w:rPr>
                <w:noProof/>
                <w:sz w:val="22"/>
              </w:rPr>
              <w:sym w:font="Wingdings" w:char="F09F"/>
            </w:r>
            <w:r>
              <w:rPr>
                <w:noProof/>
                <w:sz w:val="22"/>
              </w:rPr>
              <w:t xml:space="preserve"> Human resources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1" w:type="dxa"/>
          </w:tcPr>
          <w:p>
            <w:pPr>
              <w:spacing w:before="20" w:after="20"/>
              <w:jc w:val="right"/>
              <w:rPr>
                <w:b/>
                <w:noProof/>
                <w:sz w:val="20"/>
              </w:rPr>
            </w:pPr>
          </w:p>
        </w:tc>
        <w:tc>
          <w:tcPr>
            <w:tcW w:w="2673" w:type="dxa"/>
            <w:vAlign w:val="center"/>
          </w:tcPr>
          <w:p>
            <w:pPr>
              <w:spacing w:before="20" w:after="20"/>
              <w:jc w:val="right"/>
              <w:rPr>
                <w:b/>
                <w:noProof/>
                <w:sz w:val="20"/>
              </w:rPr>
            </w:pPr>
          </w:p>
        </w:tc>
      </w:tr>
      <w:tr>
        <w:trPr>
          <w:trHeight w:val="351"/>
        </w:trPr>
        <w:tc>
          <w:tcPr>
            <w:tcW w:w="6054" w:type="dxa"/>
            <w:gridSpan w:val="4"/>
            <w:vAlign w:val="center"/>
          </w:tcPr>
          <w:p>
            <w:pPr>
              <w:spacing w:before="20" w:after="20"/>
              <w:rPr>
                <w:noProof/>
              </w:rPr>
            </w:pPr>
            <w:r>
              <w:rPr>
                <w:noProof/>
                <w:sz w:val="22"/>
              </w:rPr>
              <w:sym w:font="Wingdings" w:char="F09F"/>
            </w:r>
            <w:r>
              <w:rPr>
                <w:noProof/>
                <w:sz w:val="22"/>
              </w:rPr>
              <w:t xml:space="preserve"> Other administrative expenditure</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1" w:type="dxa"/>
          </w:tcPr>
          <w:p>
            <w:pPr>
              <w:spacing w:before="20" w:after="20"/>
              <w:jc w:val="right"/>
              <w:rPr>
                <w:b/>
                <w:noProof/>
                <w:sz w:val="20"/>
              </w:rPr>
            </w:pPr>
          </w:p>
        </w:tc>
        <w:tc>
          <w:tcPr>
            <w:tcW w:w="2673"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DG </w:t>
            </w:r>
            <w:r>
              <w:rPr>
                <w:noProof/>
                <w:sz w:val="22"/>
              </w:rPr>
              <w:t>MARE</w:t>
            </w:r>
          </w:p>
        </w:tc>
        <w:tc>
          <w:tcPr>
            <w:tcW w:w="2094" w:type="dxa"/>
            <w:gridSpan w:val="3"/>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1" w:type="dxa"/>
          </w:tcPr>
          <w:p>
            <w:pPr>
              <w:spacing w:before="20" w:after="20"/>
              <w:jc w:val="right"/>
              <w:rPr>
                <w:b/>
                <w:noProof/>
                <w:sz w:val="20"/>
              </w:rPr>
            </w:pPr>
          </w:p>
        </w:tc>
        <w:tc>
          <w:tcPr>
            <w:tcW w:w="2673"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81"/>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81"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81"/>
        <w:gridCol w:w="2673"/>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b/>
                <w:noProof/>
                <w:sz w:val="18"/>
              </w:rPr>
            </w:pPr>
            <w:r>
              <w:rPr>
                <w:b/>
                <w:noProof/>
                <w:sz w:val="20"/>
              </w:rPr>
              <w:t>2024</w:t>
            </w:r>
          </w:p>
        </w:tc>
        <w:tc>
          <w:tcPr>
            <w:tcW w:w="881" w:type="dxa"/>
          </w:tcPr>
          <w:p>
            <w:pPr>
              <w:jc w:val="center"/>
              <w:rPr>
                <w:b/>
                <w:noProof/>
                <w:sz w:val="20"/>
              </w:rPr>
            </w:pPr>
            <w:r>
              <w:rPr>
                <w:b/>
                <w:noProof/>
                <w:sz w:val="20"/>
              </w:rPr>
              <w:t>2025</w:t>
            </w:r>
          </w:p>
        </w:tc>
        <w:tc>
          <w:tcPr>
            <w:tcW w:w="2673"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appropriations</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b/>
                <w:noProof/>
                <w:sz w:val="20"/>
              </w:rPr>
            </w:pPr>
            <w:r>
              <w:rPr>
                <w:noProof/>
                <w:sz w:val="20"/>
              </w:rPr>
              <w:t>5.30</w:t>
            </w:r>
          </w:p>
        </w:tc>
        <w:tc>
          <w:tcPr>
            <w:tcW w:w="881" w:type="dxa"/>
          </w:tcPr>
          <w:p>
            <w:pPr>
              <w:spacing w:before="60" w:after="60"/>
              <w:jc w:val="right"/>
              <w:rPr>
                <w:b/>
                <w:noProof/>
                <w:sz w:val="20"/>
              </w:rPr>
            </w:pPr>
            <w:r>
              <w:rPr>
                <w:noProof/>
                <w:sz w:val="20"/>
              </w:rPr>
              <w:t>5.30</w:t>
            </w:r>
          </w:p>
        </w:tc>
        <w:tc>
          <w:tcPr>
            <w:tcW w:w="2673" w:type="dxa"/>
            <w:vAlign w:val="center"/>
          </w:tcPr>
          <w:p>
            <w:pPr>
              <w:spacing w:before="60" w:after="60"/>
              <w:jc w:val="right"/>
              <w:rPr>
                <w:b/>
                <w:noProof/>
                <w:sz w:val="20"/>
              </w:rPr>
            </w:pPr>
            <w:r>
              <w:rPr>
                <w:b/>
                <w:noProof/>
                <w:sz w:val="20"/>
              </w:rPr>
              <w:t>31.8</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b/>
                <w:noProof/>
                <w:sz w:val="20"/>
              </w:rPr>
            </w:pPr>
            <w:r>
              <w:rPr>
                <w:noProof/>
                <w:sz w:val="20"/>
              </w:rPr>
              <w:t>5.30</w:t>
            </w:r>
          </w:p>
        </w:tc>
        <w:tc>
          <w:tcPr>
            <w:tcW w:w="881" w:type="dxa"/>
          </w:tcPr>
          <w:p>
            <w:pPr>
              <w:spacing w:before="60" w:after="60"/>
              <w:jc w:val="right"/>
              <w:rPr>
                <w:b/>
                <w:noProof/>
                <w:sz w:val="20"/>
              </w:rPr>
            </w:pPr>
            <w:r>
              <w:rPr>
                <w:noProof/>
                <w:sz w:val="20"/>
              </w:rPr>
              <w:t>5.30</w:t>
            </w:r>
          </w:p>
        </w:tc>
        <w:tc>
          <w:tcPr>
            <w:tcW w:w="2673" w:type="dxa"/>
            <w:vAlign w:val="center"/>
          </w:tcPr>
          <w:p>
            <w:pPr>
              <w:spacing w:before="60" w:after="60"/>
              <w:jc w:val="right"/>
              <w:rPr>
                <w:b/>
                <w:noProof/>
                <w:sz w:val="20"/>
              </w:rPr>
            </w:pPr>
            <w:r>
              <w:rPr>
                <w:b/>
                <w:noProof/>
                <w:sz w:val="20"/>
              </w:rPr>
              <w:t>31.8</w:t>
            </w:r>
          </w:p>
        </w:tc>
      </w:tr>
    </w:tbl>
    <w:p>
      <w:pPr>
        <w:rPr>
          <w:noProof/>
        </w:rPr>
      </w:pPr>
    </w:p>
    <w:p>
      <w:pPr>
        <w:pStyle w:val="ManualHeading3"/>
        <w:rPr>
          <w:bCs/>
          <w:noProof/>
          <w:szCs w:val="24"/>
        </w:rPr>
      </w:pPr>
      <w:r>
        <w:rPr>
          <w:noProof/>
        </w:rPr>
        <w:t>3.2.2.</w:t>
      </w:r>
      <w:r>
        <w:rPr>
          <w:noProof/>
        </w:rPr>
        <w:tab/>
        <w:t xml:space="preserve">Estimated output funded with operational appropriations </w:t>
      </w:r>
    </w:p>
    <w:p>
      <w:pPr>
        <w:jc w:val="right"/>
        <w:rPr>
          <w:noProof/>
          <w:sz w:val="20"/>
        </w:rPr>
      </w:pPr>
      <w:r>
        <w:rPr>
          <w:noProof/>
          <w:sz w:val="20"/>
        </w:rPr>
        <w:t>Commitment appropriations in EUR million (to three decimal places)</w:t>
      </w:r>
    </w:p>
    <w:p>
      <w:pPr>
        <w:rPr>
          <w:noProof/>
        </w:rPr>
      </w:pPr>
    </w:p>
    <w:p>
      <w:pPr>
        <w:rPr>
          <w:noProof/>
        </w:rPr>
      </w:pP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16"/>
        <w:gridCol w:w="6"/>
        <w:gridCol w:w="888"/>
        <w:gridCol w:w="12"/>
        <w:gridCol w:w="513"/>
        <w:gridCol w:w="6"/>
        <w:gridCol w:w="147"/>
        <w:gridCol w:w="351"/>
        <w:gridCol w:w="6"/>
        <w:gridCol w:w="714"/>
        <w:gridCol w:w="6"/>
        <w:gridCol w:w="534"/>
        <w:gridCol w:w="6"/>
        <w:gridCol w:w="714"/>
        <w:gridCol w:w="6"/>
        <w:gridCol w:w="714"/>
        <w:gridCol w:w="6"/>
        <w:gridCol w:w="714"/>
        <w:gridCol w:w="6"/>
        <w:gridCol w:w="894"/>
        <w:gridCol w:w="6"/>
        <w:gridCol w:w="717"/>
        <w:gridCol w:w="6"/>
        <w:gridCol w:w="534"/>
        <w:gridCol w:w="6"/>
        <w:gridCol w:w="702"/>
        <w:gridCol w:w="12"/>
        <w:gridCol w:w="930"/>
        <w:gridCol w:w="12"/>
        <w:gridCol w:w="1272"/>
        <w:gridCol w:w="6"/>
        <w:gridCol w:w="894"/>
        <w:gridCol w:w="6"/>
        <w:gridCol w:w="12"/>
      </w:tblGrid>
      <w:tr>
        <w:trPr>
          <w:gridBefore w:val="1"/>
          <w:wBefore w:w="6" w:type="dxa"/>
          <w:jc w:val="center"/>
        </w:trPr>
        <w:tc>
          <w:tcPr>
            <w:tcW w:w="1422" w:type="dxa"/>
            <w:gridSpan w:val="2"/>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900" w:type="dxa"/>
            <w:gridSpan w:val="2"/>
            <w:vAlign w:val="center"/>
          </w:tcPr>
          <w:p>
            <w:pPr>
              <w:ind w:right="-29"/>
              <w:jc w:val="center"/>
              <w:rPr>
                <w:noProof/>
                <w:sz w:val="18"/>
                <w:szCs w:val="18"/>
              </w:rPr>
            </w:pPr>
          </w:p>
        </w:tc>
        <w:tc>
          <w:tcPr>
            <w:tcW w:w="519" w:type="dxa"/>
            <w:gridSpan w:val="2"/>
            <w:vAlign w:val="center"/>
          </w:tcPr>
          <w:p>
            <w:pPr>
              <w:ind w:right="-29"/>
              <w:jc w:val="center"/>
              <w:rPr>
                <w:noProof/>
                <w:sz w:val="18"/>
                <w:szCs w:val="18"/>
              </w:rPr>
            </w:pPr>
          </w:p>
        </w:tc>
        <w:tc>
          <w:tcPr>
            <w:tcW w:w="1224" w:type="dxa"/>
            <w:gridSpan w:val="5"/>
            <w:tcBorders>
              <w:left w:val="nil"/>
            </w:tcBorders>
            <w:vAlign w:val="center"/>
          </w:tcPr>
          <w:p>
            <w:pPr>
              <w:ind w:right="-29"/>
              <w:jc w:val="center"/>
              <w:rPr>
                <w:noProof/>
                <w:sz w:val="18"/>
                <w:szCs w:val="18"/>
              </w:rPr>
            </w:pPr>
            <w:r>
              <w:rPr>
                <w:b/>
                <w:noProof/>
                <w:sz w:val="18"/>
              </w:rPr>
              <w:t>2020</w:t>
            </w:r>
          </w:p>
        </w:tc>
        <w:tc>
          <w:tcPr>
            <w:tcW w:w="1260" w:type="dxa"/>
            <w:gridSpan w:val="4"/>
            <w:vAlign w:val="center"/>
          </w:tcPr>
          <w:p>
            <w:pPr>
              <w:ind w:right="-29"/>
              <w:jc w:val="center"/>
              <w:rPr>
                <w:noProof/>
                <w:sz w:val="18"/>
                <w:szCs w:val="18"/>
              </w:rPr>
            </w:pPr>
            <w:r>
              <w:rPr>
                <w:b/>
                <w:noProof/>
                <w:sz w:val="18"/>
              </w:rPr>
              <w:t>2021</w:t>
            </w:r>
          </w:p>
        </w:tc>
        <w:tc>
          <w:tcPr>
            <w:tcW w:w="1440" w:type="dxa"/>
            <w:gridSpan w:val="4"/>
            <w:vAlign w:val="center"/>
          </w:tcPr>
          <w:p>
            <w:pPr>
              <w:ind w:right="-29"/>
              <w:jc w:val="center"/>
              <w:rPr>
                <w:noProof/>
                <w:sz w:val="18"/>
                <w:szCs w:val="18"/>
              </w:rPr>
            </w:pPr>
            <w:r>
              <w:rPr>
                <w:b/>
                <w:noProof/>
                <w:sz w:val="18"/>
              </w:rPr>
              <w:t>2022</w:t>
            </w:r>
          </w:p>
        </w:tc>
        <w:tc>
          <w:tcPr>
            <w:tcW w:w="1623" w:type="dxa"/>
            <w:gridSpan w:val="4"/>
            <w:vAlign w:val="center"/>
          </w:tcPr>
          <w:p>
            <w:pPr>
              <w:ind w:right="-29"/>
              <w:jc w:val="center"/>
              <w:rPr>
                <w:noProof/>
                <w:sz w:val="18"/>
                <w:szCs w:val="18"/>
              </w:rPr>
            </w:pPr>
            <w:r>
              <w:rPr>
                <w:b/>
                <w:noProof/>
                <w:sz w:val="18"/>
              </w:rPr>
              <w:t>2023</w:t>
            </w:r>
          </w:p>
        </w:tc>
        <w:tc>
          <w:tcPr>
            <w:tcW w:w="1254" w:type="dxa"/>
            <w:gridSpan w:val="4"/>
            <w:vAlign w:val="center"/>
          </w:tcPr>
          <w:p>
            <w:pPr>
              <w:jc w:val="center"/>
              <w:rPr>
                <w:noProof/>
                <w:sz w:val="18"/>
                <w:szCs w:val="18"/>
              </w:rPr>
            </w:pPr>
            <w:r>
              <w:rPr>
                <w:b/>
                <w:noProof/>
                <w:sz w:val="18"/>
              </w:rPr>
              <w:t>2024</w:t>
            </w:r>
          </w:p>
        </w:tc>
        <w:tc>
          <w:tcPr>
            <w:tcW w:w="942" w:type="dxa"/>
            <w:gridSpan w:val="2"/>
            <w:tcBorders>
              <w:right w:val="nil"/>
            </w:tcBorders>
          </w:tcPr>
          <w:p>
            <w:pPr>
              <w:ind w:right="-29"/>
              <w:jc w:val="center"/>
              <w:rPr>
                <w:b/>
                <w:noProof/>
                <w:sz w:val="18"/>
              </w:rPr>
            </w:pPr>
            <w:r>
              <w:rPr>
                <w:b/>
                <w:noProof/>
                <w:sz w:val="18"/>
              </w:rPr>
              <w:t>2025</w:t>
            </w:r>
          </w:p>
        </w:tc>
        <w:tc>
          <w:tcPr>
            <w:tcW w:w="2190" w:type="dxa"/>
            <w:gridSpan w:val="5"/>
            <w:tcBorders>
              <w:left w:val="nil"/>
              <w:bottom w:val="nil"/>
            </w:tcBorders>
            <w:vAlign w:val="center"/>
          </w:tcPr>
          <w:p>
            <w:pPr>
              <w:ind w:right="-29"/>
              <w:jc w:val="center"/>
              <w:rPr>
                <w:noProof/>
                <w:sz w:val="18"/>
                <w:szCs w:val="18"/>
              </w:rPr>
            </w:pPr>
            <w:r>
              <w:rPr>
                <w:b/>
                <w:noProof/>
                <w:sz w:val="18"/>
              </w:rPr>
              <w:t>TOTAL</w:t>
            </w:r>
          </w:p>
        </w:tc>
      </w:tr>
      <w:tr>
        <w:trPr>
          <w:gridBefore w:val="1"/>
          <w:gridAfter w:val="27"/>
          <w:wBefore w:w="6" w:type="dxa"/>
          <w:wAfter w:w="9786" w:type="dxa"/>
          <w:trHeight w:val="465"/>
          <w:jc w:val="center"/>
        </w:trPr>
        <w:tc>
          <w:tcPr>
            <w:tcW w:w="1422" w:type="dxa"/>
            <w:gridSpan w:val="2"/>
            <w:vMerge/>
            <w:vAlign w:val="center"/>
          </w:tcPr>
          <w:p>
            <w:pPr>
              <w:ind w:right="-29"/>
              <w:jc w:val="center"/>
              <w:rPr>
                <w:noProof/>
                <w:sz w:val="18"/>
                <w:szCs w:val="18"/>
              </w:rPr>
            </w:pPr>
          </w:p>
        </w:tc>
        <w:tc>
          <w:tcPr>
            <w:tcW w:w="1566" w:type="dxa"/>
            <w:gridSpan w:val="5"/>
          </w:tcPr>
          <w:p>
            <w:pPr>
              <w:ind w:right="-29"/>
              <w:jc w:val="center"/>
              <w:rPr>
                <w:noProof/>
                <w:sz w:val="18"/>
                <w:szCs w:val="18"/>
              </w:rPr>
            </w:pPr>
          </w:p>
        </w:tc>
      </w:tr>
      <w:tr>
        <w:trPr>
          <w:gridBefore w:val="1"/>
          <w:gridAfter w:val="1"/>
          <w:wBefore w:w="6" w:type="dxa"/>
          <w:wAfter w:w="12" w:type="dxa"/>
          <w:cantSplit/>
          <w:trHeight w:val="1134"/>
          <w:jc w:val="center"/>
        </w:trPr>
        <w:tc>
          <w:tcPr>
            <w:tcW w:w="1422" w:type="dxa"/>
            <w:gridSpan w:val="2"/>
            <w:vMerge/>
            <w:vAlign w:val="center"/>
          </w:tcPr>
          <w:p>
            <w:pPr>
              <w:rPr>
                <w:noProof/>
                <w:sz w:val="18"/>
                <w:szCs w:val="18"/>
              </w:rPr>
            </w:pPr>
          </w:p>
        </w:tc>
        <w:tc>
          <w:tcPr>
            <w:tcW w:w="900" w:type="dxa"/>
            <w:gridSpan w:val="2"/>
            <w:vAlign w:val="center"/>
          </w:tcPr>
          <w:p>
            <w:pPr>
              <w:jc w:val="center"/>
              <w:rPr>
                <w:noProof/>
                <w:sz w:val="18"/>
                <w:szCs w:val="18"/>
              </w:rPr>
            </w:pPr>
            <w:r>
              <w:rPr>
                <w:noProof/>
                <w:sz w:val="18"/>
              </w:rPr>
              <w:t>Type</w:t>
            </w:r>
            <w:r>
              <w:rPr>
                <w:rStyle w:val="FootnoteReference"/>
                <w:noProof/>
                <w:sz w:val="18"/>
              </w:rPr>
              <w:footnoteReference w:id="14"/>
            </w:r>
          </w:p>
          <w:p>
            <w:pPr>
              <w:spacing w:before="0" w:after="0"/>
              <w:jc w:val="center"/>
              <w:rPr>
                <w:noProof/>
                <w:sz w:val="18"/>
                <w:szCs w:val="18"/>
              </w:rPr>
            </w:pPr>
          </w:p>
        </w:tc>
        <w:tc>
          <w:tcPr>
            <w:tcW w:w="519" w:type="dxa"/>
            <w:gridSpan w:val="2"/>
            <w:vAlign w:val="center"/>
          </w:tcPr>
          <w:p>
            <w:pPr>
              <w:jc w:val="center"/>
              <w:rPr>
                <w:noProof/>
                <w:sz w:val="18"/>
                <w:szCs w:val="18"/>
              </w:rPr>
            </w:pPr>
            <w:r>
              <w:rPr>
                <w:noProof/>
                <w:sz w:val="18"/>
              </w:rPr>
              <w:t>Average cost</w:t>
            </w:r>
          </w:p>
        </w:tc>
        <w:tc>
          <w:tcPr>
            <w:tcW w:w="504" w:type="dxa"/>
            <w:gridSpan w:val="3"/>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3"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14"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942" w:type="dxa"/>
            <w:gridSpan w:val="2"/>
            <w:shd w:val="pct10" w:color="auto" w:fill="auto"/>
          </w:tcPr>
          <w:p>
            <w:pPr>
              <w:jc w:val="center"/>
              <w:rPr>
                <w:noProof/>
                <w:sz w:val="18"/>
              </w:rPr>
            </w:pPr>
          </w:p>
        </w:tc>
        <w:tc>
          <w:tcPr>
            <w:tcW w:w="1278" w:type="dxa"/>
            <w:gridSpan w:val="2"/>
            <w:tcBorders>
              <w:right w:val="dashSmallGap" w:sz="4" w:space="0" w:color="auto"/>
            </w:tcBorders>
            <w:shd w:val="pct10" w:color="auto" w:fill="auto"/>
            <w:vAlign w:val="center"/>
          </w:tcPr>
          <w:p>
            <w:pPr>
              <w:jc w:val="center"/>
              <w:rPr>
                <w:noProof/>
                <w:sz w:val="18"/>
                <w:szCs w:val="18"/>
              </w:rPr>
            </w:pPr>
            <w:r>
              <w:rPr>
                <w:noProof/>
                <w:sz w:val="18"/>
              </w:rPr>
              <w:t>Total number</w:t>
            </w:r>
          </w:p>
        </w:tc>
        <w:tc>
          <w:tcPr>
            <w:tcW w:w="900" w:type="dxa"/>
            <w:gridSpan w:val="2"/>
            <w:tcBorders>
              <w:left w:val="dashSmallGap" w:sz="4" w:space="0" w:color="auto"/>
            </w:tcBorders>
            <w:shd w:val="pct10" w:color="auto" w:fill="auto"/>
            <w:vAlign w:val="center"/>
          </w:tcPr>
          <w:p>
            <w:pPr>
              <w:jc w:val="center"/>
              <w:rPr>
                <w:noProof/>
                <w:sz w:val="18"/>
                <w:szCs w:val="18"/>
              </w:rPr>
            </w:pPr>
            <w:r>
              <w:rPr>
                <w:noProof/>
                <w:sz w:val="18"/>
              </w:rPr>
              <w:t>Total cost</w:t>
            </w:r>
          </w:p>
        </w:tc>
      </w:tr>
      <w:tr>
        <w:trPr>
          <w:gridAfter w:val="2"/>
          <w:wAfter w:w="18" w:type="dxa"/>
          <w:jc w:val="center"/>
        </w:trPr>
        <w:tc>
          <w:tcPr>
            <w:tcW w:w="2841" w:type="dxa"/>
            <w:gridSpan w:val="6"/>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15"/>
            </w:r>
            <w:r>
              <w:rPr>
                <w:noProof/>
                <w:sz w:val="18"/>
              </w:rPr>
              <w:t>...</w:t>
            </w:r>
          </w:p>
        </w:tc>
        <w:tc>
          <w:tcPr>
            <w:tcW w:w="504" w:type="dxa"/>
            <w:gridSpan w:val="3"/>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3" w:type="dxa"/>
            <w:gridSpan w:val="2"/>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08" w:type="dxa"/>
            <w:gridSpan w:val="2"/>
            <w:tcBorders>
              <w:top w:val="nil"/>
              <w:left w:val="nil"/>
              <w:bottom w:val="nil"/>
              <w:right w:val="nil"/>
            </w:tcBorders>
          </w:tcPr>
          <w:p>
            <w:pPr>
              <w:spacing w:before="60" w:after="60"/>
              <w:ind w:right="-29"/>
              <w:jc w:val="center"/>
              <w:rPr>
                <w:noProof/>
                <w:sz w:val="18"/>
                <w:szCs w:val="18"/>
              </w:rPr>
            </w:pPr>
          </w:p>
        </w:tc>
        <w:tc>
          <w:tcPr>
            <w:tcW w:w="942" w:type="dxa"/>
            <w:gridSpan w:val="2"/>
            <w:tcBorders>
              <w:top w:val="nil"/>
              <w:left w:val="nil"/>
              <w:bottom w:val="nil"/>
              <w:right w:val="nil"/>
            </w:tcBorders>
          </w:tcPr>
          <w:p>
            <w:pPr>
              <w:spacing w:before="60" w:after="60"/>
              <w:ind w:right="-29"/>
              <w:jc w:val="center"/>
              <w:rPr>
                <w:noProof/>
                <w:sz w:val="18"/>
                <w:szCs w:val="18"/>
              </w:rPr>
            </w:pPr>
          </w:p>
        </w:tc>
        <w:tc>
          <w:tcPr>
            <w:tcW w:w="1284" w:type="dxa"/>
            <w:gridSpan w:val="2"/>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r>
      <w:tr>
        <w:trPr>
          <w:gridAfter w:val="2"/>
          <w:wAfter w:w="18" w:type="dxa"/>
          <w:trHeight w:hRule="exact" w:val="369"/>
          <w:jc w:val="center"/>
        </w:trPr>
        <w:tc>
          <w:tcPr>
            <w:tcW w:w="1422" w:type="dxa"/>
            <w:gridSpan w:val="2"/>
          </w:tcPr>
          <w:p>
            <w:pPr>
              <w:ind w:right="-29"/>
              <w:jc w:val="center"/>
              <w:rPr>
                <w:noProof/>
                <w:sz w:val="18"/>
                <w:szCs w:val="18"/>
              </w:rPr>
            </w:pPr>
            <w:r>
              <w:rPr>
                <w:noProof/>
                <w:sz w:val="18"/>
              </w:rPr>
              <w:t xml:space="preserve">- Access </w:t>
            </w:r>
          </w:p>
        </w:tc>
        <w:tc>
          <w:tcPr>
            <w:tcW w:w="894" w:type="dxa"/>
            <w:gridSpan w:val="2"/>
          </w:tcPr>
          <w:p>
            <w:pPr>
              <w:ind w:right="-29"/>
              <w:jc w:val="center"/>
              <w:rPr>
                <w:noProof/>
                <w:sz w:val="18"/>
                <w:szCs w:val="18"/>
              </w:rPr>
            </w:pPr>
            <w:r>
              <w:rPr>
                <w:noProof/>
                <w:sz w:val="18"/>
                <w:szCs w:val="18"/>
              </w:rPr>
              <w:t>Annual</w:t>
            </w:r>
          </w:p>
        </w:tc>
        <w:tc>
          <w:tcPr>
            <w:tcW w:w="525" w:type="dxa"/>
            <w:gridSpan w:val="2"/>
          </w:tcPr>
          <w:p>
            <w:pPr>
              <w:ind w:right="-29"/>
              <w:jc w:val="center"/>
              <w:rPr>
                <w:noProof/>
                <w:sz w:val="18"/>
                <w:szCs w:val="18"/>
              </w:rPr>
            </w:pPr>
          </w:p>
        </w:tc>
        <w:tc>
          <w:tcPr>
            <w:tcW w:w="504" w:type="dxa"/>
            <w:gridSpan w:val="3"/>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2.5</w:t>
            </w:r>
          </w:p>
        </w:tc>
        <w:tc>
          <w:tcPr>
            <w:tcW w:w="540"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2.5</w:t>
            </w:r>
          </w:p>
        </w:tc>
        <w:tc>
          <w:tcPr>
            <w:tcW w:w="720"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2.5</w:t>
            </w:r>
          </w:p>
        </w:tc>
        <w:tc>
          <w:tcPr>
            <w:tcW w:w="900" w:type="dxa"/>
            <w:gridSpan w:val="2"/>
            <w:tcBorders>
              <w:right w:val="dashSmallGap" w:sz="4" w:space="0" w:color="auto"/>
            </w:tcBorders>
          </w:tcPr>
          <w:p>
            <w:pPr>
              <w:ind w:right="-29"/>
              <w:jc w:val="center"/>
              <w:rPr>
                <w:noProof/>
                <w:sz w:val="18"/>
                <w:szCs w:val="18"/>
              </w:rPr>
            </w:pPr>
          </w:p>
        </w:tc>
        <w:tc>
          <w:tcPr>
            <w:tcW w:w="723" w:type="dxa"/>
            <w:gridSpan w:val="2"/>
            <w:tcBorders>
              <w:left w:val="dashSmallGap" w:sz="4" w:space="0" w:color="auto"/>
            </w:tcBorders>
          </w:tcPr>
          <w:p>
            <w:pPr>
              <w:ind w:right="-29"/>
              <w:jc w:val="center"/>
              <w:rPr>
                <w:noProof/>
                <w:sz w:val="18"/>
                <w:szCs w:val="18"/>
              </w:rPr>
            </w:pPr>
            <w:r>
              <w:rPr>
                <w:noProof/>
                <w:sz w:val="18"/>
                <w:szCs w:val="18"/>
              </w:rPr>
              <w:t>2.5</w:t>
            </w:r>
          </w:p>
        </w:tc>
        <w:tc>
          <w:tcPr>
            <w:tcW w:w="540" w:type="dxa"/>
            <w:gridSpan w:val="2"/>
            <w:tcBorders>
              <w:right w:val="dashSmallGap" w:sz="4" w:space="0" w:color="auto"/>
            </w:tcBorders>
          </w:tcPr>
          <w:p>
            <w:pPr>
              <w:ind w:right="-29"/>
              <w:jc w:val="center"/>
              <w:rPr>
                <w:noProof/>
                <w:sz w:val="18"/>
                <w:szCs w:val="18"/>
              </w:rPr>
            </w:pPr>
          </w:p>
        </w:tc>
        <w:tc>
          <w:tcPr>
            <w:tcW w:w="708" w:type="dxa"/>
            <w:gridSpan w:val="2"/>
            <w:tcBorders>
              <w:left w:val="dashSmallGap" w:sz="4" w:space="0" w:color="auto"/>
            </w:tcBorders>
          </w:tcPr>
          <w:p>
            <w:pPr>
              <w:ind w:right="-29"/>
              <w:jc w:val="center"/>
              <w:rPr>
                <w:noProof/>
                <w:sz w:val="18"/>
                <w:szCs w:val="18"/>
              </w:rPr>
            </w:pPr>
            <w:r>
              <w:rPr>
                <w:noProof/>
                <w:sz w:val="18"/>
                <w:szCs w:val="18"/>
              </w:rPr>
              <w:t>2.5</w:t>
            </w:r>
          </w:p>
        </w:tc>
        <w:tc>
          <w:tcPr>
            <w:tcW w:w="942" w:type="dxa"/>
            <w:gridSpan w:val="2"/>
          </w:tcPr>
          <w:p>
            <w:pPr>
              <w:ind w:right="-29"/>
              <w:jc w:val="center"/>
              <w:rPr>
                <w:noProof/>
                <w:sz w:val="18"/>
                <w:szCs w:val="18"/>
              </w:rPr>
            </w:pPr>
            <w:r>
              <w:rPr>
                <w:noProof/>
                <w:sz w:val="18"/>
                <w:szCs w:val="18"/>
              </w:rPr>
              <w:t>2.5</w:t>
            </w:r>
          </w:p>
        </w:tc>
        <w:tc>
          <w:tcPr>
            <w:tcW w:w="1284" w:type="dxa"/>
            <w:gridSpan w:val="2"/>
          </w:tcPr>
          <w:p>
            <w:pPr>
              <w:ind w:right="-29"/>
              <w:jc w:val="center"/>
              <w:rPr>
                <w:noProof/>
                <w:sz w:val="18"/>
                <w:szCs w:val="18"/>
              </w:rPr>
            </w:pPr>
          </w:p>
        </w:tc>
        <w:tc>
          <w:tcPr>
            <w:tcW w:w="900" w:type="dxa"/>
            <w:gridSpan w:val="2"/>
          </w:tcPr>
          <w:p>
            <w:pPr>
              <w:ind w:right="-29"/>
              <w:jc w:val="center"/>
              <w:rPr>
                <w:noProof/>
                <w:sz w:val="18"/>
                <w:szCs w:val="18"/>
              </w:rPr>
            </w:pPr>
            <w:r>
              <w:rPr>
                <w:noProof/>
                <w:sz w:val="18"/>
                <w:szCs w:val="18"/>
              </w:rPr>
              <w:t>15.00</w:t>
            </w:r>
          </w:p>
        </w:tc>
      </w:tr>
      <w:tr>
        <w:trPr>
          <w:gridAfter w:val="2"/>
          <w:wAfter w:w="18" w:type="dxa"/>
          <w:trHeight w:hRule="exact" w:val="369"/>
          <w:jc w:val="center"/>
        </w:trPr>
        <w:tc>
          <w:tcPr>
            <w:tcW w:w="1422" w:type="dxa"/>
            <w:gridSpan w:val="2"/>
          </w:tcPr>
          <w:p>
            <w:pPr>
              <w:ind w:right="-29"/>
              <w:jc w:val="center"/>
              <w:rPr>
                <w:noProof/>
                <w:sz w:val="18"/>
                <w:szCs w:val="18"/>
              </w:rPr>
            </w:pPr>
            <w:r>
              <w:rPr>
                <w:noProof/>
                <w:sz w:val="18"/>
              </w:rPr>
              <w:t>- Sectoral</w:t>
            </w:r>
          </w:p>
        </w:tc>
        <w:tc>
          <w:tcPr>
            <w:tcW w:w="894" w:type="dxa"/>
            <w:gridSpan w:val="2"/>
          </w:tcPr>
          <w:p>
            <w:pPr>
              <w:ind w:right="-29"/>
              <w:jc w:val="center"/>
              <w:rPr>
                <w:noProof/>
                <w:sz w:val="18"/>
                <w:szCs w:val="18"/>
              </w:rPr>
            </w:pPr>
            <w:r>
              <w:rPr>
                <w:noProof/>
                <w:sz w:val="18"/>
                <w:szCs w:val="18"/>
              </w:rPr>
              <w:t>Annual</w:t>
            </w:r>
          </w:p>
        </w:tc>
        <w:tc>
          <w:tcPr>
            <w:tcW w:w="525" w:type="dxa"/>
            <w:gridSpan w:val="2"/>
          </w:tcPr>
          <w:p>
            <w:pPr>
              <w:ind w:right="-29"/>
              <w:jc w:val="center"/>
              <w:rPr>
                <w:noProof/>
                <w:sz w:val="18"/>
                <w:szCs w:val="18"/>
              </w:rPr>
            </w:pPr>
          </w:p>
        </w:tc>
        <w:tc>
          <w:tcPr>
            <w:tcW w:w="504" w:type="dxa"/>
            <w:gridSpan w:val="3"/>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2.8</w:t>
            </w:r>
          </w:p>
        </w:tc>
        <w:tc>
          <w:tcPr>
            <w:tcW w:w="540"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2.8</w:t>
            </w:r>
          </w:p>
        </w:tc>
        <w:tc>
          <w:tcPr>
            <w:tcW w:w="720"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2.8</w:t>
            </w:r>
          </w:p>
        </w:tc>
        <w:tc>
          <w:tcPr>
            <w:tcW w:w="900" w:type="dxa"/>
            <w:gridSpan w:val="2"/>
            <w:tcBorders>
              <w:right w:val="dashSmallGap" w:sz="4" w:space="0" w:color="auto"/>
            </w:tcBorders>
          </w:tcPr>
          <w:p>
            <w:pPr>
              <w:ind w:right="-29"/>
              <w:jc w:val="center"/>
              <w:rPr>
                <w:noProof/>
                <w:sz w:val="18"/>
                <w:szCs w:val="18"/>
              </w:rPr>
            </w:pPr>
          </w:p>
        </w:tc>
        <w:tc>
          <w:tcPr>
            <w:tcW w:w="723" w:type="dxa"/>
            <w:gridSpan w:val="2"/>
            <w:tcBorders>
              <w:left w:val="dashSmallGap" w:sz="4" w:space="0" w:color="auto"/>
            </w:tcBorders>
          </w:tcPr>
          <w:p>
            <w:pPr>
              <w:ind w:right="-29"/>
              <w:jc w:val="center"/>
              <w:rPr>
                <w:noProof/>
                <w:sz w:val="18"/>
                <w:szCs w:val="18"/>
              </w:rPr>
            </w:pPr>
            <w:r>
              <w:rPr>
                <w:noProof/>
                <w:sz w:val="18"/>
                <w:szCs w:val="18"/>
              </w:rPr>
              <w:t>2.8</w:t>
            </w:r>
          </w:p>
        </w:tc>
        <w:tc>
          <w:tcPr>
            <w:tcW w:w="540" w:type="dxa"/>
            <w:gridSpan w:val="2"/>
            <w:tcBorders>
              <w:right w:val="dashSmallGap" w:sz="4" w:space="0" w:color="auto"/>
            </w:tcBorders>
          </w:tcPr>
          <w:p>
            <w:pPr>
              <w:ind w:right="-29"/>
              <w:jc w:val="center"/>
              <w:rPr>
                <w:noProof/>
                <w:sz w:val="18"/>
                <w:szCs w:val="18"/>
              </w:rPr>
            </w:pPr>
          </w:p>
        </w:tc>
        <w:tc>
          <w:tcPr>
            <w:tcW w:w="708" w:type="dxa"/>
            <w:gridSpan w:val="2"/>
            <w:tcBorders>
              <w:left w:val="dashSmallGap" w:sz="4" w:space="0" w:color="auto"/>
            </w:tcBorders>
          </w:tcPr>
          <w:p>
            <w:pPr>
              <w:ind w:right="-29"/>
              <w:jc w:val="center"/>
              <w:rPr>
                <w:noProof/>
                <w:sz w:val="18"/>
                <w:szCs w:val="18"/>
              </w:rPr>
            </w:pPr>
            <w:r>
              <w:rPr>
                <w:noProof/>
                <w:sz w:val="18"/>
                <w:szCs w:val="18"/>
              </w:rPr>
              <w:t>2.8</w:t>
            </w:r>
          </w:p>
        </w:tc>
        <w:tc>
          <w:tcPr>
            <w:tcW w:w="942" w:type="dxa"/>
            <w:gridSpan w:val="2"/>
          </w:tcPr>
          <w:p>
            <w:pPr>
              <w:ind w:right="-29"/>
              <w:jc w:val="center"/>
              <w:rPr>
                <w:noProof/>
                <w:sz w:val="18"/>
                <w:szCs w:val="18"/>
              </w:rPr>
            </w:pPr>
            <w:r>
              <w:rPr>
                <w:noProof/>
                <w:sz w:val="18"/>
                <w:szCs w:val="18"/>
              </w:rPr>
              <w:t>2.8</w:t>
            </w:r>
          </w:p>
        </w:tc>
        <w:tc>
          <w:tcPr>
            <w:tcW w:w="1284" w:type="dxa"/>
            <w:gridSpan w:val="2"/>
          </w:tcPr>
          <w:p>
            <w:pPr>
              <w:ind w:right="-29"/>
              <w:jc w:val="center"/>
              <w:rPr>
                <w:noProof/>
                <w:sz w:val="18"/>
                <w:szCs w:val="18"/>
              </w:rPr>
            </w:pPr>
          </w:p>
        </w:tc>
        <w:tc>
          <w:tcPr>
            <w:tcW w:w="900" w:type="dxa"/>
            <w:gridSpan w:val="2"/>
          </w:tcPr>
          <w:p>
            <w:pPr>
              <w:ind w:right="-29"/>
              <w:jc w:val="center"/>
              <w:rPr>
                <w:noProof/>
                <w:sz w:val="18"/>
                <w:szCs w:val="18"/>
              </w:rPr>
            </w:pPr>
            <w:r>
              <w:rPr>
                <w:noProof/>
                <w:sz w:val="18"/>
                <w:szCs w:val="18"/>
              </w:rPr>
              <w:t>16.80</w:t>
            </w:r>
          </w:p>
        </w:tc>
      </w:tr>
      <w:tr>
        <w:trPr>
          <w:gridAfter w:val="2"/>
          <w:wAfter w:w="18" w:type="dxa"/>
          <w:trHeight w:hRule="exact" w:val="369"/>
          <w:jc w:val="center"/>
        </w:trPr>
        <w:tc>
          <w:tcPr>
            <w:tcW w:w="1422" w:type="dxa"/>
            <w:gridSpan w:val="2"/>
          </w:tcPr>
          <w:p>
            <w:pPr>
              <w:ind w:right="-29"/>
              <w:jc w:val="center"/>
              <w:rPr>
                <w:noProof/>
                <w:sz w:val="18"/>
                <w:szCs w:val="18"/>
              </w:rPr>
            </w:pPr>
            <w:r>
              <w:rPr>
                <w:noProof/>
                <w:sz w:val="18"/>
              </w:rPr>
              <w:t>- Output</w:t>
            </w:r>
          </w:p>
        </w:tc>
        <w:tc>
          <w:tcPr>
            <w:tcW w:w="894" w:type="dxa"/>
            <w:gridSpan w:val="2"/>
          </w:tcPr>
          <w:p>
            <w:pPr>
              <w:ind w:right="-29"/>
              <w:jc w:val="center"/>
              <w:rPr>
                <w:noProof/>
                <w:sz w:val="18"/>
                <w:szCs w:val="18"/>
              </w:rPr>
            </w:pPr>
          </w:p>
        </w:tc>
        <w:tc>
          <w:tcPr>
            <w:tcW w:w="525" w:type="dxa"/>
            <w:gridSpan w:val="2"/>
          </w:tcPr>
          <w:p>
            <w:pPr>
              <w:ind w:right="-29"/>
              <w:jc w:val="center"/>
              <w:rPr>
                <w:noProof/>
                <w:sz w:val="18"/>
                <w:szCs w:val="18"/>
              </w:rPr>
            </w:pPr>
          </w:p>
        </w:tc>
        <w:tc>
          <w:tcPr>
            <w:tcW w:w="504" w:type="dxa"/>
            <w:gridSpan w:val="3"/>
          </w:tcPr>
          <w:p>
            <w:pPr>
              <w:ind w:right="-29"/>
              <w:jc w:val="center"/>
              <w:rPr>
                <w:noProof/>
                <w:sz w:val="18"/>
                <w:szCs w:val="18"/>
              </w:rPr>
            </w:pPr>
          </w:p>
        </w:tc>
        <w:tc>
          <w:tcPr>
            <w:tcW w:w="720" w:type="dxa"/>
            <w:gridSpan w:val="2"/>
          </w:tcPr>
          <w:p>
            <w:pPr>
              <w:ind w:right="-29"/>
              <w:jc w:val="center"/>
              <w:rPr>
                <w:noProof/>
                <w:sz w:val="18"/>
                <w:szCs w:val="18"/>
              </w:rPr>
            </w:pPr>
          </w:p>
        </w:tc>
        <w:tc>
          <w:tcPr>
            <w:tcW w:w="540" w:type="dxa"/>
            <w:gridSpan w:val="2"/>
          </w:tcPr>
          <w:p>
            <w:pPr>
              <w:ind w:right="-29"/>
              <w:jc w:val="center"/>
              <w:rPr>
                <w:noProof/>
                <w:sz w:val="18"/>
                <w:szCs w:val="18"/>
              </w:rPr>
            </w:pPr>
          </w:p>
        </w:tc>
        <w:tc>
          <w:tcPr>
            <w:tcW w:w="720" w:type="dxa"/>
            <w:gridSpan w:val="2"/>
          </w:tcPr>
          <w:p>
            <w:pPr>
              <w:ind w:right="-29"/>
              <w:jc w:val="center"/>
              <w:rPr>
                <w:noProof/>
                <w:sz w:val="18"/>
                <w:szCs w:val="18"/>
              </w:rPr>
            </w:pPr>
          </w:p>
        </w:tc>
        <w:tc>
          <w:tcPr>
            <w:tcW w:w="720" w:type="dxa"/>
            <w:gridSpan w:val="2"/>
          </w:tcPr>
          <w:p>
            <w:pPr>
              <w:ind w:right="-29"/>
              <w:jc w:val="center"/>
              <w:rPr>
                <w:noProof/>
                <w:sz w:val="18"/>
                <w:szCs w:val="18"/>
              </w:rPr>
            </w:pPr>
          </w:p>
        </w:tc>
        <w:tc>
          <w:tcPr>
            <w:tcW w:w="720" w:type="dxa"/>
            <w:gridSpan w:val="2"/>
          </w:tcPr>
          <w:p>
            <w:pPr>
              <w:ind w:right="-29"/>
              <w:jc w:val="center"/>
              <w:rPr>
                <w:noProof/>
                <w:sz w:val="18"/>
                <w:szCs w:val="18"/>
              </w:rPr>
            </w:pPr>
          </w:p>
        </w:tc>
        <w:tc>
          <w:tcPr>
            <w:tcW w:w="900" w:type="dxa"/>
            <w:gridSpan w:val="2"/>
          </w:tcPr>
          <w:p>
            <w:pPr>
              <w:ind w:right="-29"/>
              <w:jc w:val="center"/>
              <w:rPr>
                <w:noProof/>
                <w:sz w:val="18"/>
                <w:szCs w:val="18"/>
              </w:rPr>
            </w:pPr>
          </w:p>
        </w:tc>
        <w:tc>
          <w:tcPr>
            <w:tcW w:w="723" w:type="dxa"/>
            <w:gridSpan w:val="2"/>
          </w:tcPr>
          <w:p>
            <w:pPr>
              <w:ind w:right="-29"/>
              <w:jc w:val="center"/>
              <w:rPr>
                <w:noProof/>
                <w:sz w:val="18"/>
                <w:szCs w:val="18"/>
              </w:rPr>
            </w:pPr>
          </w:p>
        </w:tc>
        <w:tc>
          <w:tcPr>
            <w:tcW w:w="540" w:type="dxa"/>
            <w:gridSpan w:val="2"/>
          </w:tcPr>
          <w:p>
            <w:pPr>
              <w:ind w:right="-29"/>
              <w:jc w:val="center"/>
              <w:rPr>
                <w:noProof/>
                <w:sz w:val="18"/>
                <w:szCs w:val="18"/>
              </w:rPr>
            </w:pPr>
          </w:p>
        </w:tc>
        <w:tc>
          <w:tcPr>
            <w:tcW w:w="708" w:type="dxa"/>
            <w:gridSpan w:val="2"/>
          </w:tcPr>
          <w:p>
            <w:pPr>
              <w:ind w:right="-29"/>
              <w:jc w:val="center"/>
              <w:rPr>
                <w:noProof/>
                <w:sz w:val="18"/>
                <w:szCs w:val="18"/>
              </w:rPr>
            </w:pPr>
          </w:p>
        </w:tc>
        <w:tc>
          <w:tcPr>
            <w:tcW w:w="942" w:type="dxa"/>
            <w:gridSpan w:val="2"/>
          </w:tcPr>
          <w:p>
            <w:pPr>
              <w:ind w:right="-29"/>
              <w:jc w:val="center"/>
              <w:rPr>
                <w:noProof/>
                <w:sz w:val="18"/>
                <w:szCs w:val="18"/>
              </w:rPr>
            </w:pPr>
          </w:p>
        </w:tc>
        <w:tc>
          <w:tcPr>
            <w:tcW w:w="1284" w:type="dxa"/>
            <w:gridSpan w:val="2"/>
          </w:tcPr>
          <w:p>
            <w:pPr>
              <w:ind w:right="-29"/>
              <w:jc w:val="center"/>
              <w:rPr>
                <w:noProof/>
                <w:sz w:val="18"/>
                <w:szCs w:val="18"/>
              </w:rPr>
            </w:pPr>
          </w:p>
        </w:tc>
        <w:tc>
          <w:tcPr>
            <w:tcW w:w="900" w:type="dxa"/>
            <w:gridSpan w:val="2"/>
          </w:tcPr>
          <w:p>
            <w:pPr>
              <w:ind w:right="-29"/>
              <w:jc w:val="center"/>
              <w:rPr>
                <w:noProof/>
                <w:sz w:val="18"/>
                <w:szCs w:val="18"/>
              </w:rPr>
            </w:pPr>
          </w:p>
        </w:tc>
      </w:tr>
      <w:tr>
        <w:trPr>
          <w:gridAfter w:val="2"/>
          <w:wAfter w:w="18" w:type="dxa"/>
          <w:trHeight w:val="77"/>
          <w:jc w:val="center"/>
        </w:trPr>
        <w:tc>
          <w:tcPr>
            <w:tcW w:w="2841" w:type="dxa"/>
            <w:gridSpan w:val="6"/>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gridSpan w:val="3"/>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c>
          <w:tcPr>
            <w:tcW w:w="723" w:type="dxa"/>
            <w:gridSpan w:val="2"/>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08" w:type="dxa"/>
            <w:gridSpan w:val="2"/>
            <w:tcBorders>
              <w:bottom w:val="single" w:sz="12" w:space="0" w:color="auto"/>
            </w:tcBorders>
          </w:tcPr>
          <w:p>
            <w:pPr>
              <w:ind w:right="-29"/>
              <w:jc w:val="center"/>
              <w:rPr>
                <w:noProof/>
                <w:sz w:val="18"/>
                <w:szCs w:val="18"/>
              </w:rPr>
            </w:pPr>
          </w:p>
        </w:tc>
        <w:tc>
          <w:tcPr>
            <w:tcW w:w="942" w:type="dxa"/>
            <w:gridSpan w:val="2"/>
            <w:tcBorders>
              <w:bottom w:val="single" w:sz="12" w:space="0" w:color="auto"/>
            </w:tcBorders>
          </w:tcPr>
          <w:p>
            <w:pPr>
              <w:ind w:right="-29"/>
              <w:jc w:val="center"/>
              <w:rPr>
                <w:noProof/>
                <w:sz w:val="18"/>
                <w:szCs w:val="18"/>
              </w:rPr>
            </w:pPr>
          </w:p>
        </w:tc>
        <w:tc>
          <w:tcPr>
            <w:tcW w:w="1284" w:type="dxa"/>
            <w:gridSpan w:val="2"/>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r>
      <w:tr>
        <w:trPr>
          <w:gridAfter w:val="2"/>
          <w:wAfter w:w="18" w:type="dxa"/>
          <w:jc w:val="center"/>
        </w:trPr>
        <w:tc>
          <w:tcPr>
            <w:tcW w:w="2841" w:type="dxa"/>
            <w:gridSpan w:val="6"/>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TOTALS</w:t>
            </w:r>
          </w:p>
        </w:tc>
        <w:tc>
          <w:tcPr>
            <w:tcW w:w="504" w:type="dxa"/>
            <w:gridSpan w:val="3"/>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rPr>
                <w:noProof/>
                <w:sz w:val="18"/>
                <w:szCs w:val="18"/>
              </w:rPr>
            </w:pPr>
            <w:r>
              <w:rPr>
                <w:noProof/>
                <w:sz w:val="20"/>
              </w:rPr>
              <w:t>5.300</w:t>
            </w: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20"/>
              </w:rPr>
              <w:t>5.300</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20"/>
              </w:rPr>
              <w:t>5.300</w:t>
            </w:r>
          </w:p>
        </w:tc>
        <w:tc>
          <w:tcPr>
            <w:tcW w:w="90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3" w:type="dxa"/>
            <w:gridSpan w:val="2"/>
            <w:tcBorders>
              <w:top w:val="single" w:sz="12" w:space="0" w:color="auto"/>
              <w:bottom w:val="single" w:sz="12" w:space="0" w:color="auto"/>
            </w:tcBorders>
          </w:tcPr>
          <w:p>
            <w:pPr>
              <w:spacing w:before="180" w:after="180"/>
              <w:ind w:right="-29"/>
              <w:jc w:val="center"/>
              <w:rPr>
                <w:noProof/>
                <w:sz w:val="18"/>
                <w:szCs w:val="18"/>
              </w:rPr>
            </w:pPr>
            <w:r>
              <w:rPr>
                <w:noProof/>
                <w:sz w:val="20"/>
              </w:rPr>
              <w:t>5.300</w:t>
            </w: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08" w:type="dxa"/>
            <w:gridSpan w:val="2"/>
            <w:tcBorders>
              <w:top w:val="single" w:sz="12" w:space="0" w:color="auto"/>
              <w:bottom w:val="single" w:sz="12" w:space="0" w:color="auto"/>
            </w:tcBorders>
          </w:tcPr>
          <w:p>
            <w:pPr>
              <w:spacing w:before="180" w:after="180"/>
              <w:ind w:right="-29"/>
              <w:jc w:val="center"/>
              <w:rPr>
                <w:noProof/>
                <w:sz w:val="18"/>
                <w:szCs w:val="18"/>
              </w:rPr>
            </w:pPr>
            <w:r>
              <w:rPr>
                <w:noProof/>
                <w:sz w:val="20"/>
              </w:rPr>
              <w:t>5.300</w:t>
            </w:r>
          </w:p>
        </w:tc>
        <w:tc>
          <w:tcPr>
            <w:tcW w:w="942"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szCs w:val="18"/>
              </w:rPr>
              <w:t>5.300</w:t>
            </w:r>
          </w:p>
        </w:tc>
        <w:tc>
          <w:tcPr>
            <w:tcW w:w="1284" w:type="dxa"/>
            <w:gridSpan w:val="2"/>
            <w:tcBorders>
              <w:top w:val="single" w:sz="12" w:space="0" w:color="auto"/>
              <w:bottom w:val="single" w:sz="12" w:space="0" w:color="auto"/>
            </w:tcBorders>
          </w:tcPr>
          <w:p>
            <w:pPr>
              <w:spacing w:before="180" w:after="180"/>
              <w:ind w:right="-29"/>
              <w:jc w:val="center"/>
              <w:rPr>
                <w:noProof/>
                <w:sz w:val="18"/>
                <w:szCs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31.800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 xml:space="preserve">Summary of estimated impact on administrative appropriations </w:t>
      </w:r>
    </w:p>
    <w:p>
      <w:pPr>
        <w:pStyle w:val="ListDash1"/>
        <w:rPr>
          <w:noProof/>
        </w:rPr>
      </w:pPr>
      <w:r>
        <w:rPr>
          <w:noProof/>
        </w:rPr>
        <w:t>X</w:t>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jc w:val="right"/>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b/>
                <w:noProof/>
                <w:sz w:val="16"/>
              </w:rPr>
              <w:t xml:space="preserve">Year N </w:t>
            </w:r>
            <w:r>
              <w:rPr>
                <w:rStyle w:val="FootnoteReference"/>
                <w:b/>
                <w:noProof/>
                <w:sz w:val="16"/>
              </w:rPr>
              <w:footnoteReference w:id="16"/>
            </w:r>
          </w:p>
        </w:tc>
        <w:tc>
          <w:tcPr>
            <w:tcW w:w="1080" w:type="dxa"/>
            <w:vAlign w:val="center"/>
          </w:tcPr>
          <w:p>
            <w:pPr>
              <w:spacing w:before="60" w:after="60" w:line="200" w:lineRule="exact"/>
              <w:jc w:val="center"/>
              <w:rPr>
                <w:noProof/>
                <w:sz w:val="16"/>
                <w:szCs w:val="16"/>
              </w:rPr>
            </w:pPr>
            <w:r>
              <w:rPr>
                <w:b/>
                <w:noProof/>
                <w:sz w:val="16"/>
              </w:rPr>
              <w:t>Year N+1</w:t>
            </w:r>
          </w:p>
        </w:tc>
        <w:tc>
          <w:tcPr>
            <w:tcW w:w="1080" w:type="dxa"/>
            <w:vAlign w:val="center"/>
          </w:tcPr>
          <w:p>
            <w:pPr>
              <w:spacing w:before="60" w:after="60" w:line="200" w:lineRule="exact"/>
              <w:jc w:val="center"/>
              <w:rPr>
                <w:noProof/>
                <w:sz w:val="16"/>
                <w:szCs w:val="16"/>
              </w:rPr>
            </w:pPr>
            <w:r>
              <w:rPr>
                <w:b/>
                <w:noProof/>
                <w:sz w:val="16"/>
              </w:rPr>
              <w:t>Year N+2</w:t>
            </w:r>
          </w:p>
        </w:tc>
        <w:tc>
          <w:tcPr>
            <w:tcW w:w="1080" w:type="dxa"/>
            <w:vAlign w:val="center"/>
          </w:tcPr>
          <w:p>
            <w:pPr>
              <w:spacing w:before="60" w:after="60" w:line="200" w:lineRule="exact"/>
              <w:jc w:val="center"/>
              <w:rPr>
                <w:noProof/>
                <w:sz w:val="16"/>
                <w:szCs w:val="16"/>
              </w:rPr>
            </w:pPr>
            <w:r>
              <w:rPr>
                <w:b/>
                <w:noProof/>
                <w:sz w:val="16"/>
              </w:rPr>
              <w:t>Year 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 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 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w:t>
            </w:r>
            <w:r>
              <w:rPr>
                <w:rStyle w:val="FootnoteReference"/>
                <w:b/>
                <w:noProof/>
                <w:sz w:val="16"/>
              </w:rPr>
              <w:footnoteReference w:id="17"/>
            </w:r>
            <w:r>
              <w:rPr>
                <w:b/>
                <w:noProof/>
                <w:sz w:val="16"/>
              </w:rPr>
              <w:t xml:space="preserve"> of the multiannual financial framework</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Other expenditure 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outside HEADING 5 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bCs/>
          <w:noProof/>
          <w:szCs w:val="24"/>
        </w:rPr>
      </w:pPr>
      <w:r>
        <w:rPr>
          <w:noProof/>
        </w:rPr>
        <w:t>3.2.3.1.</w:t>
      </w:r>
      <w:r>
        <w:rPr>
          <w:noProof/>
        </w:rPr>
        <w:tab/>
        <w:t xml:space="preserve">Estimated requirements of human resources </w:t>
      </w:r>
    </w:p>
    <w:p>
      <w:pPr>
        <w:pStyle w:val="ListDash1"/>
        <w:rPr>
          <w:noProof/>
        </w:rPr>
      </w:pPr>
      <w:r>
        <w:rPr>
          <w:noProof/>
        </w:rPr>
        <w:t>X</w:t>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b/>
                <w:noProof/>
                <w:sz w:val="16"/>
              </w:rPr>
              <w:t>Year N</w:t>
            </w:r>
          </w:p>
        </w:tc>
        <w:tc>
          <w:tcPr>
            <w:tcW w:w="600" w:type="dxa"/>
            <w:shd w:val="clear" w:color="auto" w:fill="auto"/>
            <w:vAlign w:val="center"/>
          </w:tcPr>
          <w:p>
            <w:pPr>
              <w:spacing w:before="20" w:after="20"/>
              <w:jc w:val="center"/>
              <w:rPr>
                <w:noProof/>
                <w:sz w:val="16"/>
                <w:szCs w:val="16"/>
              </w:rPr>
            </w:pPr>
            <w:r>
              <w:rPr>
                <w:b/>
                <w:noProof/>
                <w:sz w:val="16"/>
              </w:rPr>
              <w:t>Year N+1</w:t>
            </w:r>
          </w:p>
        </w:tc>
        <w:tc>
          <w:tcPr>
            <w:tcW w:w="600" w:type="dxa"/>
            <w:shd w:val="clear" w:color="auto" w:fill="auto"/>
            <w:vAlign w:val="center"/>
          </w:tcPr>
          <w:p>
            <w:pPr>
              <w:spacing w:before="20" w:after="20"/>
              <w:jc w:val="center"/>
              <w:rPr>
                <w:noProof/>
                <w:sz w:val="16"/>
                <w:szCs w:val="16"/>
              </w:rPr>
            </w:pPr>
            <w:r>
              <w:rPr>
                <w:noProof/>
                <w:sz w:val="16"/>
              </w:rPr>
              <w:t>Year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Year </w:t>
            </w:r>
            <w:r>
              <w:rPr>
                <w:b/>
                <w:noProof/>
                <w:sz w:val="16"/>
              </w:rPr>
              <w:t>N+3</w:t>
            </w:r>
          </w:p>
        </w:tc>
        <w:tc>
          <w:tcPr>
            <w:tcW w:w="600" w:type="dxa"/>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full-time equivalent units: FTEs)</w:t>
            </w:r>
            <w:r>
              <w:rPr>
                <w:rStyle w:val="FootnoteReference"/>
                <w:b/>
                <w:noProof/>
                <w:sz w:val="16"/>
              </w:rPr>
              <w:footnoteReference w:id="18"/>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JPD in the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19"/>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01 05 02/12/22 (AC, END, INT –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is the policy area or budget title concerned.</w:t>
      </w:r>
    </w:p>
    <w:p>
      <w:pPr>
        <w:pStyle w:val="Text1"/>
        <w:rPr>
          <w:noProof/>
          <w:sz w:val="18"/>
          <w:szCs w:val="18"/>
        </w:rPr>
      </w:pPr>
      <w:r>
        <w:rPr>
          <w:noProof/>
          <w:sz w:val="18"/>
        </w:rPr>
        <w:t>Human resources requirements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r>
        <w:rPr>
          <w:noProof/>
        </w:rPr>
        <w:t>3.2.4.</w:t>
      </w:r>
      <w:r>
        <w:rPr>
          <w:noProof/>
        </w:rPr>
        <w:tab/>
        <w:t xml:space="preserve">Compatibility with the current multiannual financial framework </w:t>
      </w:r>
    </w:p>
    <w:p>
      <w:pPr>
        <w:pStyle w:val="Text1"/>
        <w:rPr>
          <w:noProof/>
        </w:rPr>
      </w:pPr>
      <w:r>
        <w:rPr>
          <w:noProof/>
        </w:rPr>
        <w:t>The proposal/initiative:</w:t>
      </w:r>
    </w:p>
    <w:p>
      <w:pPr>
        <w:pStyle w:val="ListDash1"/>
        <w:rPr>
          <w:noProof/>
        </w:rPr>
      </w:pPr>
      <w:r>
        <w:rPr>
          <w:noProof/>
        </w:rPr>
        <w:t>X</w:t>
      </w:r>
      <w:r>
        <w:rPr>
          <w:noProof/>
        </w:rPr>
        <w:tab/>
        <w:t>can be fully financed through redeployment within the relevant heading of the multiannual financial framework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This concerns the use of the reserve line (Chapter 40).</w:t>
      </w:r>
    </w:p>
    <w:p>
      <w:pPr>
        <w:pStyle w:val="ListDash1"/>
        <w:rPr>
          <w:noProof/>
        </w:rPr>
      </w:pPr>
      <w:r>
        <w:rPr>
          <w:noProof/>
        </w:rPr>
        <w:sym w:font="Wingdings" w:char="F0A8"/>
      </w:r>
      <w:r>
        <w:rPr>
          <w:noProof/>
        </w:rPr>
        <w:tab/>
        <w:t>requires use of the unallocated margin under the relevant heading of the MFF and/or use of the special instruments as defined in the MFF Regulation.</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the corresponding amounts, and the instruments proposed to be used.</w:t>
      </w:r>
    </w:p>
    <w:p>
      <w:pPr>
        <w:pStyle w:val="ListDash1"/>
        <w:rPr>
          <w:noProof/>
        </w:rPr>
      </w:pPr>
      <w:r>
        <w:rPr>
          <w:noProof/>
        </w:rPr>
        <w:sym w:font="Wingdings" w:char="F0A8"/>
      </w:r>
      <w:r>
        <w:rPr>
          <w:noProof/>
        </w:rPr>
        <w:tab/>
        <w:t>requires a revision of the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r>
        <w:rPr>
          <w:noProof/>
        </w:rPr>
        <w:t>3.2.5.</w:t>
      </w:r>
      <w:r>
        <w:rPr>
          <w:noProof/>
        </w:rPr>
        <w:tab/>
        <w:t xml:space="preserve">Third-party contributions </w:t>
      </w:r>
    </w:p>
    <w:p>
      <w:pPr>
        <w:pStyle w:val="Text1"/>
        <w:rPr>
          <w:noProof/>
        </w:rPr>
      </w:pPr>
      <w:r>
        <w:rPr>
          <w:noProof/>
        </w:rPr>
        <w:t>The proposal/initiative:</w:t>
      </w:r>
    </w:p>
    <w:p>
      <w:pPr>
        <w:pStyle w:val="ListDash1"/>
        <w:rPr>
          <w:noProof/>
        </w:rPr>
      </w:pPr>
      <w:r>
        <w:rPr>
          <w:noProof/>
        </w:rPr>
        <w:t>X</w:t>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b/>
                <w:noProof/>
                <w:sz w:val="20"/>
              </w:rPr>
              <w:t>Year N</w:t>
            </w:r>
            <w:r>
              <w:rPr>
                <w:rStyle w:val="FootnoteReference"/>
                <w:b/>
                <w:noProof/>
                <w:sz w:val="20"/>
              </w:rPr>
              <w:footnoteReference w:id="20"/>
            </w:r>
          </w:p>
        </w:tc>
        <w:tc>
          <w:tcPr>
            <w:tcW w:w="964" w:type="dxa"/>
            <w:vAlign w:val="center"/>
          </w:tcPr>
          <w:p>
            <w:pPr>
              <w:jc w:val="center"/>
              <w:rPr>
                <w:noProof/>
                <w:sz w:val="20"/>
              </w:rPr>
            </w:pPr>
            <w:r>
              <w:rPr>
                <w:b/>
                <w:noProof/>
                <w:sz w:val="20"/>
              </w:rPr>
              <w:t>Year N+1</w:t>
            </w:r>
          </w:p>
        </w:tc>
        <w:tc>
          <w:tcPr>
            <w:tcW w:w="964" w:type="dxa"/>
            <w:vAlign w:val="center"/>
          </w:tcPr>
          <w:p>
            <w:pPr>
              <w:jc w:val="center"/>
              <w:rPr>
                <w:noProof/>
                <w:sz w:val="20"/>
              </w:rPr>
            </w:pPr>
            <w:r>
              <w:rPr>
                <w:b/>
                <w:noProof/>
                <w:sz w:val="20"/>
              </w:rPr>
              <w:t>Year N+2</w:t>
            </w:r>
          </w:p>
        </w:tc>
        <w:tc>
          <w:tcPr>
            <w:tcW w:w="964" w:type="dxa"/>
            <w:vAlign w:val="center"/>
          </w:tcPr>
          <w:p>
            <w:pPr>
              <w:jc w:val="center"/>
              <w:rPr>
                <w:noProof/>
                <w:sz w:val="20"/>
              </w:rPr>
            </w:pPr>
            <w:r>
              <w:rPr>
                <w:b/>
                <w:noProof/>
                <w:sz w:val="20"/>
              </w:rPr>
              <w:t>Year 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Estimated impact on revenue </w:t>
      </w:r>
    </w:p>
    <w:p>
      <w:pPr>
        <w:pStyle w:val="ManualHeading2"/>
        <w:ind w:left="360" w:firstLine="0"/>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on other revenue</w:t>
      </w:r>
    </w:p>
    <w:p>
      <w:pPr>
        <w:pStyle w:val="ListNumberLevel3"/>
        <w:rPr>
          <w:noProof/>
        </w:rPr>
      </w:pPr>
      <w:r>
        <w:rPr>
          <w:noProof/>
        </w:rPr>
        <w:t xml:space="preserve">please indicate if the revenue is assigned to expenditure lines </w:t>
      </w:r>
      <w:r>
        <w:rPr>
          <w:noProof/>
        </w:rPr>
        <w:sym w:font="Wingdings" w:char="F0A8"/>
      </w:r>
      <w:r>
        <w:rPr>
          <w:noProof/>
        </w:rPr>
        <w:tab/>
      </w:r>
    </w:p>
    <w:p>
      <w:pPr>
        <w:ind w:left="4320"/>
        <w:rPr>
          <w:i/>
          <w:noProof/>
          <w:sz w:val="20"/>
        </w:rPr>
      </w:pPr>
      <w:r>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325" w:type="dxa"/>
            <w:vMerge w:val="restart"/>
            <w:vAlign w:val="center"/>
          </w:tcPr>
          <w:p>
            <w:pPr>
              <w:jc w:val="center"/>
              <w:rPr>
                <w:noProof/>
                <w:sz w:val="18"/>
              </w:rPr>
            </w:pPr>
            <w:r>
              <w:rPr>
                <w:noProof/>
                <w:sz w:val="18"/>
              </w:rPr>
              <w:t>Appropriations available for the current financial year</w:t>
            </w:r>
          </w:p>
        </w:tc>
        <w:tc>
          <w:tcPr>
            <w:tcW w:w="7151" w:type="dxa"/>
            <w:gridSpan w:val="7"/>
            <w:vAlign w:val="center"/>
          </w:tcPr>
          <w:p>
            <w:pPr>
              <w:jc w:val="center"/>
              <w:rPr>
                <w:noProof/>
                <w:sz w:val="18"/>
              </w:rPr>
            </w:pPr>
            <w:r>
              <w:rPr>
                <w:noProof/>
                <w:sz w:val="18"/>
              </w:rPr>
              <w:t>Impact of the proposal/initiative</w:t>
            </w:r>
            <w:r>
              <w:rPr>
                <w:rStyle w:val="FootnoteReference"/>
                <w:noProof/>
                <w:sz w:val="18"/>
              </w:rPr>
              <w:footnoteReference w:id="21"/>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b/>
                <w:noProof/>
                <w:sz w:val="18"/>
              </w:rPr>
              <w:t>Year N</w:t>
            </w:r>
          </w:p>
        </w:tc>
        <w:tc>
          <w:tcPr>
            <w:tcW w:w="900" w:type="dxa"/>
            <w:vAlign w:val="center"/>
          </w:tcPr>
          <w:p>
            <w:pPr>
              <w:jc w:val="center"/>
              <w:rPr>
                <w:noProof/>
                <w:sz w:val="18"/>
              </w:rPr>
            </w:pPr>
            <w:r>
              <w:rPr>
                <w:b/>
                <w:noProof/>
                <w:sz w:val="18"/>
              </w:rPr>
              <w:t>Year N+1</w:t>
            </w:r>
          </w:p>
        </w:tc>
        <w:tc>
          <w:tcPr>
            <w:tcW w:w="900" w:type="dxa"/>
            <w:vAlign w:val="center"/>
          </w:tcPr>
          <w:p>
            <w:pPr>
              <w:jc w:val="center"/>
              <w:rPr>
                <w:noProof/>
                <w:sz w:val="18"/>
              </w:rPr>
            </w:pPr>
            <w:r>
              <w:rPr>
                <w:b/>
                <w:noProof/>
                <w:sz w:val="18"/>
              </w:rPr>
              <w:t>Year N+2</w:t>
            </w:r>
          </w:p>
        </w:tc>
        <w:tc>
          <w:tcPr>
            <w:tcW w:w="1080" w:type="dxa"/>
            <w:vAlign w:val="center"/>
          </w:tcPr>
          <w:p>
            <w:pPr>
              <w:jc w:val="center"/>
              <w:rPr>
                <w:noProof/>
                <w:sz w:val="18"/>
              </w:rPr>
            </w:pPr>
            <w:r>
              <w:rPr>
                <w:b/>
                <w:noProof/>
                <w:sz w:val="18"/>
              </w:rPr>
              <w:t>Year 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spacing w:before="0" w:after="200" w:line="276" w:lineRule="auto"/>
        <w:jc w:val="left"/>
        <w:rPr>
          <w:i/>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lang w:val="en-IE"/>
        </w:rPr>
        <w:t>OJ L 290 of 20.10.2006, p. 2</w:t>
      </w:r>
    </w:p>
  </w:footnote>
  <w:footnote w:id="2">
    <w:p>
      <w:pPr>
        <w:pStyle w:val="FootnoteText"/>
        <w:rPr>
          <w:lang w:val="en-IE"/>
        </w:rPr>
      </w:pPr>
      <w:r>
        <w:rPr>
          <w:rStyle w:val="FootnoteReference"/>
        </w:rPr>
        <w:footnoteRef/>
      </w:r>
      <w:r>
        <w:rPr>
          <w:rStyle w:val="Hyperlink"/>
          <w:lang w:val="en-IE"/>
        </w:rPr>
        <w:tab/>
      </w:r>
      <w:hyperlink r:id="rId1" w:history="1">
        <w:r>
          <w:rPr>
            <w:rStyle w:val="Hyperlink"/>
            <w:lang w:val="en-IE"/>
          </w:rPr>
          <w:t>https://www.consilium.europa.eu/en/documents-publications/treaties-agreements/agreement/?id=2006084&amp;DocLanguage=en</w:t>
        </w:r>
      </w:hyperlink>
    </w:p>
  </w:footnote>
  <w:footnote w:id="3">
    <w:p>
      <w:pPr>
        <w:pStyle w:val="FootnoteText"/>
        <w:rPr>
          <w:lang w:val="en-IE"/>
        </w:rPr>
      </w:pPr>
      <w:r>
        <w:rPr>
          <w:rStyle w:val="FootnoteReference"/>
        </w:rPr>
        <w:footnoteRef/>
      </w:r>
      <w:r>
        <w:tab/>
      </w:r>
      <w:r>
        <w:rPr>
          <w:lang w:val="en-IE"/>
        </w:rPr>
        <w:t>OJ L 4 of 9.01.2014, p. 3</w:t>
      </w:r>
    </w:p>
  </w:footnote>
  <w:footnote w:id="4">
    <w:p>
      <w:pPr>
        <w:pStyle w:val="FootnoteText"/>
        <w:rPr>
          <w:lang w:val="en-IE"/>
        </w:rPr>
      </w:pPr>
      <w:r>
        <w:rPr>
          <w:rStyle w:val="FootnoteReference"/>
        </w:rPr>
        <w:footnoteRef/>
      </w:r>
      <w:r>
        <w:tab/>
        <w:t>Adopted at the Agriculture and Fisheries Council on 15 July 2019.</w:t>
      </w:r>
    </w:p>
  </w:footnote>
  <w:footnote w:id="5">
    <w:p>
      <w:pPr>
        <w:pStyle w:val="FootnoteText"/>
      </w:pPr>
      <w:r>
        <w:rPr>
          <w:rStyle w:val="FootnoteReference"/>
        </w:rPr>
        <w:footnoteRef/>
      </w:r>
      <w:r>
        <w:tab/>
        <w:t>OJ 354 of 28.12.2013, p.22.</w:t>
      </w:r>
    </w:p>
  </w:footnote>
  <w:footnote w:id="6">
    <w:p>
      <w:pPr>
        <w:pStyle w:val="FootnoteText"/>
      </w:pPr>
      <w:r>
        <w:rPr>
          <w:rStyle w:val="FootnoteReference"/>
        </w:rPr>
        <w:footnoteRef/>
      </w:r>
      <w:r>
        <w:tab/>
        <w:t>In accordance with the Interinstitutional Agreement on cooperation in budgetary matters (OJ C 373, 20.12.2013, p. 1).</w:t>
      </w:r>
    </w:p>
  </w:footnote>
  <w:footnote w:id="7">
    <w:p>
      <w:pPr>
        <w:pStyle w:val="FootnoteText"/>
        <w:rPr>
          <w:szCs w:val="24"/>
        </w:rPr>
      </w:pPr>
      <w:r>
        <w:rPr>
          <w:rStyle w:val="FootnoteReference"/>
        </w:rPr>
        <w:footnoteRef/>
      </w:r>
      <w:r>
        <w:tab/>
        <w:t>As referred to in Article 58(2)(a) or (b) of the Financial Regulation.</w:t>
      </w:r>
    </w:p>
  </w:footnote>
  <w:footnote w:id="8">
    <w:p>
      <w:pPr>
        <w:pStyle w:val="FootnoteText"/>
        <w:jc w:val="left"/>
        <w:rPr>
          <w:szCs w:val="24"/>
        </w:rPr>
      </w:pPr>
      <w:r>
        <w:rPr>
          <w:rStyle w:val="FootnoteReference"/>
        </w:rPr>
        <w:footnoteRef/>
      </w:r>
      <w:r>
        <w:tab/>
        <w:t xml:space="preserve">Details of management modes and references to the Financial Regulation can be found on the BudgWeb site: </w:t>
      </w:r>
      <w:hyperlink r:id="rId2">
        <w:r>
          <w:rPr>
            <w:rStyle w:val="Hyperlink"/>
          </w:rPr>
          <w:t>https://myintracomm.ec.europa.eu/budgweb/EN/man/budgmanag/Pages/budgmanag.aspx</w:t>
        </w:r>
      </w:hyperlink>
      <w:r>
        <w:t xml:space="preserve">. </w:t>
      </w:r>
    </w:p>
  </w:footnote>
  <w:footnote w:id="9">
    <w:p>
      <w:pPr>
        <w:pStyle w:val="FootnoteText"/>
        <w:rPr>
          <w:szCs w:val="24"/>
        </w:rPr>
      </w:pPr>
      <w:r>
        <w:rPr>
          <w:rStyle w:val="FootnoteReference"/>
        </w:rPr>
        <w:footnoteRef/>
      </w:r>
      <w:r>
        <w:tab/>
        <w:t>Diff. = Differentiated appropriations / Non-diff. = Non-differentiated appropriations.</w:t>
      </w:r>
    </w:p>
  </w:footnote>
  <w:footnote w:id="10">
    <w:p>
      <w:pPr>
        <w:pStyle w:val="FootnoteText"/>
        <w:rPr>
          <w:szCs w:val="24"/>
        </w:rPr>
      </w:pPr>
      <w:r>
        <w:rPr>
          <w:rStyle w:val="FootnoteReference"/>
        </w:rPr>
        <w:footnoteRef/>
      </w:r>
      <w:r>
        <w:tab/>
        <w:t xml:space="preserve">EFTA: European Free Trade Association. </w:t>
      </w:r>
    </w:p>
  </w:footnote>
  <w:footnote w:id="11">
    <w:p>
      <w:pPr>
        <w:pStyle w:val="FootnoteText"/>
        <w:rPr>
          <w:szCs w:val="24"/>
        </w:rPr>
      </w:pPr>
      <w:r>
        <w:rPr>
          <w:rStyle w:val="FootnoteReference"/>
        </w:rPr>
        <w:footnoteRef/>
      </w:r>
      <w:r>
        <w:tab/>
        <w:t>Candidate countries and, where applicable, potential candidate countries from the Western Balkans.</w:t>
      </w:r>
    </w:p>
  </w:footnote>
  <w:footnote w:id="12">
    <w:p>
      <w:pPr>
        <w:pStyle w:val="FootnoteText"/>
        <w:rPr>
          <w:sz w:val="18"/>
          <w:szCs w:val="18"/>
        </w:rPr>
      </w:pPr>
      <w:r>
        <w:rPr>
          <w:rStyle w:val="FootnoteReference"/>
        </w:rPr>
        <w:footnoteRef/>
      </w:r>
      <w:r>
        <w:tab/>
      </w:r>
      <w:r>
        <w:rPr>
          <w:sz w:val="18"/>
        </w:rPr>
        <w:t>According to the official budget nomenclature.</w:t>
      </w:r>
    </w:p>
  </w:footnote>
  <w:footnote w:id="13">
    <w:p>
      <w:pPr>
        <w:pStyle w:val="FootnoteText"/>
        <w:rPr>
          <w:szCs w:val="24"/>
        </w:rPr>
      </w:pPr>
      <w:r>
        <w:rPr>
          <w:rStyle w:val="FootnoteReference"/>
        </w:rPr>
        <w:footnoteRef/>
      </w:r>
      <w:r>
        <w:tab/>
      </w:r>
      <w:r>
        <w:rPr>
          <w:sz w:val="18"/>
        </w:rPr>
        <w:t>Technical and/or administrative assistance and expenditure in support of the implementation of EU programmes and/or actions (former ‘BA’ lines), indirect research, direct research.</w:t>
      </w:r>
    </w:p>
  </w:footnote>
  <w:footnote w:id="14">
    <w:p>
      <w:pPr>
        <w:pStyle w:val="FootnoteText"/>
        <w:rPr>
          <w:szCs w:val="24"/>
        </w:rPr>
      </w:pPr>
      <w:r>
        <w:rPr>
          <w:rStyle w:val="FootnoteReference"/>
        </w:rPr>
        <w:footnoteRef/>
      </w:r>
      <w:r>
        <w:tab/>
        <w:t>Outputs are products and services to be supplied (e.g. number of student exchanges financed, number of km of roads built).</w:t>
      </w:r>
    </w:p>
  </w:footnote>
  <w:footnote w:id="15">
    <w:p>
      <w:pPr>
        <w:pStyle w:val="FootnoteText"/>
        <w:rPr>
          <w:szCs w:val="24"/>
        </w:rPr>
      </w:pPr>
      <w:r>
        <w:rPr>
          <w:rStyle w:val="FootnoteReference"/>
        </w:rPr>
        <w:footnoteRef/>
      </w:r>
      <w:r>
        <w:tab/>
        <w:t xml:space="preserve">As described in point 1.4.2. ‘Specific objective(s)…’ </w:t>
      </w:r>
    </w:p>
  </w:footnote>
  <w:footnote w:id="16">
    <w:p>
      <w:pPr>
        <w:pStyle w:val="FootnoteText"/>
        <w:rPr>
          <w:sz w:val="18"/>
          <w:szCs w:val="18"/>
        </w:rPr>
      </w:pPr>
      <w:r>
        <w:rPr>
          <w:rStyle w:val="FootnoteReference"/>
        </w:rPr>
        <w:footnoteRef/>
      </w:r>
      <w:r>
        <w:tab/>
      </w:r>
      <w:r>
        <w:rPr>
          <w:sz w:val="18"/>
        </w:rPr>
        <w:t>Year N is the year in which implementation of the proposal/initiative starts. Please replace ‘N’ by the expected first year of implementation (for instance: 2021). Do the same for the following years.</w:t>
      </w:r>
    </w:p>
  </w:footnote>
  <w:footnote w:id="17">
    <w:p>
      <w:pPr>
        <w:pStyle w:val="FootnoteText"/>
        <w:rPr>
          <w:szCs w:val="24"/>
        </w:rPr>
      </w:pPr>
      <w:r>
        <w:rPr>
          <w:rStyle w:val="FootnoteReference"/>
        </w:rPr>
        <w:footnoteRef/>
      </w:r>
      <w:r>
        <w:tab/>
      </w:r>
      <w:r>
        <w:rPr>
          <w:sz w:val="18"/>
        </w:rPr>
        <w:t>Technical and/or administrative assistance and expenditure in support of the implementation of EU programmes and/or actions (former ‘BA’ lines), indirect research, direct research.</w:t>
      </w:r>
    </w:p>
  </w:footnote>
  <w:footnote w:id="18">
    <w:p>
      <w:pPr>
        <w:pStyle w:val="FootnoteText"/>
        <w:rPr>
          <w:szCs w:val="24"/>
        </w:rPr>
      </w:pPr>
      <w:r>
        <w:rPr>
          <w:rStyle w:val="FootnoteReference"/>
        </w:rPr>
        <w:footnoteRef/>
      </w:r>
      <w:r>
        <w:tab/>
        <w:t xml:space="preserve">AC = Contract Staff; AL = Local Staff; END = Seconded National Expert; INT = Agency Staff; JPD = Junior Professionals in Delegations. </w:t>
      </w:r>
    </w:p>
  </w:footnote>
  <w:footnote w:id="19">
    <w:p>
      <w:pPr>
        <w:pStyle w:val="FootnoteText"/>
        <w:rPr>
          <w:szCs w:val="24"/>
        </w:rPr>
      </w:pPr>
      <w:r>
        <w:rPr>
          <w:rStyle w:val="FootnoteReference"/>
        </w:rPr>
        <w:footnoteRef/>
      </w:r>
      <w:r>
        <w:tab/>
        <w:t>Sub-ceiling for external staff covered by operational appropriations (former ‘BA’ lines).</w:t>
      </w:r>
    </w:p>
  </w:footnote>
  <w:footnote w:id="20">
    <w:p>
      <w:pPr>
        <w:pStyle w:val="FootnoteText"/>
      </w:pPr>
      <w:r>
        <w:rPr>
          <w:rStyle w:val="FootnoteReference"/>
        </w:rPr>
        <w:footnoteRef/>
      </w:r>
      <w:r>
        <w:tab/>
        <w:t>Year N is the year in which implementation of the proposal/initiative starts. Please replace ‘N’ by the expected first year of implementation (for instance: 2021). Do the same for the following years.</w:t>
      </w:r>
    </w:p>
  </w:footnote>
  <w:footnote w:id="21">
    <w:p>
      <w:pPr>
        <w:pStyle w:val="FootnoteText"/>
        <w:rPr>
          <w:szCs w:val="24"/>
        </w:rPr>
      </w:pPr>
      <w:r>
        <w:rPr>
          <w:rStyle w:val="FootnoteReference"/>
        </w:rPr>
        <w:footnoteRef/>
      </w:r>
      <w:r>
        <w:tab/>
        <w:t>As regards traditional own resources (customs duties, sugar levies), the amounts indicated must be net amounts, i.e. gross amounts after deduction of 20%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5"/>
  </w:num>
  <w:num w:numId="3">
    <w:abstractNumId w:val="0"/>
  </w:num>
  <w:num w:numId="4">
    <w:abstractNumId w:val="18"/>
  </w:num>
  <w:num w:numId="5">
    <w:abstractNumId w:val="7"/>
  </w:num>
  <w:num w:numId="6">
    <w:abstractNumId w:val="15"/>
  </w:num>
  <w:num w:numId="7">
    <w:abstractNumId w:val="14"/>
  </w:num>
  <w:num w:numId="8">
    <w:abstractNumId w:val="22"/>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21"/>
  </w:num>
  <w:num w:numId="18">
    <w:abstractNumId w:val="11"/>
  </w:num>
  <w:num w:numId="19">
    <w:abstractNumId w:val="24"/>
  </w:num>
  <w:num w:numId="20">
    <w:abstractNumId w:val="6"/>
  </w:num>
  <w:num w:numId="21">
    <w:abstractNumId w:val="12"/>
  </w:num>
  <w:num w:numId="22">
    <w:abstractNumId w:val="4"/>
  </w:num>
  <w:num w:numId="23">
    <w:abstractNumId w:val="23"/>
  </w:num>
  <w:num w:numId="24">
    <w:abstractNumId w:val="3"/>
  </w:num>
  <w:num w:numId="25">
    <w:abstractNumId w:val="13"/>
  </w:num>
  <w:num w:numId="26">
    <w:abstractNumId w:val="19"/>
  </w:num>
  <w:num w:numId="27">
    <w:abstractNumId w:val="20"/>
  </w:num>
  <w:num w:numId="28">
    <w:abstractNumId w:val="5"/>
  </w:num>
  <w:num w:numId="29">
    <w:abstractNumId w:val="17"/>
  </w:num>
  <w:num w:numId="30">
    <w:abstractNumId w:val="28"/>
  </w:num>
  <w:num w:numId="31">
    <w:abstractNumId w:val="28"/>
  </w:num>
  <w:num w:numId="32">
    <w:abstractNumId w:val="21"/>
  </w:num>
  <w:num w:numId="33">
    <w:abstractNumId w:val="11"/>
  </w:num>
  <w:num w:numId="34">
    <w:abstractNumId w:val="24"/>
  </w:num>
  <w:num w:numId="35">
    <w:abstractNumId w:val="6"/>
  </w:num>
  <w:num w:numId="36">
    <w:abstractNumId w:val="12"/>
  </w:num>
  <w:num w:numId="37">
    <w:abstractNumId w:val="4"/>
  </w:num>
  <w:num w:numId="38">
    <w:abstractNumId w:val="23"/>
  </w:num>
  <w:num w:numId="39">
    <w:abstractNumId w:val="3"/>
  </w:num>
  <w:num w:numId="40">
    <w:abstractNumId w:val="13"/>
  </w:num>
  <w:num w:numId="41">
    <w:abstractNumId w:val="19"/>
  </w:num>
  <w:num w:numId="42">
    <w:abstractNumId w:val="20"/>
  </w:num>
  <w:num w:numId="43">
    <w:abstractNumId w:val="5"/>
  </w:num>
  <w:num w:numId="44">
    <w:abstractNumId w:val="17"/>
  </w:num>
  <w:num w:numId="4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07 09:35: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BE44314-F649-476C-A2DF-73CF20E9EC38"/>
    <w:docVar w:name="LW_COVERPAGE_TYPE" w:val="1"/>
    <w:docVar w:name="LW_CROSSREFERENCE" w:val="&lt;UNUSED&gt;"/>
    <w:docVar w:name="LW_DocType" w:val="COM"/>
    <w:docVar w:name="LW_EMISSION" w:val="7.1.2020"/>
    <w:docVar w:name="LW_EMISSION_ISODATE" w:val="2020-01-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3"/>
    <w:docVar w:name="LW_REF.II.NEW.CP_YEAR" w:val="2020"/>
    <w:docVar w:name="LW_REF.INST.NEW" w:val="COM"/>
    <w:docVar w:name="LW_REF.INST.NEW_ADOPTED" w:val="final"/>
    <w:docVar w:name="LW_REF.INST.NEW_TEXT" w:val="(2020)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Union, and the provisional application of the Sustainable Fisheries Partnership Agreement and its Implementing Protocol (2020-2026) between the European Union and the Republic of Seychell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lang w:val="fr-FR" w:eastAsia="en-GB"/>
    </w:rPr>
  </w:style>
  <w:style w:type="character" w:styleId="Hyperlink">
    <w:name w:val="Hyperlink"/>
    <w:basedOn w:val="DefaultParagraphFont"/>
    <w:uiPriority w:val="99"/>
    <w:unhideWhenUsed/>
    <w:rPr>
      <w:color w:val="0000FF" w:themeColor="hyperlink"/>
      <w:u w:val="single"/>
    </w:rPr>
  </w:style>
  <w:style w:type="paragraph" w:styleId="ListNumber">
    <w:name w:val="List Number"/>
    <w:basedOn w:val="Normal"/>
    <w:pPr>
      <w:numPr>
        <w:numId w:val="2"/>
      </w:numPr>
    </w:pPr>
    <w:rPr>
      <w:rFonts w:eastAsia="Times New Roman"/>
      <w:lang w:eastAsia="fr-FR" w:bidi="fr-FR"/>
    </w:rPr>
  </w:style>
  <w:style w:type="paragraph" w:customStyle="1" w:styleId="ListNumberLevel2">
    <w:name w:val="List Number (Level 2)"/>
    <w:basedOn w:val="Normal"/>
    <w:pPr>
      <w:numPr>
        <w:ilvl w:val="1"/>
        <w:numId w:val="2"/>
      </w:numPr>
    </w:pPr>
    <w:rPr>
      <w:rFonts w:eastAsia="Times New Roman"/>
      <w:lang w:eastAsia="fr-FR" w:bidi="fr-FR"/>
    </w:rPr>
  </w:style>
  <w:style w:type="paragraph" w:customStyle="1" w:styleId="ListNumberLevel3">
    <w:name w:val="List Number (Level 3)"/>
    <w:basedOn w:val="Normal"/>
    <w:pPr>
      <w:numPr>
        <w:ilvl w:val="2"/>
        <w:numId w:val="2"/>
      </w:numPr>
    </w:pPr>
    <w:rPr>
      <w:rFonts w:eastAsia="Times New Roman"/>
      <w:lang w:eastAsia="fr-FR" w:bidi="fr-FR"/>
    </w:rPr>
  </w:style>
  <w:style w:type="paragraph" w:customStyle="1" w:styleId="ListNumberLevel4">
    <w:name w:val="List Number (Level 4)"/>
    <w:basedOn w:val="Normal"/>
    <w:pPr>
      <w:numPr>
        <w:ilvl w:val="3"/>
        <w:numId w:val="2"/>
      </w:numPr>
    </w:pPr>
    <w:rPr>
      <w:rFonts w:eastAsia="Times New Roman"/>
      <w:lang w:eastAsia="fr-FR" w:bidi="fr-FR"/>
    </w:rPr>
  </w:style>
  <w:style w:type="paragraph" w:styleId="ListBullet4">
    <w:name w:val="List Bullet 4"/>
    <w:basedOn w:val="Normal"/>
    <w:pPr>
      <w:numPr>
        <w:numId w:val="4"/>
      </w:numPr>
    </w:pPr>
    <w:rPr>
      <w:rFonts w:eastAsia="Times New Roman"/>
      <w:lang w:eastAsia="de-DE"/>
    </w:rPr>
  </w:style>
  <w:style w:type="paragraph" w:customStyle="1" w:styleId="ListBullet1">
    <w:name w:val="List Bullet 1"/>
    <w:basedOn w:val="Normal"/>
    <w:pPr>
      <w:numPr>
        <w:numId w:val="3"/>
      </w:numPr>
    </w:pPr>
    <w:rPr>
      <w:rFonts w:eastAsia="Times New Roman"/>
      <w:lang w:eastAsia="de-DE"/>
    </w:rPr>
  </w:style>
  <w:style w:type="paragraph" w:customStyle="1" w:styleId="ListDash">
    <w:name w:val="List Dash"/>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customStyle="1" w:styleId="Normal1">
    <w:name w:val="Normal1"/>
    <w:basedOn w:val="Normal"/>
    <w:pPr>
      <w:spacing w:after="0"/>
    </w:pPr>
    <w:rPr>
      <w:szCs w:val="24"/>
      <w:lang w:eastAsia="en-GB" w:bidi="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lang w:val="fr-FR" w:eastAsia="en-GB"/>
    </w:rPr>
  </w:style>
  <w:style w:type="character" w:styleId="Hyperlink">
    <w:name w:val="Hyperlink"/>
    <w:basedOn w:val="DefaultParagraphFont"/>
    <w:uiPriority w:val="99"/>
    <w:unhideWhenUsed/>
    <w:rPr>
      <w:color w:val="0000FF" w:themeColor="hyperlink"/>
      <w:u w:val="single"/>
    </w:rPr>
  </w:style>
  <w:style w:type="paragraph" w:styleId="ListNumber">
    <w:name w:val="List Number"/>
    <w:basedOn w:val="Normal"/>
    <w:pPr>
      <w:numPr>
        <w:numId w:val="2"/>
      </w:numPr>
    </w:pPr>
    <w:rPr>
      <w:rFonts w:eastAsia="Times New Roman"/>
      <w:lang w:eastAsia="fr-FR" w:bidi="fr-FR"/>
    </w:rPr>
  </w:style>
  <w:style w:type="paragraph" w:customStyle="1" w:styleId="ListNumberLevel2">
    <w:name w:val="List Number (Level 2)"/>
    <w:basedOn w:val="Normal"/>
    <w:pPr>
      <w:numPr>
        <w:ilvl w:val="1"/>
        <w:numId w:val="2"/>
      </w:numPr>
    </w:pPr>
    <w:rPr>
      <w:rFonts w:eastAsia="Times New Roman"/>
      <w:lang w:eastAsia="fr-FR" w:bidi="fr-FR"/>
    </w:rPr>
  </w:style>
  <w:style w:type="paragraph" w:customStyle="1" w:styleId="ListNumberLevel3">
    <w:name w:val="List Number (Level 3)"/>
    <w:basedOn w:val="Normal"/>
    <w:pPr>
      <w:numPr>
        <w:ilvl w:val="2"/>
        <w:numId w:val="2"/>
      </w:numPr>
    </w:pPr>
    <w:rPr>
      <w:rFonts w:eastAsia="Times New Roman"/>
      <w:lang w:eastAsia="fr-FR" w:bidi="fr-FR"/>
    </w:rPr>
  </w:style>
  <w:style w:type="paragraph" w:customStyle="1" w:styleId="ListNumberLevel4">
    <w:name w:val="List Number (Level 4)"/>
    <w:basedOn w:val="Normal"/>
    <w:pPr>
      <w:numPr>
        <w:ilvl w:val="3"/>
        <w:numId w:val="2"/>
      </w:numPr>
    </w:pPr>
    <w:rPr>
      <w:rFonts w:eastAsia="Times New Roman"/>
      <w:lang w:eastAsia="fr-FR" w:bidi="fr-FR"/>
    </w:rPr>
  </w:style>
  <w:style w:type="paragraph" w:styleId="ListBullet4">
    <w:name w:val="List Bullet 4"/>
    <w:basedOn w:val="Normal"/>
    <w:pPr>
      <w:numPr>
        <w:numId w:val="4"/>
      </w:numPr>
    </w:pPr>
    <w:rPr>
      <w:rFonts w:eastAsia="Times New Roman"/>
      <w:lang w:eastAsia="de-DE"/>
    </w:rPr>
  </w:style>
  <w:style w:type="paragraph" w:customStyle="1" w:styleId="ListBullet1">
    <w:name w:val="List Bullet 1"/>
    <w:basedOn w:val="Normal"/>
    <w:pPr>
      <w:numPr>
        <w:numId w:val="3"/>
      </w:numPr>
    </w:pPr>
    <w:rPr>
      <w:rFonts w:eastAsia="Times New Roman"/>
      <w:lang w:eastAsia="de-DE"/>
    </w:rPr>
  </w:style>
  <w:style w:type="paragraph" w:customStyle="1" w:styleId="ListDash">
    <w:name w:val="List Dash"/>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customStyle="1" w:styleId="Normal1">
    <w:name w:val="Normal1"/>
    <w:basedOn w:val="Normal"/>
    <w:pPr>
      <w:spacing w:after="0"/>
    </w:pPr>
    <w:rPr>
      <w:szCs w:val="24"/>
      <w:lang w:eastAsia="en-GB" w:bidi="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EN/leg/internal/Documents/2016-5-legislative-financial-statement-ann-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www.consilium.europa.eu/en/documents-publications/treaties-agreements/agreement/?id=2006084&amp;Doc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AF4A-79BD-441A-9B54-50D89F78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23</Pages>
  <Words>5415</Words>
  <Characters>31083</Characters>
  <Application>Microsoft Office Word</Application>
  <DocSecurity>0</DocSecurity>
  <Lines>1351</Lines>
  <Paragraphs>663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2019-11-29T15:33:00Z</cp:lastPrinted>
  <dcterms:created xsi:type="dcterms:W3CDTF">2019-12-11T11:25:00Z</dcterms:created>
  <dcterms:modified xsi:type="dcterms:W3CDTF">2020-01-07T08:35:00Z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