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206" w:rsidRDefault="006969C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2A1265C-273B-4862-B113-3EF3418DCDD0" style="width:450.7pt;height:347.85pt">
            <v:imagedata r:id="rId8" o:title=""/>
          </v:shape>
        </w:pict>
      </w:r>
    </w:p>
    <w:bookmarkEnd w:id="0"/>
    <w:p w:rsidR="002C1206" w:rsidRDefault="002C1206">
      <w:pPr>
        <w:pStyle w:val="Pagedecouverture"/>
        <w:rPr>
          <w:noProof/>
        </w:rPr>
        <w:sectPr w:rsidR="002C1206">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2C1206" w:rsidRDefault="006969C2">
      <w:pPr>
        <w:pStyle w:val="Heading1"/>
        <w:spacing w:before="240" w:after="240"/>
        <w:rPr>
          <w:noProof/>
          <w:lang w:val="en-GB"/>
        </w:rPr>
      </w:pPr>
      <w:r>
        <w:rPr>
          <w:noProof/>
          <w:lang w:val="en-GB"/>
        </w:rPr>
        <w:lastRenderedPageBreak/>
        <w:t xml:space="preserve">Introduction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European Green Deal is the European Union’s response to the climate and environmental-related challenges that are this generation’s defining task. </w:t>
      </w:r>
      <w:r>
        <w:rPr>
          <w:rFonts w:ascii="Times New Roman" w:hAnsi="Times New Roman"/>
          <w:noProof/>
          <w:sz w:val="24"/>
          <w:szCs w:val="24"/>
          <w:lang w:val="en-GB"/>
        </w:rPr>
        <w:t>It is a new growth strategy that aims to transform the EU into a fair and prosperous society, with a mode</w:t>
      </w:r>
      <w:r>
        <w:rPr>
          <w:rFonts w:ascii="Times New Roman" w:hAnsi="Times New Roman"/>
          <w:noProof/>
          <w:sz w:val="24"/>
          <w:szCs w:val="24"/>
          <w:lang w:val="en-GB"/>
        </w:rPr>
        <w:t xml:space="preserve">rn, resource-efficient and competitive economy where there are no net emissions of greenhouse gases in 2050, where the environment and health of citizens are protected, and where economic growth is decoupled from resource use.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Sustainable Europe Inves</w:t>
      </w:r>
      <w:r>
        <w:rPr>
          <w:rFonts w:ascii="Times New Roman" w:hAnsi="Times New Roman"/>
          <w:b/>
          <w:noProof/>
          <w:sz w:val="24"/>
          <w:szCs w:val="24"/>
          <w:lang w:val="en-GB"/>
        </w:rPr>
        <w:t>tment Plan is the investment pillar of the European Green Deal.</w:t>
      </w:r>
      <w:r>
        <w:rPr>
          <w:rFonts w:ascii="Times New Roman" w:hAnsi="Times New Roman"/>
          <w:noProof/>
          <w:sz w:val="24"/>
          <w:szCs w:val="24"/>
          <w:lang w:val="en-GB"/>
        </w:rPr>
        <w:t xml:space="preserve"> A sustainable Europe requires significant investment effort across all sectors of the economy. Reaching the 2030 climate and energy targets</w:t>
      </w:r>
      <w:r>
        <w:rPr>
          <w:rStyle w:val="FootnoteReference"/>
          <w:rFonts w:ascii="Times New Roman" w:hAnsi="Times New Roman"/>
          <w:noProof/>
          <w:sz w:val="24"/>
          <w:szCs w:val="24"/>
          <w:lang w:val="en-GB"/>
        </w:rPr>
        <w:footnoteReference w:id="1"/>
      </w:r>
      <w:r>
        <w:rPr>
          <w:rFonts w:ascii="Times New Roman" w:hAnsi="Times New Roman"/>
          <w:noProof/>
          <w:sz w:val="24"/>
          <w:szCs w:val="24"/>
          <w:lang w:val="en-GB"/>
        </w:rPr>
        <w:t xml:space="preserve"> will require additional investments of EUR 260 bill</w:t>
      </w:r>
      <w:r>
        <w:rPr>
          <w:rFonts w:ascii="Times New Roman" w:hAnsi="Times New Roman"/>
          <w:noProof/>
          <w:sz w:val="24"/>
          <w:szCs w:val="24"/>
          <w:lang w:val="en-GB"/>
        </w:rPr>
        <w:t>ion a year by 2030</w:t>
      </w:r>
      <w:r>
        <w:rPr>
          <w:rStyle w:val="FootnoteReference"/>
          <w:rFonts w:ascii="Times New Roman" w:hAnsi="Times New Roman"/>
          <w:noProof/>
          <w:sz w:val="24"/>
          <w:szCs w:val="24"/>
          <w:lang w:val="en-GB"/>
        </w:rPr>
        <w:footnoteReference w:id="2"/>
      </w:r>
      <w:r>
        <w:rPr>
          <w:rFonts w:ascii="Times New Roman" w:hAnsi="Times New Roman"/>
          <w:noProof/>
          <w:sz w:val="24"/>
          <w:szCs w:val="24"/>
          <w:lang w:val="en-GB"/>
        </w:rPr>
        <w:t>. The Commission has already announced its intention to present an impact assessed plan to further increase the EU’s climate ambition for 2030 and additional investments will be necessary for achieving the broader environmental and socia</w:t>
      </w:r>
      <w:r>
        <w:rPr>
          <w:rFonts w:ascii="Times New Roman" w:hAnsi="Times New Roman"/>
          <w:noProof/>
          <w:sz w:val="24"/>
          <w:szCs w:val="24"/>
          <w:lang w:val="en-GB"/>
        </w:rPr>
        <w:t>l objectives that the EU has set itself</w:t>
      </w:r>
      <w:r>
        <w:rPr>
          <w:rStyle w:val="FootnoteReference"/>
          <w:rFonts w:ascii="Times New Roman" w:hAnsi="Times New Roman"/>
          <w:noProof/>
          <w:sz w:val="24"/>
          <w:szCs w:val="24"/>
          <w:lang w:val="en-GB"/>
        </w:rPr>
        <w:footnoteReference w:id="3"/>
      </w:r>
      <w:r>
        <w:rPr>
          <w:rFonts w:ascii="Times New Roman" w:hAnsi="Times New Roman"/>
          <w:noProof/>
          <w:sz w:val="24"/>
          <w:szCs w:val="24"/>
          <w:lang w:val="en-GB"/>
        </w:rPr>
        <w:t xml:space="preserve">.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Investor appetite for sustainable opportunities with measurable impact is on the rise.</w:t>
      </w:r>
      <w:r>
        <w:rPr>
          <w:rFonts w:ascii="Times New Roman" w:hAnsi="Times New Roman"/>
          <w:noProof/>
          <w:sz w:val="24"/>
          <w:szCs w:val="24"/>
          <w:lang w:val="en-GB"/>
        </w:rPr>
        <w:t xml:space="preserve"> The annual global issuance of green bonds has tripled since 2016, reaching around EUR 225 billion in 2019 according to the rec</w:t>
      </w:r>
      <w:r>
        <w:rPr>
          <w:rFonts w:ascii="Times New Roman" w:hAnsi="Times New Roman"/>
          <w:noProof/>
          <w:sz w:val="24"/>
          <w:szCs w:val="24"/>
          <w:lang w:val="en-GB"/>
        </w:rPr>
        <w:t xml:space="preserve">ent estimates. A framework is needed to bridge the gap between policy objectives and the significant private financial resources available.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Sustainable Europe Investment Plan will mobilise through the EU budget and the associated instruments at least </w:t>
      </w:r>
      <w:r>
        <w:rPr>
          <w:rFonts w:ascii="Times New Roman" w:hAnsi="Times New Roman"/>
          <w:b/>
          <w:noProof/>
          <w:sz w:val="24"/>
          <w:szCs w:val="24"/>
          <w:lang w:val="en-GB"/>
        </w:rPr>
        <w:t>EUR 1 trillion of private and public sustainable investments over the upcoming decade.</w:t>
      </w:r>
      <w:r>
        <w:rPr>
          <w:rFonts w:ascii="Times New Roman" w:hAnsi="Times New Roman"/>
          <w:noProof/>
          <w:sz w:val="24"/>
          <w:szCs w:val="24"/>
          <w:lang w:val="en-GB"/>
        </w:rPr>
        <w:t xml:space="preserve"> It puts forward a comprehensive framework for the sustainability transition from every corner of the EU. This framework will target climate, environmental and social inv</w:t>
      </w:r>
      <w:r>
        <w:rPr>
          <w:rFonts w:ascii="Times New Roman" w:hAnsi="Times New Roman"/>
          <w:noProof/>
          <w:sz w:val="24"/>
          <w:szCs w:val="24"/>
          <w:lang w:val="en-GB"/>
        </w:rPr>
        <w:t xml:space="preserve">estments, the latter as far as they are related to the sustainable transition. </w:t>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However, more is needed to master the challenges ahead. Private actors will need to provide the scale. By pulling together a set of new policy initiatives with reinforced commi</w:t>
      </w:r>
      <w:r>
        <w:rPr>
          <w:rFonts w:ascii="Times New Roman" w:hAnsi="Times New Roman"/>
          <w:noProof/>
          <w:sz w:val="24"/>
          <w:szCs w:val="24"/>
          <w:lang w:val="en-GB"/>
        </w:rPr>
        <w:t>tments on ongoing instruments within a single policy framework, the Commission gives a new policy push in this area, and ensures enhanced impact and coherence of the EU framework for sustainable investments.</w:t>
      </w:r>
      <w:r>
        <w:rPr>
          <w:rFonts w:ascii="Times New Roman" w:hAnsi="Times New Roman"/>
          <w:i/>
          <w:noProof/>
          <w:sz w:val="24"/>
          <w:szCs w:val="24"/>
          <w:lang w:val="en-GB"/>
        </w:rPr>
        <w:t xml:space="preserve"> </w:t>
      </w:r>
      <w:r>
        <w:rPr>
          <w:rFonts w:ascii="Times New Roman" w:hAnsi="Times New Roman"/>
          <w:noProof/>
          <w:sz w:val="24"/>
          <w:szCs w:val="24"/>
          <w:lang w:val="en-GB"/>
        </w:rPr>
        <w:t>The Commission will continue to work on how to f</w:t>
      </w:r>
      <w:r>
        <w:rPr>
          <w:rFonts w:ascii="Times New Roman" w:hAnsi="Times New Roman"/>
          <w:noProof/>
          <w:sz w:val="24"/>
          <w:szCs w:val="24"/>
          <w:lang w:val="en-GB"/>
        </w:rPr>
        <w:t>urther mobilise resources to achieve the objectives of the Green Deal.</w:t>
      </w:r>
    </w:p>
    <w:p w:rsidR="002C1206" w:rsidRDefault="002C1206">
      <w:pPr>
        <w:spacing w:after="240"/>
        <w:jc w:val="both"/>
        <w:rPr>
          <w:rFonts w:ascii="Times New Roman" w:hAnsi="Times New Roman"/>
          <w:noProof/>
          <w:sz w:val="24"/>
          <w:szCs w:val="24"/>
          <w:lang w:val="en-GB"/>
        </w:rPr>
      </w:pPr>
    </w:p>
    <w:p w:rsidR="002C1206" w:rsidRDefault="002C1206">
      <w:pPr>
        <w:spacing w:after="240"/>
        <w:jc w:val="both"/>
        <w:rPr>
          <w:rFonts w:ascii="Times New Roman" w:hAnsi="Times New Roman"/>
          <w:noProof/>
          <w:sz w:val="24"/>
          <w:szCs w:val="24"/>
          <w:lang w:val="en-GB"/>
        </w:rPr>
      </w:pPr>
    </w:p>
    <w:p w:rsidR="002C1206" w:rsidRDefault="002C1206">
      <w:pPr>
        <w:spacing w:after="240"/>
        <w:jc w:val="both"/>
        <w:rPr>
          <w:rFonts w:ascii="Times New Roman" w:hAnsi="Times New Roman"/>
          <w:noProof/>
          <w:sz w:val="24"/>
          <w:szCs w:val="24"/>
          <w:lang w:val="en-GB"/>
        </w:rPr>
      </w:pPr>
    </w:p>
    <w:p w:rsidR="002C1206" w:rsidRDefault="006969C2">
      <w:pPr>
        <w:spacing w:after="240"/>
        <w:jc w:val="center"/>
        <w:rPr>
          <w:rFonts w:ascii="Times New Roman" w:hAnsi="Times New Roman"/>
          <w:b/>
          <w:noProof/>
          <w:sz w:val="24"/>
          <w:szCs w:val="24"/>
          <w:lang w:val="en-GB"/>
        </w:rPr>
      </w:pPr>
      <w:r>
        <w:rPr>
          <w:rFonts w:ascii="Times New Roman" w:hAnsi="Times New Roman"/>
          <w:b/>
          <w:noProof/>
          <w:sz w:val="24"/>
          <w:szCs w:val="24"/>
          <w:lang w:val="en-GB"/>
        </w:rPr>
        <w:lastRenderedPageBreak/>
        <w:t>Figure 1. The Investment Plan within the European Green Deal</w:t>
      </w:r>
    </w:p>
    <w:p w:rsidR="002C1206" w:rsidRDefault="006969C2">
      <w:pPr>
        <w:spacing w:after="240"/>
        <w:jc w:val="center"/>
        <w:rPr>
          <w:rFonts w:ascii="Times New Roman" w:hAnsi="Times New Roman"/>
          <w:noProof/>
          <w:sz w:val="24"/>
          <w:szCs w:val="24"/>
          <w:lang w:val="en-GB"/>
        </w:rPr>
      </w:pPr>
      <w:r>
        <w:rPr>
          <w:noProof/>
          <w:sz w:val="24"/>
          <w:szCs w:val="24"/>
          <w:lang w:val="fr-BE" w:eastAsia="fr-BE"/>
        </w:rPr>
        <w:drawing>
          <wp:inline distT="0" distB="0" distL="0" distR="0">
            <wp:extent cx="5695950" cy="3702586"/>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ivate/var/mobile/Containers/Data/Application/9350AD4A-08C3-4BFE-8AE3-B108C2A3E07D/tmp/Polaris/engine/image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695950" cy="3702586"/>
                    </a:xfrm>
                    <a:prstGeom prst="rect">
                      <a:avLst/>
                    </a:prstGeom>
                    <a:noFill/>
                    <a:ln cap="flat"/>
                  </pic:spPr>
                </pic:pic>
              </a:graphicData>
            </a:graphic>
          </wp:inline>
        </w:drawing>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 xml:space="preserve">The Sustainable Europe Investment Plan will enable the transition to a climate-neutral, green economy across the </w:t>
      </w:r>
      <w:r>
        <w:rPr>
          <w:rFonts w:ascii="Times New Roman" w:hAnsi="Times New Roman"/>
          <w:noProof/>
          <w:sz w:val="24"/>
          <w:szCs w:val="24"/>
          <w:lang w:val="en-GB"/>
        </w:rPr>
        <w:t>following three dimensions:</w:t>
      </w:r>
    </w:p>
    <w:p w:rsidR="002C1206" w:rsidRDefault="006969C2">
      <w:pPr>
        <w:pStyle w:val="ListParagraph"/>
        <w:numPr>
          <w:ilvl w:val="0"/>
          <w:numId w:val="6"/>
        </w:numPr>
        <w:spacing w:after="240"/>
        <w:contextualSpacing/>
        <w:rPr>
          <w:rFonts w:ascii="Times New Roman" w:hAnsi="Times New Roman"/>
          <w:noProof/>
          <w:sz w:val="24"/>
          <w:szCs w:val="24"/>
          <w:lang w:val="en-GB"/>
        </w:rPr>
      </w:pPr>
      <w:r>
        <w:rPr>
          <w:rFonts w:ascii="Times New Roman" w:hAnsi="Times New Roman"/>
          <w:b/>
          <w:noProof/>
          <w:sz w:val="24"/>
          <w:szCs w:val="24"/>
          <w:lang w:val="en-GB"/>
        </w:rPr>
        <w:t xml:space="preserve">First, the Plan will mobilise at least EUR 1 trillion of sustainable investments over the next decade through the EU budget. </w:t>
      </w:r>
      <w:r>
        <w:rPr>
          <w:rFonts w:ascii="Times New Roman" w:hAnsi="Times New Roman"/>
          <w:noProof/>
          <w:sz w:val="24"/>
          <w:szCs w:val="24"/>
          <w:lang w:val="en-GB"/>
        </w:rPr>
        <w:t>The EU budget will devote a greater share of public spending to climate and environment than ever befor</w:t>
      </w:r>
      <w:r>
        <w:rPr>
          <w:rFonts w:ascii="Times New Roman" w:hAnsi="Times New Roman"/>
          <w:noProof/>
          <w:sz w:val="24"/>
          <w:szCs w:val="24"/>
          <w:lang w:val="en-GB"/>
        </w:rPr>
        <w:t xml:space="preserve">e. It will crowd in private funding through guarantees and help make the transition a just one by facilitating public sector investments in the regions most affected by the transition through the Just Transition Mechanism. </w:t>
      </w:r>
    </w:p>
    <w:p w:rsidR="002C1206" w:rsidRDefault="006969C2">
      <w:pPr>
        <w:pStyle w:val="ListParagraph"/>
        <w:numPr>
          <w:ilvl w:val="0"/>
          <w:numId w:val="6"/>
        </w:numPr>
        <w:spacing w:after="240"/>
        <w:contextualSpacing/>
        <w:rPr>
          <w:rFonts w:ascii="Times New Roman" w:hAnsi="Times New Roman"/>
          <w:noProof/>
          <w:sz w:val="24"/>
          <w:szCs w:val="24"/>
          <w:lang w:val="en-GB"/>
        </w:rPr>
      </w:pPr>
      <w:r>
        <w:rPr>
          <w:rFonts w:ascii="Times New Roman" w:hAnsi="Times New Roman"/>
          <w:b/>
          <w:noProof/>
          <w:sz w:val="24"/>
          <w:szCs w:val="24"/>
          <w:lang w:val="en-GB"/>
        </w:rPr>
        <w:t>Second, it will create an enabli</w:t>
      </w:r>
      <w:r>
        <w:rPr>
          <w:rFonts w:ascii="Times New Roman" w:hAnsi="Times New Roman"/>
          <w:b/>
          <w:noProof/>
          <w:sz w:val="24"/>
          <w:szCs w:val="24"/>
          <w:lang w:val="en-GB"/>
        </w:rPr>
        <w:t xml:space="preserve">ng framework for private investors and the public sector. </w:t>
      </w:r>
      <w:r>
        <w:rPr>
          <w:rFonts w:ascii="Times New Roman" w:hAnsi="Times New Roman"/>
          <w:noProof/>
          <w:sz w:val="24"/>
          <w:szCs w:val="24"/>
          <w:lang w:val="en-GB"/>
        </w:rPr>
        <w:t>It will aim to ensure a cost-effective, just, as well as socially balanced and fair transition. Financial institutions and private investors need to have the tools to properly identify sustainable i</w:t>
      </w:r>
      <w:r>
        <w:rPr>
          <w:rFonts w:ascii="Times New Roman" w:hAnsi="Times New Roman"/>
          <w:noProof/>
          <w:sz w:val="24"/>
          <w:szCs w:val="24"/>
          <w:lang w:val="en-GB"/>
        </w:rPr>
        <w:t>nvestments. Notably, the EU taxonomy, the energy efficiency first principle and sustainability proofing will be key to leverage their firepower. For the public sector, the European Semester, the Environmental Implementing Review, the National Energy and Cl</w:t>
      </w:r>
      <w:r>
        <w:rPr>
          <w:rFonts w:ascii="Times New Roman" w:hAnsi="Times New Roman"/>
          <w:noProof/>
          <w:sz w:val="24"/>
          <w:szCs w:val="24"/>
          <w:lang w:val="en-GB"/>
        </w:rPr>
        <w:t>imate Plans under the Energy Union,</w:t>
      </w:r>
      <w:r>
        <w:rPr>
          <w:noProof/>
          <w:sz w:val="24"/>
          <w:szCs w:val="24"/>
          <w:lang w:val="en-GB"/>
        </w:rPr>
        <w:t xml:space="preserve"> </w:t>
      </w:r>
      <w:r>
        <w:rPr>
          <w:rFonts w:ascii="Times New Roman" w:hAnsi="Times New Roman"/>
          <w:noProof/>
          <w:sz w:val="24"/>
          <w:szCs w:val="24"/>
          <w:lang w:val="en-GB"/>
        </w:rPr>
        <w:t>and the plans required under the sectoral environmental legislation (e.g. on waste, water, biodiversity and air) will allow to properly identify investment needs.</w:t>
      </w:r>
      <w:r>
        <w:rPr>
          <w:noProof/>
          <w:sz w:val="24"/>
          <w:szCs w:val="24"/>
          <w:lang w:val="en-GB"/>
        </w:rPr>
        <w:t xml:space="preserve"> </w:t>
      </w:r>
    </w:p>
    <w:p w:rsidR="002C1206" w:rsidRDefault="006969C2">
      <w:pPr>
        <w:pStyle w:val="ListParagraph"/>
        <w:numPr>
          <w:ilvl w:val="0"/>
          <w:numId w:val="6"/>
        </w:numPr>
        <w:spacing w:after="240"/>
        <w:contextualSpacing/>
        <w:rPr>
          <w:rFonts w:ascii="Times New Roman" w:hAnsi="Times New Roman"/>
          <w:noProof/>
          <w:sz w:val="24"/>
          <w:szCs w:val="24"/>
          <w:lang w:val="en-GB"/>
        </w:rPr>
      </w:pPr>
      <w:r>
        <w:rPr>
          <w:rFonts w:ascii="Times New Roman" w:hAnsi="Times New Roman"/>
          <w:b/>
          <w:noProof/>
          <w:sz w:val="24"/>
          <w:szCs w:val="24"/>
          <w:lang w:val="en-GB"/>
        </w:rPr>
        <w:t xml:space="preserve">Third, the Plan will provide tailored support to public </w:t>
      </w:r>
      <w:r>
        <w:rPr>
          <w:rFonts w:ascii="Times New Roman" w:hAnsi="Times New Roman"/>
          <w:b/>
          <w:noProof/>
          <w:sz w:val="24"/>
          <w:szCs w:val="24"/>
          <w:lang w:val="en-GB"/>
        </w:rPr>
        <w:t xml:space="preserve">administrations and project promoters in identifying, structuring and executing sustainable projects. </w:t>
      </w:r>
      <w:r>
        <w:rPr>
          <w:rFonts w:ascii="Times New Roman" w:hAnsi="Times New Roman"/>
          <w:noProof/>
          <w:sz w:val="24"/>
          <w:szCs w:val="24"/>
          <w:lang w:val="en-GB"/>
        </w:rPr>
        <w:t>Support for public authorities to assess the financial needs and plan the subsequent investment as well as direct support to public and private project pr</w:t>
      </w:r>
      <w:r>
        <w:rPr>
          <w:rFonts w:ascii="Times New Roman" w:hAnsi="Times New Roman"/>
          <w:noProof/>
          <w:sz w:val="24"/>
          <w:szCs w:val="24"/>
          <w:lang w:val="en-GB"/>
        </w:rPr>
        <w:t xml:space="preserve">omoters will be reinforced. </w:t>
      </w:r>
    </w:p>
    <w:p w:rsidR="002C1206" w:rsidRDefault="002C1206">
      <w:pPr>
        <w:pStyle w:val="ListParagraph"/>
        <w:spacing w:after="240"/>
        <w:contextualSpacing/>
        <w:jc w:val="both"/>
        <w:rPr>
          <w:rFonts w:ascii="Times New Roman" w:hAnsi="Times New Roman"/>
          <w:b/>
          <w:noProof/>
          <w:sz w:val="24"/>
          <w:szCs w:val="24"/>
          <w:lang w:val="en-GB"/>
        </w:rPr>
      </w:pPr>
    </w:p>
    <w:p w:rsidR="002C1206" w:rsidRDefault="002C1206">
      <w:pPr>
        <w:pStyle w:val="ListParagraph"/>
        <w:spacing w:after="240"/>
        <w:contextualSpacing/>
        <w:jc w:val="both"/>
        <w:rPr>
          <w:rFonts w:ascii="Times New Roman" w:hAnsi="Times New Roman"/>
          <w:b/>
          <w:noProof/>
          <w:sz w:val="24"/>
          <w:szCs w:val="24"/>
          <w:lang w:val="en-GB"/>
        </w:rPr>
      </w:pPr>
    </w:p>
    <w:p w:rsidR="002C1206" w:rsidRDefault="002C1206">
      <w:pPr>
        <w:pStyle w:val="ListParagraph"/>
        <w:spacing w:after="240"/>
        <w:contextualSpacing/>
        <w:jc w:val="both"/>
        <w:rPr>
          <w:rFonts w:ascii="Times New Roman" w:hAnsi="Times New Roman"/>
          <w:b/>
          <w:noProof/>
          <w:sz w:val="24"/>
          <w:szCs w:val="24"/>
          <w:lang w:val="en-GB"/>
        </w:rPr>
      </w:pPr>
    </w:p>
    <w:p w:rsidR="002C1206" w:rsidRDefault="002C1206">
      <w:pPr>
        <w:pStyle w:val="ListParagraph"/>
        <w:spacing w:after="240"/>
        <w:contextualSpacing/>
        <w:jc w:val="both"/>
        <w:rPr>
          <w:rFonts w:ascii="Times New Roman" w:hAnsi="Times New Roman"/>
          <w:noProof/>
          <w:sz w:val="24"/>
          <w:szCs w:val="24"/>
          <w:lang w:val="en-GB"/>
        </w:rPr>
      </w:pPr>
    </w:p>
    <w:p w:rsidR="002C1206" w:rsidRDefault="006969C2">
      <w:pPr>
        <w:spacing w:after="240"/>
        <w:contextualSpacing/>
        <w:jc w:val="center"/>
        <w:rPr>
          <w:rFonts w:ascii="Times New Roman" w:hAnsi="Times New Roman"/>
          <w:b/>
          <w:noProof/>
          <w:sz w:val="24"/>
          <w:szCs w:val="24"/>
          <w:lang w:val="en-GB"/>
        </w:rPr>
      </w:pPr>
      <w:r>
        <w:rPr>
          <w:rFonts w:ascii="Times New Roman" w:hAnsi="Times New Roman"/>
          <w:b/>
          <w:noProof/>
          <w:sz w:val="24"/>
          <w:szCs w:val="24"/>
          <w:lang w:val="en-GB"/>
        </w:rPr>
        <w:lastRenderedPageBreak/>
        <w:t>Figure 2. The Sustainable Europe Investment Plan</w:t>
      </w:r>
    </w:p>
    <w:p w:rsidR="002C1206" w:rsidRDefault="002C1206">
      <w:pPr>
        <w:spacing w:after="240"/>
        <w:contextualSpacing/>
        <w:jc w:val="center"/>
        <w:rPr>
          <w:rFonts w:ascii="Times New Roman" w:hAnsi="Times New Roman"/>
          <w:noProof/>
          <w:sz w:val="24"/>
          <w:szCs w:val="24"/>
          <w:lang w:val="en-GB"/>
        </w:rPr>
      </w:pPr>
    </w:p>
    <w:p w:rsidR="002C1206" w:rsidRDefault="006969C2">
      <w:pPr>
        <w:spacing w:after="240"/>
        <w:jc w:val="center"/>
        <w:rPr>
          <w:rFonts w:ascii="Times New Roman" w:hAnsi="Times New Roman"/>
          <w:noProof/>
          <w:sz w:val="24"/>
          <w:szCs w:val="24"/>
          <w:lang w:val="en-GB"/>
        </w:rPr>
      </w:pPr>
      <w:r>
        <w:rPr>
          <w:rFonts w:ascii="Times New Roman" w:hAnsi="Times New Roman"/>
          <w:noProof/>
          <w:sz w:val="24"/>
          <w:szCs w:val="24"/>
          <w:lang w:val="fr-BE" w:eastAsia="fr-BE"/>
        </w:rPr>
        <w:drawing>
          <wp:inline distT="0" distB="0" distL="0" distR="0">
            <wp:extent cx="5353050" cy="366783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5972" cy="3669833"/>
                    </a:xfrm>
                    <a:prstGeom prst="rect">
                      <a:avLst/>
                    </a:prstGeom>
                  </pic:spPr>
                </pic:pic>
              </a:graphicData>
            </a:graphic>
          </wp:inline>
        </w:drawing>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Sustainable Europe Investment Plan contributes to the implementation of the Sustainable Development Goals</w:t>
      </w:r>
      <w:r>
        <w:rPr>
          <w:rFonts w:ascii="Times New Roman" w:hAnsi="Times New Roman"/>
          <w:noProof/>
          <w:sz w:val="24"/>
          <w:szCs w:val="24"/>
          <w:lang w:val="en-GB"/>
        </w:rPr>
        <w:t>. This is consistent with the commitment, in the European Gree</w:t>
      </w:r>
      <w:r>
        <w:rPr>
          <w:rFonts w:ascii="Times New Roman" w:hAnsi="Times New Roman"/>
          <w:noProof/>
          <w:sz w:val="24"/>
          <w:szCs w:val="24"/>
          <w:lang w:val="en-GB"/>
        </w:rPr>
        <w:t>n Deal Communication, to put the Sustainable Development Goals at the heart of the EU’s policymaking and action.</w:t>
      </w:r>
    </w:p>
    <w:p w:rsidR="002C1206" w:rsidRDefault="006969C2">
      <w:pPr>
        <w:pStyle w:val="Heading1"/>
        <w:spacing w:before="240" w:after="240"/>
        <w:rPr>
          <w:noProof/>
          <w:lang w:val="en-GB"/>
        </w:rPr>
      </w:pPr>
      <w:r>
        <w:rPr>
          <w:noProof/>
          <w:lang w:val="en-GB"/>
        </w:rPr>
        <w:t xml:space="preserve">The investment challenge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transition to a climate-neutral, climate-resilient and environmentally sustainable economy will require significa</w:t>
      </w:r>
      <w:r>
        <w:rPr>
          <w:rFonts w:ascii="Times New Roman" w:hAnsi="Times New Roman"/>
          <w:b/>
          <w:noProof/>
          <w:sz w:val="24"/>
          <w:szCs w:val="24"/>
          <w:lang w:val="en-GB"/>
        </w:rPr>
        <w:t>nt investments</w:t>
      </w:r>
      <w:r>
        <w:rPr>
          <w:rFonts w:ascii="Times New Roman" w:hAnsi="Times New Roman"/>
          <w:noProof/>
          <w:sz w:val="24"/>
          <w:szCs w:val="24"/>
          <w:lang w:val="en-GB"/>
        </w:rPr>
        <w:t>. Achieving the current 2030 climate and energy targets requires EUR 260 billion additional investments annually</w:t>
      </w:r>
      <w:r>
        <w:rPr>
          <w:rStyle w:val="FootnoteReference"/>
          <w:rFonts w:ascii="Times New Roman" w:hAnsi="Times New Roman"/>
          <w:noProof/>
          <w:sz w:val="24"/>
          <w:szCs w:val="24"/>
          <w:lang w:val="en-GB"/>
        </w:rPr>
        <w:footnoteReference w:id="4"/>
      </w:r>
      <w:r>
        <w:rPr>
          <w:rFonts w:ascii="Times New Roman" w:hAnsi="Times New Roman"/>
          <w:noProof/>
          <w:sz w:val="24"/>
          <w:szCs w:val="24"/>
          <w:lang w:val="en-GB"/>
        </w:rPr>
        <w:t>. This figure mainly includes energy-related investments, buildings and part of the transport sector (vehicles)</w:t>
      </w:r>
      <w:r>
        <w:rPr>
          <w:rStyle w:val="FootnoteReference"/>
          <w:rFonts w:ascii="Times New Roman" w:hAnsi="Times New Roman"/>
          <w:noProof/>
          <w:sz w:val="24"/>
          <w:szCs w:val="24"/>
          <w:lang w:val="en-GB"/>
        </w:rPr>
        <w:footnoteReference w:id="5"/>
      </w:r>
      <w:r>
        <w:rPr>
          <w:rFonts w:ascii="Times New Roman" w:hAnsi="Times New Roman"/>
          <w:noProof/>
          <w:sz w:val="24"/>
          <w:szCs w:val="24"/>
          <w:lang w:val="en-GB"/>
        </w:rPr>
        <w:t>. The average inv</w:t>
      </w:r>
      <w:r>
        <w:rPr>
          <w:rFonts w:ascii="Times New Roman" w:hAnsi="Times New Roman"/>
          <w:noProof/>
          <w:sz w:val="24"/>
          <w:szCs w:val="24"/>
          <w:lang w:val="en-GB"/>
        </w:rPr>
        <w:t>estment needs per sector</w:t>
      </w:r>
      <w:r>
        <w:rPr>
          <w:rStyle w:val="FootnoteReference"/>
          <w:rFonts w:ascii="Times New Roman" w:hAnsi="Times New Roman"/>
          <w:noProof/>
          <w:sz w:val="24"/>
          <w:szCs w:val="24"/>
          <w:lang w:val="en-GB"/>
        </w:rPr>
        <w:footnoteReference w:id="6"/>
      </w:r>
      <w:r>
        <w:rPr>
          <w:rFonts w:ascii="Times New Roman" w:hAnsi="Times New Roman"/>
          <w:noProof/>
          <w:sz w:val="24"/>
          <w:szCs w:val="24"/>
          <w:lang w:val="en-GB"/>
        </w:rPr>
        <w:t xml:space="preserve"> are most significant in the renovation of buildings. These investment flows would need to be sustained over time. </w:t>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Significant investments will be also necessary in other sectors, notably in agriculture, to tackle broader environm</w:t>
      </w:r>
      <w:r>
        <w:rPr>
          <w:rFonts w:ascii="Times New Roman" w:hAnsi="Times New Roman"/>
          <w:noProof/>
          <w:sz w:val="24"/>
          <w:szCs w:val="24"/>
          <w:lang w:val="en-GB"/>
        </w:rPr>
        <w:t xml:space="preserve">ental challenges, including biodiversity loss and pollution, the protection of natural capital and the support to the circular and blue economy, as well as for human capital and social investments related to the transition.  </w:t>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lastRenderedPageBreak/>
        <w:t>Digitalisation is a key enable</w:t>
      </w:r>
      <w:r>
        <w:rPr>
          <w:rFonts w:ascii="Times New Roman" w:hAnsi="Times New Roman"/>
          <w:noProof/>
          <w:sz w:val="24"/>
          <w:szCs w:val="24"/>
          <w:lang w:val="en-GB"/>
        </w:rPr>
        <w:t>r for the Green Deal. Substantial investment in European strategic digital capacities, as well as in the development and wide deployment of top digital technologies will deliver smart, innovative and tailored solutions to tackle climate-related concerns.</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The plan announced in the European Green Deal to raise the EU’s greenhouse gas emission reductions target further for 2030 will translate into even bigger investment needs.</w:t>
      </w:r>
      <w:r>
        <w:rPr>
          <w:rFonts w:ascii="Times New Roman" w:hAnsi="Times New Roman"/>
          <w:noProof/>
          <w:sz w:val="24"/>
          <w:szCs w:val="24"/>
          <w:lang w:val="en-GB"/>
        </w:rPr>
        <w:t xml:space="preserve"> The in-depth analysis in support of the Commission’s long-term strategic vision for</w:t>
      </w:r>
      <w:r>
        <w:rPr>
          <w:rFonts w:ascii="Times New Roman" w:hAnsi="Times New Roman"/>
          <w:noProof/>
          <w:sz w:val="24"/>
          <w:szCs w:val="24"/>
          <w:lang w:val="en-GB"/>
        </w:rPr>
        <w:t xml:space="preserve"> a EU climate-neutral economy already indicated that the transformation to a low carbon economy may require additional investments of up to 2% of GDP by 2040. This may need to be advanced to achieve a higher ambition already by 2030.</w:t>
      </w:r>
    </w:p>
    <w:p w:rsidR="002C1206" w:rsidRDefault="002C1206">
      <w:pPr>
        <w:spacing w:after="240"/>
        <w:jc w:val="center"/>
        <w:rPr>
          <w:rFonts w:ascii="Times New Roman" w:hAnsi="Times New Roman"/>
          <w:noProof/>
          <w:sz w:val="24"/>
          <w:szCs w:val="24"/>
          <w:lang w:val="en-GB"/>
        </w:rPr>
      </w:pPr>
    </w:p>
    <w:p w:rsidR="002C1206" w:rsidRDefault="006969C2">
      <w:pPr>
        <w:pStyle w:val="Heading1"/>
        <w:spacing w:after="240"/>
        <w:rPr>
          <w:noProof/>
          <w:lang w:val="en-GB"/>
        </w:rPr>
      </w:pPr>
      <w:r>
        <w:rPr>
          <w:noProof/>
          <w:lang w:val="en-GB"/>
        </w:rPr>
        <w:t>Fund: mobilising sust</w:t>
      </w:r>
      <w:r>
        <w:rPr>
          <w:noProof/>
          <w:lang w:val="en-GB"/>
        </w:rPr>
        <w:t>ainable investment from all sources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As the investment pillar of the European Green Deal, the Sustainable Europe Investment Plan will mobilise at least EUR 1 trillion of sustainable investments over the next decade.</w:t>
      </w:r>
      <w:r>
        <w:rPr>
          <w:rFonts w:ascii="Times New Roman" w:hAnsi="Times New Roman"/>
          <w:noProof/>
          <w:sz w:val="24"/>
          <w:szCs w:val="24"/>
          <w:lang w:val="en-GB"/>
        </w:rPr>
        <w:t xml:space="preserve"> This amount of financing for the green tr</w:t>
      </w:r>
      <w:r>
        <w:rPr>
          <w:rFonts w:ascii="Times New Roman" w:hAnsi="Times New Roman"/>
          <w:noProof/>
          <w:sz w:val="24"/>
          <w:szCs w:val="24"/>
          <w:lang w:val="en-GB"/>
        </w:rPr>
        <w:t>ansition is achieved through spending under the EU’s long-term budget, a quarter of which will go to climate-related purposes, and including estimated EUR 39 billion for environmental expenditures. Moreover, the Plan will crowd in additional private fundin</w:t>
      </w:r>
      <w:r>
        <w:rPr>
          <w:rFonts w:ascii="Times New Roman" w:hAnsi="Times New Roman"/>
          <w:noProof/>
          <w:sz w:val="24"/>
          <w:szCs w:val="24"/>
          <w:lang w:val="en-GB"/>
        </w:rPr>
        <w:t xml:space="preserve">g through leveraging the EU’s budget guarantee under the InvestEU Programme. </w:t>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In addition to the EU spending related to climate action and environmental policy, the Sustainable Europe Investment Plan also covers the amounts used under the Just Transition M</w:t>
      </w:r>
      <w:r>
        <w:rPr>
          <w:rFonts w:ascii="Times New Roman" w:hAnsi="Times New Roman"/>
          <w:noProof/>
          <w:sz w:val="24"/>
          <w:szCs w:val="24"/>
          <w:lang w:val="en-GB"/>
        </w:rPr>
        <w:t xml:space="preserve">echanism, which will help the most affected regions going through the transition. </w:t>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The European Investment Bank will become the Union’s climate bank. It has announced it will gradually increase the share of its financing dedicated to climate action and env</w:t>
      </w:r>
      <w:r>
        <w:rPr>
          <w:rFonts w:ascii="Times New Roman" w:hAnsi="Times New Roman"/>
          <w:noProof/>
          <w:sz w:val="24"/>
          <w:szCs w:val="24"/>
          <w:lang w:val="en-GB"/>
        </w:rPr>
        <w:t xml:space="preserve">ironmental sustainability to reach 50% of its operations in 2025. Co-operation with other financial institutions will also be crucial. </w:t>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While this contribution shows the commitment of the EU to fund the European Green Deal, it will on its own not be suffic</w:t>
      </w:r>
      <w:r>
        <w:rPr>
          <w:rFonts w:ascii="Times New Roman" w:hAnsi="Times New Roman"/>
          <w:noProof/>
          <w:sz w:val="24"/>
          <w:szCs w:val="24"/>
          <w:lang w:val="en-GB"/>
        </w:rPr>
        <w:t>ient to unlock the needed investments. Sizeable contributions will be needed from national budgets and the private sector.</w:t>
      </w:r>
    </w:p>
    <w:p w:rsidR="002C1206" w:rsidRDefault="002C1206">
      <w:pPr>
        <w:tabs>
          <w:tab w:val="left" w:pos="2127"/>
        </w:tabs>
        <w:spacing w:after="240"/>
        <w:jc w:val="center"/>
        <w:rPr>
          <w:rFonts w:ascii="Times New Roman" w:hAnsi="Times New Roman"/>
          <w:b/>
          <w:noProof/>
          <w:sz w:val="24"/>
          <w:szCs w:val="24"/>
          <w:lang w:val="en-GB"/>
        </w:rPr>
      </w:pPr>
    </w:p>
    <w:p w:rsidR="002C1206" w:rsidRDefault="002C1206">
      <w:pPr>
        <w:tabs>
          <w:tab w:val="left" w:pos="2127"/>
        </w:tabs>
        <w:spacing w:after="240"/>
        <w:jc w:val="center"/>
        <w:rPr>
          <w:rFonts w:ascii="Times New Roman" w:hAnsi="Times New Roman"/>
          <w:b/>
          <w:noProof/>
          <w:sz w:val="24"/>
          <w:szCs w:val="24"/>
          <w:lang w:val="en-GB"/>
        </w:rPr>
      </w:pPr>
    </w:p>
    <w:p w:rsidR="002C1206" w:rsidRDefault="002C1206">
      <w:pPr>
        <w:tabs>
          <w:tab w:val="left" w:pos="2127"/>
        </w:tabs>
        <w:spacing w:after="240"/>
        <w:jc w:val="center"/>
        <w:rPr>
          <w:rFonts w:ascii="Times New Roman" w:hAnsi="Times New Roman"/>
          <w:b/>
          <w:noProof/>
          <w:sz w:val="24"/>
          <w:szCs w:val="24"/>
          <w:lang w:val="en-GB"/>
        </w:rPr>
      </w:pPr>
    </w:p>
    <w:p w:rsidR="002C1206" w:rsidRDefault="002C1206">
      <w:pPr>
        <w:tabs>
          <w:tab w:val="left" w:pos="2127"/>
        </w:tabs>
        <w:spacing w:after="240"/>
        <w:jc w:val="center"/>
        <w:rPr>
          <w:rFonts w:ascii="Times New Roman" w:hAnsi="Times New Roman"/>
          <w:b/>
          <w:noProof/>
          <w:sz w:val="24"/>
          <w:szCs w:val="24"/>
          <w:lang w:val="en-GB"/>
        </w:rPr>
      </w:pPr>
    </w:p>
    <w:p w:rsidR="002C1206" w:rsidRDefault="002C1206">
      <w:pPr>
        <w:tabs>
          <w:tab w:val="left" w:pos="2127"/>
        </w:tabs>
        <w:spacing w:after="240"/>
        <w:jc w:val="center"/>
        <w:rPr>
          <w:rFonts w:ascii="Times New Roman" w:hAnsi="Times New Roman"/>
          <w:b/>
          <w:noProof/>
          <w:sz w:val="24"/>
          <w:szCs w:val="24"/>
          <w:lang w:val="en-GB"/>
        </w:rPr>
      </w:pPr>
    </w:p>
    <w:p w:rsidR="002C1206" w:rsidRDefault="002C1206">
      <w:pPr>
        <w:tabs>
          <w:tab w:val="left" w:pos="2127"/>
        </w:tabs>
        <w:spacing w:after="240"/>
        <w:jc w:val="center"/>
        <w:rPr>
          <w:rFonts w:ascii="Times New Roman" w:hAnsi="Times New Roman"/>
          <w:b/>
          <w:noProof/>
          <w:sz w:val="24"/>
          <w:szCs w:val="24"/>
          <w:lang w:val="en-GB"/>
        </w:rPr>
      </w:pPr>
    </w:p>
    <w:p w:rsidR="002C1206" w:rsidRDefault="006969C2">
      <w:pPr>
        <w:tabs>
          <w:tab w:val="left" w:pos="2127"/>
        </w:tabs>
        <w:spacing w:after="240"/>
        <w:jc w:val="center"/>
        <w:rPr>
          <w:rFonts w:ascii="Times New Roman" w:hAnsi="Times New Roman"/>
          <w:b/>
          <w:noProof/>
          <w:sz w:val="24"/>
          <w:szCs w:val="24"/>
          <w:lang w:val="en-GB"/>
        </w:rPr>
      </w:pPr>
      <w:r>
        <w:rPr>
          <w:rFonts w:ascii="Times New Roman" w:hAnsi="Times New Roman"/>
          <w:b/>
          <w:noProof/>
          <w:sz w:val="24"/>
          <w:szCs w:val="24"/>
          <w:lang w:val="en-GB"/>
        </w:rPr>
        <w:lastRenderedPageBreak/>
        <w:t>Figure 3: Financing elements making up at least EUR 1 trillion over the next decade</w:t>
      </w:r>
      <w:r>
        <w:rPr>
          <w:rStyle w:val="FootnoteReference"/>
          <w:rFonts w:ascii="Times New Roman" w:hAnsi="Times New Roman"/>
          <w:b/>
          <w:noProof/>
          <w:sz w:val="24"/>
          <w:szCs w:val="24"/>
          <w:lang w:val="en-GB"/>
        </w:rPr>
        <w:footnoteReference w:id="7"/>
      </w:r>
      <w:r>
        <w:rPr>
          <w:rFonts w:ascii="Times New Roman" w:hAnsi="Times New Roman"/>
          <w:b/>
          <w:noProof/>
          <w:sz w:val="24"/>
          <w:szCs w:val="24"/>
          <w:lang w:val="en-GB"/>
        </w:rPr>
        <w:t xml:space="preserve"> under the Sustainable Europe Investment Plan</w:t>
      </w:r>
    </w:p>
    <w:p w:rsidR="002C1206" w:rsidRDefault="006969C2">
      <w:pPr>
        <w:tabs>
          <w:tab w:val="left" w:pos="2127"/>
        </w:tabs>
        <w:spacing w:after="240"/>
        <w:jc w:val="right"/>
        <w:rPr>
          <w:rFonts w:ascii="Times New Roman" w:hAnsi="Times New Roman"/>
          <w:b/>
          <w:noProof/>
          <w:sz w:val="24"/>
          <w:szCs w:val="24"/>
          <w:lang w:val="en-GB"/>
        </w:rPr>
      </w:pPr>
      <w:r>
        <w:rPr>
          <w:rFonts w:ascii="Times New Roman" w:hAnsi="Times New Roman"/>
          <w:b/>
          <w:noProof/>
          <w:sz w:val="24"/>
          <w:szCs w:val="24"/>
          <w:lang w:val="fr-BE" w:eastAsia="fr-BE"/>
        </w:rPr>
        <w:drawing>
          <wp:inline distT="0" distB="0" distL="0" distR="0">
            <wp:extent cx="5474969" cy="410622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74969" cy="4106227"/>
                    </a:xfrm>
                    <a:prstGeom prst="rect">
                      <a:avLst/>
                    </a:prstGeom>
                    <a:noFill/>
                  </pic:spPr>
                </pic:pic>
              </a:graphicData>
            </a:graphic>
          </wp:inline>
        </w:drawing>
      </w:r>
    </w:p>
    <w:p w:rsidR="002C1206" w:rsidRDefault="006969C2">
      <w:pPr>
        <w:rPr>
          <w:rFonts w:ascii="Times New Roman" w:hAnsi="Times New Roman"/>
          <w:b/>
          <w:noProof/>
          <w:sz w:val="24"/>
          <w:szCs w:val="24"/>
          <w:lang w:val="en-GB"/>
        </w:rPr>
      </w:pPr>
      <w:r>
        <w:rPr>
          <w:rFonts w:ascii="Times New Roman" w:hAnsi="Times New Roman"/>
          <w:b/>
          <w:noProof/>
          <w:sz w:val="24"/>
          <w:szCs w:val="24"/>
          <w:lang w:val="en-GB"/>
        </w:rPr>
        <w:br w:type="page"/>
      </w:r>
    </w:p>
    <w:p w:rsidR="002C1206" w:rsidRDefault="002C1206">
      <w:pPr>
        <w:spacing w:after="240"/>
        <w:rPr>
          <w:rFonts w:ascii="Times New Roman" w:hAnsi="Times New Roman"/>
          <w:b/>
          <w:noProof/>
          <w:sz w:val="24"/>
          <w:szCs w:val="24"/>
          <w:lang w:val="en-GB"/>
        </w:rPr>
      </w:pPr>
    </w:p>
    <w:p w:rsidR="002C1206" w:rsidRDefault="006969C2">
      <w:pPr>
        <w:pBdr>
          <w:top w:val="single" w:sz="4" w:space="1" w:color="auto"/>
          <w:left w:val="single" w:sz="4" w:space="4" w:color="auto"/>
          <w:bottom w:val="single" w:sz="4" w:space="1" w:color="auto"/>
          <w:right w:val="single" w:sz="4" w:space="4" w:color="auto"/>
        </w:pBdr>
        <w:spacing w:after="240"/>
        <w:rPr>
          <w:rFonts w:ascii="Times New Roman" w:hAnsi="Times New Roman"/>
          <w:b/>
          <w:i/>
          <w:noProof/>
          <w:sz w:val="24"/>
          <w:szCs w:val="24"/>
          <w:lang w:val="en-GB"/>
        </w:rPr>
      </w:pPr>
      <w:r>
        <w:rPr>
          <w:rFonts w:ascii="Times New Roman" w:hAnsi="Times New Roman"/>
          <w:b/>
          <w:i/>
          <w:noProof/>
          <w:sz w:val="24"/>
          <w:szCs w:val="24"/>
          <w:lang w:val="en-GB"/>
        </w:rPr>
        <w:t>How will the EU budget mobilise at least EUR 1 trillion over the next decade?</w:t>
      </w:r>
    </w:p>
    <w:p w:rsidR="002C1206" w:rsidRDefault="006969C2">
      <w:pPr>
        <w:pBdr>
          <w:top w:val="single" w:sz="4" w:space="1" w:color="auto"/>
          <w:left w:val="single" w:sz="4" w:space="4" w:color="auto"/>
          <w:bottom w:val="single" w:sz="4" w:space="1" w:color="auto"/>
          <w:right w:val="single" w:sz="4" w:space="4" w:color="auto"/>
        </w:pBdr>
        <w:spacing w:after="240"/>
        <w:jc w:val="both"/>
        <w:rPr>
          <w:rFonts w:ascii="Times New Roman" w:hAnsi="Times New Roman"/>
          <w:noProof/>
          <w:sz w:val="24"/>
          <w:szCs w:val="24"/>
          <w:lang w:val="en-GB"/>
        </w:rPr>
      </w:pPr>
      <w:r>
        <w:rPr>
          <w:rFonts w:ascii="Times New Roman" w:hAnsi="Times New Roman"/>
          <w:noProof/>
          <w:sz w:val="24"/>
          <w:szCs w:val="24"/>
          <w:lang w:val="en-GB"/>
        </w:rPr>
        <w:t>Mobilising at least EUR 1 trillion over the next decade requires a combination of funds provided by the EU budget as proposed b</w:t>
      </w:r>
      <w:r>
        <w:rPr>
          <w:rFonts w:ascii="Times New Roman" w:hAnsi="Times New Roman"/>
          <w:noProof/>
          <w:sz w:val="24"/>
          <w:szCs w:val="24"/>
          <w:lang w:val="en-GB"/>
        </w:rPr>
        <w:t xml:space="preserve">y the Commission and further public and private investments triggered by it. </w:t>
      </w:r>
    </w:p>
    <w:p w:rsidR="002C1206" w:rsidRDefault="006969C2">
      <w:pPr>
        <w:pBdr>
          <w:top w:val="single" w:sz="4" w:space="1" w:color="auto"/>
          <w:left w:val="single" w:sz="4" w:space="4" w:color="auto"/>
          <w:bottom w:val="single" w:sz="4" w:space="1" w:color="auto"/>
          <w:right w:val="single" w:sz="4" w:space="4" w:color="auto"/>
        </w:pBdr>
        <w:spacing w:after="240"/>
        <w:jc w:val="both"/>
        <w:rPr>
          <w:rFonts w:ascii="Times New Roman" w:hAnsi="Times New Roman"/>
          <w:noProof/>
          <w:sz w:val="24"/>
          <w:szCs w:val="24"/>
          <w:lang w:val="en-GB"/>
        </w:rPr>
      </w:pPr>
      <w:r>
        <w:rPr>
          <w:rFonts w:ascii="Times New Roman" w:hAnsi="Times New Roman"/>
          <w:b/>
          <w:noProof/>
          <w:sz w:val="24"/>
          <w:szCs w:val="24"/>
          <w:lang w:val="en-GB"/>
        </w:rPr>
        <w:t>Climate and environmental spending under the EU budget will provide EUR 503 billion</w:t>
      </w:r>
      <w:r>
        <w:rPr>
          <w:rFonts w:ascii="Times New Roman" w:hAnsi="Times New Roman"/>
          <w:noProof/>
          <w:sz w:val="24"/>
          <w:szCs w:val="24"/>
          <w:lang w:val="en-GB"/>
        </w:rPr>
        <w:t xml:space="preserve"> from 2021 to 2030, in line with the 25% climate mainstreaming target proposed for the 2021-202</w:t>
      </w:r>
      <w:r>
        <w:rPr>
          <w:rFonts w:ascii="Times New Roman" w:hAnsi="Times New Roman"/>
          <w:noProof/>
          <w:sz w:val="24"/>
          <w:szCs w:val="24"/>
          <w:lang w:val="en-GB"/>
        </w:rPr>
        <w:t>7 multiannual financial framework (MFF) and including spending on the environment across all programmes</w:t>
      </w:r>
      <w:r>
        <w:rPr>
          <w:rStyle w:val="FootnoteReference"/>
          <w:rFonts w:ascii="Times New Roman" w:hAnsi="Times New Roman"/>
          <w:noProof/>
          <w:lang w:val="en-GB"/>
        </w:rPr>
        <w:footnoteReference w:id="8"/>
      </w:r>
      <w:r>
        <w:rPr>
          <w:rFonts w:ascii="Times New Roman" w:hAnsi="Times New Roman"/>
          <w:i/>
          <w:noProof/>
          <w:sz w:val="24"/>
          <w:szCs w:val="24"/>
          <w:lang w:val="en-GB"/>
        </w:rPr>
        <w:t>.</w:t>
      </w:r>
      <w:r>
        <w:rPr>
          <w:rFonts w:ascii="Times New Roman" w:hAnsi="Times New Roman"/>
          <w:noProof/>
          <w:sz w:val="24"/>
          <w:szCs w:val="24"/>
          <w:lang w:val="en-GB"/>
        </w:rPr>
        <w:t xml:space="preserve"> </w:t>
      </w:r>
      <w:r>
        <w:rPr>
          <w:rFonts w:ascii="Times New Roman" w:hAnsi="Times New Roman"/>
          <w:b/>
          <w:noProof/>
          <w:sz w:val="24"/>
          <w:szCs w:val="24"/>
          <w:lang w:val="en-GB"/>
        </w:rPr>
        <w:t>This will trigger additional national co-financing of EUR 114 billion</w:t>
      </w:r>
      <w:r>
        <w:rPr>
          <w:rFonts w:ascii="Times New Roman" w:hAnsi="Times New Roman"/>
          <w:noProof/>
          <w:sz w:val="24"/>
          <w:szCs w:val="24"/>
          <w:lang w:val="en-GB"/>
        </w:rPr>
        <w:t xml:space="preserve"> over this timeframe on climate and environment. </w:t>
      </w:r>
    </w:p>
    <w:p w:rsidR="002C1206" w:rsidRDefault="006969C2">
      <w:pPr>
        <w:pBdr>
          <w:top w:val="single" w:sz="4" w:space="1" w:color="auto"/>
          <w:left w:val="single" w:sz="4" w:space="4" w:color="auto"/>
          <w:bottom w:val="single" w:sz="4" w:space="1" w:color="auto"/>
          <w:right w:val="single" w:sz="4" w:space="4" w:color="auto"/>
        </w:pBdr>
        <w:spacing w:after="240"/>
        <w:jc w:val="both"/>
        <w:rPr>
          <w:rFonts w:ascii="Times New Roman" w:hAnsi="Times New Roman"/>
          <w:noProof/>
          <w:sz w:val="24"/>
          <w:szCs w:val="24"/>
          <w:lang w:val="en-GB"/>
        </w:rPr>
      </w:pPr>
      <w:r>
        <w:rPr>
          <w:rFonts w:ascii="Times New Roman" w:hAnsi="Times New Roman"/>
          <w:b/>
          <w:noProof/>
          <w:sz w:val="24"/>
          <w:szCs w:val="24"/>
          <w:lang w:val="en-GB"/>
        </w:rPr>
        <w:t>The InvestEU Fund will leverage</w:t>
      </w:r>
      <w:r>
        <w:rPr>
          <w:rFonts w:ascii="Times New Roman" w:hAnsi="Times New Roman"/>
          <w:b/>
          <w:noProof/>
          <w:sz w:val="24"/>
          <w:szCs w:val="24"/>
          <w:lang w:val="en-GB"/>
        </w:rPr>
        <w:t xml:space="preserve"> around EUR 279 billion</w:t>
      </w:r>
      <w:r>
        <w:rPr>
          <w:rFonts w:ascii="Times New Roman" w:hAnsi="Times New Roman"/>
          <w:noProof/>
          <w:sz w:val="24"/>
          <w:szCs w:val="24"/>
          <w:lang w:val="en-GB"/>
        </w:rPr>
        <w:t xml:space="preserve"> of private and public climate and environmentally-related investments over the period 2021-2030 by providing an EU budget guarantee to reduce the risk in financing and investment operations.</w:t>
      </w:r>
    </w:p>
    <w:p w:rsidR="002C1206" w:rsidRDefault="006969C2">
      <w:pPr>
        <w:pBdr>
          <w:top w:val="single" w:sz="4" w:space="1" w:color="auto"/>
          <w:left w:val="single" w:sz="4" w:space="4" w:color="auto"/>
          <w:bottom w:val="single" w:sz="4" w:space="1" w:color="auto"/>
          <w:right w:val="single" w:sz="4" w:space="4" w:color="auto"/>
        </w:pBdr>
        <w:spacing w:after="240"/>
        <w:jc w:val="both"/>
        <w:rPr>
          <w:rFonts w:ascii="Times New Roman" w:hAnsi="Times New Roman"/>
          <w:noProof/>
          <w:sz w:val="24"/>
          <w:szCs w:val="24"/>
          <w:lang w:val="en-GB"/>
        </w:rPr>
      </w:pPr>
      <w:r>
        <w:rPr>
          <w:rFonts w:ascii="Times New Roman" w:hAnsi="Times New Roman"/>
          <w:noProof/>
          <w:sz w:val="24"/>
          <w:szCs w:val="24"/>
          <w:lang w:val="en-GB"/>
        </w:rPr>
        <w:t xml:space="preserve">To leave no one behind, </w:t>
      </w:r>
      <w:r>
        <w:rPr>
          <w:rFonts w:ascii="Times New Roman" w:hAnsi="Times New Roman"/>
          <w:b/>
          <w:noProof/>
          <w:sz w:val="24"/>
          <w:szCs w:val="24"/>
          <w:lang w:val="en-GB"/>
        </w:rPr>
        <w:t>the Just Transiti</w:t>
      </w:r>
      <w:r>
        <w:rPr>
          <w:rFonts w:ascii="Times New Roman" w:hAnsi="Times New Roman"/>
          <w:b/>
          <w:noProof/>
          <w:sz w:val="24"/>
          <w:szCs w:val="24"/>
          <w:lang w:val="en-GB"/>
        </w:rPr>
        <w:t xml:space="preserve">on Mechanism </w:t>
      </w:r>
      <w:r>
        <w:rPr>
          <w:rFonts w:ascii="Times New Roman" w:hAnsi="Times New Roman"/>
          <w:noProof/>
          <w:sz w:val="24"/>
          <w:szCs w:val="24"/>
          <w:lang w:val="en-GB"/>
        </w:rPr>
        <w:t xml:space="preserve">will include financing from the EU budget, co-financing from the Member States as well as contributions from InvestEU and the EIB to </w:t>
      </w:r>
      <w:r>
        <w:rPr>
          <w:rFonts w:ascii="Times New Roman" w:hAnsi="Times New Roman"/>
          <w:b/>
          <w:noProof/>
          <w:sz w:val="24"/>
          <w:szCs w:val="24"/>
          <w:lang w:val="en-GB"/>
        </w:rPr>
        <w:t>reach EUR 100 billion of investments to be mobilised over 2021-27</w:t>
      </w:r>
      <w:r>
        <w:rPr>
          <w:rFonts w:ascii="Times New Roman" w:hAnsi="Times New Roman"/>
          <w:noProof/>
          <w:sz w:val="24"/>
          <w:szCs w:val="24"/>
          <w:lang w:val="en-GB"/>
        </w:rPr>
        <w:t>, which, extrapolated over 10 years, will rea</w:t>
      </w:r>
      <w:r>
        <w:rPr>
          <w:rFonts w:ascii="Times New Roman" w:hAnsi="Times New Roman"/>
          <w:noProof/>
          <w:sz w:val="24"/>
          <w:szCs w:val="24"/>
          <w:lang w:val="en-GB"/>
        </w:rPr>
        <w:t xml:space="preserve">ch EUR 143 billion to ensure a just transition. </w:t>
      </w:r>
    </w:p>
    <w:p w:rsidR="002C1206" w:rsidRDefault="006969C2">
      <w:pPr>
        <w:pBdr>
          <w:top w:val="single" w:sz="4" w:space="1" w:color="auto"/>
          <w:left w:val="single" w:sz="4" w:space="4" w:color="auto"/>
          <w:bottom w:val="single" w:sz="4" w:space="1" w:color="auto"/>
          <w:right w:val="single" w:sz="4" w:space="4" w:color="auto"/>
        </w:pBdr>
        <w:spacing w:after="240"/>
        <w:jc w:val="both"/>
        <w:rPr>
          <w:rFonts w:ascii="Times New Roman" w:hAnsi="Times New Roman"/>
          <w:b/>
          <w:noProof/>
          <w:sz w:val="24"/>
          <w:szCs w:val="24"/>
          <w:lang w:val="en-GB"/>
        </w:rPr>
      </w:pPr>
      <w:r>
        <w:rPr>
          <w:rFonts w:ascii="Times New Roman" w:hAnsi="Times New Roman"/>
          <w:noProof/>
          <w:sz w:val="24"/>
          <w:szCs w:val="24"/>
          <w:lang w:val="en-GB"/>
        </w:rPr>
        <w:t xml:space="preserve">The </w:t>
      </w:r>
      <w:r>
        <w:rPr>
          <w:rFonts w:ascii="Times New Roman" w:hAnsi="Times New Roman"/>
          <w:b/>
          <w:noProof/>
          <w:sz w:val="24"/>
          <w:szCs w:val="24"/>
          <w:lang w:val="en-GB"/>
        </w:rPr>
        <w:t>Innovation and Modernisation funds</w:t>
      </w:r>
      <w:r>
        <w:rPr>
          <w:rFonts w:ascii="Times New Roman" w:hAnsi="Times New Roman"/>
          <w:noProof/>
          <w:sz w:val="24"/>
          <w:szCs w:val="24"/>
          <w:lang w:val="en-GB"/>
        </w:rPr>
        <w:t xml:space="preserve">, which are not part of the EU budget but are financed through a part of the revenues from the auctioning of carbon allowances under the Emissions Trading Scheme, </w:t>
      </w:r>
      <w:r>
        <w:rPr>
          <w:rFonts w:ascii="Times New Roman" w:hAnsi="Times New Roman"/>
          <w:b/>
          <w:noProof/>
          <w:sz w:val="24"/>
          <w:szCs w:val="24"/>
          <w:lang w:val="en-GB"/>
        </w:rPr>
        <w:t>will p</w:t>
      </w:r>
      <w:r>
        <w:rPr>
          <w:rFonts w:ascii="Times New Roman" w:hAnsi="Times New Roman"/>
          <w:b/>
          <w:noProof/>
          <w:sz w:val="24"/>
          <w:szCs w:val="24"/>
          <w:lang w:val="en-GB"/>
        </w:rPr>
        <w:t>rovide at least some EUR 25</w:t>
      </w:r>
      <w:r>
        <w:rPr>
          <w:rFonts w:ascii="Times New Roman" w:hAnsi="Times New Roman"/>
          <w:noProof/>
          <w:sz w:val="24"/>
          <w:szCs w:val="24"/>
          <w:lang w:val="en-GB"/>
        </w:rPr>
        <w:t xml:space="preserve"> </w:t>
      </w:r>
      <w:r>
        <w:rPr>
          <w:rFonts w:ascii="Times New Roman" w:hAnsi="Times New Roman"/>
          <w:b/>
          <w:noProof/>
          <w:sz w:val="24"/>
          <w:szCs w:val="24"/>
          <w:lang w:val="en-GB"/>
        </w:rPr>
        <w:t>billion</w:t>
      </w:r>
      <w:r>
        <w:rPr>
          <w:rFonts w:ascii="Times New Roman" w:hAnsi="Times New Roman"/>
          <w:noProof/>
          <w:sz w:val="24"/>
          <w:szCs w:val="24"/>
          <w:lang w:val="en-GB"/>
        </w:rPr>
        <w:t xml:space="preserve"> for EU transition to climate neutrality.</w:t>
      </w:r>
    </w:p>
    <w:p w:rsidR="002C1206" w:rsidRDefault="006969C2">
      <w:pPr>
        <w:pStyle w:val="Heading2"/>
        <w:spacing w:after="240"/>
        <w:rPr>
          <w:noProof/>
          <w:lang w:val="en-GB"/>
        </w:rPr>
      </w:pPr>
      <w:r>
        <w:rPr>
          <w:noProof/>
          <w:lang w:val="en-GB"/>
        </w:rPr>
        <w:t>An increased ambition of the EU budget and associated programmes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Under its proposal for the next EU Multiannual Financial Framework, the Commission has proposed to increase the </w:t>
      </w:r>
      <w:r>
        <w:rPr>
          <w:rFonts w:ascii="Times New Roman" w:hAnsi="Times New Roman"/>
          <w:b/>
          <w:noProof/>
          <w:sz w:val="24"/>
          <w:szCs w:val="24"/>
          <w:lang w:val="en-GB"/>
        </w:rPr>
        <w:t>climate-related ambition to 25%</w:t>
      </w:r>
      <w:r>
        <w:rPr>
          <w:rFonts w:ascii="Times New Roman" w:hAnsi="Times New Roman"/>
          <w:noProof/>
          <w:sz w:val="24"/>
          <w:szCs w:val="24"/>
          <w:lang w:val="en-GB"/>
        </w:rPr>
        <w:t>. The Commission calls on the European Parliament and the Council to maintain at least this level of ambition in the ongoing negotiations.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different programmes, as proposed by the Commission for the next EU Multiannual Fi</w:t>
      </w:r>
      <w:r>
        <w:rPr>
          <w:rFonts w:ascii="Times New Roman" w:hAnsi="Times New Roman"/>
          <w:b/>
          <w:noProof/>
          <w:sz w:val="24"/>
          <w:szCs w:val="24"/>
          <w:lang w:val="en-GB"/>
        </w:rPr>
        <w:t>nancial Framework, will include specific measures to strengthen the link between the implementation of the EU budget and the objective of a greener, carbon-free Europe, for example:</w:t>
      </w:r>
    </w:p>
    <w:p w:rsidR="002C1206" w:rsidRDefault="006969C2">
      <w:pPr>
        <w:pStyle w:val="ListParagraph"/>
        <w:numPr>
          <w:ilvl w:val="0"/>
          <w:numId w:val="29"/>
        </w:numPr>
        <w:spacing w:after="240"/>
        <w:rPr>
          <w:rFonts w:ascii="Times New Roman" w:hAnsi="Times New Roman"/>
          <w:noProof/>
          <w:sz w:val="24"/>
          <w:szCs w:val="24"/>
          <w:lang w:val="en-GB"/>
        </w:rPr>
      </w:pPr>
      <w:r>
        <w:rPr>
          <w:rFonts w:ascii="Times New Roman" w:hAnsi="Times New Roman"/>
          <w:noProof/>
          <w:sz w:val="24"/>
          <w:szCs w:val="24"/>
          <w:lang w:val="en-GB"/>
        </w:rPr>
        <w:t xml:space="preserve">The Cohesion Fund and the European Regional Development Fund are expected </w:t>
      </w:r>
      <w:r>
        <w:rPr>
          <w:rFonts w:ascii="Times New Roman" w:hAnsi="Times New Roman"/>
          <w:noProof/>
          <w:sz w:val="24"/>
          <w:szCs w:val="24"/>
          <w:lang w:val="en-GB"/>
        </w:rPr>
        <w:t xml:space="preserve">to invest at least EUR 108 billion in climate and environment related projects over the next 7 years (2021-2027), more than 30% of the total envelope. </w:t>
      </w:r>
    </w:p>
    <w:p w:rsidR="002C1206" w:rsidRDefault="006969C2">
      <w:pPr>
        <w:pStyle w:val="ListParagraph"/>
        <w:numPr>
          <w:ilvl w:val="0"/>
          <w:numId w:val="29"/>
        </w:numPr>
        <w:spacing w:after="240"/>
        <w:rPr>
          <w:rFonts w:ascii="Times New Roman" w:hAnsi="Times New Roman"/>
          <w:noProof/>
          <w:sz w:val="24"/>
          <w:szCs w:val="24"/>
          <w:lang w:val="en-GB"/>
        </w:rPr>
      </w:pPr>
      <w:r>
        <w:rPr>
          <w:rFonts w:ascii="Times New Roman" w:hAnsi="Times New Roman"/>
          <w:noProof/>
          <w:sz w:val="24"/>
          <w:szCs w:val="24"/>
          <w:lang w:val="en-GB"/>
        </w:rPr>
        <w:t>The future Common Agriculture Policy will direct 40% of its total envelope to support climate-related ob</w:t>
      </w:r>
      <w:r>
        <w:rPr>
          <w:rFonts w:ascii="Times New Roman" w:hAnsi="Times New Roman"/>
          <w:noProof/>
          <w:sz w:val="24"/>
          <w:szCs w:val="24"/>
          <w:lang w:val="en-GB"/>
        </w:rPr>
        <w:t xml:space="preserve">jectives. All direct payments will be conditional to enhanced environmental and climate requirements. </w:t>
      </w:r>
    </w:p>
    <w:p w:rsidR="002C1206" w:rsidRDefault="006969C2">
      <w:pPr>
        <w:pStyle w:val="ListParagraph"/>
        <w:numPr>
          <w:ilvl w:val="0"/>
          <w:numId w:val="29"/>
        </w:numPr>
        <w:spacing w:after="240"/>
        <w:rPr>
          <w:rFonts w:ascii="Times New Roman" w:hAnsi="Times New Roman"/>
          <w:noProof/>
          <w:sz w:val="24"/>
          <w:szCs w:val="24"/>
          <w:lang w:val="en-GB"/>
        </w:rPr>
      </w:pPr>
      <w:r>
        <w:rPr>
          <w:rFonts w:ascii="Times New Roman" w:hAnsi="Times New Roman"/>
          <w:noProof/>
          <w:sz w:val="24"/>
          <w:szCs w:val="24"/>
          <w:lang w:val="en-GB"/>
        </w:rPr>
        <w:t>At least 35 % of the budget of Horizon Europe (expected to reach EUR 35 billion)  will support climate objectives. Furthermore, in the last year of Horiz</w:t>
      </w:r>
      <w:r>
        <w:rPr>
          <w:rFonts w:ascii="Times New Roman" w:hAnsi="Times New Roman"/>
          <w:noProof/>
          <w:sz w:val="24"/>
          <w:szCs w:val="24"/>
          <w:lang w:val="en-GB"/>
        </w:rPr>
        <w:t>on 2020, the Commission is preparing an additional call of around EUR 1 billion allocated to Green Deal priorities, on top of the existing allocation of EUR 1.35 billion in 2020.</w:t>
      </w:r>
    </w:p>
    <w:p w:rsidR="002C1206" w:rsidRDefault="006969C2">
      <w:pPr>
        <w:pStyle w:val="ListParagraph"/>
        <w:numPr>
          <w:ilvl w:val="0"/>
          <w:numId w:val="29"/>
        </w:numPr>
        <w:spacing w:after="240"/>
        <w:rPr>
          <w:rFonts w:ascii="Times New Roman" w:hAnsi="Times New Roman"/>
          <w:noProof/>
          <w:sz w:val="24"/>
          <w:szCs w:val="24"/>
          <w:lang w:val="en-GB"/>
        </w:rPr>
      </w:pPr>
      <w:r>
        <w:rPr>
          <w:rFonts w:ascii="Times New Roman" w:hAnsi="Times New Roman"/>
          <w:noProof/>
          <w:sz w:val="24"/>
          <w:szCs w:val="24"/>
          <w:lang w:val="en-GB"/>
        </w:rPr>
        <w:t>The LIFE Programme will see its envelope increased by 72% as compared to 2014</w:t>
      </w:r>
      <w:r>
        <w:rPr>
          <w:rFonts w:ascii="Times New Roman" w:hAnsi="Times New Roman"/>
          <w:noProof/>
          <w:sz w:val="24"/>
          <w:szCs w:val="24"/>
          <w:lang w:val="en-GB"/>
        </w:rPr>
        <w:t>-2020 to EUR 5.4 billion. More than 60% of its envelope will pursue climate objectives, including EUR 0.95 billion for climate action, EUR 1 billion for the clean energy transition and EUR 2.15 billion for nature and biodiversity.</w:t>
      </w:r>
    </w:p>
    <w:p w:rsidR="002C1206" w:rsidRDefault="006969C2">
      <w:pPr>
        <w:pStyle w:val="ListParagraph"/>
        <w:numPr>
          <w:ilvl w:val="0"/>
          <w:numId w:val="29"/>
        </w:numPr>
        <w:spacing w:after="240"/>
        <w:rPr>
          <w:rFonts w:ascii="Times New Roman" w:hAnsi="Times New Roman"/>
          <w:noProof/>
          <w:sz w:val="24"/>
          <w:szCs w:val="24"/>
          <w:lang w:val="en-GB"/>
        </w:rPr>
      </w:pPr>
      <w:r>
        <w:rPr>
          <w:rFonts w:ascii="Times New Roman" w:hAnsi="Times New Roman"/>
          <w:noProof/>
          <w:sz w:val="24"/>
          <w:szCs w:val="24"/>
          <w:lang w:val="en-GB"/>
        </w:rPr>
        <w:t>At least 60% of the Conne</w:t>
      </w:r>
      <w:r>
        <w:rPr>
          <w:rFonts w:ascii="Times New Roman" w:hAnsi="Times New Roman"/>
          <w:noProof/>
          <w:sz w:val="24"/>
          <w:szCs w:val="24"/>
          <w:lang w:val="en-GB"/>
        </w:rPr>
        <w:t>cting Europe Facility budget (supporting transport, energy and digital infrastructures) will be targeted to support climate objectives.</w:t>
      </w:r>
    </w:p>
    <w:p w:rsidR="002C1206" w:rsidRDefault="006969C2">
      <w:pPr>
        <w:pStyle w:val="ListParagraph"/>
        <w:numPr>
          <w:ilvl w:val="0"/>
          <w:numId w:val="29"/>
        </w:numPr>
        <w:spacing w:after="240"/>
        <w:rPr>
          <w:rFonts w:ascii="Times New Roman" w:hAnsi="Times New Roman"/>
          <w:noProof/>
          <w:sz w:val="24"/>
          <w:szCs w:val="24"/>
          <w:lang w:val="en-GB"/>
        </w:rPr>
      </w:pPr>
      <w:r>
        <w:rPr>
          <w:rFonts w:ascii="Times New Roman" w:hAnsi="Times New Roman"/>
          <w:noProof/>
          <w:sz w:val="24"/>
          <w:szCs w:val="24"/>
          <w:lang w:val="en-GB"/>
        </w:rPr>
        <w:t>The European Social Fund + will support the upskilling and re-skilling of an estimated 5 million people for green jobs a</w:t>
      </w:r>
      <w:r>
        <w:rPr>
          <w:rFonts w:ascii="Times New Roman" w:hAnsi="Times New Roman"/>
          <w:noProof/>
          <w:sz w:val="24"/>
          <w:szCs w:val="24"/>
          <w:lang w:val="en-GB"/>
        </w:rPr>
        <w:t>nd the green economy.</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EU budget will contribute to achieving climate objectives also through the revenue side</w:t>
      </w:r>
      <w:r>
        <w:rPr>
          <w:rFonts w:ascii="Times New Roman" w:hAnsi="Times New Roman"/>
          <w:noProof/>
          <w:sz w:val="24"/>
          <w:szCs w:val="24"/>
          <w:lang w:val="en-GB"/>
        </w:rPr>
        <w:t>. In May 2018, the Commission put forward a proposal for an Own Resource Decision, which included a basket on new Own Resources. One of its key</w:t>
      </w:r>
      <w:r>
        <w:rPr>
          <w:rFonts w:ascii="Times New Roman" w:hAnsi="Times New Roman"/>
          <w:noProof/>
          <w:sz w:val="24"/>
          <w:szCs w:val="24"/>
          <w:lang w:val="en-GB"/>
        </w:rPr>
        <w:t xml:space="preserve"> elements is the non-recycled plastic-packaging waste own resource which will contribute to the EU-wide targets defined in the Waste strategy. Furthermore, under the Commission proposal, 20% of the revenues from the auctioning of EU Emissions Trading Syste</w:t>
      </w:r>
      <w:r>
        <w:rPr>
          <w:rFonts w:ascii="Times New Roman" w:hAnsi="Times New Roman"/>
          <w:noProof/>
          <w:sz w:val="24"/>
          <w:szCs w:val="24"/>
          <w:lang w:val="en-GB"/>
        </w:rPr>
        <w:t>m (ETS) would be allocated to the EU budget as an Own Resource.</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Additionally, the EU Emissions Trading System Modernisation Fund and Innovation Fund, both financed outside the EU’s long-term budget, will channel additional money to the green transition</w:t>
      </w:r>
      <w:r>
        <w:rPr>
          <w:rFonts w:ascii="Times New Roman" w:hAnsi="Times New Roman"/>
          <w:noProof/>
          <w:sz w:val="24"/>
          <w:szCs w:val="24"/>
          <w:lang w:val="en-GB"/>
        </w:rPr>
        <w:t>. Th</w:t>
      </w:r>
      <w:r>
        <w:rPr>
          <w:rFonts w:ascii="Times New Roman" w:hAnsi="Times New Roman"/>
          <w:noProof/>
          <w:sz w:val="24"/>
          <w:szCs w:val="24"/>
          <w:lang w:val="en-GB"/>
        </w:rPr>
        <w:t>e Innovation Fund will support investments in scaling up break-through low-carbon technologies and processes in renewable energy and energy intensive industries, including carbon capture, use and storage, and energy storage.  The aim is to share the innova</w:t>
      </w:r>
      <w:r>
        <w:rPr>
          <w:rFonts w:ascii="Times New Roman" w:hAnsi="Times New Roman"/>
          <w:noProof/>
          <w:sz w:val="24"/>
          <w:szCs w:val="24"/>
          <w:lang w:val="en-GB"/>
        </w:rPr>
        <w:t>tion risk with project promoters to support first-of-a-kind highly innovative projects and to make European industry a global leader in these clean technologies. The Commission is currently preparing the first call for the Innovation Fund that should be la</w:t>
      </w:r>
      <w:r>
        <w:rPr>
          <w:rFonts w:ascii="Times New Roman" w:hAnsi="Times New Roman"/>
          <w:noProof/>
          <w:sz w:val="24"/>
          <w:szCs w:val="24"/>
          <w:lang w:val="en-GB"/>
        </w:rPr>
        <w:t>unched in mid-2020 with a volume of EUR 1 billion. Several workshops will take place over the next months to reach out to project promotors and other private and public investors with a view to develop a set of effective selection criteria. The Modernisati</w:t>
      </w:r>
      <w:r>
        <w:rPr>
          <w:rFonts w:ascii="Times New Roman" w:hAnsi="Times New Roman"/>
          <w:noProof/>
          <w:sz w:val="24"/>
          <w:szCs w:val="24"/>
          <w:lang w:val="en-GB"/>
        </w:rPr>
        <w:t>on Fund will support investments in modernising the power sector and wider energy systems, boosting energy efficiency in 10 lower-income Member States. It can also support the re-skilling and up-skilling of the people affected.</w:t>
      </w:r>
      <w:r>
        <w:rPr>
          <w:rFonts w:ascii="Times New Roman" w:hAnsi="Times New Roman"/>
          <w:b/>
          <w:noProof/>
          <w:sz w:val="24"/>
          <w:szCs w:val="24"/>
          <w:lang w:val="en-GB"/>
        </w:rPr>
        <w:t xml:space="preserve"> </w:t>
      </w:r>
      <w:r>
        <w:rPr>
          <w:rFonts w:ascii="Times New Roman" w:hAnsi="Times New Roman"/>
          <w:noProof/>
          <w:sz w:val="24"/>
          <w:szCs w:val="24"/>
          <w:lang w:val="en-GB"/>
        </w:rPr>
        <w:t>The Commission will soon con</w:t>
      </w:r>
      <w:r>
        <w:rPr>
          <w:rFonts w:ascii="Times New Roman" w:hAnsi="Times New Roman"/>
          <w:noProof/>
          <w:sz w:val="24"/>
          <w:szCs w:val="24"/>
          <w:lang w:val="en-GB"/>
        </w:rPr>
        <w:t>sult on the implementing rules for the Modernisation Fund. The Commission will review both instruments as part of the revision of the EU Emissions Trading System and will consider the allocation of additional revenues to the EU budget to strengthen the fin</w:t>
      </w:r>
      <w:r>
        <w:rPr>
          <w:rFonts w:ascii="Times New Roman" w:hAnsi="Times New Roman"/>
          <w:noProof/>
          <w:sz w:val="24"/>
          <w:szCs w:val="24"/>
          <w:lang w:val="en-GB"/>
        </w:rPr>
        <w:t>ancing of the just transition.</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In line with the European Green Deal communication, the Commission will present by summer 2020 an impact assessed plan to increase the EU’s greenhouse gas emission reduction targets for 2030, </w:t>
      </w:r>
      <w:r>
        <w:rPr>
          <w:rFonts w:ascii="Times New Roman" w:hAnsi="Times New Roman"/>
          <w:noProof/>
          <w:sz w:val="24"/>
          <w:szCs w:val="24"/>
          <w:lang w:val="en-GB"/>
        </w:rPr>
        <w:t>including an analysis of the inve</w:t>
      </w:r>
      <w:r>
        <w:rPr>
          <w:rFonts w:ascii="Times New Roman" w:hAnsi="Times New Roman"/>
          <w:noProof/>
          <w:sz w:val="24"/>
          <w:szCs w:val="24"/>
          <w:lang w:val="en-GB"/>
        </w:rPr>
        <w:t>stment needs. Depending on the outcome thereof, it could be appropriate to consider potential changes to the climate-related targets in the next Multiannual Financial Framework.</w:t>
      </w:r>
    </w:p>
    <w:p w:rsidR="002C1206" w:rsidRDefault="002C1206">
      <w:pPr>
        <w:spacing w:after="240"/>
        <w:jc w:val="both"/>
        <w:rPr>
          <w:rFonts w:ascii="Times New Roman" w:hAnsi="Times New Roman"/>
          <w:noProof/>
          <w:sz w:val="24"/>
          <w:szCs w:val="24"/>
          <w:lang w:val="en-GB"/>
        </w:rPr>
      </w:pPr>
    </w:p>
    <w:tbl>
      <w:tblPr>
        <w:tblStyle w:val="TableGrid"/>
        <w:tblW w:w="0" w:type="auto"/>
        <w:tblLook w:val="04A0" w:firstRow="1" w:lastRow="0" w:firstColumn="1" w:lastColumn="0" w:noHBand="0" w:noVBand="1"/>
      </w:tblPr>
      <w:tblGrid>
        <w:gridCol w:w="9062"/>
      </w:tblGrid>
      <w:tr w:rsidR="002C1206">
        <w:tc>
          <w:tcPr>
            <w:tcW w:w="9062" w:type="dxa"/>
          </w:tcPr>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The Commission will:</w:t>
            </w:r>
          </w:p>
          <w:p w:rsidR="002C1206" w:rsidRDefault="006969C2">
            <w:pPr>
              <w:pStyle w:val="ListParagraph"/>
              <w:numPr>
                <w:ilvl w:val="0"/>
                <w:numId w:val="30"/>
              </w:numPr>
              <w:spacing w:after="240"/>
              <w:rPr>
                <w:rFonts w:ascii="Times New Roman" w:hAnsi="Times New Roman"/>
                <w:b/>
                <w:noProof/>
                <w:sz w:val="24"/>
                <w:szCs w:val="24"/>
                <w:lang w:val="en-GB"/>
              </w:rPr>
            </w:pPr>
            <w:r>
              <w:rPr>
                <w:rFonts w:ascii="Times New Roman" w:hAnsi="Times New Roman"/>
                <w:b/>
                <w:noProof/>
                <w:sz w:val="24"/>
                <w:szCs w:val="24"/>
                <w:lang w:val="en-GB"/>
              </w:rPr>
              <w:t>Defend a high climate ambition of at least 25% of the Mu</w:t>
            </w:r>
            <w:r>
              <w:rPr>
                <w:rFonts w:ascii="Times New Roman" w:hAnsi="Times New Roman"/>
                <w:b/>
                <w:noProof/>
                <w:sz w:val="24"/>
                <w:szCs w:val="24"/>
                <w:lang w:val="en-GB"/>
              </w:rPr>
              <w:t>ltiannual Financial Framework in the inter-institutional negotiations.</w:t>
            </w:r>
          </w:p>
          <w:p w:rsidR="002C1206" w:rsidRDefault="006969C2">
            <w:pPr>
              <w:pStyle w:val="ListParagraph"/>
              <w:numPr>
                <w:ilvl w:val="0"/>
                <w:numId w:val="30"/>
              </w:numPr>
              <w:spacing w:after="240"/>
              <w:rPr>
                <w:rFonts w:ascii="Times New Roman" w:hAnsi="Times New Roman"/>
                <w:noProof/>
                <w:sz w:val="24"/>
                <w:szCs w:val="24"/>
                <w:lang w:val="en-GB"/>
              </w:rPr>
            </w:pPr>
            <w:r>
              <w:rPr>
                <w:rFonts w:ascii="Times New Roman" w:hAnsi="Times New Roman"/>
                <w:b/>
                <w:noProof/>
                <w:sz w:val="24"/>
                <w:szCs w:val="24"/>
                <w:lang w:val="en-GB"/>
              </w:rPr>
              <w:t>Enhance the tracking system for monitoring progress towards this target.</w:t>
            </w:r>
          </w:p>
        </w:tc>
      </w:tr>
    </w:tbl>
    <w:p w:rsidR="002C1206" w:rsidRDefault="002C1206">
      <w:pPr>
        <w:pStyle w:val="Heading2"/>
        <w:numPr>
          <w:ilvl w:val="0"/>
          <w:numId w:val="0"/>
        </w:numPr>
        <w:spacing w:after="240"/>
        <w:ind w:left="1077"/>
        <w:rPr>
          <w:noProof/>
          <w:lang w:val="en-GB"/>
        </w:rPr>
      </w:pPr>
    </w:p>
    <w:p w:rsidR="002C1206" w:rsidRDefault="006969C2">
      <w:pPr>
        <w:pStyle w:val="Heading2"/>
        <w:spacing w:after="240"/>
        <w:rPr>
          <w:noProof/>
          <w:lang w:val="en-GB"/>
        </w:rPr>
      </w:pPr>
      <w:r>
        <w:rPr>
          <w:noProof/>
          <w:lang w:val="en-GB"/>
        </w:rPr>
        <w:t>Crowding in private investments through InvestEU</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Some investments needed for the transition entail more risk than the private sector can bear alone. This is where public funds can be used in a targeted manner to de-risk projects and leverage private financing.  </w:t>
      </w:r>
      <w:r>
        <w:rPr>
          <w:rFonts w:ascii="Times New Roman" w:hAnsi="Times New Roman"/>
          <w:noProof/>
          <w:sz w:val="24"/>
          <w:szCs w:val="24"/>
          <w:lang w:val="en-GB"/>
        </w:rPr>
        <w:t>By providing an EU budget guarantee to partially cover the risk of financing and investment operations, the InvestEU programme, the successor of the European Fund for Strategic Investments and 13 other EU financial instruments, will mobilise  EUR 650 billi</w:t>
      </w:r>
      <w:r>
        <w:rPr>
          <w:rFonts w:ascii="Times New Roman" w:hAnsi="Times New Roman"/>
          <w:noProof/>
          <w:sz w:val="24"/>
          <w:szCs w:val="24"/>
          <w:lang w:val="en-GB"/>
        </w:rPr>
        <w:t xml:space="preserve">on over 7 years. InvestEU must be used to its full potential to support the objectives of the European Green Deal. Achieving an ambitious climate target for InvestEU </w:t>
      </w:r>
      <w:bookmarkStart w:id="1" w:name="_Hlk29147964"/>
      <w:r>
        <w:rPr>
          <w:rFonts w:ascii="Times New Roman" w:hAnsi="Times New Roman"/>
          <w:noProof/>
          <w:sz w:val="24"/>
          <w:szCs w:val="24"/>
          <w:lang w:val="en-GB"/>
        </w:rPr>
        <w:t>in the context of the ongoing inter-institutional negotiation</w:t>
      </w:r>
      <w:bookmarkEnd w:id="1"/>
      <w:r>
        <w:rPr>
          <w:rFonts w:ascii="Times New Roman" w:hAnsi="Times New Roman"/>
          <w:noProof/>
          <w:sz w:val="24"/>
          <w:szCs w:val="24"/>
          <w:lang w:val="en-GB"/>
        </w:rPr>
        <w:t>s is therefore essential. The</w:t>
      </w:r>
      <w:r>
        <w:rPr>
          <w:rFonts w:ascii="Times New Roman" w:hAnsi="Times New Roman"/>
          <w:noProof/>
          <w:sz w:val="24"/>
          <w:szCs w:val="24"/>
          <w:lang w:val="en-GB"/>
        </w:rPr>
        <w:t xml:space="preserve"> Commission has proposed a target of at least 30%, which would trigger approximately EUR 195 billion of climate investment from 2021 until 2027, i.e. close to EUR 28 billion per year and 280 billion over a decade.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InvestEU will support sustainable investm</w:t>
      </w:r>
      <w:r>
        <w:rPr>
          <w:rFonts w:ascii="Times New Roman" w:hAnsi="Times New Roman"/>
          <w:b/>
          <w:noProof/>
          <w:sz w:val="24"/>
          <w:szCs w:val="24"/>
          <w:lang w:val="en-GB"/>
        </w:rPr>
        <w:t>ents in all sectors of the economy. It will also diffuse sustainable practices among private and public investors.</w:t>
      </w:r>
      <w:r>
        <w:rPr>
          <w:rFonts w:ascii="Times New Roman" w:hAnsi="Times New Roman"/>
          <w:noProof/>
          <w:sz w:val="24"/>
          <w:szCs w:val="24"/>
          <w:lang w:val="en-GB"/>
        </w:rPr>
        <w:t xml:space="preserve"> The Commission will put forward a climate tracking methodology for measuring the contribution of specific financing and investment operations</w:t>
      </w:r>
      <w:r>
        <w:rPr>
          <w:rFonts w:ascii="Times New Roman" w:hAnsi="Times New Roman"/>
          <w:noProof/>
          <w:sz w:val="24"/>
          <w:szCs w:val="24"/>
          <w:lang w:val="en-GB"/>
        </w:rPr>
        <w:t xml:space="preserve"> to the climate and environmental objectives of the programme. In addition, it will put in place a method for ‘sustainability proofing’, on the basis of which promoters of projects above a certain size will be required to assess the environmental, climate </w:t>
      </w:r>
      <w:r>
        <w:rPr>
          <w:rFonts w:ascii="Times New Roman" w:hAnsi="Times New Roman"/>
          <w:noProof/>
          <w:sz w:val="24"/>
          <w:szCs w:val="24"/>
          <w:lang w:val="en-GB"/>
        </w:rPr>
        <w:t>and social impact of those projects. As these methods will be applied by all InvestEU Implementing Partners (the European Investment Bank Group, National Promotional Banks and Institutions, International Financial Institutions) and will also be the referen</w:t>
      </w:r>
      <w:r>
        <w:rPr>
          <w:rFonts w:ascii="Times New Roman" w:hAnsi="Times New Roman"/>
          <w:noProof/>
          <w:sz w:val="24"/>
          <w:szCs w:val="24"/>
          <w:lang w:val="en-GB"/>
        </w:rPr>
        <w:t>ce point for private investors and financial intermediaries participating in the programme, they are expected to spill-over beyond the InvestEU Programme. These methods will make appropriate use of the EU-wide classification system for environmentally sust</w:t>
      </w:r>
      <w:r>
        <w:rPr>
          <w:rFonts w:ascii="Times New Roman" w:hAnsi="Times New Roman"/>
          <w:noProof/>
          <w:sz w:val="24"/>
          <w:szCs w:val="24"/>
          <w:lang w:val="en-GB"/>
        </w:rPr>
        <w:t xml:space="preserve">ainable economic activities (‘EU taxonomy’). </w:t>
      </w:r>
    </w:p>
    <w:tbl>
      <w:tblPr>
        <w:tblStyle w:val="TableGrid"/>
        <w:tblW w:w="0" w:type="auto"/>
        <w:tblLook w:val="04A0" w:firstRow="1" w:lastRow="0" w:firstColumn="1" w:lastColumn="0" w:noHBand="0" w:noVBand="1"/>
      </w:tblPr>
      <w:tblGrid>
        <w:gridCol w:w="9062"/>
      </w:tblGrid>
      <w:tr w:rsidR="002C1206">
        <w:trPr>
          <w:trHeight w:val="2383"/>
        </w:trPr>
        <w:tc>
          <w:tcPr>
            <w:tcW w:w="9062" w:type="dxa"/>
          </w:tcPr>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The Commission will:</w:t>
            </w:r>
          </w:p>
          <w:p w:rsidR="002C1206" w:rsidRDefault="006969C2">
            <w:pPr>
              <w:pStyle w:val="ListParagraph"/>
              <w:numPr>
                <w:ilvl w:val="0"/>
                <w:numId w:val="30"/>
              </w:numPr>
              <w:spacing w:after="240"/>
              <w:rPr>
                <w:rFonts w:ascii="Times New Roman" w:hAnsi="Times New Roman"/>
                <w:b/>
                <w:noProof/>
                <w:sz w:val="24"/>
                <w:szCs w:val="24"/>
                <w:lang w:val="en-GB"/>
              </w:rPr>
            </w:pPr>
            <w:r>
              <w:rPr>
                <w:rFonts w:ascii="Times New Roman" w:hAnsi="Times New Roman"/>
                <w:b/>
                <w:noProof/>
                <w:sz w:val="24"/>
                <w:szCs w:val="24"/>
                <w:lang w:val="en-GB"/>
              </w:rPr>
              <w:t>Enhance the climate and environmental tracking and the sustainability proofing guidance in the second half of 2020. These guidance documents will use in an appropriate way the criteria esta</w:t>
            </w:r>
            <w:r>
              <w:rPr>
                <w:rFonts w:ascii="Times New Roman" w:hAnsi="Times New Roman"/>
                <w:b/>
                <w:noProof/>
                <w:sz w:val="24"/>
                <w:szCs w:val="24"/>
                <w:lang w:val="en-GB"/>
              </w:rPr>
              <w:t>blished by the EU taxonomy after its entry into force.</w:t>
            </w:r>
          </w:p>
          <w:p w:rsidR="002C1206" w:rsidRDefault="006969C2">
            <w:pPr>
              <w:pStyle w:val="ListParagraph"/>
              <w:numPr>
                <w:ilvl w:val="0"/>
                <w:numId w:val="30"/>
              </w:numPr>
              <w:spacing w:after="240"/>
              <w:rPr>
                <w:rFonts w:ascii="Times New Roman" w:hAnsi="Times New Roman"/>
                <w:b/>
                <w:noProof/>
                <w:sz w:val="24"/>
                <w:szCs w:val="24"/>
                <w:lang w:val="en-GB"/>
              </w:rPr>
            </w:pPr>
            <w:r>
              <w:rPr>
                <w:rFonts w:ascii="Times New Roman" w:hAnsi="Times New Roman"/>
                <w:b/>
                <w:noProof/>
                <w:sz w:val="24"/>
                <w:szCs w:val="24"/>
                <w:lang w:val="en-GB"/>
              </w:rPr>
              <w:t>Develop, in cooperation with InvestEU implementing partners, financial products to be deployed under InvestEU that will target environmental, climate and social sustainability.</w:t>
            </w:r>
          </w:p>
        </w:tc>
      </w:tr>
    </w:tbl>
    <w:p w:rsidR="002C1206" w:rsidRDefault="002C1206">
      <w:pPr>
        <w:spacing w:after="240"/>
        <w:jc w:val="both"/>
        <w:rPr>
          <w:rFonts w:ascii="Times New Roman" w:hAnsi="Times New Roman"/>
          <w:b/>
          <w:noProof/>
          <w:sz w:val="24"/>
          <w:szCs w:val="24"/>
          <w:lang w:val="en-GB"/>
        </w:rPr>
      </w:pPr>
    </w:p>
    <w:p w:rsidR="002C1206" w:rsidRDefault="006969C2">
      <w:pPr>
        <w:pStyle w:val="Heading2"/>
        <w:spacing w:after="240"/>
        <w:rPr>
          <w:noProof/>
          <w:lang w:val="en-GB"/>
        </w:rPr>
      </w:pPr>
      <w:r>
        <w:rPr>
          <w:noProof/>
          <w:lang w:val="en-GB"/>
        </w:rPr>
        <w:t>The European Investmen</w:t>
      </w:r>
      <w:r>
        <w:rPr>
          <w:noProof/>
          <w:lang w:val="en-GB"/>
        </w:rPr>
        <w:t xml:space="preserve">t Bank’s contribution and mobilising other financial institutions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European Investment Bank (EIB) also plays a key role in financing the shift to a carbon-neutral, sustainable economy. </w:t>
      </w:r>
      <w:r>
        <w:rPr>
          <w:rFonts w:ascii="Times New Roman" w:hAnsi="Times New Roman"/>
          <w:noProof/>
          <w:sz w:val="24"/>
          <w:szCs w:val="24"/>
          <w:lang w:val="en-GB"/>
        </w:rPr>
        <w:t>It uses its own resources and EU budgetary support under various pr</w:t>
      </w:r>
      <w:r>
        <w:rPr>
          <w:rFonts w:ascii="Times New Roman" w:hAnsi="Times New Roman"/>
          <w:noProof/>
          <w:sz w:val="24"/>
          <w:szCs w:val="24"/>
          <w:lang w:val="en-GB"/>
        </w:rPr>
        <w:t>ogrammes and facilities to finance climate action and environmental investments both inside and outside the EU. In 2018, almost 30% of the EIB-signed operations contributed to climate action, supporting investments in climate change mitigation and adaptati</w:t>
      </w:r>
      <w:r>
        <w:rPr>
          <w:rFonts w:ascii="Times New Roman" w:hAnsi="Times New Roman"/>
          <w:noProof/>
          <w:sz w:val="24"/>
          <w:szCs w:val="24"/>
          <w:lang w:val="en-GB"/>
        </w:rPr>
        <w:t xml:space="preserve">on, low-carbon and climate-resilient growth. For 2019, the EIB expects this contribution to have been in the range of 28-31%. For the duration of the Sustainable European Investment Plan over a decade, the EIB is expected to finance outside of EU mandates </w:t>
      </w:r>
      <w:r>
        <w:rPr>
          <w:rFonts w:ascii="Times New Roman" w:hAnsi="Times New Roman"/>
          <w:noProof/>
          <w:sz w:val="24"/>
          <w:szCs w:val="24"/>
          <w:lang w:val="en-GB"/>
        </w:rPr>
        <w:t xml:space="preserve">around EUR 600 billion of climate investments across all Member States. </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The role of the EIB in financing the sustainable transition will grow as it becomes the EU climate bank</w:t>
      </w:r>
      <w:r>
        <w:rPr>
          <w:rFonts w:ascii="Times New Roman" w:hAnsi="Times New Roman"/>
          <w:noProof/>
          <w:sz w:val="24"/>
          <w:szCs w:val="24"/>
          <w:lang w:val="en-GB"/>
        </w:rPr>
        <w:t>. The EIB will gradually increase the share of its financing dedicated to climat</w:t>
      </w:r>
      <w:r>
        <w:rPr>
          <w:rFonts w:ascii="Times New Roman" w:hAnsi="Times New Roman"/>
          <w:noProof/>
          <w:sz w:val="24"/>
          <w:szCs w:val="24"/>
          <w:lang w:val="en-GB"/>
        </w:rPr>
        <w:t xml:space="preserve">e action and environmental sustainability to reach 50% by 2025 and beyond. A significant share of this will be carried out under the InvestEU Programme, which will allow the EIB to engage in more innovative, higher policy-added value projects, by covering </w:t>
      </w:r>
      <w:r>
        <w:rPr>
          <w:rFonts w:ascii="Times New Roman" w:hAnsi="Times New Roman"/>
          <w:noProof/>
          <w:sz w:val="24"/>
          <w:szCs w:val="24"/>
          <w:lang w:val="en-GB"/>
        </w:rPr>
        <w:t>a part of the risk of financing and investment operations. Moreover, the EIB Group will align all its financing activities with the principles and goals of the Paris agreement by the end of 2020. A first step in that direction was the adoption of the new E</w:t>
      </w:r>
      <w:r>
        <w:rPr>
          <w:rFonts w:ascii="Times New Roman" w:hAnsi="Times New Roman"/>
          <w:noProof/>
          <w:sz w:val="24"/>
          <w:szCs w:val="24"/>
          <w:lang w:val="en-GB"/>
        </w:rPr>
        <w:t>nergy Lending Policy on 14 November 2019, which prioritises lending to energy efficiency, renewable energy, new green technologies and new types of energy infrastructure required for the future low carbon energy system. The revised Energy Lending Policy al</w:t>
      </w:r>
      <w:r>
        <w:rPr>
          <w:rFonts w:ascii="Times New Roman" w:hAnsi="Times New Roman"/>
          <w:noProof/>
          <w:sz w:val="24"/>
          <w:szCs w:val="24"/>
          <w:lang w:val="en-GB"/>
        </w:rPr>
        <w:t>so foresees the phasing out of the support to energy projects reliant on fossil fuels after end of 2021, including notably all natural gas infrastructure projects.</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Other International and National Financial Institutions will play an increasing role in fina</w:t>
      </w:r>
      <w:r>
        <w:rPr>
          <w:rFonts w:ascii="Times New Roman" w:hAnsi="Times New Roman"/>
          <w:b/>
          <w:noProof/>
          <w:sz w:val="24"/>
          <w:szCs w:val="24"/>
          <w:lang w:val="en-GB"/>
        </w:rPr>
        <w:t xml:space="preserve">ncing sustainability in line with EU policy objectives. </w:t>
      </w:r>
      <w:r>
        <w:rPr>
          <w:rFonts w:ascii="Times New Roman" w:hAnsi="Times New Roman"/>
          <w:noProof/>
          <w:sz w:val="24"/>
          <w:szCs w:val="24"/>
          <w:lang w:val="en-GB"/>
        </w:rPr>
        <w:t xml:space="preserve"> The Commission will therefore work closely with them to explore how their activities could be aligned more closely with the European Green Deal objectives.</w:t>
      </w:r>
    </w:p>
    <w:tbl>
      <w:tblPr>
        <w:tblStyle w:val="TableGrid"/>
        <w:tblW w:w="0" w:type="auto"/>
        <w:tblLook w:val="04A0" w:firstRow="1" w:lastRow="0" w:firstColumn="1" w:lastColumn="0" w:noHBand="0" w:noVBand="1"/>
      </w:tblPr>
      <w:tblGrid>
        <w:gridCol w:w="9062"/>
      </w:tblGrid>
      <w:tr w:rsidR="002C1206">
        <w:tc>
          <w:tcPr>
            <w:tcW w:w="9062" w:type="dxa"/>
          </w:tcPr>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The Commission will:</w:t>
            </w:r>
          </w:p>
          <w:p w:rsidR="002C1206" w:rsidRDefault="006969C2">
            <w:pPr>
              <w:pStyle w:val="ListParagraph"/>
              <w:numPr>
                <w:ilvl w:val="0"/>
                <w:numId w:val="30"/>
              </w:numPr>
              <w:spacing w:after="240"/>
              <w:rPr>
                <w:rFonts w:ascii="Times New Roman" w:hAnsi="Times New Roman"/>
                <w:b/>
                <w:noProof/>
                <w:sz w:val="24"/>
                <w:szCs w:val="24"/>
                <w:lang w:val="en-GB"/>
              </w:rPr>
            </w:pPr>
            <w:r>
              <w:rPr>
                <w:rFonts w:ascii="Times New Roman" w:hAnsi="Times New Roman"/>
                <w:b/>
                <w:noProof/>
                <w:sz w:val="24"/>
                <w:szCs w:val="24"/>
                <w:lang w:val="en-GB"/>
              </w:rPr>
              <w:t>Ensure that EIB operat</w:t>
            </w:r>
            <w:r>
              <w:rPr>
                <w:rFonts w:ascii="Times New Roman" w:hAnsi="Times New Roman"/>
                <w:b/>
                <w:noProof/>
                <w:sz w:val="24"/>
                <w:szCs w:val="24"/>
                <w:lang w:val="en-GB"/>
              </w:rPr>
              <w:t>ions financed under EU mandates provide high additionality, both in terms of sectors covered and of the risk profile of financed projects. This will be done notably by enhancing the reporting and monitoring system, including the climate-tracking methodolog</w:t>
            </w:r>
            <w:r>
              <w:rPr>
                <w:rFonts w:ascii="Times New Roman" w:hAnsi="Times New Roman"/>
                <w:b/>
                <w:noProof/>
                <w:sz w:val="24"/>
                <w:szCs w:val="24"/>
                <w:lang w:val="en-GB"/>
              </w:rPr>
              <w:t>y.</w:t>
            </w:r>
          </w:p>
          <w:p w:rsidR="002C1206" w:rsidRDefault="006969C2">
            <w:pPr>
              <w:pStyle w:val="ListParagraph"/>
              <w:numPr>
                <w:ilvl w:val="0"/>
                <w:numId w:val="30"/>
              </w:numPr>
              <w:spacing w:after="240"/>
              <w:rPr>
                <w:rFonts w:ascii="Times New Roman" w:hAnsi="Times New Roman"/>
                <w:b/>
                <w:noProof/>
                <w:sz w:val="24"/>
                <w:szCs w:val="24"/>
                <w:lang w:val="en-GB"/>
              </w:rPr>
            </w:pPr>
            <w:r>
              <w:rPr>
                <w:rFonts w:ascii="Times New Roman" w:hAnsi="Times New Roman"/>
                <w:b/>
                <w:noProof/>
                <w:sz w:val="24"/>
                <w:szCs w:val="24"/>
                <w:lang w:val="en-GB"/>
              </w:rPr>
              <w:t>Engage with other International and National Financial Institutions with the aim of aligning their activities more closely with the European Green Deal objectives.</w:t>
            </w:r>
          </w:p>
        </w:tc>
      </w:tr>
    </w:tbl>
    <w:p w:rsidR="002C1206" w:rsidRDefault="006969C2">
      <w:pPr>
        <w:pStyle w:val="Heading1"/>
        <w:spacing w:before="240" w:after="240"/>
        <w:rPr>
          <w:noProof/>
          <w:lang w:val="en-GB"/>
        </w:rPr>
      </w:pPr>
      <w:r>
        <w:rPr>
          <w:noProof/>
          <w:lang w:val="en-GB"/>
        </w:rPr>
        <w:t>Enable: creating a framework for public and private investments to come about.</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w:t>
      </w:r>
      <w:r>
        <w:rPr>
          <w:rFonts w:ascii="Times New Roman" w:hAnsi="Times New Roman"/>
          <w:b/>
          <w:noProof/>
          <w:sz w:val="24"/>
          <w:szCs w:val="24"/>
          <w:lang w:val="en-GB"/>
        </w:rPr>
        <w:t>European Green Deal sets a clear direction for a comprehensive policy framework for the transformation of the EU economy.</w:t>
      </w:r>
      <w:r>
        <w:rPr>
          <w:rFonts w:ascii="Times New Roman" w:hAnsi="Times New Roman"/>
          <w:noProof/>
          <w:sz w:val="24"/>
          <w:szCs w:val="24"/>
          <w:lang w:val="en-GB"/>
        </w:rPr>
        <w:t xml:space="preserve"> The 2050 climate neutrality objective will be enshrined in legislation and the ambition for greenhouse gas emission reductions in 2030</w:t>
      </w:r>
      <w:r>
        <w:rPr>
          <w:rFonts w:ascii="Times New Roman" w:hAnsi="Times New Roman"/>
          <w:noProof/>
          <w:sz w:val="24"/>
          <w:szCs w:val="24"/>
          <w:lang w:val="en-GB"/>
        </w:rPr>
        <w:t xml:space="preserve"> will be raised. The European Green Deal policies will use a mix of regulation and incentives to address externalities and implement the “polluter pays” principle, so that costs for society are reflected in investment decisions. The EU Emissions Trading Sy</w:t>
      </w:r>
      <w:r>
        <w:rPr>
          <w:rFonts w:ascii="Times New Roman" w:hAnsi="Times New Roman"/>
          <w:noProof/>
          <w:sz w:val="24"/>
          <w:szCs w:val="24"/>
          <w:lang w:val="en-GB"/>
        </w:rPr>
        <w:t>stem will be reviewed and will further help to ensure effective carbon pricing. Specific initiatives will address sector-specific regulatory barriers, such as obstacles to the funding and execution of energy efficiency investments in the building sector. C</w:t>
      </w:r>
      <w:r>
        <w:rPr>
          <w:rFonts w:ascii="Times New Roman" w:hAnsi="Times New Roman"/>
          <w:noProof/>
          <w:sz w:val="24"/>
          <w:szCs w:val="24"/>
          <w:lang w:val="en-GB"/>
        </w:rPr>
        <w:t>ompetitive and integrated markets are also necessary to keep costs down and trigger innovation. Similarly, the European Innovation Council under Horizon Europe will contribute to public-private investment in breakthrough innovation in support of the Europe</w:t>
      </w:r>
      <w:r>
        <w:rPr>
          <w:rFonts w:ascii="Times New Roman" w:hAnsi="Times New Roman"/>
          <w:noProof/>
          <w:sz w:val="24"/>
          <w:szCs w:val="24"/>
          <w:lang w:val="en-GB"/>
        </w:rPr>
        <w:t xml:space="preserve">an Green Deal. </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 xml:space="preserve">Within this broader context, the Sustainable Europe Investment Plan will enable the transition through targeted actions in areas that directly touch upon investment decisions of private investors and public entities.  </w:t>
      </w:r>
    </w:p>
    <w:p w:rsidR="002C1206" w:rsidRDefault="006969C2">
      <w:pPr>
        <w:pStyle w:val="Heading2"/>
        <w:spacing w:after="240"/>
        <w:rPr>
          <w:noProof/>
          <w:lang w:val="en-GB"/>
        </w:rPr>
      </w:pPr>
      <w:r>
        <w:rPr>
          <w:noProof/>
          <w:lang w:val="en-GB"/>
        </w:rPr>
        <w:t>Putting sustainable f</w:t>
      </w:r>
      <w:r>
        <w:rPr>
          <w:noProof/>
          <w:lang w:val="en-GB"/>
        </w:rPr>
        <w:t>inance at the heart of the financial system</w:t>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Since private companies and households will have to provide the bulk of the sustainable investments in the next decade, it is crucial to put in place clear long-term signals to guide investors to sustainable inve</w:t>
      </w:r>
      <w:r>
        <w:rPr>
          <w:rFonts w:ascii="Times New Roman" w:hAnsi="Times New Roman"/>
          <w:noProof/>
          <w:sz w:val="24"/>
          <w:szCs w:val="24"/>
          <w:lang w:val="en-GB"/>
        </w:rPr>
        <w:t xml:space="preserve">stment.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In order to address the significant amount of investments needed to reach the EU’s climate and broader sustainability objectives, the Commission proposed in March 2018 the Action Plan on financing sustainable growth</w:t>
      </w:r>
      <w:r>
        <w:rPr>
          <w:rFonts w:ascii="Times New Roman" w:hAnsi="Times New Roman"/>
          <w:noProof/>
          <w:sz w:val="24"/>
          <w:szCs w:val="24"/>
          <w:lang w:val="en-GB"/>
        </w:rPr>
        <w:t>.</w:t>
      </w:r>
      <w:r>
        <w:rPr>
          <w:rStyle w:val="FootnoteReference"/>
          <w:rFonts w:ascii="Times New Roman" w:hAnsi="Times New Roman"/>
          <w:noProof/>
          <w:lang w:val="en-GB"/>
        </w:rPr>
        <w:footnoteReference w:id="9"/>
      </w:r>
      <w:r>
        <w:rPr>
          <w:rFonts w:ascii="Times New Roman" w:hAnsi="Times New Roman"/>
          <w:noProof/>
          <w:sz w:val="24"/>
          <w:szCs w:val="24"/>
          <w:lang w:val="en-GB"/>
        </w:rPr>
        <w:t xml:space="preserve"> Based on this Action Plan</w:t>
      </w:r>
      <w:r>
        <w:rPr>
          <w:rFonts w:ascii="Times New Roman" w:hAnsi="Times New Roman"/>
          <w:b/>
          <w:noProof/>
          <w:sz w:val="24"/>
          <w:szCs w:val="24"/>
          <w:lang w:val="en-GB"/>
        </w:rPr>
        <w:t xml:space="preserve">, </w:t>
      </w:r>
      <w:r>
        <w:rPr>
          <w:rFonts w:ascii="Times New Roman" w:hAnsi="Times New Roman"/>
          <w:noProof/>
          <w:sz w:val="24"/>
          <w:szCs w:val="24"/>
          <w:lang w:val="en-GB"/>
        </w:rPr>
        <w:t>wh</w:t>
      </w:r>
      <w:r>
        <w:rPr>
          <w:rFonts w:ascii="Times New Roman" w:hAnsi="Times New Roman"/>
          <w:noProof/>
          <w:sz w:val="24"/>
          <w:szCs w:val="24"/>
          <w:lang w:val="en-GB"/>
        </w:rPr>
        <w:t>ich contributes to building a Capital Market Union,</w:t>
      </w:r>
      <w:r>
        <w:rPr>
          <w:rFonts w:ascii="Times New Roman" w:hAnsi="Times New Roman"/>
          <w:b/>
          <w:noProof/>
          <w:sz w:val="24"/>
          <w:szCs w:val="24"/>
          <w:lang w:val="en-GB"/>
        </w:rPr>
        <w:t xml:space="preserve"> </w:t>
      </w:r>
      <w:r>
        <w:rPr>
          <w:rFonts w:ascii="Times New Roman" w:hAnsi="Times New Roman"/>
          <w:noProof/>
          <w:sz w:val="24"/>
          <w:szCs w:val="24"/>
          <w:lang w:val="en-GB"/>
        </w:rPr>
        <w:t xml:space="preserve">important foundations for conducive frameworks to mobilise finance for sustainable investments have been put in place. This is the case notably of the EU taxonomy, of disclosures on sustainability by the </w:t>
      </w:r>
      <w:r>
        <w:rPr>
          <w:rFonts w:ascii="Times New Roman" w:hAnsi="Times New Roman"/>
          <w:noProof/>
          <w:sz w:val="24"/>
          <w:szCs w:val="24"/>
          <w:lang w:val="en-GB"/>
        </w:rPr>
        <w:t>financial sector, as well as of climate benchmarks. Through international co-operation, e.g. via the International Platform on Sustainable Finance, the EU is promoting coherent approaches and an enhanced impact of sustainable finance globally.</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Commissi</w:t>
      </w:r>
      <w:r>
        <w:rPr>
          <w:rFonts w:ascii="Times New Roman" w:hAnsi="Times New Roman"/>
          <w:b/>
          <w:noProof/>
          <w:sz w:val="24"/>
          <w:szCs w:val="24"/>
          <w:lang w:val="en-GB"/>
        </w:rPr>
        <w:t>on welcomes in particular the recent political agreement by co-legislators on the Regulation establishing a framework to facilitate sustainable investment (EU taxonomy), to be</w:t>
      </w:r>
      <w:r>
        <w:rPr>
          <w:rFonts w:ascii="Times New Roman" w:hAnsi="Times New Roman"/>
          <w:noProof/>
          <w:sz w:val="24"/>
          <w:szCs w:val="24"/>
          <w:lang w:val="en-GB"/>
        </w:rPr>
        <w:t xml:space="preserve"> </w:t>
      </w:r>
      <w:r>
        <w:rPr>
          <w:rFonts w:ascii="Times New Roman" w:hAnsi="Times New Roman"/>
          <w:b/>
          <w:noProof/>
          <w:sz w:val="24"/>
          <w:szCs w:val="24"/>
          <w:lang w:val="en-GB"/>
        </w:rPr>
        <w:t>further specified through delegated acts adopted by the Commission.</w:t>
      </w:r>
      <w:r>
        <w:rPr>
          <w:rFonts w:ascii="Times New Roman" w:hAnsi="Times New Roman"/>
          <w:noProof/>
          <w:sz w:val="24"/>
          <w:szCs w:val="24"/>
          <w:lang w:val="en-GB"/>
        </w:rPr>
        <w:t xml:space="preserve"> The EU Taxon</w:t>
      </w:r>
      <w:r>
        <w:rPr>
          <w:rFonts w:ascii="Times New Roman" w:hAnsi="Times New Roman"/>
          <w:noProof/>
          <w:sz w:val="24"/>
          <w:szCs w:val="24"/>
          <w:lang w:val="en-GB"/>
        </w:rPr>
        <w:t xml:space="preserve">omy will determine whether an economic activity is environmentally sustainable, based on performance criteria for its contribution to at least one of the six environmental objectives.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Commission will also explore how the EU taxonomy can be used in the</w:t>
      </w:r>
      <w:r>
        <w:rPr>
          <w:rFonts w:ascii="Times New Roman" w:hAnsi="Times New Roman"/>
          <w:b/>
          <w:noProof/>
          <w:sz w:val="24"/>
          <w:szCs w:val="24"/>
          <w:lang w:val="en-GB"/>
        </w:rPr>
        <w:t xml:space="preserve"> context of the European Green Deal by the public sector, beyond InvestEU</w:t>
      </w:r>
      <w:r>
        <w:rPr>
          <w:rFonts w:ascii="Times New Roman" w:hAnsi="Times New Roman"/>
          <w:noProof/>
          <w:sz w:val="24"/>
          <w:szCs w:val="24"/>
          <w:lang w:val="en-GB"/>
        </w:rPr>
        <w:t xml:space="preserve">. While initially designed for private investors, the taxonomy – once sufficiently developed – could also be used by public sector entities. It is important that there is convergence </w:t>
      </w:r>
      <w:r>
        <w:rPr>
          <w:rFonts w:ascii="Times New Roman" w:hAnsi="Times New Roman"/>
          <w:noProof/>
          <w:sz w:val="24"/>
          <w:szCs w:val="24"/>
          <w:lang w:val="en-GB"/>
        </w:rPr>
        <w:t xml:space="preserve">of standards between the private sector and the public banks/entities, for example the European Investment Bank. </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Building on the 2018 Action Plan and in light of the European Green Deal, the Commission will present a renewed strategy for sustainable finan</w:t>
      </w:r>
      <w:r>
        <w:rPr>
          <w:rFonts w:ascii="Times New Roman" w:hAnsi="Times New Roman"/>
          <w:b/>
          <w:noProof/>
          <w:sz w:val="24"/>
          <w:szCs w:val="24"/>
          <w:lang w:val="en-GB"/>
        </w:rPr>
        <w:t>ce in the third quarter of 2020, aiming at scaling up sustainable finance even further</w:t>
      </w:r>
      <w:r>
        <w:rPr>
          <w:rFonts w:ascii="Times New Roman" w:hAnsi="Times New Roman"/>
          <w:noProof/>
          <w:sz w:val="24"/>
          <w:szCs w:val="24"/>
          <w:lang w:val="en-GB"/>
        </w:rPr>
        <w:t>. Companies will need to increase their disclosure of climate and environmental data so that investors are fully informed about sustainable investment opportunities and c</w:t>
      </w:r>
      <w:r>
        <w:rPr>
          <w:rFonts w:ascii="Times New Roman" w:hAnsi="Times New Roman"/>
          <w:noProof/>
          <w:sz w:val="24"/>
          <w:szCs w:val="24"/>
          <w:lang w:val="en-GB"/>
        </w:rPr>
        <w:t>an better direct their investment in support of the Green Deal. To this end, the Commission will review the Non-Financial Reporting Directive. Furthermore, the renewed strategy will further increase investment opportunities by facilitating the identificati</w:t>
      </w:r>
      <w:r>
        <w:rPr>
          <w:rFonts w:ascii="Times New Roman" w:hAnsi="Times New Roman"/>
          <w:noProof/>
          <w:sz w:val="24"/>
          <w:szCs w:val="24"/>
          <w:lang w:val="en-GB"/>
        </w:rPr>
        <w:t>on of sustainable investments through clear labels for a variety of sustainable investment products and by developing and implementing an EU green bond standard.</w:t>
      </w:r>
      <w:r>
        <w:rPr>
          <w:rFonts w:ascii="Times New Roman" w:hAnsi="Times New Roman"/>
          <w:b/>
          <w:noProof/>
          <w:sz w:val="24"/>
          <w:szCs w:val="24"/>
          <w:lang w:val="en-GB"/>
        </w:rPr>
        <w:t xml:space="preserve"> </w:t>
      </w:r>
    </w:p>
    <w:tbl>
      <w:tblPr>
        <w:tblStyle w:val="TableGrid"/>
        <w:tblW w:w="0" w:type="auto"/>
        <w:tblLook w:val="04A0" w:firstRow="1" w:lastRow="0" w:firstColumn="1" w:lastColumn="0" w:noHBand="0" w:noVBand="1"/>
      </w:tblPr>
      <w:tblGrid>
        <w:gridCol w:w="9062"/>
      </w:tblGrid>
      <w:tr w:rsidR="002C1206">
        <w:tc>
          <w:tcPr>
            <w:tcW w:w="9062" w:type="dxa"/>
          </w:tcPr>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 xml:space="preserve">The Commission will: </w:t>
            </w:r>
          </w:p>
          <w:p w:rsidR="002C1206" w:rsidRDefault="006969C2">
            <w:pPr>
              <w:numPr>
                <w:ilvl w:val="0"/>
                <w:numId w:val="30"/>
              </w:numPr>
              <w:spacing w:after="240"/>
              <w:rPr>
                <w:rFonts w:ascii="Times New Roman" w:hAnsi="Times New Roman"/>
                <w:b/>
                <w:noProof/>
                <w:sz w:val="24"/>
                <w:szCs w:val="24"/>
                <w:lang w:val="en-GB"/>
              </w:rPr>
            </w:pPr>
            <w:r>
              <w:rPr>
                <w:rFonts w:ascii="Times New Roman" w:hAnsi="Times New Roman"/>
                <w:b/>
                <w:noProof/>
                <w:sz w:val="24"/>
                <w:szCs w:val="24"/>
                <w:lang w:val="en-GB"/>
              </w:rPr>
              <w:t xml:space="preserve">Prepare in 2020 the delegated acts on the climate change objectives of </w:t>
            </w:r>
            <w:r>
              <w:rPr>
                <w:rFonts w:ascii="Times New Roman" w:hAnsi="Times New Roman"/>
                <w:b/>
                <w:noProof/>
                <w:sz w:val="24"/>
                <w:szCs w:val="24"/>
                <w:lang w:val="en-GB"/>
              </w:rPr>
              <w:t>the EU Taxonomy in 2020 and the delegated acts on the other environmental objectives of the EU taxonomy by the end of 2021.</w:t>
            </w:r>
          </w:p>
          <w:p w:rsidR="002C1206" w:rsidRDefault="006969C2">
            <w:pPr>
              <w:numPr>
                <w:ilvl w:val="0"/>
                <w:numId w:val="30"/>
              </w:numPr>
              <w:spacing w:after="240"/>
              <w:rPr>
                <w:rFonts w:ascii="Times New Roman" w:hAnsi="Times New Roman"/>
                <w:b/>
                <w:noProof/>
                <w:sz w:val="24"/>
                <w:szCs w:val="24"/>
                <w:lang w:val="en-GB"/>
              </w:rPr>
            </w:pPr>
            <w:r>
              <w:rPr>
                <w:rFonts w:ascii="Times New Roman" w:hAnsi="Times New Roman"/>
                <w:b/>
                <w:noProof/>
                <w:sz w:val="24"/>
                <w:szCs w:val="24"/>
                <w:lang w:val="en-GB"/>
              </w:rPr>
              <w:t>Explore how the EU taxonomy can be used in the context of the European Green Deal by the public sector, beyond InvestEU.</w:t>
            </w:r>
          </w:p>
          <w:p w:rsidR="002C1206" w:rsidRDefault="006969C2">
            <w:pPr>
              <w:numPr>
                <w:ilvl w:val="0"/>
                <w:numId w:val="30"/>
              </w:numPr>
              <w:spacing w:after="240"/>
              <w:rPr>
                <w:rFonts w:ascii="Times New Roman" w:hAnsi="Times New Roman"/>
                <w:b/>
                <w:noProof/>
                <w:sz w:val="24"/>
                <w:szCs w:val="24"/>
                <w:lang w:val="en-GB"/>
              </w:rPr>
            </w:pPr>
            <w:r>
              <w:rPr>
                <w:rFonts w:ascii="Times New Roman" w:hAnsi="Times New Roman"/>
                <w:b/>
                <w:noProof/>
                <w:sz w:val="24"/>
                <w:szCs w:val="24"/>
                <w:lang w:val="en-GB"/>
              </w:rPr>
              <w:t>Launch a pu</w:t>
            </w:r>
            <w:r>
              <w:rPr>
                <w:rFonts w:ascii="Times New Roman" w:hAnsi="Times New Roman"/>
                <w:b/>
                <w:noProof/>
                <w:sz w:val="24"/>
                <w:szCs w:val="24"/>
                <w:lang w:val="en-GB"/>
              </w:rPr>
              <w:t xml:space="preserve">blic consultation on a renewed sustainable finance strategy in the first quarter of 2020 with the view to presenting a renewed strategy in the third quarter of 2020. </w:t>
            </w:r>
          </w:p>
          <w:p w:rsidR="002C1206" w:rsidRDefault="006969C2">
            <w:pPr>
              <w:numPr>
                <w:ilvl w:val="0"/>
                <w:numId w:val="30"/>
              </w:numPr>
              <w:spacing w:after="240"/>
              <w:rPr>
                <w:rFonts w:ascii="Times New Roman" w:hAnsi="Times New Roman"/>
                <w:b/>
                <w:noProof/>
                <w:sz w:val="24"/>
                <w:szCs w:val="24"/>
                <w:lang w:val="en-GB"/>
              </w:rPr>
            </w:pPr>
            <w:r>
              <w:rPr>
                <w:rFonts w:ascii="Times New Roman" w:hAnsi="Times New Roman"/>
                <w:b/>
                <w:noProof/>
                <w:sz w:val="24"/>
                <w:szCs w:val="24"/>
                <w:lang w:val="en-GB"/>
              </w:rPr>
              <w:t>Establish an EU Green Bond Standard, in 2020 and explore how this standard, as well as ot</w:t>
            </w:r>
            <w:r>
              <w:rPr>
                <w:rFonts w:ascii="Times New Roman" w:hAnsi="Times New Roman"/>
                <w:b/>
                <w:noProof/>
                <w:sz w:val="24"/>
                <w:szCs w:val="24"/>
                <w:lang w:val="en-GB"/>
              </w:rPr>
              <w:t>her enabling frameworks, can increase public and private finance for sustainable investments.</w:t>
            </w:r>
          </w:p>
        </w:tc>
      </w:tr>
    </w:tbl>
    <w:p w:rsidR="002C1206" w:rsidRDefault="002C1206">
      <w:pPr>
        <w:spacing w:after="240"/>
        <w:jc w:val="both"/>
        <w:rPr>
          <w:rFonts w:ascii="Times New Roman" w:hAnsi="Times New Roman"/>
          <w:noProof/>
          <w:sz w:val="24"/>
          <w:szCs w:val="24"/>
          <w:lang w:val="en-GB"/>
        </w:rPr>
      </w:pPr>
    </w:p>
    <w:p w:rsidR="002C1206" w:rsidRDefault="006969C2">
      <w:pPr>
        <w:pStyle w:val="Heading2"/>
        <w:spacing w:after="240"/>
        <w:rPr>
          <w:noProof/>
          <w:lang w:val="en-GB"/>
        </w:rPr>
      </w:pPr>
      <w:r>
        <w:rPr>
          <w:noProof/>
          <w:lang w:val="en-GB"/>
        </w:rPr>
        <w:t xml:space="preserve">Providing the public sector with guidance and appropriate means for making sustainable investments </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Public actors are the main investors in certain sectors, esp</w:t>
      </w:r>
      <w:r>
        <w:rPr>
          <w:rFonts w:ascii="Times New Roman" w:hAnsi="Times New Roman"/>
          <w:b/>
          <w:noProof/>
          <w:sz w:val="24"/>
          <w:szCs w:val="24"/>
          <w:lang w:val="en-GB"/>
        </w:rPr>
        <w:t>ecially infrastructure and public services.</w:t>
      </w:r>
      <w:r>
        <w:rPr>
          <w:rFonts w:ascii="Times New Roman" w:hAnsi="Times New Roman"/>
          <w:noProof/>
          <w:sz w:val="24"/>
          <w:szCs w:val="24"/>
          <w:lang w:val="en-GB"/>
        </w:rPr>
        <w:t xml:space="preserve"> In many cases, public authorities need to play a guiding and coordinating role for sustainable investments. Public authorities may also need to invest when market actors cannot step in, in particular</w:t>
      </w:r>
      <w:r>
        <w:rPr>
          <w:rFonts w:ascii="Times New Roman" w:hAnsi="Times New Roman"/>
          <w:b/>
          <w:noProof/>
          <w:sz w:val="24"/>
          <w:szCs w:val="24"/>
          <w:lang w:val="en-GB"/>
        </w:rPr>
        <w:t xml:space="preserve"> </w:t>
      </w:r>
      <w:r>
        <w:rPr>
          <w:rFonts w:ascii="Times New Roman" w:hAnsi="Times New Roman"/>
          <w:noProof/>
          <w:sz w:val="24"/>
          <w:szCs w:val="24"/>
          <w:lang w:val="en-GB"/>
        </w:rPr>
        <w:t>when the soc</w:t>
      </w:r>
      <w:r>
        <w:rPr>
          <w:rFonts w:ascii="Times New Roman" w:hAnsi="Times New Roman"/>
          <w:noProof/>
          <w:sz w:val="24"/>
          <w:szCs w:val="24"/>
          <w:lang w:val="en-GB"/>
        </w:rPr>
        <w:t>ial and environmental benefits are not reflected in private returns, or when projects are considered too risky. Where these investments often have a cross-border nature and spill-over effects across Member States, the Commission needs to play a coordinatin</w:t>
      </w:r>
      <w:r>
        <w:rPr>
          <w:rFonts w:ascii="Times New Roman" w:hAnsi="Times New Roman"/>
          <w:noProof/>
          <w:sz w:val="24"/>
          <w:szCs w:val="24"/>
          <w:lang w:val="en-GB"/>
        </w:rPr>
        <w:t>g role at the EU level.</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 xml:space="preserve">The European Semester provides a well-established framework for the coordination of economic and employment policies that will facilitate the necessary investment for the green transformation from the EU and its Member States. </w:t>
      </w:r>
      <w:r>
        <w:rPr>
          <w:rFonts w:ascii="Times New Roman" w:hAnsi="Times New Roman"/>
          <w:noProof/>
          <w:sz w:val="24"/>
          <w:szCs w:val="24"/>
          <w:lang w:val="en-GB"/>
        </w:rPr>
        <w:t>The S</w:t>
      </w:r>
      <w:r>
        <w:rPr>
          <w:rFonts w:ascii="Times New Roman" w:hAnsi="Times New Roman"/>
          <w:noProof/>
          <w:sz w:val="24"/>
          <w:szCs w:val="24"/>
          <w:lang w:val="en-GB"/>
        </w:rPr>
        <w:t>emester contributes to the identification of investment priorities and barriers in each Member State. The country reports will match the available sources of financing through EU funds with the country-specific challenges identified in the reports, among o</w:t>
      </w:r>
      <w:r>
        <w:rPr>
          <w:rFonts w:ascii="Times New Roman" w:hAnsi="Times New Roman"/>
          <w:noProof/>
          <w:sz w:val="24"/>
          <w:szCs w:val="24"/>
          <w:lang w:val="en-GB"/>
        </w:rPr>
        <w:t xml:space="preserve">thers in view of climate, environmental and social policy objectives. A joint effort between the EU and its Member States should ensure that the investments are directed to the most sustainable projects.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Commission will work with the Member States to </w:t>
      </w:r>
      <w:r>
        <w:rPr>
          <w:rFonts w:ascii="Times New Roman" w:hAnsi="Times New Roman"/>
          <w:b/>
          <w:noProof/>
          <w:sz w:val="24"/>
          <w:szCs w:val="24"/>
          <w:lang w:val="en-GB"/>
        </w:rPr>
        <w:t>screen and benchmark green budgeting practices</w:t>
      </w:r>
      <w:r>
        <w:rPr>
          <w:rFonts w:ascii="Times New Roman" w:hAnsi="Times New Roman"/>
          <w:noProof/>
          <w:sz w:val="24"/>
          <w:szCs w:val="24"/>
          <w:lang w:val="en-GB"/>
        </w:rPr>
        <w:t>. This will make it easier to assess to what extent annual budgets and medium-term fiscal plans take environmental considerations and risks into account, and learn from best practices. The review of the Europea</w:t>
      </w:r>
      <w:r>
        <w:rPr>
          <w:rFonts w:ascii="Times New Roman" w:hAnsi="Times New Roman"/>
          <w:noProof/>
          <w:sz w:val="24"/>
          <w:szCs w:val="24"/>
          <w:lang w:val="en-GB"/>
        </w:rPr>
        <w:t>n economic governance framework will include a reference to sustainable public investment in the context of the quality of public finance. This will inform a debate on how to improve EU fiscal governance. The outcome of the debate will form the basis for a</w:t>
      </w:r>
      <w:r>
        <w:rPr>
          <w:rFonts w:ascii="Times New Roman" w:hAnsi="Times New Roman"/>
          <w:noProof/>
          <w:sz w:val="24"/>
          <w:szCs w:val="24"/>
          <w:lang w:val="en-GB"/>
        </w:rPr>
        <w:t xml:space="preserve">ny possible future steps including how to treat sustainable investments within EU fiscal rules, while preserving safeguards against risks to debt sustainability.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Commission will propose minimum mandatory green criteria or targets for public procurements in sectorial initiatives, EU funding or product-specific legislation. </w:t>
      </w:r>
      <w:r>
        <w:rPr>
          <w:rFonts w:ascii="Times New Roman" w:hAnsi="Times New Roman"/>
          <w:noProof/>
          <w:sz w:val="24"/>
          <w:szCs w:val="24"/>
          <w:lang w:val="en-GB"/>
        </w:rPr>
        <w:t>Such minimum criteria will ‘de facto’ set a common definition of what a ‘green purchase’ i</w:t>
      </w:r>
      <w:r>
        <w:rPr>
          <w:rFonts w:ascii="Times New Roman" w:hAnsi="Times New Roman"/>
          <w:noProof/>
          <w:sz w:val="24"/>
          <w:szCs w:val="24"/>
          <w:lang w:val="en-GB"/>
        </w:rPr>
        <w:t>s, allowing collection of comparable data from public buyers, and setting the basis for assessing the impact of green public procurements. Public authorities across Europe will be encouraged to integrate green criteria and use labels in their procurements.</w:t>
      </w:r>
      <w:r>
        <w:rPr>
          <w:rFonts w:ascii="Times New Roman" w:hAnsi="Times New Roman"/>
          <w:noProof/>
          <w:sz w:val="24"/>
          <w:szCs w:val="24"/>
          <w:lang w:val="en-GB"/>
        </w:rPr>
        <w:t xml:space="preserve"> The Commission will support these efforts with guidance, training activities and the dissemination of good practices. At the same time, life-cycle-costing methodologies should be applied by public buyers whenever possible. The Commission calls on all play</w:t>
      </w:r>
      <w:r>
        <w:rPr>
          <w:rFonts w:ascii="Times New Roman" w:hAnsi="Times New Roman"/>
          <w:noProof/>
          <w:sz w:val="24"/>
          <w:szCs w:val="24"/>
          <w:lang w:val="en-GB"/>
        </w:rPr>
        <w:t xml:space="preserve">ers, including industry, to develop such reliable methodologies.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energy efficiency first principle should be applied to ensure that energy efficiency is taken into account wherever relevant. </w:t>
      </w:r>
      <w:r>
        <w:rPr>
          <w:rFonts w:ascii="Times New Roman" w:hAnsi="Times New Roman"/>
          <w:noProof/>
          <w:sz w:val="24"/>
          <w:szCs w:val="24"/>
          <w:lang w:val="en-GB"/>
        </w:rPr>
        <w:t xml:space="preserve">This would also help avoid waste of resources linked to the </w:t>
      </w:r>
      <w:r>
        <w:rPr>
          <w:rFonts w:ascii="Times New Roman" w:hAnsi="Times New Roman"/>
          <w:noProof/>
          <w:sz w:val="24"/>
          <w:szCs w:val="24"/>
          <w:lang w:val="en-GB"/>
        </w:rPr>
        <w:t>generation, transmission, distribution and use of energy that is actually not needed. The Commission will provide guidance on how to apply this principle.</w:t>
      </w:r>
    </w:p>
    <w:tbl>
      <w:tblPr>
        <w:tblStyle w:val="TableGrid"/>
        <w:tblW w:w="0" w:type="auto"/>
        <w:tblLook w:val="04A0" w:firstRow="1" w:lastRow="0" w:firstColumn="1" w:lastColumn="0" w:noHBand="0" w:noVBand="1"/>
      </w:tblPr>
      <w:tblGrid>
        <w:gridCol w:w="9062"/>
      </w:tblGrid>
      <w:tr w:rsidR="002C1206">
        <w:tc>
          <w:tcPr>
            <w:tcW w:w="9062" w:type="dxa"/>
          </w:tcPr>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The Commission will:</w:t>
            </w:r>
          </w:p>
          <w:p w:rsidR="002C1206" w:rsidRDefault="006969C2">
            <w:pPr>
              <w:pStyle w:val="ListParagraph"/>
              <w:numPr>
                <w:ilvl w:val="0"/>
                <w:numId w:val="31"/>
              </w:numPr>
              <w:spacing w:after="240"/>
              <w:rPr>
                <w:rFonts w:ascii="Times New Roman" w:hAnsi="Times New Roman"/>
                <w:b/>
                <w:noProof/>
                <w:sz w:val="24"/>
                <w:szCs w:val="24"/>
                <w:lang w:val="en-GB"/>
              </w:rPr>
            </w:pPr>
            <w:r>
              <w:rPr>
                <w:rFonts w:ascii="Times New Roman" w:hAnsi="Times New Roman"/>
                <w:b/>
                <w:noProof/>
                <w:sz w:val="24"/>
                <w:szCs w:val="24"/>
                <w:lang w:val="en-GB"/>
              </w:rPr>
              <w:t xml:space="preserve">Include environmental sustainability as an integral part of the country reports </w:t>
            </w:r>
            <w:r>
              <w:rPr>
                <w:rFonts w:ascii="Times New Roman" w:hAnsi="Times New Roman"/>
                <w:b/>
                <w:noProof/>
                <w:sz w:val="24"/>
                <w:szCs w:val="24"/>
                <w:lang w:val="en-GB"/>
              </w:rPr>
              <w:t>under the European Semester as of this year.</w:t>
            </w:r>
          </w:p>
          <w:p w:rsidR="002C1206" w:rsidRDefault="006969C2">
            <w:pPr>
              <w:pStyle w:val="ListParagraph"/>
              <w:numPr>
                <w:ilvl w:val="0"/>
                <w:numId w:val="31"/>
              </w:numPr>
              <w:spacing w:after="240"/>
              <w:rPr>
                <w:rFonts w:ascii="Times New Roman" w:hAnsi="Times New Roman"/>
                <w:b/>
                <w:noProof/>
                <w:sz w:val="24"/>
                <w:szCs w:val="24"/>
                <w:lang w:val="en-GB"/>
              </w:rPr>
            </w:pPr>
            <w:r>
              <w:rPr>
                <w:rFonts w:ascii="Times New Roman" w:hAnsi="Times New Roman"/>
                <w:b/>
                <w:noProof/>
                <w:sz w:val="24"/>
                <w:szCs w:val="24"/>
                <w:lang w:val="en-GB"/>
              </w:rPr>
              <w:t>Help Member States identifying their sustainable investment needs and possibilities for funding them each year as of 2020.</w:t>
            </w:r>
          </w:p>
          <w:p w:rsidR="002C1206" w:rsidRDefault="006969C2">
            <w:pPr>
              <w:pStyle w:val="ListParagraph"/>
              <w:numPr>
                <w:ilvl w:val="0"/>
                <w:numId w:val="31"/>
              </w:numPr>
              <w:spacing w:after="240"/>
              <w:rPr>
                <w:rFonts w:ascii="Times New Roman" w:hAnsi="Times New Roman"/>
                <w:b/>
                <w:noProof/>
                <w:sz w:val="24"/>
                <w:szCs w:val="24"/>
                <w:lang w:val="en-GB"/>
              </w:rPr>
            </w:pPr>
            <w:r>
              <w:rPr>
                <w:rFonts w:ascii="Times New Roman" w:hAnsi="Times New Roman"/>
                <w:b/>
                <w:noProof/>
                <w:sz w:val="24"/>
                <w:szCs w:val="24"/>
                <w:lang w:val="en-GB"/>
              </w:rPr>
              <w:t>In cooperation with Member States screen and benchmark green budgeting practices.</w:t>
            </w:r>
          </w:p>
          <w:p w:rsidR="002C1206" w:rsidRDefault="006969C2">
            <w:pPr>
              <w:pStyle w:val="ListParagraph"/>
              <w:numPr>
                <w:ilvl w:val="0"/>
                <w:numId w:val="31"/>
              </w:numPr>
              <w:spacing w:after="240"/>
              <w:rPr>
                <w:rFonts w:ascii="Times New Roman" w:hAnsi="Times New Roman"/>
                <w:b/>
                <w:noProof/>
                <w:sz w:val="24"/>
                <w:szCs w:val="24"/>
                <w:lang w:val="en-GB"/>
              </w:rPr>
            </w:pPr>
            <w:r>
              <w:rPr>
                <w:rFonts w:ascii="Times New Roman" w:hAnsi="Times New Roman"/>
                <w:b/>
                <w:noProof/>
                <w:sz w:val="24"/>
                <w:szCs w:val="24"/>
                <w:lang w:val="en-GB"/>
              </w:rPr>
              <w:t>Propos</w:t>
            </w:r>
            <w:r>
              <w:rPr>
                <w:rFonts w:ascii="Times New Roman" w:hAnsi="Times New Roman"/>
                <w:b/>
                <w:noProof/>
                <w:sz w:val="24"/>
                <w:szCs w:val="24"/>
                <w:lang w:val="en-GB"/>
              </w:rPr>
              <w:t>e further legislation and guidance to green public procurement.</w:t>
            </w:r>
          </w:p>
          <w:p w:rsidR="002C1206" w:rsidRDefault="006969C2">
            <w:pPr>
              <w:pStyle w:val="ListParagraph"/>
              <w:numPr>
                <w:ilvl w:val="0"/>
                <w:numId w:val="31"/>
              </w:numPr>
              <w:spacing w:after="240"/>
              <w:rPr>
                <w:rFonts w:ascii="Times New Roman" w:hAnsi="Times New Roman"/>
                <w:b/>
                <w:noProof/>
                <w:sz w:val="24"/>
                <w:szCs w:val="24"/>
                <w:lang w:val="en-GB"/>
              </w:rPr>
            </w:pPr>
            <w:r>
              <w:rPr>
                <w:rFonts w:ascii="Times New Roman" w:hAnsi="Times New Roman"/>
                <w:b/>
                <w:noProof/>
                <w:sz w:val="24"/>
                <w:szCs w:val="24"/>
                <w:lang w:val="en-GB"/>
              </w:rPr>
              <w:t xml:space="preserve">Provide guidance on the application of the energy efficiency first principle as part of the investment decisions. </w:t>
            </w:r>
          </w:p>
        </w:tc>
      </w:tr>
    </w:tbl>
    <w:p w:rsidR="002C1206" w:rsidRDefault="002C1206">
      <w:pPr>
        <w:spacing w:after="240"/>
        <w:jc w:val="both"/>
        <w:rPr>
          <w:rFonts w:ascii="Times New Roman" w:hAnsi="Times New Roman"/>
          <w:noProof/>
          <w:sz w:val="24"/>
          <w:szCs w:val="24"/>
          <w:lang w:val="en-GB"/>
        </w:rPr>
      </w:pPr>
    </w:p>
    <w:p w:rsidR="002C1206" w:rsidRDefault="006969C2">
      <w:pPr>
        <w:pStyle w:val="Heading2"/>
        <w:spacing w:after="240"/>
        <w:rPr>
          <w:noProof/>
          <w:lang w:val="en-GB"/>
        </w:rPr>
      </w:pPr>
      <w:r>
        <w:rPr>
          <w:noProof/>
          <w:lang w:val="en-GB"/>
        </w:rPr>
        <w:t xml:space="preserve">Enabling sustainable investments through a supportive State Aid framework.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relevant State aid rules will be revised by 2021 in light of the policy objectives of the European Green Deal and support a cost-effective and socially-inclusive transition to climate neutrality by 2050.</w:t>
      </w:r>
      <w:r>
        <w:rPr>
          <w:rFonts w:ascii="Times New Roman" w:hAnsi="Times New Roman"/>
          <w:noProof/>
          <w:sz w:val="24"/>
          <w:szCs w:val="24"/>
          <w:lang w:val="en-GB"/>
        </w:rPr>
        <w:t xml:space="preserve"> State aid rules will be revised to provide a cl</w:t>
      </w:r>
      <w:r>
        <w:rPr>
          <w:rFonts w:ascii="Times New Roman" w:hAnsi="Times New Roman"/>
          <w:noProof/>
          <w:sz w:val="24"/>
          <w:szCs w:val="24"/>
          <w:lang w:val="en-GB"/>
        </w:rPr>
        <w:t xml:space="preserve">ear, fully updated and fit-for-purpose enabling framework for public authorities to reach these objectives, while making the most efficient use of limited public funds. State aid rules will support the transition by fostering the right types of investment </w:t>
      </w:r>
      <w:r>
        <w:rPr>
          <w:rFonts w:ascii="Times New Roman" w:hAnsi="Times New Roman"/>
          <w:noProof/>
          <w:sz w:val="24"/>
          <w:szCs w:val="24"/>
          <w:lang w:val="en-GB"/>
        </w:rPr>
        <w:t>and aid amounts. They will encourage innovation and the deployment of new, climate-friendly technology at market scale. As part of this, the Commission will also consider further procedural facilitation to approve State aid for just transition regions. The</w:t>
      </w:r>
      <w:r>
        <w:rPr>
          <w:rFonts w:ascii="Times New Roman" w:hAnsi="Times New Roman"/>
          <w:noProof/>
          <w:sz w:val="24"/>
          <w:szCs w:val="24"/>
          <w:lang w:val="en-GB"/>
        </w:rPr>
        <w:t xml:space="preserve">y will also facilitate the phasing out of fossil fuels, in particular those that are most polluting, thus ensuring a level-playing field in the internal market. This will include, in particular, the Environmental and Energy State aid guidelines.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Pending t</w:t>
      </w:r>
      <w:r>
        <w:rPr>
          <w:rFonts w:ascii="Times New Roman" w:hAnsi="Times New Roman"/>
          <w:b/>
          <w:noProof/>
          <w:sz w:val="24"/>
          <w:szCs w:val="24"/>
          <w:lang w:val="en-GB"/>
        </w:rPr>
        <w:t xml:space="preserve">he revision, Member States can continue to use the flexibility provided under existing rules to achieve their 2030 targets and the further decarbonisation of the electricity sector and the economy by 2050. </w:t>
      </w:r>
      <w:r>
        <w:rPr>
          <w:rFonts w:ascii="Times New Roman" w:hAnsi="Times New Roman"/>
          <w:noProof/>
          <w:sz w:val="24"/>
          <w:szCs w:val="24"/>
          <w:lang w:val="en-GB"/>
        </w:rPr>
        <w:t>For example, they can choose to increase public in</w:t>
      </w:r>
      <w:r>
        <w:rPr>
          <w:rFonts w:ascii="Times New Roman" w:hAnsi="Times New Roman"/>
          <w:noProof/>
          <w:sz w:val="24"/>
          <w:szCs w:val="24"/>
          <w:lang w:val="en-GB"/>
        </w:rPr>
        <w:t>vestments in renewable electricity schemes for cheaper and more integrated green energy, the roll-out of cheaper and publicly accessible charging infrastructure or circular economy schemes such as the reuse of waste heat or recycling of waste.</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Similarly, M</w:t>
      </w:r>
      <w:r>
        <w:rPr>
          <w:rFonts w:ascii="Times New Roman" w:hAnsi="Times New Roman"/>
          <w:b/>
          <w:noProof/>
          <w:sz w:val="24"/>
          <w:szCs w:val="24"/>
          <w:lang w:val="en-GB"/>
        </w:rPr>
        <w:t xml:space="preserve">ember States can continue to rely on existing State aid rules to alleviate the social and regional consequences from decarbonisation measures. </w:t>
      </w:r>
      <w:r>
        <w:rPr>
          <w:rFonts w:ascii="Times New Roman" w:hAnsi="Times New Roman"/>
          <w:noProof/>
          <w:sz w:val="24"/>
          <w:szCs w:val="24"/>
          <w:lang w:val="en-GB"/>
        </w:rPr>
        <w:t>For example, they can choose to support workers affected by the closure of coal mines, invest in small and medium</w:t>
      </w:r>
      <w:r>
        <w:rPr>
          <w:rFonts w:ascii="Times New Roman" w:hAnsi="Times New Roman"/>
          <w:noProof/>
          <w:sz w:val="24"/>
          <w:szCs w:val="24"/>
          <w:lang w:val="en-GB"/>
        </w:rPr>
        <w:t>-sized enterprises and start-ups, or in the up- and reskilling of workers. For key enabling technologies and breakthrough innovation, Member States can pool their funds to unlock significant private investments to make important projects of common European</w:t>
      </w:r>
      <w:r>
        <w:rPr>
          <w:rFonts w:ascii="Times New Roman" w:hAnsi="Times New Roman"/>
          <w:noProof/>
          <w:sz w:val="24"/>
          <w:szCs w:val="24"/>
          <w:lang w:val="en-GB"/>
        </w:rPr>
        <w:t xml:space="preserve"> interest a reality – including in the regions most affected by the green transition.</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At the same time, the rules will continue to preserve the integrity of the internal market, while allowing to respect the cohesion objectives enshrined in the EU Treaty, </w:t>
      </w:r>
      <w:r>
        <w:rPr>
          <w:rFonts w:ascii="Times New Roman" w:hAnsi="Times New Roman"/>
          <w:b/>
          <w:noProof/>
          <w:sz w:val="24"/>
          <w:szCs w:val="24"/>
          <w:lang w:val="en-GB"/>
        </w:rPr>
        <w:t>which are at the heart of European integration.</w:t>
      </w:r>
      <w:r>
        <w:rPr>
          <w:rFonts w:ascii="Times New Roman" w:hAnsi="Times New Roman"/>
          <w:noProof/>
          <w:sz w:val="24"/>
          <w:szCs w:val="24"/>
          <w:lang w:val="en-GB"/>
        </w:rPr>
        <w:t xml:space="preserve"> Their aim is to reduce disparities between the development levels of the various regions, by supporting the least favoured regions in catching up. In particular, this means that public productive investment s</w:t>
      </w:r>
      <w:r>
        <w:rPr>
          <w:rFonts w:ascii="Times New Roman" w:hAnsi="Times New Roman"/>
          <w:noProof/>
          <w:sz w:val="24"/>
          <w:szCs w:val="24"/>
          <w:lang w:val="en-GB"/>
        </w:rPr>
        <w:t>upport to large companies must continue to only benefit the poorest regions to be affected by the green transition (Article 107 (3) (a) and (c) TFEU).</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Against this background, current State aid rules will be applied with flexibility, focusing on a number o</w:t>
      </w:r>
      <w:r>
        <w:rPr>
          <w:rFonts w:ascii="Times New Roman" w:hAnsi="Times New Roman"/>
          <w:b/>
          <w:noProof/>
          <w:sz w:val="24"/>
          <w:szCs w:val="24"/>
          <w:lang w:val="en-GB"/>
        </w:rPr>
        <w:t>f areas, which seem crucial to achieve the transformation to a climate-neutral economy.</w:t>
      </w:r>
    </w:p>
    <w:p w:rsidR="002C1206" w:rsidRDefault="006969C2">
      <w:pPr>
        <w:pStyle w:val="Heading3"/>
        <w:spacing w:after="240"/>
        <w:rPr>
          <w:noProof/>
          <w:lang w:val="en-GB"/>
        </w:rPr>
      </w:pPr>
      <w:r>
        <w:rPr>
          <w:noProof/>
          <w:lang w:val="en-GB"/>
        </w:rPr>
        <w:t>More flexibility for State aid to transform to climate neutral production processes</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The Commission will approve Member States’ support of companies to decarbonise or el</w:t>
      </w:r>
      <w:r>
        <w:rPr>
          <w:rFonts w:ascii="Times New Roman" w:hAnsi="Times New Roman"/>
          <w:b/>
          <w:noProof/>
          <w:sz w:val="24"/>
          <w:szCs w:val="24"/>
          <w:lang w:val="en-GB"/>
        </w:rPr>
        <w:t>ectrify production processes, provided that economic incentives do not already warrant the investment concerned and the companies reduce their impact on the environment beyond Union standards or benchmarks.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To minimise costs to the State, public support sh</w:t>
      </w:r>
      <w:r>
        <w:rPr>
          <w:rFonts w:ascii="Times New Roman" w:hAnsi="Times New Roman"/>
          <w:b/>
          <w:noProof/>
          <w:sz w:val="24"/>
          <w:szCs w:val="24"/>
          <w:lang w:val="en-GB"/>
        </w:rPr>
        <w:t xml:space="preserve">ould be limited to what is necessary. </w:t>
      </w:r>
      <w:r>
        <w:rPr>
          <w:rFonts w:ascii="Times New Roman" w:hAnsi="Times New Roman"/>
          <w:noProof/>
          <w:sz w:val="24"/>
          <w:szCs w:val="24"/>
          <w:lang w:val="en-GB"/>
        </w:rPr>
        <w:t xml:space="preserve">The current Guidelines typically set the maximum aid amount based on the extra costs of the relevant investment compared to a theoretical alternative investment that is less environmentally friendly. The Commission </w:t>
      </w:r>
      <w:r>
        <w:rPr>
          <w:rFonts w:ascii="Times New Roman" w:hAnsi="Times New Roman"/>
          <w:noProof/>
          <w:sz w:val="24"/>
          <w:szCs w:val="24"/>
          <w:lang w:val="en-GB"/>
        </w:rPr>
        <w:t>will assess whether, in the future, for investments that are compatible with the transition to climate neutrality it could instead determine the eligible costs by reference to the funding gap in particular in cases where there is not a hypothetical alterna</w:t>
      </w:r>
      <w:r>
        <w:rPr>
          <w:rFonts w:ascii="Times New Roman" w:hAnsi="Times New Roman"/>
          <w:noProof/>
          <w:sz w:val="24"/>
          <w:szCs w:val="24"/>
          <w:lang w:val="en-GB"/>
        </w:rPr>
        <w:t>tive investment. This could be justified in light of the Green Deal objectives and the fact that such investments present an important way to reduce the carbon footprint of the installations concerned and help achieve climate neutrality.</w:t>
      </w:r>
    </w:p>
    <w:p w:rsidR="002C1206" w:rsidRDefault="006969C2">
      <w:pPr>
        <w:pStyle w:val="Heading3"/>
        <w:spacing w:after="240"/>
        <w:rPr>
          <w:noProof/>
          <w:lang w:val="en-GB"/>
        </w:rPr>
      </w:pPr>
      <w:r>
        <w:rPr>
          <w:noProof/>
          <w:lang w:val="en-GB"/>
        </w:rPr>
        <w:t>Aid to improve ene</w:t>
      </w:r>
      <w:r>
        <w:rPr>
          <w:noProof/>
          <w:lang w:val="en-GB"/>
        </w:rPr>
        <w:t>rgy efficiency for buildings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Member States will be given more scope to invest in the energy efficiency of buildings under the Guidelines for environmental protection and energy.</w:t>
      </w:r>
      <w:r>
        <w:rPr>
          <w:rFonts w:ascii="Times New Roman" w:hAnsi="Times New Roman"/>
          <w:noProof/>
          <w:sz w:val="24"/>
          <w:szCs w:val="24"/>
          <w:lang w:val="en-GB"/>
        </w:rPr>
        <w:t xml:space="preserve"> In particular, Member States will be given more flexibility to support financing arrangements that are advantageous to consumers of electricity, such as Energy Performance Contracts. In such an arrangement, energy service companies invest in the upgrading</w:t>
      </w:r>
      <w:r>
        <w:rPr>
          <w:rFonts w:ascii="Times New Roman" w:hAnsi="Times New Roman"/>
          <w:noProof/>
          <w:sz w:val="24"/>
          <w:szCs w:val="24"/>
          <w:lang w:val="en-GB"/>
        </w:rPr>
        <w:t xml:space="preserve"> of buildings to make them more energy-efficient and are remunerated through the energy savings in the consumer’s electricity bill.</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Member States will also have more flexibility to support upgrades that both address the energy-efficiency of buildings and i</w:t>
      </w:r>
      <w:r>
        <w:rPr>
          <w:rFonts w:ascii="Times New Roman" w:hAnsi="Times New Roman"/>
          <w:b/>
          <w:noProof/>
          <w:sz w:val="24"/>
          <w:szCs w:val="24"/>
          <w:lang w:val="en-GB"/>
        </w:rPr>
        <w:t xml:space="preserve">nvest in renewable energy generation for self-consumption. </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 xml:space="preserve">For the identification of the eligible costs for such projects, the Commission may take into account the fact that in many cases there is no counterfactual investment. </w:t>
      </w:r>
    </w:p>
    <w:p w:rsidR="002C1206" w:rsidRDefault="006969C2">
      <w:pPr>
        <w:pStyle w:val="Heading3"/>
        <w:spacing w:after="240"/>
        <w:rPr>
          <w:noProof/>
          <w:lang w:val="en-GB"/>
        </w:rPr>
      </w:pPr>
      <w:r>
        <w:rPr>
          <w:noProof/>
          <w:lang w:val="en-GB"/>
        </w:rPr>
        <w:t>Aid for district heating</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Su</w:t>
      </w:r>
      <w:r>
        <w:rPr>
          <w:rFonts w:ascii="Times New Roman" w:hAnsi="Times New Roman"/>
          <w:b/>
          <w:noProof/>
          <w:sz w:val="24"/>
          <w:szCs w:val="24"/>
          <w:lang w:val="en-GB"/>
        </w:rPr>
        <w:t>pport, which is limited to district heating distribution networks, can under certain circumstances be considered to fall outside of State aid control as an infrastructure measure which does not affect competition and trade</w:t>
      </w:r>
      <w:r>
        <w:rPr>
          <w:rFonts w:ascii="Times New Roman" w:hAnsi="Times New Roman"/>
          <w:noProof/>
          <w:sz w:val="24"/>
          <w:szCs w:val="24"/>
          <w:lang w:val="en-GB"/>
        </w:rPr>
        <w:t xml:space="preserve">. This could in particular be the </w:t>
      </w:r>
      <w:r>
        <w:rPr>
          <w:rFonts w:ascii="Times New Roman" w:hAnsi="Times New Roman"/>
          <w:noProof/>
          <w:sz w:val="24"/>
          <w:szCs w:val="24"/>
          <w:lang w:val="en-GB"/>
        </w:rPr>
        <w:t xml:space="preserve">case when district heating networks are run in the same way as other energy infrastructure through separation from the heating generation, third-party access and regulated tariffs.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In all other cases, where State aid is present, the Guidelines for environ</w:t>
      </w:r>
      <w:r>
        <w:rPr>
          <w:rFonts w:ascii="Times New Roman" w:hAnsi="Times New Roman"/>
          <w:b/>
          <w:noProof/>
          <w:sz w:val="24"/>
          <w:szCs w:val="24"/>
          <w:lang w:val="en-GB"/>
        </w:rPr>
        <w:t>mental protection and energy establish a series of conditions under which support for district heating projects can be approved</w:t>
      </w:r>
      <w:r>
        <w:rPr>
          <w:rFonts w:ascii="Times New Roman" w:hAnsi="Times New Roman"/>
          <w:noProof/>
          <w:sz w:val="24"/>
          <w:szCs w:val="24"/>
          <w:lang w:val="en-GB"/>
        </w:rPr>
        <w:t>. In particular, the rules require that the investment leads to an energy efficient district heating system, as defined in the En</w:t>
      </w:r>
      <w:r>
        <w:rPr>
          <w:rFonts w:ascii="Times New Roman" w:hAnsi="Times New Roman"/>
          <w:noProof/>
          <w:sz w:val="24"/>
          <w:szCs w:val="24"/>
          <w:lang w:val="en-GB"/>
        </w:rPr>
        <w:t>ergy Efficiency Directive. As regards the amounts, which can be granted, the Guidelines differentiate between aid intensities for the investments costs for the district heating installations and the so-called funding gap method for the financing of constru</w:t>
      </w:r>
      <w:r>
        <w:rPr>
          <w:rFonts w:ascii="Times New Roman" w:hAnsi="Times New Roman"/>
          <w:noProof/>
          <w:sz w:val="24"/>
          <w:szCs w:val="24"/>
          <w:lang w:val="en-GB"/>
        </w:rPr>
        <w:t xml:space="preserve">ction or upgrades of the distribution network. </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To unlock the potential of district heating to contribute to the transition to a climate-neutral economy, Member States can in the future use a funding gap approach also for the district heating generation as</w:t>
      </w:r>
      <w:r>
        <w:rPr>
          <w:rFonts w:ascii="Times New Roman" w:hAnsi="Times New Roman"/>
          <w:b/>
          <w:noProof/>
          <w:sz w:val="24"/>
          <w:szCs w:val="24"/>
          <w:lang w:val="en-GB"/>
        </w:rPr>
        <w:t xml:space="preserve"> alternative to the maximum aid intensities set in the Guidelines for environmental protection and energy.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Member States could also be allowed to grant State aid to district heating networks, which are not part of energy efficient district heating systems</w:t>
      </w:r>
      <w:r>
        <w:rPr>
          <w:rFonts w:ascii="Times New Roman" w:hAnsi="Times New Roman"/>
          <w:b/>
          <w:noProof/>
          <w:sz w:val="24"/>
          <w:szCs w:val="24"/>
          <w:lang w:val="en-GB"/>
        </w:rPr>
        <w:t xml:space="preserve"> </w:t>
      </w:r>
      <w:r>
        <w:rPr>
          <w:rFonts w:ascii="Times New Roman" w:hAnsi="Times New Roman"/>
          <w:noProof/>
          <w:sz w:val="24"/>
          <w:szCs w:val="24"/>
          <w:lang w:val="en-GB"/>
        </w:rPr>
        <w:t>if investments that make the heat generation energy efficient will start within three years of the modernisation of the network.</w:t>
      </w:r>
    </w:p>
    <w:p w:rsidR="002C1206" w:rsidRDefault="006969C2">
      <w:pPr>
        <w:pStyle w:val="Heading3"/>
        <w:spacing w:after="240"/>
        <w:rPr>
          <w:noProof/>
          <w:lang w:val="en-GB"/>
        </w:rPr>
      </w:pPr>
      <w:r>
        <w:rPr>
          <w:noProof/>
          <w:lang w:val="en-GB"/>
        </w:rPr>
        <w:t xml:space="preserve">Aid for closure of coal fired power plants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Burning lignite is one of the most polluting and CO2-intensive means of electricit</w:t>
      </w:r>
      <w:r>
        <w:rPr>
          <w:rFonts w:ascii="Times New Roman" w:hAnsi="Times New Roman"/>
          <w:b/>
          <w:noProof/>
          <w:sz w:val="24"/>
          <w:szCs w:val="24"/>
          <w:lang w:val="en-GB"/>
        </w:rPr>
        <w:t xml:space="preserve">y generation. </w:t>
      </w:r>
      <w:r>
        <w:rPr>
          <w:rFonts w:ascii="Times New Roman" w:hAnsi="Times New Roman"/>
          <w:noProof/>
          <w:sz w:val="24"/>
          <w:szCs w:val="24"/>
          <w:lang w:val="en-GB"/>
        </w:rPr>
        <w:t>While the EU Emissions Trading System will lead to a reduction of carbon intensive power production, a number of Member States are planning to accelerate the phase out hard coal and lignite fired power plants.</w:t>
      </w:r>
      <w:r>
        <w:rPr>
          <w:rFonts w:ascii="Times New Roman" w:hAnsi="Times New Roman"/>
          <w:b/>
          <w:noProof/>
          <w:sz w:val="24"/>
          <w:szCs w:val="24"/>
          <w:lang w:val="en-GB"/>
        </w:rPr>
        <w:t xml:space="preserve"> </w:t>
      </w:r>
      <w:r>
        <w:rPr>
          <w:rFonts w:ascii="Times New Roman" w:hAnsi="Times New Roman"/>
          <w:noProof/>
          <w:sz w:val="24"/>
          <w:szCs w:val="24"/>
          <w:lang w:val="en-GB"/>
        </w:rPr>
        <w:t>Member States that choose to pro</w:t>
      </w:r>
      <w:r>
        <w:rPr>
          <w:rFonts w:ascii="Times New Roman" w:hAnsi="Times New Roman"/>
          <w:noProof/>
          <w:sz w:val="24"/>
          <w:szCs w:val="24"/>
          <w:lang w:val="en-GB"/>
        </w:rPr>
        <w:t>vide aid to close coal-fired power plant in this context, for example to compensate operators for foregone profits as they cannot continue to sell electricity on the market, should notify such plans to the Commission.</w:t>
      </w:r>
      <w:r>
        <w:rPr>
          <w:rFonts w:ascii="Times New Roman" w:hAnsi="Times New Roman"/>
          <w:b/>
          <w:noProof/>
          <w:sz w:val="24"/>
          <w:szCs w:val="24"/>
          <w:lang w:val="en-GB"/>
        </w:rPr>
        <w:t xml:space="preserve"> </w:t>
      </w:r>
      <w:r>
        <w:rPr>
          <w:rFonts w:ascii="Times New Roman" w:hAnsi="Times New Roman"/>
          <w:noProof/>
          <w:sz w:val="24"/>
          <w:szCs w:val="24"/>
          <w:lang w:val="en-GB"/>
        </w:rPr>
        <w:t>The Commission will assess State aid i</w:t>
      </w:r>
      <w:r>
        <w:rPr>
          <w:rFonts w:ascii="Times New Roman" w:hAnsi="Times New Roman"/>
          <w:noProof/>
          <w:sz w:val="24"/>
          <w:szCs w:val="24"/>
          <w:lang w:val="en-GB"/>
        </w:rPr>
        <w:t xml:space="preserve">nvolved in such projects directly under the Treaty.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In this context, the Commission will in particular examine the proportionality of such support in order to avoid overcompensation.</w:t>
      </w:r>
      <w:r>
        <w:rPr>
          <w:rFonts w:ascii="Times New Roman" w:hAnsi="Times New Roman"/>
          <w:noProof/>
          <w:sz w:val="24"/>
          <w:szCs w:val="24"/>
          <w:lang w:val="en-GB"/>
        </w:rPr>
        <w:t xml:space="preserve"> This means that Member States need to demonstrate that the compensation </w:t>
      </w:r>
      <w:r>
        <w:rPr>
          <w:rFonts w:ascii="Times New Roman" w:hAnsi="Times New Roman"/>
          <w:noProof/>
          <w:sz w:val="24"/>
          <w:szCs w:val="24"/>
          <w:lang w:val="en-GB"/>
        </w:rPr>
        <w:t>does not go beyond the loss of profit faced by the installation due to its anticipated closure. It is also important to ensure that the measure is structured in a way that limits to the minimum any distortion of competition in the market.</w:t>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It should be reca</w:t>
      </w:r>
      <w:r>
        <w:rPr>
          <w:rFonts w:ascii="Times New Roman" w:hAnsi="Times New Roman"/>
          <w:noProof/>
          <w:sz w:val="24"/>
          <w:szCs w:val="24"/>
          <w:lang w:val="en-GB"/>
        </w:rPr>
        <w:t xml:space="preserve">lled that any State support, which is not related to economic activity, in particular for the benefit of individuals (e.g. social aid or for re-skilling) or the financing of a publicly available infrastructure, does not fall under State aid rules, as long </w:t>
      </w:r>
      <w:r>
        <w:rPr>
          <w:rFonts w:ascii="Times New Roman" w:hAnsi="Times New Roman"/>
          <w:noProof/>
          <w:sz w:val="24"/>
          <w:szCs w:val="24"/>
          <w:lang w:val="en-GB"/>
        </w:rPr>
        <w:t>as it does not confer an indirect advantage to any undertaking.</w:t>
      </w:r>
    </w:p>
    <w:p w:rsidR="002C1206" w:rsidRDefault="006969C2">
      <w:pPr>
        <w:pStyle w:val="Heading3"/>
        <w:spacing w:after="240"/>
        <w:rPr>
          <w:noProof/>
          <w:lang w:val="en-GB"/>
        </w:rPr>
      </w:pPr>
      <w:r>
        <w:rPr>
          <w:noProof/>
          <w:lang w:val="en-GB"/>
        </w:rPr>
        <w:t>Aid for the circular economy</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Member States will be given more scope to support measures needed for the shift from a linear economy to a circular economy: recycling of waste, re-use of waste he</w:t>
      </w:r>
      <w:r>
        <w:rPr>
          <w:rFonts w:ascii="Times New Roman" w:hAnsi="Times New Roman"/>
          <w:b/>
          <w:noProof/>
          <w:sz w:val="24"/>
          <w:szCs w:val="24"/>
          <w:lang w:val="en-GB"/>
        </w:rPr>
        <w:t>at, re-use of CO2, or the separate collection of waste streams.</w:t>
      </w:r>
      <w:r>
        <w:rPr>
          <w:rFonts w:ascii="Times New Roman" w:hAnsi="Times New Roman"/>
          <w:noProof/>
          <w:sz w:val="24"/>
          <w:szCs w:val="24"/>
          <w:lang w:val="en-GB"/>
        </w:rPr>
        <w:t xml:space="preserve"> This flexibility would apply provided that the aid amount is determined taking into account any additional revenues that circular economy investments can deliver.</w:t>
      </w:r>
    </w:p>
    <w:tbl>
      <w:tblPr>
        <w:tblStyle w:val="TableGrid"/>
        <w:tblW w:w="0" w:type="auto"/>
        <w:tblLook w:val="04A0" w:firstRow="1" w:lastRow="0" w:firstColumn="1" w:lastColumn="0" w:noHBand="0" w:noVBand="1"/>
      </w:tblPr>
      <w:tblGrid>
        <w:gridCol w:w="9062"/>
      </w:tblGrid>
      <w:tr w:rsidR="002C1206">
        <w:tc>
          <w:tcPr>
            <w:tcW w:w="9062" w:type="dxa"/>
          </w:tcPr>
          <w:p w:rsidR="002C1206" w:rsidRDefault="006969C2">
            <w:pPr>
              <w:spacing w:after="240"/>
              <w:contextualSpacing/>
              <w:jc w:val="both"/>
              <w:rPr>
                <w:rFonts w:ascii="Times New Roman" w:hAnsi="Times New Roman"/>
                <w:b/>
                <w:noProof/>
                <w:sz w:val="24"/>
                <w:szCs w:val="24"/>
                <w:lang w:val="en-GB"/>
              </w:rPr>
            </w:pPr>
            <w:r>
              <w:rPr>
                <w:rFonts w:ascii="Times New Roman" w:hAnsi="Times New Roman"/>
                <w:b/>
                <w:noProof/>
                <w:sz w:val="24"/>
                <w:szCs w:val="24"/>
                <w:lang w:val="en-GB"/>
              </w:rPr>
              <w:t>The Commission will:</w:t>
            </w:r>
          </w:p>
          <w:p w:rsidR="002C1206" w:rsidRDefault="006969C2">
            <w:pPr>
              <w:pStyle w:val="ListParagraph"/>
              <w:numPr>
                <w:ilvl w:val="0"/>
                <w:numId w:val="46"/>
              </w:numPr>
              <w:spacing w:after="240"/>
              <w:contextualSpacing/>
              <w:jc w:val="both"/>
              <w:rPr>
                <w:rFonts w:ascii="Times New Roman" w:hAnsi="Times New Roman"/>
                <w:b/>
                <w:noProof/>
                <w:sz w:val="24"/>
                <w:szCs w:val="24"/>
                <w:lang w:val="en-GB"/>
              </w:rPr>
            </w:pPr>
            <w:r>
              <w:rPr>
                <w:rFonts w:ascii="Times New Roman" w:hAnsi="Times New Roman"/>
                <w:b/>
                <w:noProof/>
                <w:sz w:val="24"/>
                <w:szCs w:val="24"/>
                <w:lang w:val="en-GB"/>
              </w:rPr>
              <w:t>Continue</w:t>
            </w:r>
            <w:r>
              <w:rPr>
                <w:rFonts w:ascii="Times New Roman" w:hAnsi="Times New Roman"/>
                <w:b/>
                <w:noProof/>
                <w:sz w:val="24"/>
                <w:szCs w:val="24"/>
                <w:lang w:val="en-GB"/>
              </w:rPr>
              <w:t xml:space="preserve"> effective implementation of State aid rules, which are key enablers for the transition and apply the current rules with flexibility in areas crucial for the transition to a climate-neutral economy.</w:t>
            </w:r>
          </w:p>
          <w:p w:rsidR="002C1206" w:rsidRDefault="002C1206">
            <w:pPr>
              <w:pStyle w:val="ListParagraph"/>
              <w:spacing w:after="240"/>
              <w:contextualSpacing/>
              <w:jc w:val="both"/>
              <w:rPr>
                <w:rFonts w:ascii="Times New Roman" w:hAnsi="Times New Roman"/>
                <w:b/>
                <w:noProof/>
                <w:sz w:val="24"/>
                <w:szCs w:val="24"/>
                <w:lang w:val="en-GB"/>
              </w:rPr>
            </w:pPr>
          </w:p>
          <w:p w:rsidR="002C1206" w:rsidRDefault="006969C2">
            <w:pPr>
              <w:pStyle w:val="ListParagraph"/>
              <w:numPr>
                <w:ilvl w:val="0"/>
                <w:numId w:val="46"/>
              </w:numPr>
              <w:spacing w:after="240"/>
              <w:contextualSpacing/>
              <w:jc w:val="both"/>
              <w:rPr>
                <w:rFonts w:ascii="Times New Roman" w:hAnsi="Times New Roman"/>
                <w:b/>
                <w:noProof/>
                <w:sz w:val="24"/>
                <w:szCs w:val="24"/>
                <w:lang w:val="en-GB"/>
              </w:rPr>
            </w:pPr>
            <w:r>
              <w:rPr>
                <w:rFonts w:ascii="Times New Roman" w:hAnsi="Times New Roman"/>
                <w:b/>
                <w:noProof/>
                <w:sz w:val="24"/>
                <w:szCs w:val="24"/>
                <w:lang w:val="en-GB"/>
              </w:rPr>
              <w:t>Revise State aid rules by 2021 to reflect the policy obj</w:t>
            </w:r>
            <w:r>
              <w:rPr>
                <w:rFonts w:ascii="Times New Roman" w:hAnsi="Times New Roman"/>
                <w:b/>
                <w:noProof/>
                <w:sz w:val="24"/>
                <w:szCs w:val="24"/>
                <w:lang w:val="en-GB"/>
              </w:rPr>
              <w:t>ectives of the European Green Deal, supporting a cost-effective transition to climate neutrality by 2050.</w:t>
            </w:r>
          </w:p>
        </w:tc>
      </w:tr>
    </w:tbl>
    <w:p w:rsidR="002C1206" w:rsidRDefault="002C1206">
      <w:pPr>
        <w:spacing w:after="240"/>
        <w:contextualSpacing/>
        <w:jc w:val="both"/>
        <w:rPr>
          <w:rFonts w:ascii="Times New Roman" w:hAnsi="Times New Roman"/>
          <w:b/>
          <w:noProof/>
          <w:sz w:val="24"/>
          <w:szCs w:val="24"/>
          <w:lang w:val="en-GB"/>
        </w:rPr>
      </w:pPr>
    </w:p>
    <w:p w:rsidR="002C1206" w:rsidRDefault="002C1206">
      <w:pPr>
        <w:spacing w:after="240"/>
        <w:contextualSpacing/>
        <w:jc w:val="both"/>
        <w:rPr>
          <w:rFonts w:ascii="Times New Roman" w:hAnsi="Times New Roman"/>
          <w:b/>
          <w:noProof/>
          <w:sz w:val="24"/>
          <w:szCs w:val="24"/>
          <w:lang w:val="en-GB"/>
        </w:rPr>
      </w:pPr>
    </w:p>
    <w:p w:rsidR="002C1206" w:rsidRDefault="006969C2">
      <w:pPr>
        <w:pStyle w:val="Heading1"/>
        <w:spacing w:before="240" w:after="240"/>
        <w:rPr>
          <w:noProof/>
          <w:lang w:val="en-GB"/>
        </w:rPr>
      </w:pPr>
      <w:r>
        <w:rPr>
          <w:noProof/>
          <w:lang w:val="en-GB"/>
        </w:rPr>
        <w:t xml:space="preserve">Execute: creating a pipeline of sustainable projects  </w:t>
      </w:r>
    </w:p>
    <w:p w:rsidR="002C1206" w:rsidRDefault="006969C2">
      <w:pPr>
        <w:pStyle w:val="ListParagraph"/>
        <w:spacing w:after="240"/>
        <w:ind w:left="0"/>
        <w:contextualSpacing/>
        <w:jc w:val="both"/>
        <w:rPr>
          <w:rFonts w:ascii="Times New Roman" w:hAnsi="Times New Roman"/>
          <w:noProof/>
          <w:sz w:val="24"/>
          <w:szCs w:val="24"/>
          <w:lang w:val="en-GB"/>
        </w:rPr>
      </w:pPr>
      <w:r>
        <w:rPr>
          <w:rFonts w:ascii="Times New Roman" w:hAnsi="Times New Roman"/>
          <w:b/>
          <w:noProof/>
          <w:sz w:val="24"/>
          <w:szCs w:val="24"/>
          <w:lang w:val="en-GB"/>
        </w:rPr>
        <w:t xml:space="preserve">In the current context of high market liquidity, the challenge is to develop a robust </w:t>
      </w:r>
      <w:r>
        <w:rPr>
          <w:rFonts w:ascii="Times New Roman" w:hAnsi="Times New Roman"/>
          <w:b/>
          <w:noProof/>
          <w:sz w:val="24"/>
          <w:szCs w:val="24"/>
          <w:lang w:val="en-GB"/>
        </w:rPr>
        <w:t>pipeline of investment projects aligned with the European Green Deal</w:t>
      </w:r>
      <w:r>
        <w:rPr>
          <w:rFonts w:ascii="Times New Roman" w:hAnsi="Times New Roman"/>
          <w:noProof/>
          <w:sz w:val="24"/>
          <w:szCs w:val="24"/>
          <w:lang w:val="en-GB"/>
        </w:rPr>
        <w:t>. The availability of investment projects that are compatible with the expectations and requirements from investors does not yet match the demand. Financing resources available are not exh</w:t>
      </w:r>
      <w:r>
        <w:rPr>
          <w:rFonts w:ascii="Times New Roman" w:hAnsi="Times New Roman"/>
          <w:noProof/>
          <w:sz w:val="24"/>
          <w:szCs w:val="24"/>
          <w:lang w:val="en-GB"/>
        </w:rPr>
        <w:t>austed. Advisory support to project promoters has shown to be very effective in bridging the gap between a concept and an economically sound project.</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On the basis of the established priorities, technical assistance and advisory support will help identify a</w:t>
      </w:r>
      <w:r>
        <w:rPr>
          <w:rFonts w:ascii="Times New Roman" w:hAnsi="Times New Roman"/>
          <w:b/>
          <w:noProof/>
          <w:sz w:val="24"/>
          <w:szCs w:val="24"/>
          <w:lang w:val="en-GB"/>
        </w:rPr>
        <w:t>nd prepare sustainable projects and provide capacity building to project promoters to facilitate access to finance.</w:t>
      </w:r>
      <w:r>
        <w:rPr>
          <w:rFonts w:ascii="Times New Roman" w:hAnsi="Times New Roman"/>
          <w:noProof/>
          <w:sz w:val="24"/>
          <w:szCs w:val="24"/>
          <w:lang w:val="en-GB"/>
        </w:rPr>
        <w:t xml:space="preserve"> This will be organised at different levels from the support to public administrations in defining their investment plans to support of indiv</w:t>
      </w:r>
      <w:r>
        <w:rPr>
          <w:rFonts w:ascii="Times New Roman" w:hAnsi="Times New Roman"/>
          <w:noProof/>
          <w:sz w:val="24"/>
          <w:szCs w:val="24"/>
          <w:lang w:val="en-GB"/>
        </w:rPr>
        <w:t xml:space="preserve">idual public and private project promoters in developing and implementing their specific projects. </w:t>
      </w:r>
    </w:p>
    <w:p w:rsidR="002C1206" w:rsidRDefault="006969C2">
      <w:pPr>
        <w:pStyle w:val="Heading3"/>
        <w:spacing w:after="240"/>
        <w:rPr>
          <w:noProof/>
          <w:lang w:val="en-GB"/>
        </w:rPr>
      </w:pPr>
      <w:r>
        <w:rPr>
          <w:noProof/>
          <w:lang w:val="en-GB"/>
        </w:rPr>
        <w:t>Supporting administrations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Structural Reform Support Programme (and its successor, the Reform Support Programme) will provide technical support to Membe</w:t>
      </w:r>
      <w:r>
        <w:rPr>
          <w:rFonts w:ascii="Times New Roman" w:hAnsi="Times New Roman"/>
          <w:b/>
          <w:noProof/>
          <w:sz w:val="24"/>
          <w:szCs w:val="24"/>
          <w:lang w:val="en-GB"/>
        </w:rPr>
        <w:t xml:space="preserve">r States to help design and implement reforms to achieve the twin climate and digital transitions. </w:t>
      </w:r>
      <w:r>
        <w:rPr>
          <w:rFonts w:ascii="Times New Roman" w:hAnsi="Times New Roman"/>
          <w:noProof/>
          <w:sz w:val="24"/>
          <w:szCs w:val="24"/>
          <w:lang w:val="en-GB"/>
        </w:rPr>
        <w:t>Limited administrative capacity, awareness and sustainability expertise of public administrations at national, regional and local level in Member States is o</w:t>
      </w:r>
      <w:r>
        <w:rPr>
          <w:rFonts w:ascii="Times New Roman" w:hAnsi="Times New Roman"/>
          <w:noProof/>
          <w:sz w:val="24"/>
          <w:szCs w:val="24"/>
          <w:lang w:val="en-GB"/>
        </w:rPr>
        <w:t>ne of the major barriers holding back investment in sustainable infrastructure and environment protection.</w:t>
      </w:r>
      <w:r>
        <w:rPr>
          <w:rFonts w:ascii="Times New Roman" w:hAnsi="Times New Roman"/>
          <w:b/>
          <w:noProof/>
          <w:sz w:val="24"/>
          <w:szCs w:val="24"/>
          <w:lang w:val="en-GB"/>
        </w:rPr>
        <w:t xml:space="preserve"> </w:t>
      </w:r>
      <w:r>
        <w:rPr>
          <w:rFonts w:ascii="Times New Roman" w:hAnsi="Times New Roman"/>
          <w:noProof/>
          <w:sz w:val="24"/>
          <w:szCs w:val="24"/>
          <w:lang w:val="en-GB"/>
        </w:rPr>
        <w:t>The Programme will help identify investment potentials in clean energy, or actions aimed at increasing the pace of energy efficiency investments in b</w:t>
      </w:r>
      <w:r>
        <w:rPr>
          <w:rFonts w:ascii="Times New Roman" w:hAnsi="Times New Roman"/>
          <w:noProof/>
          <w:sz w:val="24"/>
          <w:szCs w:val="24"/>
          <w:lang w:val="en-GB"/>
        </w:rPr>
        <w:t xml:space="preserve">uildings. Through the Reform Support Programme, the Commission also supports Member States in setting out action plans on circular economy, green budgeting or sustainable finance and investments. </w:t>
      </w:r>
    </w:p>
    <w:p w:rsidR="002C1206" w:rsidRDefault="006969C2">
      <w:pPr>
        <w:pStyle w:val="Heading3"/>
        <w:spacing w:after="240"/>
        <w:rPr>
          <w:noProof/>
          <w:lang w:val="en-GB"/>
        </w:rPr>
      </w:pPr>
      <w:r>
        <w:rPr>
          <w:noProof/>
          <w:lang w:val="en-GB"/>
        </w:rPr>
        <w:t xml:space="preserve">Supporting project promoters </w:t>
      </w:r>
    </w:p>
    <w:p w:rsidR="002C1206" w:rsidRDefault="006969C2">
      <w:pPr>
        <w:spacing w:after="240"/>
        <w:contextualSpacing/>
        <w:jc w:val="both"/>
        <w:rPr>
          <w:rFonts w:ascii="Times New Roman" w:hAnsi="Times New Roman"/>
          <w:noProof/>
          <w:sz w:val="24"/>
          <w:szCs w:val="24"/>
          <w:lang w:val="en-GB"/>
        </w:rPr>
      </w:pPr>
      <w:r>
        <w:rPr>
          <w:rFonts w:ascii="Times New Roman" w:hAnsi="Times New Roman"/>
          <w:b/>
          <w:noProof/>
          <w:sz w:val="24"/>
          <w:szCs w:val="24"/>
          <w:lang w:val="en-GB"/>
        </w:rPr>
        <w:t xml:space="preserve">At the project promoter </w:t>
      </w:r>
      <w:r>
        <w:rPr>
          <w:rFonts w:ascii="Times New Roman" w:hAnsi="Times New Roman"/>
          <w:b/>
          <w:noProof/>
          <w:sz w:val="24"/>
          <w:szCs w:val="24"/>
          <w:lang w:val="en-GB"/>
        </w:rPr>
        <w:t>level, the InvestEU Advisory Hub and the advisory initiatives developed under the InvestEU Programme with a total budget of EUR 500 million as proposed by the Commission, will support the identification, preparation, development, structuring, procuring and</w:t>
      </w:r>
      <w:r>
        <w:rPr>
          <w:rFonts w:ascii="Times New Roman" w:hAnsi="Times New Roman"/>
          <w:b/>
          <w:noProof/>
          <w:sz w:val="24"/>
          <w:szCs w:val="24"/>
          <w:lang w:val="en-GB"/>
        </w:rPr>
        <w:t xml:space="preserve"> implementation of investment projects</w:t>
      </w:r>
      <w:r>
        <w:rPr>
          <w:rFonts w:ascii="Times New Roman" w:hAnsi="Times New Roman"/>
          <w:noProof/>
          <w:sz w:val="24"/>
          <w:szCs w:val="24"/>
          <w:lang w:val="en-GB"/>
        </w:rPr>
        <w:t xml:space="preserve">. Where needed, it can also enhance the capacity of promoters and financial intermediaries to implement financing and investment operations. This comprehensive service offer will take into consideration sustainability </w:t>
      </w:r>
      <w:r>
        <w:rPr>
          <w:rFonts w:ascii="Times New Roman" w:hAnsi="Times New Roman"/>
          <w:noProof/>
          <w:sz w:val="24"/>
          <w:szCs w:val="24"/>
          <w:lang w:val="en-GB"/>
        </w:rPr>
        <w:t xml:space="preserve">related aspects. </w:t>
      </w:r>
    </w:p>
    <w:p w:rsidR="002C1206" w:rsidRDefault="002C1206">
      <w:pPr>
        <w:spacing w:after="240"/>
        <w:contextualSpacing/>
        <w:jc w:val="both"/>
        <w:rPr>
          <w:rFonts w:ascii="Times New Roman" w:hAnsi="Times New Roman"/>
          <w:noProof/>
          <w:sz w:val="24"/>
          <w:szCs w:val="24"/>
          <w:lang w:val="en-GB"/>
        </w:rPr>
      </w:pPr>
    </w:p>
    <w:p w:rsidR="002C1206" w:rsidRDefault="006969C2">
      <w:pPr>
        <w:spacing w:after="240"/>
        <w:contextualSpacing/>
        <w:jc w:val="both"/>
        <w:rPr>
          <w:rFonts w:ascii="Times New Roman" w:hAnsi="Times New Roman"/>
          <w:noProof/>
          <w:sz w:val="24"/>
          <w:szCs w:val="24"/>
          <w:lang w:val="en-GB"/>
        </w:rPr>
      </w:pPr>
      <w:r>
        <w:rPr>
          <w:rFonts w:ascii="Times New Roman" w:hAnsi="Times New Roman"/>
          <w:b/>
          <w:noProof/>
          <w:sz w:val="24"/>
          <w:szCs w:val="24"/>
          <w:lang w:val="en-GB"/>
        </w:rPr>
        <w:t>The InvestEU Advisory Hub will provide a single point of entry for both public and private project promoters, and to financial intermediaries to implement financing and investment operations for the benefit of entities that face difficul</w:t>
      </w:r>
      <w:r>
        <w:rPr>
          <w:rFonts w:ascii="Times New Roman" w:hAnsi="Times New Roman"/>
          <w:b/>
          <w:noProof/>
          <w:sz w:val="24"/>
          <w:szCs w:val="24"/>
          <w:lang w:val="en-GB"/>
        </w:rPr>
        <w:t>ties in obtaining access to financ</w:t>
      </w:r>
      <w:r>
        <w:rPr>
          <w:rFonts w:ascii="Times New Roman" w:hAnsi="Times New Roman"/>
          <w:noProof/>
          <w:sz w:val="24"/>
          <w:szCs w:val="24"/>
          <w:lang w:val="en-GB"/>
        </w:rPr>
        <w:t>e. Jaspers, the joint Commission-European Investment Bank initiative for project development for Structural Funds will become part of Hub. Relevant advisory initiatives under the InvestEU Advisory Hub could include the con</w:t>
      </w:r>
      <w:r>
        <w:rPr>
          <w:rFonts w:ascii="Times New Roman" w:hAnsi="Times New Roman"/>
          <w:noProof/>
          <w:sz w:val="24"/>
          <w:szCs w:val="24"/>
          <w:lang w:val="en-GB"/>
        </w:rPr>
        <w:t>tinuation of European Local Energy Assistance programme under the InvestEU Advisory Hub to support local sustainable energy and clean transport projects. It could also include other advisory initiatives under the Sustainable Infrastructure Window providing</w:t>
      </w:r>
      <w:r>
        <w:rPr>
          <w:rFonts w:ascii="Times New Roman" w:hAnsi="Times New Roman"/>
          <w:noProof/>
          <w:sz w:val="24"/>
          <w:szCs w:val="24"/>
          <w:lang w:val="en-GB"/>
        </w:rPr>
        <w:t xml:space="preserve"> support for designing the financing and investment operations of sustainable projects in key infrastructure areas (transport, energy, environment, broadband and digital connectivity). Specific attention will also be paid to technical assistance for projec</w:t>
      </w:r>
      <w:r>
        <w:rPr>
          <w:rFonts w:ascii="Times New Roman" w:hAnsi="Times New Roman"/>
          <w:noProof/>
          <w:sz w:val="24"/>
          <w:szCs w:val="24"/>
          <w:lang w:val="en-GB"/>
        </w:rPr>
        <w:t>ts promoting natural capital and nature-based solutions.</w:t>
      </w:r>
    </w:p>
    <w:p w:rsidR="002C1206" w:rsidRDefault="006969C2">
      <w:pPr>
        <w:pStyle w:val="ListParagraph"/>
        <w:spacing w:after="240"/>
        <w:ind w:left="0"/>
        <w:contextualSpacing/>
        <w:jc w:val="both"/>
        <w:rPr>
          <w:rFonts w:ascii="Times New Roman" w:hAnsi="Times New Roman"/>
          <w:noProof/>
          <w:sz w:val="24"/>
          <w:szCs w:val="24"/>
          <w:lang w:val="en-GB"/>
        </w:rPr>
      </w:pPr>
      <w:r>
        <w:rPr>
          <w:rFonts w:ascii="Times New Roman" w:hAnsi="Times New Roman"/>
          <w:b/>
          <w:noProof/>
          <w:sz w:val="24"/>
          <w:szCs w:val="24"/>
          <w:lang w:val="en-GB"/>
        </w:rPr>
        <w:t>Public investors will profit from tailor-made support on how to implement their projects in practice</w:t>
      </w:r>
      <w:r>
        <w:rPr>
          <w:rFonts w:ascii="Times New Roman" w:hAnsi="Times New Roman"/>
          <w:noProof/>
          <w:sz w:val="24"/>
          <w:szCs w:val="24"/>
          <w:lang w:val="en-GB"/>
        </w:rPr>
        <w:t xml:space="preserve">. A newly introduced ‘Sustainable Procurement Screening’ instrument – on the basis of the existing </w:t>
      </w:r>
      <w:r>
        <w:rPr>
          <w:rFonts w:ascii="Times New Roman" w:hAnsi="Times New Roman"/>
          <w:noProof/>
          <w:sz w:val="24"/>
          <w:szCs w:val="24"/>
          <w:lang w:val="en-GB"/>
        </w:rPr>
        <w:t>voluntary ex-ante mechanism for large infrastructure projects – will help them make use of all the possibilities to green their procurements and guarantee sustainability of the project and the respect of the highest environmental standards throughout the s</w:t>
      </w:r>
      <w:r>
        <w:rPr>
          <w:rFonts w:ascii="Times New Roman" w:hAnsi="Times New Roman"/>
          <w:noProof/>
          <w:sz w:val="24"/>
          <w:szCs w:val="24"/>
          <w:lang w:val="en-GB"/>
        </w:rPr>
        <w:t>upply chain.</w:t>
      </w:r>
    </w:p>
    <w:p w:rsidR="002C1206" w:rsidRDefault="006969C2">
      <w:pPr>
        <w:pStyle w:val="Heading3"/>
        <w:spacing w:after="240"/>
        <w:rPr>
          <w:noProof/>
          <w:lang w:val="en-GB"/>
        </w:rPr>
      </w:pPr>
      <w:r>
        <w:rPr>
          <w:noProof/>
          <w:lang w:val="en-GB"/>
        </w:rPr>
        <w:t>Ensuring coherence and visibility</w:t>
      </w:r>
    </w:p>
    <w:p w:rsidR="002C1206" w:rsidRDefault="006969C2">
      <w:pPr>
        <w:spacing w:after="240"/>
        <w:contextualSpacing/>
        <w:jc w:val="both"/>
        <w:rPr>
          <w:rFonts w:ascii="Times New Roman" w:hAnsi="Times New Roman"/>
          <w:noProof/>
          <w:sz w:val="24"/>
          <w:szCs w:val="24"/>
          <w:lang w:val="en-GB"/>
        </w:rPr>
      </w:pPr>
      <w:r>
        <w:rPr>
          <w:rFonts w:ascii="Times New Roman" w:hAnsi="Times New Roman"/>
          <w:b/>
          <w:noProof/>
          <w:sz w:val="24"/>
          <w:szCs w:val="24"/>
          <w:lang w:val="en-GB"/>
        </w:rPr>
        <w:t>The Commission will ensure that the support to public administration and to each project are provided in a coordinated way, where appropriate</w:t>
      </w:r>
      <w:r>
        <w:rPr>
          <w:rFonts w:ascii="Times New Roman" w:hAnsi="Times New Roman"/>
          <w:noProof/>
          <w:sz w:val="24"/>
          <w:szCs w:val="24"/>
          <w:lang w:val="en-GB"/>
        </w:rPr>
        <w:t>. The capacity building and strategic planning activities by the Com</w:t>
      </w:r>
      <w:r>
        <w:rPr>
          <w:rFonts w:ascii="Times New Roman" w:hAnsi="Times New Roman"/>
          <w:noProof/>
          <w:sz w:val="24"/>
          <w:szCs w:val="24"/>
          <w:lang w:val="en-GB"/>
        </w:rPr>
        <w:t>mission are showing positive results that could be replicated and scaled up for the purpose of the Green Deal. The existing close cooperation between the Commission services and the European Investment Advisory Hub support to national promotional banks and</w:t>
      </w:r>
      <w:r>
        <w:rPr>
          <w:rFonts w:ascii="Times New Roman" w:hAnsi="Times New Roman"/>
          <w:noProof/>
          <w:sz w:val="24"/>
          <w:szCs w:val="24"/>
          <w:lang w:val="en-GB"/>
        </w:rPr>
        <w:t xml:space="preserve"> investment projects will be extended under the relevant successor programmes of the next Multiannual Financial Framework to reinforce the generation and the realisation of sustainable investment project pipelines.</w:t>
      </w:r>
    </w:p>
    <w:p w:rsidR="002C1206" w:rsidRDefault="002C1206">
      <w:pPr>
        <w:spacing w:after="240"/>
        <w:contextualSpacing/>
        <w:jc w:val="both"/>
        <w:rPr>
          <w:rFonts w:ascii="Times New Roman" w:hAnsi="Times New Roman"/>
          <w:b/>
          <w:noProof/>
          <w:sz w:val="24"/>
          <w:szCs w:val="24"/>
          <w:lang w:val="en-GB"/>
        </w:rPr>
      </w:pPr>
    </w:p>
    <w:p w:rsidR="002C1206" w:rsidRDefault="006969C2">
      <w:pPr>
        <w:spacing w:after="240"/>
        <w:contextualSpacing/>
        <w:jc w:val="both"/>
        <w:rPr>
          <w:rFonts w:ascii="Times New Roman" w:hAnsi="Times New Roman"/>
          <w:noProof/>
          <w:sz w:val="24"/>
          <w:szCs w:val="24"/>
          <w:lang w:val="en-GB"/>
        </w:rPr>
      </w:pPr>
      <w:r>
        <w:rPr>
          <w:rFonts w:ascii="Times New Roman" w:hAnsi="Times New Roman"/>
          <w:b/>
          <w:noProof/>
          <w:sz w:val="24"/>
          <w:szCs w:val="24"/>
          <w:lang w:val="en-GB"/>
        </w:rPr>
        <w:t>The InvestEU Portal will build on the cu</w:t>
      </w:r>
      <w:r>
        <w:rPr>
          <w:rFonts w:ascii="Times New Roman" w:hAnsi="Times New Roman"/>
          <w:b/>
          <w:noProof/>
          <w:sz w:val="24"/>
          <w:szCs w:val="24"/>
          <w:lang w:val="en-GB"/>
        </w:rPr>
        <w:t>rrent European Investment Project Portal and continue to offer a free, online user-friendly portal, providing EU businesses and project promoters in search of financing with the visibility and networking opportunities they need towards investors worldwide</w:t>
      </w:r>
      <w:r>
        <w:rPr>
          <w:rFonts w:ascii="Times New Roman" w:hAnsi="Times New Roman"/>
          <w:noProof/>
          <w:sz w:val="24"/>
          <w:szCs w:val="24"/>
          <w:lang w:val="en-GB"/>
        </w:rPr>
        <w:t>.</w:t>
      </w:r>
      <w:r>
        <w:rPr>
          <w:rFonts w:ascii="Times New Roman" w:hAnsi="Times New Roman"/>
          <w:noProof/>
          <w:sz w:val="24"/>
          <w:szCs w:val="24"/>
          <w:lang w:val="en-GB"/>
        </w:rPr>
        <w:t xml:space="preserve"> The focus of the Portal shall also be the provision of a pipeline of EU-based investment projects to the InvestEU implementing partners, who shall examine the projects falling within their geographical and activity scope.  </w:t>
      </w:r>
    </w:p>
    <w:p w:rsidR="002C1206" w:rsidRDefault="006969C2">
      <w:pPr>
        <w:rPr>
          <w:rFonts w:ascii="Times New Roman" w:hAnsi="Times New Roman"/>
          <w:noProof/>
          <w:sz w:val="24"/>
          <w:szCs w:val="24"/>
          <w:lang w:val="en-GB"/>
        </w:rPr>
      </w:pPr>
      <w:r>
        <w:rPr>
          <w:rFonts w:ascii="Times New Roman" w:hAnsi="Times New Roman"/>
          <w:noProof/>
          <w:sz w:val="24"/>
          <w:szCs w:val="24"/>
          <w:lang w:val="en-GB"/>
        </w:rPr>
        <w:br w:type="page"/>
      </w:r>
    </w:p>
    <w:p w:rsidR="002C1206" w:rsidRDefault="002C1206">
      <w:pPr>
        <w:spacing w:after="240"/>
        <w:contextualSpacing/>
        <w:jc w:val="both"/>
        <w:rPr>
          <w:rFonts w:ascii="Times New Roman" w:hAnsi="Times New Roman"/>
          <w:noProof/>
          <w:sz w:val="24"/>
          <w:szCs w:val="24"/>
          <w:lang w:val="en-GB"/>
        </w:rPr>
      </w:pPr>
    </w:p>
    <w:tbl>
      <w:tblPr>
        <w:tblStyle w:val="TableGrid1"/>
        <w:tblW w:w="0" w:type="auto"/>
        <w:tblLook w:val="04A0" w:firstRow="1" w:lastRow="0" w:firstColumn="1" w:lastColumn="0" w:noHBand="0" w:noVBand="1"/>
      </w:tblPr>
      <w:tblGrid>
        <w:gridCol w:w="9062"/>
      </w:tblGrid>
      <w:tr w:rsidR="002C1206">
        <w:tc>
          <w:tcPr>
            <w:tcW w:w="9062" w:type="dxa"/>
          </w:tcPr>
          <w:p w:rsidR="002C1206" w:rsidRDefault="006969C2">
            <w:pPr>
              <w:spacing w:after="240"/>
              <w:contextualSpacing/>
              <w:jc w:val="both"/>
              <w:rPr>
                <w:rFonts w:ascii="Times New Roman" w:hAnsi="Times New Roman"/>
                <w:b/>
                <w:noProof/>
                <w:sz w:val="24"/>
                <w:szCs w:val="24"/>
                <w:lang w:val="en-GB"/>
              </w:rPr>
            </w:pPr>
            <w:r>
              <w:rPr>
                <w:rFonts w:ascii="Times New Roman" w:hAnsi="Times New Roman"/>
                <w:b/>
                <w:noProof/>
                <w:sz w:val="24"/>
                <w:szCs w:val="24"/>
                <w:lang w:val="en-GB"/>
              </w:rPr>
              <w:t>The Commission will:</w:t>
            </w:r>
          </w:p>
          <w:p w:rsidR="002C1206" w:rsidRDefault="002C1206">
            <w:pPr>
              <w:spacing w:after="240"/>
              <w:contextualSpacing/>
              <w:jc w:val="both"/>
              <w:rPr>
                <w:rFonts w:ascii="Times New Roman" w:hAnsi="Times New Roman"/>
                <w:b/>
                <w:noProof/>
                <w:sz w:val="24"/>
                <w:szCs w:val="24"/>
                <w:lang w:val="en-GB"/>
              </w:rPr>
            </w:pPr>
          </w:p>
          <w:p w:rsidR="002C1206" w:rsidRDefault="006969C2">
            <w:pPr>
              <w:numPr>
                <w:ilvl w:val="0"/>
                <w:numId w:val="47"/>
              </w:numPr>
              <w:spacing w:after="240"/>
              <w:ind w:left="714" w:hanging="357"/>
              <w:jc w:val="both"/>
              <w:rPr>
                <w:rFonts w:ascii="Times New Roman" w:hAnsi="Times New Roman"/>
                <w:b/>
                <w:noProof/>
                <w:sz w:val="24"/>
                <w:szCs w:val="24"/>
                <w:lang w:val="en-GB"/>
              </w:rPr>
            </w:pPr>
            <w:r>
              <w:rPr>
                <w:rFonts w:ascii="Times New Roman" w:hAnsi="Times New Roman"/>
                <w:b/>
                <w:noProof/>
                <w:sz w:val="24"/>
                <w:szCs w:val="24"/>
                <w:lang w:val="en-GB"/>
              </w:rPr>
              <w:t xml:space="preserve">Through the Reform Support Programme provide technical support to Member States to help design and implement growth-enhancing reforms, including the development of sustainable investment strategies. </w:t>
            </w:r>
          </w:p>
          <w:p w:rsidR="002C1206" w:rsidRDefault="006969C2">
            <w:pPr>
              <w:numPr>
                <w:ilvl w:val="0"/>
                <w:numId w:val="47"/>
              </w:numPr>
              <w:spacing w:after="240"/>
              <w:ind w:left="714" w:hanging="357"/>
              <w:jc w:val="both"/>
              <w:rPr>
                <w:rFonts w:ascii="Times New Roman" w:hAnsi="Times New Roman"/>
                <w:b/>
                <w:noProof/>
                <w:sz w:val="24"/>
                <w:szCs w:val="24"/>
                <w:lang w:val="en-GB"/>
              </w:rPr>
            </w:pPr>
            <w:r>
              <w:rPr>
                <w:rFonts w:ascii="Times New Roman" w:hAnsi="Times New Roman"/>
                <w:b/>
                <w:noProof/>
                <w:sz w:val="24"/>
                <w:szCs w:val="24"/>
                <w:lang w:val="en-GB"/>
              </w:rPr>
              <w:t>Through the InvestEU Advisory Hub provide tailored advis</w:t>
            </w:r>
            <w:r>
              <w:rPr>
                <w:rFonts w:ascii="Times New Roman" w:hAnsi="Times New Roman"/>
                <w:b/>
                <w:noProof/>
                <w:sz w:val="24"/>
                <w:szCs w:val="24"/>
                <w:lang w:val="en-GB"/>
              </w:rPr>
              <w:t>ory services to private and public promoters of sustainable projects.</w:t>
            </w:r>
          </w:p>
          <w:p w:rsidR="002C1206" w:rsidRDefault="006969C2">
            <w:pPr>
              <w:numPr>
                <w:ilvl w:val="0"/>
                <w:numId w:val="47"/>
              </w:numPr>
              <w:spacing w:after="240"/>
              <w:ind w:left="714" w:hanging="357"/>
              <w:jc w:val="both"/>
              <w:rPr>
                <w:rFonts w:ascii="Times New Roman" w:hAnsi="Times New Roman"/>
                <w:noProof/>
                <w:sz w:val="24"/>
                <w:szCs w:val="24"/>
                <w:lang w:val="en-GB"/>
              </w:rPr>
            </w:pPr>
            <w:r>
              <w:rPr>
                <w:rFonts w:ascii="Times New Roman" w:hAnsi="Times New Roman"/>
                <w:b/>
                <w:noProof/>
                <w:sz w:val="24"/>
                <w:szCs w:val="24"/>
                <w:lang w:val="en-GB"/>
              </w:rPr>
              <w:t>Propose a Sustainable Procurement Screening’ instrument ensuring the greening of public  infrastructure projects</w:t>
            </w:r>
            <w:r>
              <w:rPr>
                <w:rFonts w:ascii="Times New Roman" w:hAnsi="Times New Roman"/>
                <w:noProof/>
                <w:sz w:val="24"/>
                <w:szCs w:val="24"/>
                <w:lang w:val="en-GB"/>
              </w:rPr>
              <w:t>.</w:t>
            </w:r>
          </w:p>
        </w:tc>
      </w:tr>
    </w:tbl>
    <w:p w:rsidR="002C1206" w:rsidRDefault="006969C2">
      <w:pPr>
        <w:pStyle w:val="Heading1"/>
        <w:spacing w:before="240" w:after="240"/>
        <w:rPr>
          <w:noProof/>
          <w:lang w:val="en-GB"/>
        </w:rPr>
      </w:pPr>
      <w:r>
        <w:rPr>
          <w:noProof/>
          <w:lang w:val="en-GB"/>
        </w:rPr>
        <w:t>A Just Transition Mechanism</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transition to a sustainable and climate</w:t>
      </w:r>
      <w:r>
        <w:rPr>
          <w:rFonts w:ascii="Times New Roman" w:hAnsi="Times New Roman"/>
          <w:b/>
          <w:noProof/>
          <w:sz w:val="24"/>
          <w:szCs w:val="24"/>
          <w:lang w:val="en-GB"/>
        </w:rPr>
        <w:t>-neutral economy will require substantial investment all over Europe and a strong policy response at all levels</w:t>
      </w:r>
      <w:r>
        <w:rPr>
          <w:rFonts w:ascii="Times New Roman" w:hAnsi="Times New Roman"/>
          <w:noProof/>
          <w:sz w:val="24"/>
          <w:szCs w:val="24"/>
          <w:lang w:val="en-GB"/>
        </w:rPr>
        <w:t>. While all regions will require funding for the green transition, the transformation will pose a significant challenge to some territories. Clim</w:t>
      </w:r>
      <w:r>
        <w:rPr>
          <w:rFonts w:ascii="Times New Roman" w:hAnsi="Times New Roman"/>
          <w:noProof/>
          <w:sz w:val="24"/>
          <w:szCs w:val="24"/>
          <w:lang w:val="en-GB"/>
        </w:rPr>
        <w:t xml:space="preserve">ate neutrality will require a fundamental restructuring of their economies, structural changes in business models, and new skill requirements. This must be acknowledged and addressed in a transition that leaves no one behind.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Fossil fuel mining and explo</w:t>
      </w:r>
      <w:r>
        <w:rPr>
          <w:rFonts w:ascii="Times New Roman" w:hAnsi="Times New Roman"/>
          <w:b/>
          <w:noProof/>
          <w:sz w:val="24"/>
          <w:szCs w:val="24"/>
          <w:lang w:val="en-GB"/>
        </w:rPr>
        <w:t>ration will face a significant decline and highly-greenhouse gas intensive activities will undergo a deep transformation</w:t>
      </w:r>
      <w:r>
        <w:rPr>
          <w:rFonts w:ascii="Times New Roman" w:hAnsi="Times New Roman"/>
          <w:noProof/>
          <w:sz w:val="24"/>
          <w:szCs w:val="24"/>
          <w:lang w:val="en-GB"/>
        </w:rPr>
        <w:t>. Regions and territories highly dependent on these activities will need to restructure their industries, ensure that new economic activ</w:t>
      </w:r>
      <w:r>
        <w:rPr>
          <w:rFonts w:ascii="Times New Roman" w:hAnsi="Times New Roman"/>
          <w:noProof/>
          <w:sz w:val="24"/>
          <w:szCs w:val="24"/>
          <w:lang w:val="en-GB"/>
        </w:rPr>
        <w:t>ities can keep the economic and social texture together and, provide the necessary training to the workers concerned to find new jobs. Without the necessary accompanying measures, the transition will not happen, since it will be neither just nor socially s</w:t>
      </w:r>
      <w:r>
        <w:rPr>
          <w:rFonts w:ascii="Times New Roman" w:hAnsi="Times New Roman"/>
          <w:noProof/>
          <w:sz w:val="24"/>
          <w:szCs w:val="24"/>
          <w:lang w:val="en-GB"/>
        </w:rPr>
        <w:t>ustainable.</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To address the specific challenges encountered by some regions, the Commission is proposing a Just Transition Mechanism that provides targeted support to generate the necessary investments in these territories. </w:t>
      </w:r>
      <w:r>
        <w:rPr>
          <w:rFonts w:ascii="Times New Roman" w:hAnsi="Times New Roman"/>
          <w:noProof/>
          <w:sz w:val="24"/>
          <w:szCs w:val="24"/>
          <w:lang w:val="en-GB"/>
        </w:rPr>
        <w:t>The Just Transition Mechanism wil</w:t>
      </w:r>
      <w:r>
        <w:rPr>
          <w:rFonts w:ascii="Times New Roman" w:hAnsi="Times New Roman"/>
          <w:noProof/>
          <w:sz w:val="24"/>
          <w:szCs w:val="24"/>
          <w:lang w:val="en-GB"/>
        </w:rPr>
        <w:t xml:space="preserve">l consist of three pillars: </w:t>
      </w:r>
    </w:p>
    <w:p w:rsidR="002C1206" w:rsidRDefault="006969C2">
      <w:pPr>
        <w:pStyle w:val="ListParagraph"/>
        <w:numPr>
          <w:ilvl w:val="0"/>
          <w:numId w:val="48"/>
        </w:numPr>
        <w:ind w:left="714" w:hanging="357"/>
        <w:jc w:val="both"/>
        <w:rPr>
          <w:rFonts w:ascii="Times New Roman" w:hAnsi="Times New Roman"/>
          <w:noProof/>
          <w:sz w:val="24"/>
          <w:szCs w:val="24"/>
          <w:lang w:val="en-GB"/>
        </w:rPr>
      </w:pPr>
      <w:r>
        <w:rPr>
          <w:rFonts w:ascii="Times New Roman" w:hAnsi="Times New Roman"/>
          <w:noProof/>
          <w:sz w:val="24"/>
          <w:szCs w:val="24"/>
          <w:lang w:val="en-GB"/>
        </w:rPr>
        <w:t xml:space="preserve">a Just Transition Fund, </w:t>
      </w:r>
    </w:p>
    <w:p w:rsidR="002C1206" w:rsidRDefault="006969C2">
      <w:pPr>
        <w:pStyle w:val="ListParagraph"/>
        <w:numPr>
          <w:ilvl w:val="0"/>
          <w:numId w:val="48"/>
        </w:numPr>
        <w:ind w:left="714" w:hanging="357"/>
        <w:jc w:val="both"/>
        <w:rPr>
          <w:rFonts w:ascii="Times New Roman" w:hAnsi="Times New Roman"/>
          <w:noProof/>
          <w:sz w:val="24"/>
          <w:szCs w:val="24"/>
          <w:lang w:val="en-GB"/>
        </w:rPr>
      </w:pPr>
      <w:r>
        <w:rPr>
          <w:rFonts w:ascii="Times New Roman" w:hAnsi="Times New Roman"/>
          <w:noProof/>
          <w:sz w:val="24"/>
          <w:szCs w:val="24"/>
          <w:lang w:val="en-GB"/>
        </w:rPr>
        <w:t xml:space="preserve">a dedicated just transition scheme under InvestEU, and </w:t>
      </w:r>
    </w:p>
    <w:p w:rsidR="002C1206" w:rsidRDefault="006969C2">
      <w:pPr>
        <w:pStyle w:val="ListParagraph"/>
        <w:numPr>
          <w:ilvl w:val="0"/>
          <w:numId w:val="48"/>
        </w:numPr>
        <w:ind w:left="714" w:hanging="357"/>
        <w:jc w:val="both"/>
        <w:rPr>
          <w:rFonts w:ascii="Times New Roman" w:hAnsi="Times New Roman"/>
          <w:noProof/>
          <w:sz w:val="24"/>
          <w:szCs w:val="24"/>
          <w:lang w:val="en-GB"/>
        </w:rPr>
      </w:pPr>
      <w:r>
        <w:rPr>
          <w:rFonts w:ascii="Times New Roman" w:hAnsi="Times New Roman"/>
          <w:noProof/>
          <w:sz w:val="24"/>
          <w:szCs w:val="24"/>
          <w:lang w:val="en-GB"/>
        </w:rPr>
        <w:t xml:space="preserve">a new public sector loan facility for additional investments to be leveraged by the European Investment Bank. </w:t>
      </w:r>
    </w:p>
    <w:p w:rsidR="002C1206" w:rsidRDefault="006969C2">
      <w:pPr>
        <w:rPr>
          <w:rFonts w:ascii="Times New Roman" w:hAnsi="Times New Roman"/>
          <w:noProof/>
          <w:sz w:val="24"/>
          <w:szCs w:val="24"/>
          <w:lang w:val="en-GB"/>
        </w:rPr>
      </w:pPr>
      <w:r>
        <w:rPr>
          <w:rFonts w:ascii="Times New Roman" w:hAnsi="Times New Roman"/>
          <w:noProof/>
          <w:sz w:val="24"/>
          <w:szCs w:val="24"/>
          <w:lang w:val="en-GB"/>
        </w:rPr>
        <w:br w:type="page"/>
      </w:r>
    </w:p>
    <w:p w:rsidR="002C1206" w:rsidRDefault="002C1206">
      <w:pPr>
        <w:pStyle w:val="ListParagraph"/>
        <w:ind w:left="714"/>
        <w:jc w:val="both"/>
        <w:rPr>
          <w:rFonts w:ascii="Times New Roman" w:hAnsi="Times New Roman"/>
          <w:noProof/>
          <w:sz w:val="24"/>
          <w:szCs w:val="24"/>
          <w:lang w:val="en-GB"/>
        </w:rPr>
      </w:pPr>
    </w:p>
    <w:p w:rsidR="002C1206" w:rsidRDefault="002C1206">
      <w:pPr>
        <w:spacing w:after="240"/>
        <w:jc w:val="center"/>
        <w:rPr>
          <w:rFonts w:ascii="Times New Roman" w:hAnsi="Times New Roman"/>
          <w:b/>
          <w:noProof/>
          <w:sz w:val="24"/>
          <w:szCs w:val="24"/>
          <w:lang w:val="en-GB"/>
        </w:rPr>
      </w:pPr>
    </w:p>
    <w:p w:rsidR="002C1206" w:rsidRDefault="006969C2">
      <w:pPr>
        <w:spacing w:after="240"/>
        <w:jc w:val="center"/>
        <w:rPr>
          <w:rFonts w:ascii="Times New Roman" w:hAnsi="Times New Roman"/>
          <w:b/>
          <w:noProof/>
          <w:sz w:val="24"/>
          <w:szCs w:val="24"/>
          <w:lang w:val="en-GB"/>
        </w:rPr>
      </w:pPr>
      <w:r>
        <w:rPr>
          <w:rFonts w:ascii="Times New Roman" w:hAnsi="Times New Roman"/>
          <w:b/>
          <w:noProof/>
          <w:sz w:val="24"/>
          <w:szCs w:val="24"/>
          <w:lang w:val="en-GB"/>
        </w:rPr>
        <w:t xml:space="preserve">Figure 4. Financing the Just </w:t>
      </w:r>
      <w:r>
        <w:rPr>
          <w:rFonts w:ascii="Times New Roman" w:hAnsi="Times New Roman"/>
          <w:b/>
          <w:noProof/>
          <w:sz w:val="24"/>
          <w:szCs w:val="24"/>
          <w:lang w:val="en-GB"/>
        </w:rPr>
        <w:t>Transition Mechanism</w:t>
      </w:r>
    </w:p>
    <w:p w:rsidR="002C1206" w:rsidRDefault="006969C2">
      <w:pPr>
        <w:spacing w:after="240"/>
        <w:jc w:val="center"/>
        <w:rPr>
          <w:rFonts w:ascii="Times New Roman" w:hAnsi="Times New Roman"/>
          <w:b/>
          <w:noProof/>
          <w:sz w:val="24"/>
          <w:szCs w:val="24"/>
          <w:lang w:val="en-GB"/>
        </w:rPr>
      </w:pPr>
      <w:r>
        <w:rPr>
          <w:rFonts w:ascii="Times New Roman" w:hAnsi="Times New Roman"/>
          <w:noProof/>
          <w:sz w:val="24"/>
          <w:szCs w:val="24"/>
          <w:lang w:val="fr-BE" w:eastAsia="fr-BE"/>
        </w:rPr>
        <w:drawing>
          <wp:inline distT="0" distB="0" distL="0" distR="0">
            <wp:extent cx="5486315" cy="4114736"/>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315" cy="4114736"/>
                    </a:xfrm>
                    <a:prstGeom prst="rect">
                      <a:avLst/>
                    </a:prstGeom>
                    <a:noFill/>
                  </pic:spPr>
                </pic:pic>
              </a:graphicData>
            </a:graphic>
          </wp:inline>
        </w:drawing>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Each pillar will assist with different grant and financing instruments in order to offer a full range of support options in line with the needs to mobilise investments benefiting the most impacted regions.</w:t>
      </w:r>
      <w:r>
        <w:rPr>
          <w:rFonts w:ascii="Times New Roman" w:hAnsi="Times New Roman"/>
          <w:noProof/>
          <w:sz w:val="24"/>
          <w:szCs w:val="24"/>
          <w:lang w:val="en-GB"/>
        </w:rPr>
        <w:t xml:space="preserve"> To ensure coherence between</w:t>
      </w:r>
      <w:r>
        <w:rPr>
          <w:rFonts w:ascii="Times New Roman" w:hAnsi="Times New Roman"/>
          <w:noProof/>
          <w:sz w:val="24"/>
          <w:szCs w:val="24"/>
          <w:lang w:val="en-GB"/>
        </w:rPr>
        <w:t xml:space="preserve"> the three pillars, the Just Transition Fund will be used to provide primarily grants; the dedicated transition scheme under InvestEU will crowd in private investments, and the new just transition public sector loan facility will leverage public financing.</w:t>
      </w:r>
      <w:r>
        <w:rPr>
          <w:rFonts w:ascii="Times New Roman" w:hAnsi="Times New Roman"/>
          <w:noProof/>
          <w:sz w:val="24"/>
          <w:szCs w:val="24"/>
          <w:lang w:val="en-GB"/>
        </w:rPr>
        <w:t xml:space="preserve"> These measures will be accompanied by dedicated advisory and technical assistance for the regions and projects concerned. The Just Transition Mechanism will include a strong governance framework centred on territorial just transition plans.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Taken together, the components of the Just Transition Mechanism could help mobilize investment in the regions most exposed to transition challenges in the order of EUR 100 billion over the period 2021-2027. </w:t>
      </w:r>
      <w:r>
        <w:rPr>
          <w:rFonts w:ascii="Times New Roman" w:hAnsi="Times New Roman"/>
          <w:noProof/>
          <w:sz w:val="24"/>
          <w:szCs w:val="24"/>
          <w:lang w:val="en-GB"/>
        </w:rPr>
        <w:t>All investments financed will be coherent with th</w:t>
      </w:r>
      <w:r>
        <w:rPr>
          <w:rFonts w:ascii="Times New Roman" w:hAnsi="Times New Roman"/>
          <w:noProof/>
          <w:sz w:val="24"/>
          <w:szCs w:val="24"/>
          <w:lang w:val="en-GB"/>
        </w:rPr>
        <w:t>e Green Deal objectives.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Additionally, the Commission will propose a revision of the Regulations on the Research Fund for Coal and Steel in order to enable the use a portion of the European Steel and Coal Community assets in liquidation.</w:t>
      </w:r>
      <w:r>
        <w:rPr>
          <w:rFonts w:ascii="Times New Roman" w:hAnsi="Times New Roman"/>
          <w:noProof/>
          <w:sz w:val="24"/>
          <w:szCs w:val="24"/>
          <w:lang w:val="en-GB"/>
        </w:rPr>
        <w:t xml:space="preserve"> This will help wit</w:t>
      </w:r>
      <w:r>
        <w:rPr>
          <w:rFonts w:ascii="Times New Roman" w:hAnsi="Times New Roman"/>
          <w:noProof/>
          <w:sz w:val="24"/>
          <w:szCs w:val="24"/>
          <w:lang w:val="en-GB"/>
        </w:rPr>
        <w:t>h maintaining the annual research programme of at least EUR 40 million as well as to enable the funding of large clean steelmaking R&amp;I breakthrough projects. Research activities in the coal sector will focus on regions in transition in line with the princi</w:t>
      </w:r>
      <w:r>
        <w:rPr>
          <w:rFonts w:ascii="Times New Roman" w:hAnsi="Times New Roman"/>
          <w:noProof/>
          <w:sz w:val="24"/>
          <w:szCs w:val="24"/>
          <w:lang w:val="en-GB"/>
        </w:rPr>
        <w:t xml:space="preserve">ples of the Just Transition Mechanism. </w:t>
      </w:r>
    </w:p>
    <w:p w:rsidR="002C1206" w:rsidRDefault="002C1206">
      <w:pPr>
        <w:spacing w:after="240"/>
        <w:jc w:val="both"/>
        <w:rPr>
          <w:rFonts w:ascii="Times New Roman" w:hAnsi="Times New Roman"/>
          <w:b/>
          <w:noProof/>
          <w:sz w:val="24"/>
          <w:szCs w:val="24"/>
          <w:lang w:val="en-GB"/>
        </w:rPr>
      </w:pP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Further, the EU ETS Modernisation Fund will complement the Just Transition Mechanism.</w:t>
      </w:r>
      <w:r>
        <w:rPr>
          <w:rFonts w:ascii="Times New Roman" w:hAnsi="Times New Roman"/>
          <w:noProof/>
          <w:sz w:val="24"/>
          <w:szCs w:val="24"/>
          <w:lang w:val="en-GB"/>
        </w:rPr>
        <w:t xml:space="preserve"> Additional EUR 14 billion (subject to eventual carbon price levels) in 2021-2030 will address the low-carbon investments in its t</w:t>
      </w:r>
      <w:r>
        <w:rPr>
          <w:rFonts w:ascii="Times New Roman" w:hAnsi="Times New Roman"/>
          <w:noProof/>
          <w:sz w:val="24"/>
          <w:szCs w:val="24"/>
          <w:lang w:val="en-GB"/>
        </w:rPr>
        <w:t>en beneficiary Member States (Romania, Bulgaria, Hungary, Latvia, Lithuania, Estonia, Czech Republic, Poland, Slovakia, Croatia).</w:t>
      </w:r>
    </w:p>
    <w:p w:rsidR="002C1206" w:rsidRDefault="006969C2">
      <w:pPr>
        <w:pStyle w:val="Heading2"/>
        <w:spacing w:after="240"/>
        <w:rPr>
          <w:noProof/>
          <w:lang w:val="en-GB"/>
        </w:rPr>
      </w:pPr>
      <w:r>
        <w:rPr>
          <w:noProof/>
          <w:lang w:val="en-GB"/>
        </w:rPr>
        <w:t>Pillar 1: The Just Transition Fund</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Just Transition Fund (JTF) will be equipped with its own envelope of EUR 7.5 billion wi</w:t>
      </w:r>
      <w:r>
        <w:rPr>
          <w:rFonts w:ascii="Times New Roman" w:hAnsi="Times New Roman"/>
          <w:b/>
          <w:noProof/>
          <w:sz w:val="24"/>
          <w:szCs w:val="24"/>
          <w:lang w:val="en-GB"/>
        </w:rPr>
        <w:t>thin the EU budget,</w:t>
      </w:r>
      <w:r>
        <w:rPr>
          <w:rFonts w:ascii="Times New Roman" w:hAnsi="Times New Roman"/>
          <w:noProof/>
          <w:sz w:val="24"/>
          <w:szCs w:val="24"/>
          <w:lang w:val="en-GB"/>
        </w:rPr>
        <w:t xml:space="preserve"> </w:t>
      </w:r>
      <w:r>
        <w:rPr>
          <w:rFonts w:ascii="Times New Roman" w:hAnsi="Times New Roman"/>
          <w:b/>
          <w:noProof/>
          <w:sz w:val="24"/>
          <w:szCs w:val="24"/>
          <w:lang w:val="en-GB"/>
        </w:rPr>
        <w:t>which comes on top of the proposal for the next Multiannual Financial Framework made by the Commission in May 2018</w:t>
      </w:r>
      <w:r>
        <w:rPr>
          <w:rStyle w:val="FootnoteReference"/>
          <w:rFonts w:ascii="Times New Roman" w:hAnsi="Times New Roman"/>
          <w:b/>
          <w:noProof/>
          <w:sz w:val="24"/>
          <w:szCs w:val="24"/>
          <w:lang w:val="en-GB"/>
        </w:rPr>
        <w:footnoteReference w:id="10"/>
      </w:r>
      <w:r>
        <w:rPr>
          <w:rFonts w:ascii="Times New Roman" w:hAnsi="Times New Roman"/>
          <w:noProof/>
          <w:sz w:val="24"/>
          <w:szCs w:val="24"/>
          <w:lang w:val="en-GB"/>
        </w:rPr>
        <w:t xml:space="preserve"> The Fund will aim to alleviate the social and economic costs of the transition to climate neutrality.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Commission is</w:t>
      </w:r>
      <w:r>
        <w:rPr>
          <w:rFonts w:ascii="Times New Roman" w:hAnsi="Times New Roman"/>
          <w:b/>
          <w:noProof/>
          <w:sz w:val="24"/>
          <w:szCs w:val="24"/>
          <w:lang w:val="en-GB"/>
        </w:rPr>
        <w:t xml:space="preserve"> adopting today a proposal for a regulation establishing the Just Transition Fund, as well as a proposal for targeted amendments to the Common Provisions Regulation.</w:t>
      </w:r>
      <w:r>
        <w:rPr>
          <w:rFonts w:ascii="Times New Roman" w:hAnsi="Times New Roman"/>
          <w:noProof/>
          <w:sz w:val="24"/>
          <w:szCs w:val="24"/>
          <w:lang w:val="en-GB"/>
        </w:rPr>
        <w:t xml:space="preserve"> To unlock one euro from the Just Transition Fund, each</w:t>
      </w:r>
      <w:r>
        <w:rPr>
          <w:rFonts w:ascii="Times New Roman" w:hAnsi="Times New Roman"/>
          <w:b/>
          <w:noProof/>
          <w:sz w:val="24"/>
          <w:szCs w:val="24"/>
          <w:lang w:val="en-GB"/>
        </w:rPr>
        <w:t xml:space="preserve"> </w:t>
      </w:r>
      <w:r>
        <w:rPr>
          <w:rFonts w:ascii="Times New Roman" w:hAnsi="Times New Roman"/>
          <w:noProof/>
          <w:sz w:val="24"/>
          <w:szCs w:val="24"/>
          <w:lang w:val="en-GB"/>
        </w:rPr>
        <w:t>Member State will be required to al</w:t>
      </w:r>
      <w:r>
        <w:rPr>
          <w:rFonts w:ascii="Times New Roman" w:hAnsi="Times New Roman"/>
          <w:noProof/>
          <w:sz w:val="24"/>
          <w:szCs w:val="24"/>
          <w:lang w:val="en-GB"/>
        </w:rPr>
        <w:t>locate a minimum of 1.5 and a maximum of 3 euro from the European Regional Development Fund and the European Social Fund Plus. This spending from the EU budget will be supplemented by national co-financing according to cohesion policy rules. This could bri</w:t>
      </w:r>
      <w:r>
        <w:rPr>
          <w:rFonts w:ascii="Times New Roman" w:hAnsi="Times New Roman"/>
          <w:noProof/>
          <w:sz w:val="24"/>
          <w:szCs w:val="24"/>
          <w:lang w:val="en-GB"/>
        </w:rPr>
        <w:t>ng the total amount of public funds mobilised through the Just Transition Fund to between EUR 30 and 50 billion.</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Just Transition Fund will benefit territories with high employment in coal, lignite, oil shale and peat production</w:t>
      </w:r>
      <w:r>
        <w:rPr>
          <w:rFonts w:ascii="Times New Roman" w:hAnsi="Times New Roman"/>
          <w:noProof/>
          <w:sz w:val="24"/>
          <w:szCs w:val="24"/>
          <w:lang w:val="en-GB"/>
        </w:rPr>
        <w:t xml:space="preserve">, as well as territories </w:t>
      </w:r>
      <w:r>
        <w:rPr>
          <w:rFonts w:ascii="Times New Roman" w:hAnsi="Times New Roman"/>
          <w:noProof/>
          <w:sz w:val="24"/>
          <w:szCs w:val="24"/>
          <w:lang w:val="en-GB"/>
        </w:rPr>
        <w:t>with greenhouse gas-intensive industries, which will be either discontinued or severely impacted by the transition. The level of support will reflect the magnitude of the challenges in these territories, in terms of the need for both economic diversificati</w:t>
      </w:r>
      <w:r>
        <w:rPr>
          <w:rFonts w:ascii="Times New Roman" w:hAnsi="Times New Roman"/>
          <w:noProof/>
          <w:sz w:val="24"/>
          <w:szCs w:val="24"/>
          <w:lang w:val="en-GB"/>
        </w:rPr>
        <w:t xml:space="preserve">on and transition towards zero and low-carbon activities with growth potential, and the reskilling of workers in view of equipping them with the necessary skills to take on new jobs.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Just Transition Fund will help transform these regions, which will b</w:t>
      </w:r>
      <w:r>
        <w:rPr>
          <w:rFonts w:ascii="Times New Roman" w:hAnsi="Times New Roman"/>
          <w:b/>
          <w:noProof/>
          <w:sz w:val="24"/>
          <w:szCs w:val="24"/>
          <w:lang w:val="en-GB"/>
        </w:rPr>
        <w:t xml:space="preserve">e essential to reaching carbon neutrality by 2050. It will bring together spending on climate action and support for bridging differences between and inside of Member States. </w:t>
      </w:r>
      <w:r>
        <w:rPr>
          <w:rFonts w:ascii="Times New Roman" w:hAnsi="Times New Roman"/>
          <w:noProof/>
          <w:sz w:val="24"/>
          <w:szCs w:val="24"/>
          <w:lang w:val="en-GB"/>
        </w:rPr>
        <w:t>The Just Transition Fund will therefore be implemented under cohesion policy, whi</w:t>
      </w:r>
      <w:r>
        <w:rPr>
          <w:rFonts w:ascii="Times New Roman" w:hAnsi="Times New Roman"/>
          <w:noProof/>
          <w:sz w:val="24"/>
          <w:szCs w:val="24"/>
          <w:lang w:val="en-GB"/>
        </w:rPr>
        <w:t>ch is the main EU policy to reduce regional disparities and to address structural changes in Europe’s regions. It will be implemented through shared management in close cooperation with national, regional and local authorities and stakeholders. This will e</w:t>
      </w:r>
      <w:r>
        <w:rPr>
          <w:rFonts w:ascii="Times New Roman" w:hAnsi="Times New Roman"/>
          <w:noProof/>
          <w:sz w:val="24"/>
          <w:szCs w:val="24"/>
          <w:lang w:val="en-GB"/>
        </w:rPr>
        <w:t>nsure ownership and provide the tools and structures for an efficient management framework.</w:t>
      </w:r>
    </w:p>
    <w:p w:rsidR="002C1206" w:rsidRDefault="006969C2">
      <w:pPr>
        <w:spacing w:after="120" w:line="275" w:lineRule="auto"/>
        <w:jc w:val="both"/>
        <w:rPr>
          <w:rFonts w:ascii="Times New Roman" w:hAnsi="Times New Roman"/>
          <w:noProof/>
          <w:sz w:val="24"/>
          <w:szCs w:val="24"/>
          <w:lang w:val="en-GB"/>
        </w:rPr>
      </w:pPr>
      <w:r>
        <w:rPr>
          <w:rFonts w:ascii="Times New Roman" w:hAnsi="Times New Roman"/>
          <w:b/>
          <w:noProof/>
          <w:sz w:val="24"/>
          <w:szCs w:val="24"/>
          <w:lang w:val="en-GB"/>
        </w:rPr>
        <w:t>The Just Transition Fund will provide support to all Member States, with focus on those that will shoulder the biggest transition challenges</w:t>
      </w:r>
      <w:r>
        <w:rPr>
          <w:rFonts w:ascii="Times New Roman" w:hAnsi="Times New Roman"/>
          <w:noProof/>
          <w:sz w:val="24"/>
          <w:szCs w:val="24"/>
          <w:lang w:val="en-GB"/>
        </w:rPr>
        <w:t>. Resources will be allo</w:t>
      </w:r>
      <w:r>
        <w:rPr>
          <w:rFonts w:ascii="Times New Roman" w:hAnsi="Times New Roman"/>
          <w:noProof/>
          <w:sz w:val="24"/>
          <w:szCs w:val="24"/>
          <w:lang w:val="en-GB"/>
        </w:rPr>
        <w:t>cated among Member States based on the scale of the decarbonisation challenge of the highest greenhouse gas-intensive regions (through the corresponding industrial emissions), the social challenges in light of potential job losses in industry, coal and lig</w:t>
      </w:r>
      <w:r>
        <w:rPr>
          <w:rFonts w:ascii="Times New Roman" w:hAnsi="Times New Roman"/>
          <w:noProof/>
          <w:sz w:val="24"/>
          <w:szCs w:val="24"/>
          <w:lang w:val="en-GB"/>
        </w:rPr>
        <w:t>nite mining and production of peat and extraction of oil shale, and the need for subsequent reskilling of workers.</w:t>
      </w:r>
      <w:r>
        <w:rPr>
          <w:rFonts w:ascii="Times New Roman" w:hAnsi="Times New Roman"/>
          <w:noProof/>
          <w:sz w:val="24"/>
          <w:szCs w:val="24"/>
        </w:rPr>
        <w:t xml:space="preserve"> </w:t>
      </w:r>
      <w:r>
        <w:rPr>
          <w:rFonts w:ascii="Times New Roman" w:hAnsi="Times New Roman"/>
          <w:noProof/>
          <w:sz w:val="24"/>
          <w:szCs w:val="24"/>
          <w:lang w:val="en-GB"/>
        </w:rPr>
        <w:t>To ensure that the transition is fair and acceptable to all, the allocation will reflect the ability of Member States to address this challen</w:t>
      </w:r>
      <w:r>
        <w:rPr>
          <w:rFonts w:ascii="Times New Roman" w:hAnsi="Times New Roman"/>
          <w:noProof/>
          <w:sz w:val="24"/>
          <w:szCs w:val="24"/>
          <w:lang w:val="en-GB"/>
        </w:rPr>
        <w:t>ge according to their level of economic development.</w:t>
      </w:r>
    </w:p>
    <w:p w:rsidR="002C1206" w:rsidRDefault="002C1206">
      <w:pPr>
        <w:spacing w:after="240"/>
        <w:jc w:val="both"/>
        <w:rPr>
          <w:rFonts w:ascii="Times New Roman" w:hAnsi="Times New Roman"/>
          <w:b/>
          <w:noProof/>
          <w:sz w:val="24"/>
          <w:szCs w:val="24"/>
          <w:lang w:val="en-GB"/>
        </w:rPr>
      </w:pP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Member States will need to identify the eligible territories through dedicated territorial just transition plans, in dialogue with the Commission and consistently with their National Energy and Climate </w:t>
      </w:r>
      <w:r>
        <w:rPr>
          <w:rFonts w:ascii="Times New Roman" w:hAnsi="Times New Roman"/>
          <w:b/>
          <w:noProof/>
          <w:sz w:val="24"/>
          <w:szCs w:val="24"/>
          <w:lang w:val="en-GB"/>
        </w:rPr>
        <w:t>Plans</w:t>
      </w:r>
      <w:r>
        <w:rPr>
          <w:rFonts w:ascii="Times New Roman" w:hAnsi="Times New Roman"/>
          <w:noProof/>
          <w:sz w:val="24"/>
          <w:szCs w:val="24"/>
          <w:lang w:val="en-GB"/>
        </w:rPr>
        <w:t>. This dialogue will be based on an assessment on the territories most affected by the transition to climate neutrality and the employment and economic challenges they will face, as identified in the European Semester. Member States will take into acc</w:t>
      </w:r>
      <w:r>
        <w:rPr>
          <w:rFonts w:ascii="Times New Roman" w:hAnsi="Times New Roman"/>
          <w:noProof/>
          <w:sz w:val="24"/>
          <w:szCs w:val="24"/>
          <w:lang w:val="en-GB"/>
        </w:rPr>
        <w:t>ount that  assessment for the elaboration of the just territorial transition plans, outlining the transition process and the types of operations envisaged. These plans will be annexed to the Cohesion Policy programmes entailing support for the Just Transit</w:t>
      </w:r>
      <w:r>
        <w:rPr>
          <w:rFonts w:ascii="Times New Roman" w:hAnsi="Times New Roman"/>
          <w:noProof/>
          <w:sz w:val="24"/>
          <w:szCs w:val="24"/>
          <w:lang w:val="en-GB"/>
        </w:rPr>
        <w:t>ion Fund, and will be adopted by the Commission together with these programmes</w:t>
      </w:r>
      <w:r>
        <w:rPr>
          <w:rFonts w:ascii="Times New Roman" w:hAnsi="Times New Roman"/>
          <w:b/>
          <w:noProof/>
          <w:sz w:val="24"/>
          <w:szCs w:val="24"/>
          <w:lang w:val="en-GB"/>
        </w:rPr>
        <w:t>.</w:t>
      </w:r>
    </w:p>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To ensure the most effective use of the resources, the Just Transition Fund will be able to support investments in the transformation of existing installations, also in EU Emis</w:t>
      </w:r>
      <w:r>
        <w:rPr>
          <w:rFonts w:ascii="Times New Roman" w:hAnsi="Times New Roman"/>
          <w:noProof/>
          <w:sz w:val="24"/>
          <w:szCs w:val="24"/>
          <w:lang w:val="en-GB"/>
        </w:rPr>
        <w:t>sions Trading System sectors, only when these investments lead to substantial emission reduction, and also bring a positive long-term contribution to the job situation in the territories concerned, in line with the territorial transition plans.</w:t>
      </w:r>
    </w:p>
    <w:tbl>
      <w:tblPr>
        <w:tblStyle w:val="TableGrid1"/>
        <w:tblW w:w="0" w:type="auto"/>
        <w:tblLook w:val="04A0" w:firstRow="1" w:lastRow="0" w:firstColumn="1" w:lastColumn="0" w:noHBand="0" w:noVBand="1"/>
      </w:tblPr>
      <w:tblGrid>
        <w:gridCol w:w="9062"/>
      </w:tblGrid>
      <w:tr w:rsidR="002C1206">
        <w:tc>
          <w:tcPr>
            <w:tcW w:w="9062" w:type="dxa"/>
          </w:tcPr>
          <w:p w:rsidR="002C1206" w:rsidRDefault="006969C2">
            <w:pPr>
              <w:spacing w:after="240"/>
              <w:jc w:val="both"/>
              <w:rPr>
                <w:b/>
                <w:i/>
                <w:noProof/>
                <w:lang w:val="en-GB"/>
              </w:rPr>
            </w:pPr>
            <w:r>
              <w:rPr>
                <w:rFonts w:ascii="Times New Roman" w:hAnsi="Times New Roman"/>
                <w:b/>
                <w:i/>
                <w:noProof/>
                <w:sz w:val="24"/>
                <w:szCs w:val="24"/>
                <w:lang w:val="en-GB"/>
              </w:rPr>
              <w:t>Territorial</w:t>
            </w:r>
            <w:r>
              <w:rPr>
                <w:rFonts w:ascii="Times New Roman" w:hAnsi="Times New Roman"/>
                <w:b/>
                <w:i/>
                <w:noProof/>
                <w:sz w:val="24"/>
                <w:szCs w:val="24"/>
                <w:lang w:val="en-GB"/>
              </w:rPr>
              <w:t xml:space="preserve"> just transition plans – the centrepiece of the Just Transition Mechanism</w:t>
            </w:r>
          </w:p>
          <w:p w:rsidR="002C1206" w:rsidRDefault="006969C2">
            <w:pPr>
              <w:spacing w:after="240"/>
              <w:contextualSpacing/>
              <w:jc w:val="both"/>
              <w:rPr>
                <w:rFonts w:ascii="Times New Roman" w:hAnsi="Times New Roman"/>
                <w:noProof/>
                <w:sz w:val="24"/>
                <w:szCs w:val="24"/>
                <w:lang w:val="en-GB"/>
              </w:rPr>
            </w:pPr>
            <w:r>
              <w:rPr>
                <w:rFonts w:ascii="Times New Roman" w:hAnsi="Times New Roman"/>
                <w:noProof/>
                <w:sz w:val="24"/>
                <w:szCs w:val="24"/>
                <w:lang w:val="en-GB"/>
              </w:rPr>
              <w:t>Territorial just transition plans will be at the centre of the Just Transition Mechanism, and a reference for all of its pillars. These plans will set out the social, economic, and e</w:t>
            </w:r>
            <w:r>
              <w:rPr>
                <w:rFonts w:ascii="Times New Roman" w:hAnsi="Times New Roman"/>
                <w:noProof/>
                <w:sz w:val="24"/>
                <w:szCs w:val="24"/>
                <w:lang w:val="en-GB"/>
              </w:rPr>
              <w:t>nvironmental challenges stemming from the phasing out of fossil fuel-related activities, or decarbonising greenhouse gas-intensive processes or products. They will also give an outline of the transition process until 2030, including development, reskilling</w:t>
            </w:r>
            <w:r>
              <w:rPr>
                <w:rFonts w:ascii="Times New Roman" w:hAnsi="Times New Roman"/>
                <w:noProof/>
                <w:sz w:val="24"/>
                <w:szCs w:val="24"/>
                <w:lang w:val="en-GB"/>
              </w:rPr>
              <w:t xml:space="preserve"> and environmental rehabilitation needs and the approach to tackle them in an integrated manner, the transition timeline, the types of operations envisaged and governance mechanisms. This means that the measures to be supported by the Just Transition Fund </w:t>
            </w:r>
            <w:r>
              <w:rPr>
                <w:rFonts w:ascii="Times New Roman" w:hAnsi="Times New Roman"/>
                <w:noProof/>
                <w:sz w:val="24"/>
                <w:szCs w:val="24"/>
                <w:lang w:val="en-GB"/>
              </w:rPr>
              <w:t xml:space="preserve">might differ among Member States and territories with regard to the priorities and challenges identified. The programming process will be based on the assessment provided in the context of the European Semester. Taking into account this assessment, Member </w:t>
            </w:r>
            <w:r>
              <w:rPr>
                <w:rFonts w:ascii="Times New Roman" w:hAnsi="Times New Roman"/>
                <w:noProof/>
                <w:sz w:val="24"/>
                <w:szCs w:val="24"/>
                <w:lang w:val="en-GB"/>
              </w:rPr>
              <w:t>States will prepare territorial just transition plans, which will be part of the programmes under the Just Transition Fund. The approval of the plans by the Commission will open the doors to dedicated financing not only from the Just Transition Fund (pilla</w:t>
            </w:r>
            <w:r>
              <w:rPr>
                <w:rFonts w:ascii="Times New Roman" w:hAnsi="Times New Roman"/>
                <w:noProof/>
                <w:sz w:val="24"/>
                <w:szCs w:val="24"/>
                <w:lang w:val="en-GB"/>
              </w:rPr>
              <w:t>r 1 of the Just Transition Mechanism), but also from the dedicated just transition scheme under InvestEU (pillar 2) and the public sector loan facility  by the EIB (pillar 3).</w:t>
            </w:r>
          </w:p>
        </w:tc>
      </w:tr>
    </w:tbl>
    <w:p w:rsidR="002C1206" w:rsidRDefault="006969C2">
      <w:pPr>
        <w:spacing w:after="240"/>
        <w:jc w:val="both"/>
        <w:rPr>
          <w:rFonts w:ascii="Times New Roman" w:hAnsi="Times New Roman"/>
          <w:noProof/>
          <w:sz w:val="24"/>
          <w:szCs w:val="24"/>
          <w:lang w:val="en-GB"/>
        </w:rPr>
      </w:pPr>
      <w:r>
        <w:rPr>
          <w:rFonts w:ascii="Times New Roman" w:hAnsi="Times New Roman"/>
          <w:noProof/>
          <w:sz w:val="24"/>
          <w:szCs w:val="24"/>
          <w:lang w:val="en-GB"/>
        </w:rPr>
        <w:t xml:space="preserve"> </w:t>
      </w:r>
    </w:p>
    <w:p w:rsidR="002C1206" w:rsidRDefault="006969C2">
      <w:pPr>
        <w:pStyle w:val="Heading2"/>
        <w:spacing w:after="240"/>
        <w:rPr>
          <w:noProof/>
          <w:lang w:val="en-GB"/>
        </w:rPr>
      </w:pPr>
      <w:r>
        <w:rPr>
          <w:noProof/>
          <w:lang w:val="en-GB"/>
        </w:rPr>
        <w:t xml:space="preserve">Pillar 2: A dedicated scheme for just transition regions under the InvestEU </w:t>
      </w:r>
      <w:r>
        <w:rPr>
          <w:noProof/>
          <w:lang w:val="en-GB"/>
        </w:rPr>
        <w:t>Fund</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Just Transition Mechanism will also comprise a dedicated just transition scheme under InvestEU, to generate additional investment to benefit the most affected regions.</w:t>
      </w:r>
      <w:r>
        <w:rPr>
          <w:rFonts w:ascii="Times New Roman" w:hAnsi="Times New Roman"/>
          <w:noProof/>
          <w:sz w:val="24"/>
          <w:szCs w:val="24"/>
          <w:lang w:val="en-GB"/>
        </w:rPr>
        <w:t xml:space="preserve"> This will allow new economic activities to replace those that need to be phased</w:t>
      </w:r>
      <w:r>
        <w:rPr>
          <w:rFonts w:ascii="Times New Roman" w:hAnsi="Times New Roman"/>
          <w:noProof/>
          <w:sz w:val="24"/>
          <w:szCs w:val="24"/>
          <w:lang w:val="en-GB"/>
        </w:rPr>
        <w:t xml:space="preserve"> out because of their effect on the climate and environment. Compared to the Just Transition Fund, it will also enable investments in a wider range of projects, in line with the broader eligibility of investments under InvestEU. InvestEU will support finan</w:t>
      </w:r>
      <w:r>
        <w:rPr>
          <w:rFonts w:ascii="Times New Roman" w:hAnsi="Times New Roman"/>
          <w:noProof/>
          <w:sz w:val="24"/>
          <w:szCs w:val="24"/>
          <w:lang w:val="en-GB"/>
        </w:rPr>
        <w:t>cing, among others, to projects for energy and transport infrastructure, including gas infrastructure and district heating, but also decarbonisation projects, economic diversification of the regions, social infrastructure and skills. It will also allow the</w:t>
      </w:r>
      <w:r>
        <w:rPr>
          <w:rFonts w:ascii="Times New Roman" w:hAnsi="Times New Roman"/>
          <w:noProof/>
          <w:sz w:val="24"/>
          <w:szCs w:val="24"/>
          <w:lang w:val="en-GB"/>
        </w:rPr>
        <w:t xml:space="preserve"> affected sectors to adapt quicker to climate-friendly production modes. Financing under InvestEU can support economically viable investments in these areas, providing complementarity and synergies with the Just Transition Fund.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InvestEU Fund as it </w:t>
      </w:r>
      <w:r>
        <w:rPr>
          <w:rFonts w:ascii="Times New Roman" w:hAnsi="Times New Roman"/>
          <w:b/>
          <w:noProof/>
          <w:sz w:val="24"/>
          <w:szCs w:val="24"/>
          <w:lang w:val="en-GB"/>
        </w:rPr>
        <w:t xml:space="preserve">stands is expected to trigger EUR 650 billion of additional private and public investment to support EU policy objectives in the next MFF through an EU guarantee of EUR 38 billion. </w:t>
      </w:r>
      <w:r>
        <w:rPr>
          <w:rFonts w:ascii="Times New Roman" w:hAnsi="Times New Roman"/>
          <w:noProof/>
          <w:sz w:val="24"/>
          <w:szCs w:val="24"/>
          <w:lang w:val="en-GB"/>
        </w:rPr>
        <w:t>This guarantee is supported by a combination of an EU budget of EUR 15.2 bi</w:t>
      </w:r>
      <w:r>
        <w:rPr>
          <w:rFonts w:ascii="Times New Roman" w:hAnsi="Times New Roman"/>
          <w:noProof/>
          <w:sz w:val="24"/>
          <w:szCs w:val="24"/>
          <w:lang w:val="en-GB"/>
        </w:rPr>
        <w:t>llion (i.e. 40% provisioning rate) and contingent liabilities for the remaining amount.</w:t>
      </w:r>
    </w:p>
    <w:p w:rsidR="002C1206" w:rsidRDefault="006969C2">
      <w:pPr>
        <w:spacing w:after="240"/>
        <w:jc w:val="both"/>
        <w:rPr>
          <w:rFonts w:ascii="Times New Roman" w:hAnsi="Times New Roman"/>
          <w:noProof/>
          <w:sz w:val="24"/>
          <w:szCs w:val="24"/>
          <w:lang w:val="en-GB"/>
        </w:rPr>
      </w:pPr>
      <w:r>
        <w:rPr>
          <w:rFonts w:ascii="Times New Roman" w:hAnsi="Times New Roman"/>
          <w:b/>
          <w:bCs/>
          <w:noProof/>
          <w:sz w:val="24"/>
          <w:szCs w:val="24"/>
          <w:lang w:val="en-GB"/>
        </w:rPr>
        <w:t>The InvestEU Fund can be an efficient tool for generating significant additional investments in just transition projects in the regions concerned.</w:t>
      </w:r>
      <w:r>
        <w:rPr>
          <w:rFonts w:ascii="Times New Roman" w:hAnsi="Times New Roman"/>
          <w:noProof/>
          <w:sz w:val="24"/>
          <w:szCs w:val="24"/>
          <w:lang w:val="en-GB"/>
        </w:rPr>
        <w:t xml:space="preserve"> To this effect, a por</w:t>
      </w:r>
      <w:r>
        <w:rPr>
          <w:rFonts w:ascii="Times New Roman" w:hAnsi="Times New Roman"/>
          <w:noProof/>
          <w:sz w:val="24"/>
          <w:szCs w:val="24"/>
          <w:lang w:val="en-GB"/>
        </w:rPr>
        <w:t>tion of the financing under the InvestEU Fund will be focused on the just transition objectives. This could generate up to  EUR 45 billion of investments over the period 2021-2027 to support the transition in the regions concerned, aiming at reflecting the</w:t>
      </w:r>
      <w:r>
        <w:rPr>
          <w:rFonts w:ascii="Times New Roman" w:hAnsi="Times New Roman"/>
          <w:noProof/>
          <w:sz w:val="24"/>
          <w:szCs w:val="24"/>
          <w:lang w:val="en-GB"/>
        </w:rPr>
        <w:t xml:space="preserve"> national allocation key under the Just Transition Fund. However, the final use of InvestEU will remain demand-driven and will depend on the project pipeline. The absorption capacity of the regions concerned will be key in achieving the objectives. The ove</w:t>
      </w:r>
      <w:r>
        <w:rPr>
          <w:rFonts w:ascii="Times New Roman" w:hAnsi="Times New Roman"/>
          <w:noProof/>
          <w:sz w:val="24"/>
          <w:szCs w:val="24"/>
          <w:lang w:val="en-GB"/>
        </w:rPr>
        <w:t>rall target of EUR 45 billion correspond to a provisioning of around EUR 1.8 billion from the EU budget for the InvestEU Programme. Moreover, Member States will be able to contribute part of their Just Transition Fund allocation to support investment throu</w:t>
      </w:r>
      <w:r>
        <w:rPr>
          <w:rFonts w:ascii="Times New Roman" w:hAnsi="Times New Roman"/>
          <w:noProof/>
          <w:sz w:val="24"/>
          <w:szCs w:val="24"/>
          <w:lang w:val="en-GB"/>
        </w:rPr>
        <w:t>gh guaranteed loans or equity via their Member State compartment.  Tailored advisory support to develop the pipeline of projects will be needed. In order to achieve this, it is essential to ensure an adequate level of InvestEU guarantee in the on-going MFF</w:t>
      </w:r>
      <w:r>
        <w:rPr>
          <w:rFonts w:ascii="Times New Roman" w:hAnsi="Times New Roman"/>
          <w:noProof/>
          <w:sz w:val="24"/>
          <w:szCs w:val="24"/>
          <w:lang w:val="en-GB"/>
        </w:rPr>
        <w:t xml:space="preserve"> negotiations.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Projects in the regions having an approved transition plan under the Just Transition Fund Regulation, or projects that benefit those regions (even if they are not located in the regions themselves), can benefit from the scheme, but only when</w:t>
      </w:r>
      <w:r>
        <w:rPr>
          <w:rFonts w:ascii="Times New Roman" w:hAnsi="Times New Roman"/>
          <w:b/>
          <w:noProof/>
          <w:sz w:val="24"/>
          <w:szCs w:val="24"/>
          <w:lang w:val="en-GB"/>
        </w:rPr>
        <w:t xml:space="preserve"> funding outside the just transition territories is key to the transition in those territories</w:t>
      </w:r>
      <w:r>
        <w:rPr>
          <w:rFonts w:ascii="Times New Roman" w:hAnsi="Times New Roman"/>
          <w:noProof/>
          <w:sz w:val="24"/>
          <w:szCs w:val="24"/>
          <w:lang w:val="en-GB"/>
        </w:rPr>
        <w:t>. This is relevant in particular for transport or energy infrastructure projects that improve the connectivity of the just transition territories. Investments pur</w:t>
      </w:r>
      <w:r>
        <w:rPr>
          <w:rFonts w:ascii="Times New Roman" w:hAnsi="Times New Roman"/>
          <w:noProof/>
          <w:sz w:val="24"/>
          <w:szCs w:val="24"/>
          <w:lang w:val="en-GB"/>
        </w:rPr>
        <w:t>suing the just transition objectives can count toward climate objectives and contribute to the achievement of the 30% climate objectives set out for the InvestEU Programme.</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Such targeting of the InvestEU guarantee to the just transition objectives will unl</w:t>
      </w:r>
      <w:r>
        <w:rPr>
          <w:rFonts w:ascii="Times New Roman" w:hAnsi="Times New Roman"/>
          <w:b/>
          <w:noProof/>
          <w:sz w:val="24"/>
          <w:szCs w:val="24"/>
          <w:lang w:val="en-GB"/>
        </w:rPr>
        <w:t>ock eligible investment under all four policy windows and will be reflected in the underlying financial products.</w:t>
      </w:r>
      <w:r>
        <w:rPr>
          <w:rFonts w:ascii="Times New Roman" w:hAnsi="Times New Roman"/>
          <w:noProof/>
          <w:sz w:val="24"/>
          <w:szCs w:val="24"/>
          <w:lang w:val="en-GB"/>
        </w:rPr>
        <w:t xml:space="preserve"> Dedicated incentives for Implementing Partners may be offered via fees or more advantageous risk coverage for projects to be implemented in tr</w:t>
      </w:r>
      <w:r>
        <w:rPr>
          <w:rFonts w:ascii="Times New Roman" w:hAnsi="Times New Roman"/>
          <w:noProof/>
          <w:sz w:val="24"/>
          <w:szCs w:val="24"/>
          <w:lang w:val="en-GB"/>
        </w:rPr>
        <w:t>ansition regions. The just transition objective target will be included in the InvestEU Investment Guidelines and guarantee agreements with the Implementing Partners. Moreover, the call(s) for proposals addressed to Implementing Partners under the InvestEU</w:t>
      </w:r>
      <w:r>
        <w:rPr>
          <w:rFonts w:ascii="Times New Roman" w:hAnsi="Times New Roman"/>
          <w:noProof/>
          <w:sz w:val="24"/>
          <w:szCs w:val="24"/>
          <w:lang w:val="en-GB"/>
        </w:rPr>
        <w:t xml:space="preserve"> Fund will prioritise those Implementing Partners offering financial products that contribute to the just transition objectives. </w:t>
      </w:r>
      <w:r>
        <w:rPr>
          <w:rFonts w:ascii="Times New Roman" w:hAnsi="Times New Roman"/>
          <w:b/>
          <w:noProof/>
          <w:sz w:val="24"/>
          <w:szCs w:val="24"/>
          <w:lang w:val="en-GB"/>
        </w:rPr>
        <w:t>Dedicated technical assistance will be provided to make projects investable through the InvestEU Advisory Hub, for which</w:t>
      </w:r>
      <w:r>
        <w:rPr>
          <w:rFonts w:ascii="Times New Roman" w:hAnsi="Times New Roman"/>
          <w:noProof/>
          <w:sz w:val="24"/>
          <w:szCs w:val="24"/>
          <w:lang w:val="en-GB"/>
        </w:rPr>
        <w:t xml:space="preserve"> </w:t>
      </w:r>
      <w:r>
        <w:rPr>
          <w:rFonts w:ascii="Times New Roman" w:hAnsi="Times New Roman"/>
          <w:b/>
          <w:noProof/>
          <w:sz w:val="24"/>
          <w:szCs w:val="24"/>
          <w:lang w:val="en-GB"/>
        </w:rPr>
        <w:t>an add</w:t>
      </w:r>
      <w:r>
        <w:rPr>
          <w:rFonts w:ascii="Times New Roman" w:hAnsi="Times New Roman"/>
          <w:b/>
          <w:noProof/>
          <w:sz w:val="24"/>
          <w:szCs w:val="24"/>
          <w:lang w:val="en-GB"/>
        </w:rPr>
        <w:t>itional envelope will be made available.</w:t>
      </w:r>
    </w:p>
    <w:p w:rsidR="002C1206" w:rsidRDefault="006969C2">
      <w:pPr>
        <w:pStyle w:val="Heading2"/>
        <w:spacing w:after="240"/>
        <w:rPr>
          <w:noProof/>
          <w:lang w:val="en-GB"/>
        </w:rPr>
      </w:pPr>
      <w:r>
        <w:rPr>
          <w:noProof/>
          <w:lang w:val="en-GB"/>
        </w:rPr>
        <w:t xml:space="preserve">Pillar 3: A public sector loan facility with the European Investment Bank Group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A public sector loan facility with the European Investment Bank will support increased public sector investment in the regions undergo</w:t>
      </w:r>
      <w:r>
        <w:rPr>
          <w:rFonts w:ascii="Times New Roman" w:hAnsi="Times New Roman"/>
          <w:b/>
          <w:noProof/>
          <w:sz w:val="24"/>
          <w:szCs w:val="24"/>
          <w:lang w:val="en-GB"/>
        </w:rPr>
        <w:t>ing climate transition. This support will offer concessional loans to the public sector.</w:t>
      </w:r>
      <w:r>
        <w:rPr>
          <w:rFonts w:ascii="Times New Roman" w:hAnsi="Times New Roman"/>
          <w:noProof/>
          <w:sz w:val="24"/>
          <w:szCs w:val="24"/>
          <w:lang w:val="en-GB"/>
        </w:rPr>
        <w:t xml:space="preserve"> These loans would provide public sector entities with resources to implement measures to facilitate the transition to climate neutrality. Supported investments will ra</w:t>
      </w:r>
      <w:r>
        <w:rPr>
          <w:rFonts w:ascii="Times New Roman" w:hAnsi="Times New Roman"/>
          <w:noProof/>
          <w:sz w:val="24"/>
          <w:szCs w:val="24"/>
          <w:lang w:val="en-GB"/>
        </w:rPr>
        <w:t>nge from energy and transport infrastructure, district heating networks, energy efficiency measures including renovation of buildings, as well as social infrastructure, and can include other sectors as well. The EU support could take the form of inter alia</w:t>
      </w:r>
      <w:r>
        <w:rPr>
          <w:rFonts w:ascii="Times New Roman" w:hAnsi="Times New Roman"/>
          <w:noProof/>
          <w:sz w:val="24"/>
          <w:szCs w:val="24"/>
          <w:lang w:val="en-GB"/>
        </w:rPr>
        <w:t xml:space="preserve"> an interest rate subsidy or an investment grant, financed from the EU budget, which will be blended together with loans extended by the EIB to municipal, regional and other public authorities.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geographical coverage will be the same as under the Inves</w:t>
      </w:r>
      <w:r>
        <w:rPr>
          <w:rFonts w:ascii="Times New Roman" w:hAnsi="Times New Roman"/>
          <w:b/>
          <w:noProof/>
          <w:sz w:val="24"/>
          <w:szCs w:val="24"/>
          <w:lang w:val="en-GB"/>
        </w:rPr>
        <w:t xml:space="preserve">tEU just transition scheme (pillar 2 of Just Transition Mechanism), i.e. projects in the regions with an approved transition plans </w:t>
      </w:r>
      <w:r>
        <w:rPr>
          <w:rFonts w:ascii="Times New Roman" w:hAnsi="Times New Roman"/>
          <w:noProof/>
          <w:sz w:val="24"/>
          <w:szCs w:val="24"/>
          <w:lang w:val="en-GB"/>
        </w:rPr>
        <w:t>but also in projects benefiting those regions, but only when funding outside the just transition territories is key to the tr</w:t>
      </w:r>
      <w:r>
        <w:rPr>
          <w:rFonts w:ascii="Times New Roman" w:hAnsi="Times New Roman"/>
          <w:noProof/>
          <w:sz w:val="24"/>
          <w:szCs w:val="24"/>
          <w:lang w:val="en-GB"/>
        </w:rPr>
        <w:t>ansition in those territories</w:t>
      </w:r>
      <w:r>
        <w:rPr>
          <w:rFonts w:ascii="Times New Roman" w:hAnsi="Times New Roman"/>
          <w:b/>
          <w:noProof/>
          <w:sz w:val="24"/>
          <w:szCs w:val="24"/>
          <w:lang w:val="en-GB"/>
        </w:rPr>
        <w:t xml:space="preserve">. </w:t>
      </w:r>
      <w:r>
        <w:rPr>
          <w:rFonts w:ascii="Times New Roman" w:hAnsi="Times New Roman"/>
          <w:noProof/>
          <w:sz w:val="24"/>
          <w:szCs w:val="24"/>
          <w:lang w:val="en-GB"/>
        </w:rPr>
        <w:t>The just transition public sector loan facility is meant to offer such preferential funding conditions in order to support public sector investment to the benefit of the most affected regions. It will also include advisory su</w:t>
      </w:r>
      <w:r>
        <w:rPr>
          <w:rFonts w:ascii="Times New Roman" w:hAnsi="Times New Roman"/>
          <w:noProof/>
          <w:sz w:val="24"/>
          <w:szCs w:val="24"/>
          <w:lang w:val="en-GB"/>
        </w:rPr>
        <w:t>pport in order to help generate project pipeline.</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 xml:space="preserve">The support under the public loan facility will be complementary to the products offered by the InvestEU dedicated just transition scheme. </w:t>
      </w:r>
      <w:r>
        <w:rPr>
          <w:rFonts w:ascii="Times New Roman" w:hAnsi="Times New Roman"/>
          <w:noProof/>
          <w:sz w:val="24"/>
          <w:szCs w:val="24"/>
          <w:lang w:val="en-GB"/>
        </w:rPr>
        <w:t>It will apply to projects, which do not sufficiently generate marke</w:t>
      </w:r>
      <w:r>
        <w:rPr>
          <w:rFonts w:ascii="Times New Roman" w:hAnsi="Times New Roman"/>
          <w:noProof/>
          <w:sz w:val="24"/>
          <w:szCs w:val="24"/>
          <w:lang w:val="en-GB"/>
        </w:rPr>
        <w:t>t streams of revenue and that otherwise would not get financed without a subsidy element.</w:t>
      </w:r>
      <w:r>
        <w:rPr>
          <w:rFonts w:ascii="Times New Roman" w:hAnsi="Times New Roman"/>
          <w:b/>
          <w:noProof/>
          <w:sz w:val="24"/>
          <w:szCs w:val="24"/>
          <w:lang w:val="en-GB"/>
        </w:rPr>
        <w:t xml:space="preserve">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With the contribution from the EU budget of EUR 1.5 billion and the EIB lending of EUR 10 billion at its own risk, the public sector loan facility could mobilise bet</w:t>
      </w:r>
      <w:r>
        <w:rPr>
          <w:rFonts w:ascii="Times New Roman" w:hAnsi="Times New Roman"/>
          <w:b/>
          <w:noProof/>
          <w:sz w:val="24"/>
          <w:szCs w:val="24"/>
          <w:lang w:val="en-GB"/>
        </w:rPr>
        <w:t xml:space="preserve">ween EUR 25 and 30 billion public investments over the period 2021-2027. </w:t>
      </w:r>
      <w:r>
        <w:rPr>
          <w:rFonts w:ascii="Times New Roman" w:hAnsi="Times New Roman"/>
          <w:noProof/>
          <w:sz w:val="24"/>
          <w:szCs w:val="24"/>
          <w:lang w:val="en-GB"/>
        </w:rPr>
        <w:t>This reflects the national allocation key under the Just Transition Fund, to support the transition in the regions concerned. The Commission will table a legislative proposal to set u</w:t>
      </w:r>
      <w:r>
        <w:rPr>
          <w:rFonts w:ascii="Times New Roman" w:hAnsi="Times New Roman"/>
          <w:noProof/>
          <w:sz w:val="24"/>
          <w:szCs w:val="24"/>
          <w:lang w:val="en-GB"/>
        </w:rPr>
        <w:t xml:space="preserve">p this new public sector loan facility in March 2020. Over time, the Commission may explore co-operation with additional implementing partners as public sector needs evolve. </w:t>
      </w:r>
    </w:p>
    <w:p w:rsidR="002C1206" w:rsidRDefault="006969C2">
      <w:pPr>
        <w:pStyle w:val="Heading2"/>
        <w:spacing w:after="240"/>
        <w:rPr>
          <w:noProof/>
          <w:lang w:val="en-GB"/>
        </w:rPr>
      </w:pPr>
      <w:r>
        <w:rPr>
          <w:noProof/>
          <w:lang w:val="en-GB"/>
        </w:rPr>
        <w:t>Technical assistance and advisory support</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The just transition will not only depen</w:t>
      </w:r>
      <w:r>
        <w:rPr>
          <w:rFonts w:ascii="Times New Roman" w:hAnsi="Times New Roman"/>
          <w:b/>
          <w:noProof/>
          <w:sz w:val="24"/>
          <w:szCs w:val="24"/>
          <w:lang w:val="en-GB"/>
        </w:rPr>
        <w:t xml:space="preserve">d on the money available to support investment, but also on channelling this money to the right projects. </w:t>
      </w:r>
      <w:r>
        <w:rPr>
          <w:rFonts w:ascii="Times New Roman" w:hAnsi="Times New Roman"/>
          <w:noProof/>
          <w:sz w:val="24"/>
          <w:szCs w:val="24"/>
          <w:lang w:val="en-GB"/>
        </w:rPr>
        <w:t>Assistance will be provided to Member States and regions through a Just Transition Platform, which will be managed by the Commission. The Platform wil</w:t>
      </w:r>
      <w:r>
        <w:rPr>
          <w:rFonts w:ascii="Times New Roman" w:hAnsi="Times New Roman"/>
          <w:noProof/>
          <w:sz w:val="24"/>
          <w:szCs w:val="24"/>
          <w:lang w:val="en-GB"/>
        </w:rPr>
        <w:t>l be building on and expanding the work of the existing Platform for Coal Regions in Transition, which already supports fossil fuel producing regions across the EU in achieving a just transition. It will provide technical and advisory support for the elabo</w:t>
      </w:r>
      <w:r>
        <w:rPr>
          <w:rFonts w:ascii="Times New Roman" w:hAnsi="Times New Roman"/>
          <w:noProof/>
          <w:sz w:val="24"/>
          <w:szCs w:val="24"/>
          <w:lang w:val="en-GB"/>
        </w:rPr>
        <w:t>ration of the territorial transition plans through an expert network facilitating the sharing of information between Member States, regions, agencies and stakeholders. The Commission will launch already in the first quarter of 2020 a call for requests  und</w:t>
      </w:r>
      <w:r>
        <w:rPr>
          <w:rFonts w:ascii="Times New Roman" w:hAnsi="Times New Roman"/>
          <w:noProof/>
          <w:sz w:val="24"/>
          <w:szCs w:val="24"/>
          <w:lang w:val="en-GB"/>
        </w:rPr>
        <w:t xml:space="preserve">er the Structural Reform Support Programme to assist Member States with the preparation of their territorial transition plans where needed. The Just Transition Mechanism will also provide advisory support and technical assistance through the same means as </w:t>
      </w:r>
      <w:r>
        <w:rPr>
          <w:rFonts w:ascii="Times New Roman" w:hAnsi="Times New Roman"/>
          <w:noProof/>
          <w:sz w:val="24"/>
          <w:szCs w:val="24"/>
          <w:lang w:val="en-GB"/>
        </w:rPr>
        <w:t>described in section 5.1.2.</w:t>
      </w:r>
      <w:r>
        <w:rPr>
          <w:rFonts w:ascii="Times New Roman" w:hAnsi="Times New Roman"/>
          <w:b/>
          <w:noProof/>
          <w:sz w:val="24"/>
          <w:szCs w:val="24"/>
          <w:lang w:val="en-GB"/>
        </w:rPr>
        <w:t xml:space="preserve"> </w:t>
      </w:r>
    </w:p>
    <w:p w:rsidR="002C1206" w:rsidRDefault="006969C2">
      <w:pPr>
        <w:rPr>
          <w:noProof/>
          <w:lang w:val="en-GB"/>
        </w:rPr>
      </w:pPr>
      <w:r>
        <w:rPr>
          <w:noProof/>
          <w:lang w:val="en-GB"/>
        </w:rPr>
        <w:br w:type="page"/>
      </w:r>
    </w:p>
    <w:tbl>
      <w:tblPr>
        <w:tblStyle w:val="TableGrid"/>
        <w:tblW w:w="0" w:type="auto"/>
        <w:tblLook w:val="04A0" w:firstRow="1" w:lastRow="0" w:firstColumn="1" w:lastColumn="0" w:noHBand="0" w:noVBand="1"/>
      </w:tblPr>
      <w:tblGrid>
        <w:gridCol w:w="9062"/>
      </w:tblGrid>
      <w:tr w:rsidR="002C1206">
        <w:tc>
          <w:tcPr>
            <w:tcW w:w="9062" w:type="dxa"/>
          </w:tcPr>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The Commission will:</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 Engage with the co-legislators in order to work towards the quick adoption of the Just Transition Fund regulation and corresponding amendments of the Common Provisions Regulation.</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-Work with the EIB Gr</w:t>
            </w:r>
            <w:r>
              <w:rPr>
                <w:rFonts w:ascii="Times New Roman" w:hAnsi="Times New Roman"/>
                <w:b/>
                <w:noProof/>
                <w:sz w:val="24"/>
                <w:szCs w:val="24"/>
                <w:lang w:val="en-GB"/>
              </w:rPr>
              <w:t>oup and other implementing partners to implement the just transition scheme under InvestEU once adopted.</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 Table a new legislative proposal for a public sector loan facility with the EIB in March 2020.</w:t>
            </w:r>
          </w:p>
          <w:p w:rsidR="002C1206" w:rsidRDefault="006969C2">
            <w:pPr>
              <w:spacing w:after="240"/>
              <w:jc w:val="both"/>
              <w:rPr>
                <w:rFonts w:ascii="Times New Roman" w:hAnsi="Times New Roman"/>
                <w:b/>
                <w:noProof/>
                <w:sz w:val="24"/>
                <w:szCs w:val="24"/>
                <w:lang w:val="en-GB"/>
              </w:rPr>
            </w:pPr>
            <w:r>
              <w:rPr>
                <w:rFonts w:ascii="Times New Roman" w:hAnsi="Times New Roman"/>
                <w:b/>
                <w:noProof/>
                <w:sz w:val="24"/>
                <w:szCs w:val="24"/>
                <w:lang w:val="en-GB"/>
              </w:rPr>
              <w:t xml:space="preserve">- Assist Member States and regions in the preparation </w:t>
            </w:r>
            <w:r>
              <w:rPr>
                <w:rFonts w:ascii="Times New Roman" w:hAnsi="Times New Roman"/>
                <w:b/>
                <w:noProof/>
                <w:sz w:val="24"/>
                <w:szCs w:val="24"/>
                <w:lang w:val="en-GB"/>
              </w:rPr>
              <w:t>of territorial transition plans.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Provide technical assistance and advisory support in order to generate robust project pipeline to the benefit of just transition regions.</w:t>
            </w:r>
          </w:p>
        </w:tc>
      </w:tr>
    </w:tbl>
    <w:p w:rsidR="002C1206" w:rsidRDefault="006969C2">
      <w:pPr>
        <w:pStyle w:val="Heading1"/>
        <w:spacing w:before="240" w:after="240"/>
        <w:rPr>
          <w:noProof/>
          <w:lang w:val="en-GB"/>
        </w:rPr>
      </w:pPr>
      <w:r>
        <w:rPr>
          <w:noProof/>
          <w:lang w:val="en-GB"/>
        </w:rPr>
        <w:t xml:space="preserve">Conclusion and next steps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Sustainable Europe Investment Plan is instrumental </w:t>
      </w:r>
      <w:r>
        <w:rPr>
          <w:rFonts w:ascii="Times New Roman" w:hAnsi="Times New Roman"/>
          <w:b/>
          <w:noProof/>
          <w:sz w:val="24"/>
          <w:szCs w:val="24"/>
          <w:lang w:val="en-GB"/>
        </w:rPr>
        <w:t>in mobilising the investments necessary to reach the ambitious objectives set by the European Green Deal</w:t>
      </w:r>
      <w:r>
        <w:rPr>
          <w:rFonts w:ascii="Times New Roman" w:hAnsi="Times New Roman"/>
          <w:noProof/>
          <w:sz w:val="24"/>
          <w:szCs w:val="24"/>
          <w:lang w:val="en-GB"/>
        </w:rPr>
        <w:t>. By committing to mobilise at least EUR 1 trillion of sustainable investments over the next decade through the EU budget, the Commission sets a very co</w:t>
      </w:r>
      <w:r>
        <w:rPr>
          <w:rFonts w:ascii="Times New Roman" w:hAnsi="Times New Roman"/>
          <w:noProof/>
          <w:sz w:val="24"/>
          <w:szCs w:val="24"/>
          <w:lang w:val="en-GB"/>
        </w:rPr>
        <w:t>ncrete objective of its own, against which progress will be monitored. The plan also includes a commitment to use all relevant policy levers to provide private and public investors with a framework that enables sustainable investments to the maximum extent</w:t>
      </w:r>
      <w:r>
        <w:rPr>
          <w:rFonts w:ascii="Times New Roman" w:hAnsi="Times New Roman"/>
          <w:noProof/>
          <w:sz w:val="24"/>
          <w:szCs w:val="24"/>
          <w:lang w:val="en-GB"/>
        </w:rPr>
        <w:t xml:space="preserve"> possible. It also entails a renewed commitment to provide the necessary project planning and execution support to authorities and project promoters. Given the magnitude of the financing needs, the Commission is committed to further explore how to mobilise</w:t>
      </w:r>
      <w:r>
        <w:rPr>
          <w:rFonts w:ascii="Times New Roman" w:hAnsi="Times New Roman"/>
          <w:noProof/>
          <w:sz w:val="24"/>
          <w:szCs w:val="24"/>
          <w:lang w:val="en-GB"/>
        </w:rPr>
        <w:t xml:space="preserve"> additional funding to achieve the European Green Deal objectives.</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The Just Transition Mechanism included in the Plan will help ensure that the shift towards a sustainable future leaves no one behind</w:t>
      </w:r>
      <w:r>
        <w:rPr>
          <w:rFonts w:ascii="Times New Roman" w:hAnsi="Times New Roman"/>
          <w:noProof/>
          <w:sz w:val="24"/>
          <w:szCs w:val="24"/>
          <w:lang w:val="en-GB"/>
        </w:rPr>
        <w:t>. Regions most exposed to transition challenges will be a</w:t>
      </w:r>
      <w:r>
        <w:rPr>
          <w:rFonts w:ascii="Times New Roman" w:hAnsi="Times New Roman"/>
          <w:noProof/>
          <w:sz w:val="24"/>
          <w:szCs w:val="24"/>
          <w:lang w:val="en-GB"/>
        </w:rPr>
        <w:t xml:space="preserve">ssisted, both financially and administratively, in this endeavour. </w:t>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 xml:space="preserve">The success of the Sustainable Europe Investment Plan will depend on the engagement of all relevant stakeholders in its implementation. </w:t>
      </w:r>
      <w:r>
        <w:rPr>
          <w:rFonts w:ascii="Times New Roman" w:hAnsi="Times New Roman"/>
          <w:noProof/>
          <w:sz w:val="24"/>
          <w:szCs w:val="24"/>
          <w:lang w:val="en-GB"/>
        </w:rPr>
        <w:t>It will be vital that Member States and the European</w:t>
      </w:r>
      <w:r>
        <w:rPr>
          <w:rFonts w:ascii="Times New Roman" w:hAnsi="Times New Roman"/>
          <w:noProof/>
          <w:sz w:val="24"/>
          <w:szCs w:val="24"/>
          <w:lang w:val="en-GB"/>
        </w:rPr>
        <w:t xml:space="preserve"> Parliament maintain the high ambition of the Commission proposal during the negotiations on the upcoming financial framework. The investment community, including institutional investors, banks, promotional institutions and private equity funds, are invite</w:t>
      </w:r>
      <w:r>
        <w:rPr>
          <w:rFonts w:ascii="Times New Roman" w:hAnsi="Times New Roman"/>
          <w:noProof/>
          <w:sz w:val="24"/>
          <w:szCs w:val="24"/>
          <w:lang w:val="en-GB"/>
        </w:rPr>
        <w:t>d to make full use of the emerging framework for sustainable investments. Member State authorities in turn will have to take up an active role in identifying, promoting and, where needed, co-financing such investments.</w:t>
      </w:r>
    </w:p>
    <w:p w:rsidR="002C1206" w:rsidRDefault="006969C2">
      <w:pPr>
        <w:rPr>
          <w:rFonts w:ascii="Times New Roman" w:hAnsi="Times New Roman"/>
          <w:b/>
          <w:noProof/>
          <w:sz w:val="24"/>
          <w:szCs w:val="24"/>
          <w:lang w:val="en-GB"/>
        </w:rPr>
      </w:pPr>
      <w:r>
        <w:rPr>
          <w:rFonts w:ascii="Times New Roman" w:hAnsi="Times New Roman"/>
          <w:b/>
          <w:noProof/>
          <w:sz w:val="24"/>
          <w:szCs w:val="24"/>
          <w:lang w:val="en-GB"/>
        </w:rPr>
        <w:br w:type="page"/>
      </w:r>
    </w:p>
    <w:p w:rsidR="002C1206" w:rsidRDefault="006969C2">
      <w:pPr>
        <w:spacing w:after="240"/>
        <w:jc w:val="both"/>
        <w:rPr>
          <w:rFonts w:ascii="Times New Roman" w:hAnsi="Times New Roman"/>
          <w:noProof/>
          <w:sz w:val="24"/>
          <w:szCs w:val="24"/>
          <w:lang w:val="en-GB"/>
        </w:rPr>
      </w:pPr>
      <w:r>
        <w:rPr>
          <w:rFonts w:ascii="Times New Roman" w:hAnsi="Times New Roman"/>
          <w:b/>
          <w:noProof/>
          <w:sz w:val="24"/>
          <w:szCs w:val="24"/>
          <w:lang w:val="en-GB"/>
        </w:rPr>
        <w:t>Every year the Commission will hold</w:t>
      </w:r>
      <w:r>
        <w:rPr>
          <w:rFonts w:ascii="Times New Roman" w:hAnsi="Times New Roman"/>
          <w:b/>
          <w:noProof/>
          <w:sz w:val="24"/>
          <w:szCs w:val="24"/>
          <w:lang w:val="en-GB"/>
        </w:rPr>
        <w:t xml:space="preserve"> a Sustainable Investment Summit, involving all relevant stakeholders</w:t>
      </w:r>
      <w:r>
        <w:rPr>
          <w:rFonts w:ascii="Times New Roman" w:hAnsi="Times New Roman"/>
          <w:noProof/>
          <w:sz w:val="24"/>
          <w:szCs w:val="24"/>
          <w:lang w:val="en-GB"/>
        </w:rPr>
        <w:t>. The summit will be an opportunity to take stock of progress across the different work streams included in the Sustainable Europe Investment Plan, and identify new avenues for action. Th</w:t>
      </w:r>
      <w:r>
        <w:rPr>
          <w:rFonts w:ascii="Times New Roman" w:hAnsi="Times New Roman"/>
          <w:noProof/>
          <w:sz w:val="24"/>
          <w:szCs w:val="24"/>
          <w:lang w:val="en-GB"/>
        </w:rPr>
        <w:t>e Commission will continue exploring with relevant partners additional sources that could be mobilised to meet the long-term financing needs of the transition, and innovative ways to do so. Moreover, in line with the Council conclusions of December 2019, t</w:t>
      </w:r>
      <w:r>
        <w:rPr>
          <w:rFonts w:ascii="Times New Roman" w:hAnsi="Times New Roman"/>
          <w:noProof/>
          <w:sz w:val="24"/>
          <w:szCs w:val="24"/>
          <w:lang w:val="en-GB"/>
        </w:rPr>
        <w:t>he Commission will develop and provide regular assessments of the environmental and  socio-economic impacts of the transition to climate neutrality and related investment needs to address those impacts, where needed.</w:t>
      </w:r>
    </w:p>
    <w:p w:rsidR="002C1206" w:rsidRDefault="002C1206">
      <w:pPr>
        <w:pStyle w:val="Heading1"/>
        <w:numPr>
          <w:ilvl w:val="0"/>
          <w:numId w:val="0"/>
        </w:numPr>
        <w:spacing w:before="240" w:after="240"/>
        <w:rPr>
          <w:noProof/>
          <w:lang w:val="en-GB"/>
        </w:rPr>
      </w:pPr>
      <w:bookmarkStart w:id="2" w:name="_GoBack"/>
      <w:bookmarkEnd w:id="2"/>
    </w:p>
    <w:sectPr w:rsidR="002C1206">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E09256" w16cid:durableId="21B9A69D"/>
  <w16cid:commentId w16cid:paraId="2F6115CB" w16cid:durableId="21BCB6C0"/>
  <w16cid:commentId w16cid:paraId="545AB71F" w16cid:durableId="21B9A69E"/>
  <w16cid:commentId w16cid:paraId="00BA931F" w16cid:durableId="21BCB6C2"/>
  <w16cid:commentId w16cid:paraId="3B4BCBD2" w16cid:durableId="21B9A6A0"/>
  <w16cid:commentId w16cid:paraId="2A171CD6" w16cid:durableId="21BCB6C4"/>
  <w16cid:commentId w16cid:paraId="65D7183F" w16cid:durableId="21B9A6A1"/>
  <w16cid:commentId w16cid:paraId="7F8FE4FB" w16cid:durableId="21BCB6C6"/>
  <w16cid:commentId w16cid:paraId="3C471C82" w16cid:durableId="21B9A6A4"/>
  <w16cid:commentId w16cid:paraId="060B63E1" w16cid:durableId="21BCB6C8"/>
  <w16cid:commentId w16cid:paraId="47279857" w16cid:durableId="21BCB6C9"/>
  <w16cid:commentId w16cid:paraId="796EC089" w16cid:durableId="21B9A6A5"/>
  <w16cid:commentId w16cid:paraId="6A2A2306" w16cid:durableId="21B9AECD"/>
  <w16cid:commentId w16cid:paraId="4A7B4016" w16cid:durableId="21B9A6A7"/>
  <w16cid:commentId w16cid:paraId="07E5B45A" w16cid:durableId="21B9AFAC"/>
  <w16cid:commentId w16cid:paraId="75566035" w16cid:durableId="21B9A6A8"/>
  <w16cid:commentId w16cid:paraId="1F82A162" w16cid:durableId="21B9B0A2"/>
  <w16cid:commentId w16cid:paraId="0DB5D7C1" w16cid:durableId="21B9A6A9"/>
  <w16cid:commentId w16cid:paraId="1422BC64" w16cid:durableId="21B9A6AA"/>
  <w16cid:commentId w16cid:paraId="69891D72" w16cid:durableId="21B9B2C3"/>
  <w16cid:commentId w16cid:paraId="0E057EDD" w16cid:durableId="21B9A6AF"/>
  <w16cid:commentId w16cid:paraId="03E08CFA" w16cid:durableId="21B9A6B0"/>
  <w16cid:commentId w16cid:paraId="588CF822" w16cid:durableId="21B9A6B1"/>
  <w16cid:commentId w16cid:paraId="33181BBA" w16cid:durableId="21B9A6B2"/>
  <w16cid:commentId w16cid:paraId="3EEC6D36" w16cid:durableId="21B9A6B3"/>
  <w16cid:commentId w16cid:paraId="0F2684C4" w16cid:durableId="21B9A6B4"/>
  <w16cid:commentId w16cid:paraId="53C00601" w16cid:durableId="21B9A6B5"/>
  <w16cid:commentId w16cid:paraId="08B3340D" w16cid:durableId="21B9A6B6"/>
  <w16cid:commentId w16cid:paraId="5DE08879" w16cid:durableId="21B9A6B7"/>
  <w16cid:commentId w16cid:paraId="17B591EF" w16cid:durableId="21B9A6B8"/>
  <w16cid:commentId w16cid:paraId="0C335760" w16cid:durableId="21B9A6B9"/>
  <w16cid:commentId w16cid:paraId="5E18B75B" w16cid:durableId="21B9A6BA"/>
  <w16cid:commentId w16cid:paraId="753F1125" w16cid:durableId="21B9A6BB"/>
  <w16cid:commentId w16cid:paraId="165AC57C" w16cid:durableId="21BCB6E0"/>
  <w16cid:commentId w16cid:paraId="0F81B8A6" w16cid:durableId="21B9A6BC"/>
  <w16cid:commentId w16cid:paraId="7E9563AF" w16cid:durableId="21B9A6BD"/>
  <w16cid:commentId w16cid:paraId="441E374C" w16cid:durableId="21B9A6BE"/>
  <w16cid:commentId w16cid:paraId="563C28DD" w16cid:durableId="21B9A6BF"/>
  <w16cid:commentId w16cid:paraId="5CF88059" w16cid:durableId="21B9A6C0"/>
  <w16cid:commentId w16cid:paraId="2AA44EEE" w16cid:durableId="21B9A6C1"/>
  <w16cid:commentId w16cid:paraId="389F579E" w16cid:durableId="21BCB6E7"/>
  <w16cid:commentId w16cid:paraId="05447D9E" w16cid:durableId="21BCB6E8"/>
  <w16cid:commentId w16cid:paraId="2A158B94" w16cid:durableId="21B9A6C2"/>
  <w16cid:commentId w16cid:paraId="4D436A17" w16cid:durableId="21B9A6C3"/>
  <w16cid:commentId w16cid:paraId="5B302290" w16cid:durableId="21B9B798"/>
  <w16cid:commentId w16cid:paraId="45E06A54" w16cid:durableId="21BCC7A8"/>
  <w16cid:commentId w16cid:paraId="5C2B2D4E" w16cid:durableId="21B9A6C4"/>
  <w16cid:commentId w16cid:paraId="7F75E3EC" w16cid:durableId="21B9A6C5"/>
  <w16cid:commentId w16cid:paraId="68B5C5B9" w16cid:durableId="21B9A6C6"/>
  <w16cid:commentId w16cid:paraId="206F471D" w16cid:durableId="21B9A6C7"/>
  <w16cid:commentId w16cid:paraId="6807F581" w16cid:durableId="21B9A6C8"/>
  <w16cid:commentId w16cid:paraId="6039A7B5" w16cid:durableId="21BCB6F1"/>
  <w16cid:commentId w16cid:paraId="1CFF2710" w16cid:durableId="21BCB68E"/>
  <w16cid:commentId w16cid:paraId="038A5C92" w16cid:durableId="21BCB68F"/>
  <w16cid:commentId w16cid:paraId="6E0DF2A7" w16cid:durableId="21BCB690"/>
  <w16cid:commentId w16cid:paraId="5ACDE2D1" w16cid:durableId="21BCB691"/>
  <w16cid:commentId w16cid:paraId="17D155B9" w16cid:durableId="21BCB692"/>
  <w16cid:commentId w16cid:paraId="54D25014" w16cid:durableId="21BCB693"/>
  <w16cid:commentId w16cid:paraId="14624B21" w16cid:durableId="21B9A6C9"/>
  <w16cid:commentId w16cid:paraId="19E8EEBB" w16cid:durableId="21B9A6CA"/>
  <w16cid:commentId w16cid:paraId="181B4930" w16cid:durableId="21B9A6CB"/>
  <w16cid:commentId w16cid:paraId="69D37453" w16cid:durableId="21B9A6CC"/>
  <w16cid:commentId w16cid:paraId="1AD6F53D" w16cid:durableId="21BCB6F6"/>
  <w16cid:commentId w16cid:paraId="702295B3" w16cid:durableId="21B9A6CD"/>
  <w16cid:commentId w16cid:paraId="4BBE1857" w16cid:durableId="21BCB6F8"/>
  <w16cid:commentId w16cid:paraId="79D5F666" w16cid:durableId="21B9A6CE"/>
  <w16cid:commentId w16cid:paraId="205AA95B" w16cid:durableId="21B9A6CF"/>
  <w16cid:commentId w16cid:paraId="3153A0FD" w16cid:durableId="21BCB6FC"/>
  <w16cid:commentId w16cid:paraId="08A33F76" w16cid:durableId="21B9A6D1"/>
  <w16cid:commentId w16cid:paraId="79C6481D" w16cid:durableId="21B9A6D2"/>
  <w16cid:commentId w16cid:paraId="46C96DDB" w16cid:durableId="21B9A6D3"/>
  <w16cid:commentId w16cid:paraId="0CFFCB87" w16cid:durableId="21BCB700"/>
  <w16cid:commentId w16cid:paraId="0AA4A3A7" w16cid:durableId="21BCB701"/>
  <w16cid:commentId w16cid:paraId="5ECBCDB1" w16cid:durableId="21B9A6D4"/>
  <w16cid:commentId w16cid:paraId="4B9EDE16" w16cid:durableId="21B9A6D5"/>
  <w16cid:commentId w16cid:paraId="1FDFEAED" w16cid:durableId="21B9A6D6"/>
  <w16cid:commentId w16cid:paraId="429FFCF2" w16cid:durableId="21BCB705"/>
  <w16cid:commentId w16cid:paraId="12589772" w16cid:durableId="21B9A6D7"/>
  <w16cid:commentId w16cid:paraId="1A4DE2AC" w16cid:durableId="21B9B4EE"/>
  <w16cid:commentId w16cid:paraId="314B182D" w16cid:durableId="21B9A6D8"/>
  <w16cid:commentId w16cid:paraId="28EB42ED" w16cid:durableId="21B9A6D9"/>
  <w16cid:commentId w16cid:paraId="50270AA1" w16cid:durableId="21B9B450"/>
  <w16cid:commentId w16cid:paraId="35EABBEA" w16cid:durableId="21B9A6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206" w:rsidRDefault="006969C2">
      <w:r>
        <w:separator/>
      </w:r>
    </w:p>
  </w:endnote>
  <w:endnote w:type="continuationSeparator" w:id="0">
    <w:p w:rsidR="002C1206" w:rsidRDefault="00696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YInterstate">
    <w:altName w:val="Malgun Gothic Semilight"/>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2C1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6969C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2C1206">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6969C2">
    <w:pPr>
      <w:pStyle w:val="Footer"/>
      <w:rPr>
        <w:rFonts w:hAnsi="Times New Roman"/>
      </w:rPr>
    </w:pPr>
    <w:r>
      <w:rPr>
        <w:rFonts w:hAnsi="Times New Roman"/>
      </w:rPr>
      <w:tab/>
    </w:r>
    <w:r>
      <w:rPr>
        <w:rFonts w:hAnsi="Times New Roman"/>
      </w:rPr>
      <w:fldChar w:fldCharType="begin"/>
    </w:r>
    <w:r>
      <w:instrText>PAGE  \* MERGEFORMAT</w:instrText>
    </w:r>
    <w:r>
      <w:fldChar w:fldCharType="separate"/>
    </w:r>
    <w:r>
      <w:rPr>
        <w:rFonts w:hAnsi="Times New Roman"/>
      </w:rPr>
      <w:t>1</w:t>
    </w:r>
    <w:r>
      <w:rPr>
        <w:rFonts w:hAnsi="Times New Roman"/>
      </w:rPr>
      <w:fldChar w:fldCharType="end"/>
    </w:r>
    <w:r>
      <w:rPr>
        <w:rFonts w:hAnsi="Times New Roman"/>
      </w:rPr>
      <w:tab/>
    </w:r>
    <w:r>
      <w:rPr>
        <w:rFonts w:hAnsi="Times New Roman"/>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6969C2">
    <w:pPr>
      <w:pStyle w:val="Footer"/>
      <w:jc w:val="right"/>
      <w:rPr>
        <w:rFonts w:ascii="Times New Roman" w:hAnsi="Times New Roman"/>
      </w:rPr>
    </w:pPr>
    <w:r>
      <w:rPr>
        <w:rFonts w:ascii="Times New Roman" w:hAnsi="Times New Roman"/>
      </w:rPr>
      <w:fldChar w:fldCharType="begin"/>
    </w:r>
    <w:r>
      <w:rPr>
        <w:rFonts w:ascii="Times New Roman" w:hAnsi="Times New Roman"/>
      </w:rPr>
      <w:instrText>PAGE  \</w:instrText>
    </w:r>
    <w:r>
      <w:rPr>
        <w:rFonts w:ascii="Times New Roman" w:hAnsi="Times New Roman"/>
      </w:rPr>
      <w:instrText>* MERGEFORMAT</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p w:rsidR="002C1206" w:rsidRDefault="002C1206">
    <w:pPr>
      <w:pStyle w:val="Footer"/>
      <w:rPr>
        <w:rFonts w:ascii="Times New Roman" w:hAnsi="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6969C2">
    <w:pPr>
      <w:pStyle w:val="Footer"/>
      <w:rPr>
        <w:rFonts w:hAnsi="Times New Roman"/>
      </w:rPr>
    </w:pPr>
    <w:r>
      <w:rPr>
        <w:rFonts w:hAnsi="Times New Roman"/>
      </w:rPr>
      <w:tab/>
    </w:r>
    <w:r>
      <w:rPr>
        <w:rFonts w:hAnsi="Times New Roman"/>
      </w:rPr>
      <w:fldChar w:fldCharType="begin"/>
    </w:r>
    <w:r>
      <w:instrText>PAGE  \* MERGEFORMAT</w:instrText>
    </w:r>
    <w:r>
      <w:fldChar w:fldCharType="separate"/>
    </w:r>
    <w:r>
      <w:rPr>
        <w:rFonts w:hAnsi="Times New Roman"/>
      </w:rPr>
      <w:t>1</w:t>
    </w:r>
    <w:r>
      <w:rPr>
        <w:rFonts w:hAnsi="Times New Roman"/>
      </w:rPr>
      <w:fldChar w:fldCharType="end"/>
    </w:r>
    <w:r>
      <w:rPr>
        <w:rFonts w:hAnsi="Times New Roman"/>
      </w:rPr>
      <w:tab/>
    </w:r>
    <w:r>
      <w:rPr>
        <w:rFonts w:hAnsi="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206" w:rsidRDefault="006969C2">
      <w:r>
        <w:separator/>
      </w:r>
    </w:p>
  </w:footnote>
  <w:footnote w:type="continuationSeparator" w:id="0">
    <w:p w:rsidR="002C1206" w:rsidRDefault="006969C2">
      <w:r>
        <w:continuationSeparator/>
      </w:r>
    </w:p>
  </w:footnote>
  <w:footnote w:id="1">
    <w:p w:rsidR="002C1206" w:rsidRDefault="006969C2">
      <w:pPr>
        <w:pStyle w:val="FootnoteText"/>
      </w:pPr>
      <w:r>
        <w:rPr>
          <w:rStyle w:val="FootnoteReference"/>
        </w:rPr>
        <w:footnoteRef/>
      </w:r>
      <w:r>
        <w:t xml:space="preserve"> </w:t>
      </w:r>
      <w:r>
        <w:tab/>
        <w:t>The key targets for 2030 are: at least 40% cuts in greenhouse gas emissions (from 1990 levels), at least 32% share for renewable energy and at least 32.5% improvement in energy efficiency.</w:t>
      </w:r>
    </w:p>
  </w:footnote>
  <w:footnote w:id="2">
    <w:p w:rsidR="002C1206" w:rsidRDefault="006969C2">
      <w:pPr>
        <w:pStyle w:val="FootnoteText"/>
      </w:pPr>
      <w:r>
        <w:rPr>
          <w:rStyle w:val="FootnoteReference"/>
        </w:rPr>
        <w:footnoteRef/>
      </w:r>
      <w:r>
        <w:t xml:space="preserve"> </w:t>
      </w:r>
      <w:r>
        <w:tab/>
      </w:r>
      <w:r>
        <w:t xml:space="preserve">Compared to a baseline scenario – </w:t>
      </w:r>
      <w:r>
        <w:rPr>
          <w:i/>
        </w:rPr>
        <w:t>United in delivering the Energy Union and Climate Action - Setting the foundations for a successful clean energy transition</w:t>
      </w:r>
      <w:r>
        <w:t xml:space="preserve"> (COM(2019) 285). </w:t>
      </w:r>
    </w:p>
  </w:footnote>
  <w:footnote w:id="3">
    <w:p w:rsidR="002C1206" w:rsidRDefault="006969C2">
      <w:pPr>
        <w:pStyle w:val="FootnoteText"/>
      </w:pPr>
      <w:r>
        <w:rPr>
          <w:rStyle w:val="FootnoteReference"/>
        </w:rPr>
        <w:footnoteRef/>
      </w:r>
      <w:r>
        <w:t xml:space="preserve"> </w:t>
      </w:r>
      <w:r>
        <w:tab/>
        <w:t xml:space="preserve">The Commission estimates that, beyond climate-related measures, the broad </w:t>
      </w:r>
      <w:r>
        <w:t>environmental sustainable investment gap is between EUR 100 billion and EUR 150 billion annually, including environmental protection and resource management. With respect to social investments, the High-level taskforce on investing in social infrastructure</w:t>
      </w:r>
      <w:r>
        <w:t xml:space="preserve"> has estimated that additional EUR142 billion per year would be needed for affordable housing, health and long-term care, education and life-long training. These do not relate to the cost of supporting the green transition exclusively.</w:t>
      </w:r>
    </w:p>
  </w:footnote>
  <w:footnote w:id="4">
    <w:p w:rsidR="002C1206" w:rsidRDefault="006969C2">
      <w:pPr>
        <w:pStyle w:val="FootnoteText"/>
      </w:pPr>
      <w:r>
        <w:rPr>
          <w:rStyle w:val="FootnoteReference"/>
        </w:rPr>
        <w:footnoteRef/>
      </w:r>
      <w:r>
        <w:t xml:space="preserve"> </w:t>
      </w:r>
      <w:r>
        <w:tab/>
        <w:t>Compared to a bas</w:t>
      </w:r>
      <w:r>
        <w:t>eline scenario - COM(2019) 285.</w:t>
      </w:r>
    </w:p>
  </w:footnote>
  <w:footnote w:id="5">
    <w:p w:rsidR="002C1206" w:rsidRDefault="006969C2">
      <w:pPr>
        <w:pStyle w:val="FootnoteText"/>
      </w:pPr>
      <w:r>
        <w:rPr>
          <w:rStyle w:val="FootnoteReference"/>
        </w:rPr>
        <w:footnoteRef/>
      </w:r>
      <w:r>
        <w:t xml:space="preserve"> </w:t>
      </w:r>
      <w:r>
        <w:tab/>
        <w:t>For transport, the data include the total investment expenditure in mobile assets, but not investment in infrastructure and in systems facilitating sharing of vehicles etc. The figures do not include the updated technolog</w:t>
      </w:r>
      <w:r>
        <w:t>y costs assumptions used for the long-term strategy.</w:t>
      </w:r>
    </w:p>
  </w:footnote>
  <w:footnote w:id="6">
    <w:p w:rsidR="002C1206" w:rsidRDefault="006969C2">
      <w:pPr>
        <w:pStyle w:val="FootnoteText"/>
        <w:spacing w:after="120"/>
      </w:pPr>
      <w:r>
        <w:rPr>
          <w:rStyle w:val="FootnoteReference"/>
        </w:rPr>
        <w:footnoteRef/>
      </w:r>
      <w:r>
        <w:t xml:space="preserve"> </w:t>
      </w:r>
      <w:r>
        <w:tab/>
        <w:t>These are to be considered as conservative estimates. Important investment needs in agriculture or climate adaptation or the preservation and restoration of ecosystems and biodiversity are not include</w:t>
      </w:r>
      <w:r>
        <w:t>d due to a current lack of data.</w:t>
      </w:r>
    </w:p>
  </w:footnote>
  <w:footnote w:id="7">
    <w:p w:rsidR="002C1206" w:rsidRDefault="006969C2">
      <w:pPr>
        <w:ind w:left="357" w:hanging="357"/>
        <w:jc w:val="both"/>
      </w:pPr>
      <w:r>
        <w:rPr>
          <w:rFonts w:ascii="Times New Roman" w:hAnsi="Times New Roman"/>
          <w:sz w:val="20"/>
          <w:szCs w:val="20"/>
          <w:vertAlign w:val="superscript"/>
        </w:rPr>
        <w:footnoteRef/>
      </w:r>
      <w:r>
        <w:rPr>
          <w:rFonts w:ascii="Times New Roman" w:hAnsi="Times New Roman"/>
          <w:sz w:val="20"/>
          <w:szCs w:val="20"/>
        </w:rPr>
        <w:t xml:space="preserve"> </w:t>
      </w:r>
      <w:r>
        <w:rPr>
          <w:rFonts w:ascii="Times New Roman" w:hAnsi="Times New Roman"/>
          <w:sz w:val="20"/>
          <w:szCs w:val="20"/>
        </w:rPr>
        <w:tab/>
        <w:t>The figures estimated are a simple extrapolation over 10 years of the Commission proposal for the 2021-2027 multi-annual financial framework (MFF), without prejudice to the future MFF post 2027, while assuming that the c</w:t>
      </w:r>
      <w:r>
        <w:rPr>
          <w:rFonts w:ascii="Times New Roman" w:hAnsi="Times New Roman"/>
          <w:sz w:val="20"/>
          <w:szCs w:val="20"/>
        </w:rPr>
        <w:t>limate ambition will be at least maintained.</w:t>
      </w:r>
    </w:p>
  </w:footnote>
  <w:footnote w:id="8">
    <w:p w:rsidR="002C1206" w:rsidRDefault="006969C2">
      <w:pPr>
        <w:pStyle w:val="FootnoteText"/>
        <w:rPr>
          <w:lang w:val="en-GB"/>
        </w:rPr>
      </w:pPr>
      <w:r>
        <w:rPr>
          <w:rStyle w:val="FootnoteReference"/>
        </w:rPr>
        <w:footnoteRef/>
      </w:r>
      <w:r>
        <w:t xml:space="preserve"> </w:t>
      </w:r>
      <w:r>
        <w:tab/>
        <w:t xml:space="preserve">European Agricultural Fund for Rural Development, </w:t>
      </w:r>
      <w:r>
        <w:rPr>
          <w:rStyle w:val="st"/>
        </w:rPr>
        <w:t xml:space="preserve">European Agricultural Guarantee Fund, European Regional Development Fund, Cohesion Fund, </w:t>
      </w:r>
      <w:r>
        <w:t>Horizon Europe and Life funds.</w:t>
      </w:r>
    </w:p>
  </w:footnote>
  <w:footnote w:id="9">
    <w:p w:rsidR="002C1206" w:rsidRDefault="006969C2">
      <w:pPr>
        <w:pStyle w:val="FootnoteText"/>
        <w:rPr>
          <w:lang w:val="en-GB"/>
        </w:rPr>
      </w:pPr>
      <w:r>
        <w:rPr>
          <w:rStyle w:val="FootnoteReference"/>
        </w:rPr>
        <w:footnoteRef/>
      </w:r>
      <w:r>
        <w:t xml:space="preserve"> </w:t>
      </w:r>
      <w:r>
        <w:tab/>
        <w:t>COM(2018) 97 final.</w:t>
      </w:r>
    </w:p>
  </w:footnote>
  <w:footnote w:id="10">
    <w:p w:rsidR="002C1206" w:rsidRDefault="006969C2">
      <w:pPr>
        <w:pStyle w:val="FootnoteText"/>
      </w:pPr>
      <w:r>
        <w:rPr>
          <w:rStyle w:val="FootnoteReference"/>
        </w:rPr>
        <w:footnoteRef/>
      </w:r>
      <w:r>
        <w:t xml:space="preserve"> </w:t>
      </w:r>
      <w:r>
        <w:tab/>
        <w:t>COM(2019) 45</w:t>
      </w:r>
      <w:r>
        <w:t>6 final.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2C12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2C1206">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2C1206">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2C1206">
    <w:pPr>
      <w:pStyle w:val="Header"/>
      <w:rPr>
        <w:rFonts w:hAnsi="Times New Roman"/>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2C1206">
    <w:pPr>
      <w:pStyle w:val="Header"/>
      <w:rPr>
        <w:rFonts w:hAnsi="Times New Roman"/>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206" w:rsidRDefault="002C1206">
    <w:pPr>
      <w:pStyle w:val="Header"/>
      <w:rPr>
        <w:rFonts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323A3"/>
    <w:multiLevelType w:val="hybridMultilevel"/>
    <w:tmpl w:val="C974F85E"/>
    <w:lvl w:ilvl="0" w:tplc="EBA0F11E">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000000"/>
    <w:multiLevelType w:val="hybridMultilevel"/>
    <w:tmpl w:val="597BFC26"/>
    <w:lvl w:ilvl="0" w:tplc="2466D176">
      <w:numFmt w:val="bullet"/>
      <w:lvlText w:val="-"/>
      <w:lvlJc w:val="left"/>
      <w:pPr>
        <w:ind w:left="720" w:hanging="360"/>
        <w:jc w:val="both"/>
      </w:pPr>
      <w:rPr>
        <w:rFonts w:ascii="Calibri" w:eastAsia="Calibri" w:hAnsi="Calibri"/>
        <w:w w:val="100"/>
        <w:sz w:val="20"/>
        <w:szCs w:val="20"/>
        <w:shd w:val="clear" w:color="000000" w:fill="auto"/>
      </w:rPr>
    </w:lvl>
    <w:lvl w:ilvl="1" w:tplc="258012AC">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CB66B7B4">
      <w:start w:val="1"/>
      <w:numFmt w:val="bullet"/>
      <w:lvlText w:val="§"/>
      <w:lvlJc w:val="left"/>
      <w:pPr>
        <w:ind w:left="2160" w:hanging="360"/>
        <w:jc w:val="both"/>
      </w:pPr>
      <w:rPr>
        <w:rFonts w:ascii="Wingdings" w:eastAsia="Wingdings" w:hAnsi="Wingdings"/>
        <w:w w:val="100"/>
        <w:sz w:val="20"/>
        <w:szCs w:val="20"/>
        <w:shd w:val="clear" w:color="auto" w:fill="auto"/>
      </w:rPr>
    </w:lvl>
    <w:lvl w:ilvl="3" w:tplc="FBF2FEF4">
      <w:start w:val="1"/>
      <w:numFmt w:val="bullet"/>
      <w:lvlText w:val="·"/>
      <w:lvlJc w:val="left"/>
      <w:pPr>
        <w:ind w:left="2880" w:hanging="360"/>
        <w:jc w:val="both"/>
      </w:pPr>
      <w:rPr>
        <w:rFonts w:ascii="Symbol" w:eastAsia="Symbol" w:hAnsi="Symbol"/>
        <w:w w:val="100"/>
        <w:sz w:val="20"/>
        <w:szCs w:val="20"/>
        <w:shd w:val="clear" w:color="auto" w:fill="auto"/>
      </w:rPr>
    </w:lvl>
    <w:lvl w:ilvl="4" w:tplc="A284450A">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1B864592">
      <w:start w:val="1"/>
      <w:numFmt w:val="bullet"/>
      <w:lvlText w:val="§"/>
      <w:lvlJc w:val="left"/>
      <w:pPr>
        <w:ind w:left="4320" w:hanging="360"/>
        <w:jc w:val="both"/>
      </w:pPr>
      <w:rPr>
        <w:rFonts w:ascii="Wingdings" w:eastAsia="Wingdings" w:hAnsi="Wingdings"/>
        <w:w w:val="100"/>
        <w:sz w:val="20"/>
        <w:szCs w:val="20"/>
        <w:shd w:val="clear" w:color="auto" w:fill="auto"/>
      </w:rPr>
    </w:lvl>
    <w:lvl w:ilvl="6" w:tplc="50762EAA">
      <w:start w:val="1"/>
      <w:numFmt w:val="bullet"/>
      <w:lvlText w:val="·"/>
      <w:lvlJc w:val="left"/>
      <w:pPr>
        <w:ind w:left="5040" w:hanging="360"/>
        <w:jc w:val="both"/>
      </w:pPr>
      <w:rPr>
        <w:rFonts w:ascii="Symbol" w:eastAsia="Symbol" w:hAnsi="Symbol"/>
        <w:w w:val="100"/>
        <w:sz w:val="20"/>
        <w:szCs w:val="20"/>
        <w:shd w:val="clear" w:color="auto" w:fill="auto"/>
      </w:rPr>
    </w:lvl>
    <w:lvl w:ilvl="7" w:tplc="7F08B7D2">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7D6AD54C">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2" w15:restartNumberingAfterBreak="0">
    <w:nsid w:val="2F000001"/>
    <w:multiLevelType w:val="hybridMultilevel"/>
    <w:tmpl w:val="40E7619C"/>
    <w:lvl w:ilvl="0" w:tplc="24B46E1A">
      <w:start w:val="1"/>
      <w:numFmt w:val="bullet"/>
      <w:lvlText w:val="·"/>
      <w:lvlJc w:val="left"/>
      <w:pPr>
        <w:ind w:left="720" w:hanging="360"/>
        <w:jc w:val="both"/>
      </w:pPr>
      <w:rPr>
        <w:rFonts w:ascii="Symbol" w:eastAsia="Symbol" w:hAnsi="Symbol"/>
        <w:w w:val="100"/>
        <w:sz w:val="20"/>
        <w:szCs w:val="20"/>
        <w:shd w:val="clear" w:color="auto" w:fill="auto"/>
      </w:rPr>
    </w:lvl>
    <w:lvl w:ilvl="1" w:tplc="7BBAF636">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01B86A5E">
      <w:start w:val="1"/>
      <w:numFmt w:val="bullet"/>
      <w:lvlText w:val="§"/>
      <w:lvlJc w:val="left"/>
      <w:pPr>
        <w:ind w:left="2160" w:hanging="360"/>
        <w:jc w:val="both"/>
      </w:pPr>
      <w:rPr>
        <w:rFonts w:ascii="Wingdings" w:eastAsia="Wingdings" w:hAnsi="Wingdings"/>
        <w:w w:val="100"/>
        <w:sz w:val="20"/>
        <w:szCs w:val="20"/>
        <w:shd w:val="clear" w:color="auto" w:fill="auto"/>
      </w:rPr>
    </w:lvl>
    <w:lvl w:ilvl="3" w:tplc="035AFBC2">
      <w:start w:val="1"/>
      <w:numFmt w:val="bullet"/>
      <w:lvlText w:val="·"/>
      <w:lvlJc w:val="left"/>
      <w:pPr>
        <w:ind w:left="2880" w:hanging="360"/>
        <w:jc w:val="both"/>
      </w:pPr>
      <w:rPr>
        <w:rFonts w:ascii="Symbol" w:eastAsia="Symbol" w:hAnsi="Symbol"/>
        <w:w w:val="100"/>
        <w:sz w:val="20"/>
        <w:szCs w:val="20"/>
        <w:shd w:val="clear" w:color="auto" w:fill="auto"/>
      </w:rPr>
    </w:lvl>
    <w:lvl w:ilvl="4" w:tplc="C98EFCC0">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D68C6CE6">
      <w:start w:val="1"/>
      <w:numFmt w:val="bullet"/>
      <w:lvlText w:val="§"/>
      <w:lvlJc w:val="left"/>
      <w:pPr>
        <w:ind w:left="4320" w:hanging="360"/>
        <w:jc w:val="both"/>
      </w:pPr>
      <w:rPr>
        <w:rFonts w:ascii="Wingdings" w:eastAsia="Wingdings" w:hAnsi="Wingdings"/>
        <w:w w:val="100"/>
        <w:sz w:val="20"/>
        <w:szCs w:val="20"/>
        <w:shd w:val="clear" w:color="auto" w:fill="auto"/>
      </w:rPr>
    </w:lvl>
    <w:lvl w:ilvl="6" w:tplc="46048992">
      <w:start w:val="1"/>
      <w:numFmt w:val="bullet"/>
      <w:lvlText w:val="·"/>
      <w:lvlJc w:val="left"/>
      <w:pPr>
        <w:ind w:left="5040" w:hanging="360"/>
        <w:jc w:val="both"/>
      </w:pPr>
      <w:rPr>
        <w:rFonts w:ascii="Symbol" w:eastAsia="Symbol" w:hAnsi="Symbol"/>
        <w:w w:val="100"/>
        <w:sz w:val="20"/>
        <w:szCs w:val="20"/>
        <w:shd w:val="clear" w:color="auto" w:fill="auto"/>
      </w:rPr>
    </w:lvl>
    <w:lvl w:ilvl="7" w:tplc="3724A9D6">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2200C97E">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3" w15:restartNumberingAfterBreak="0">
    <w:nsid w:val="2F000002"/>
    <w:multiLevelType w:val="hybridMultilevel"/>
    <w:tmpl w:val="3CB97AFB"/>
    <w:lvl w:ilvl="0" w:tplc="F642EB88">
      <w:start w:val="1"/>
      <w:numFmt w:val="bullet"/>
      <w:lvlText w:val="•"/>
      <w:lvlJc w:val="left"/>
    </w:lvl>
    <w:lvl w:ilvl="1" w:tplc="7748AB10">
      <w:numFmt w:val="decimal"/>
      <w:lvlText w:val=""/>
      <w:lvlJc w:val="left"/>
    </w:lvl>
    <w:lvl w:ilvl="2" w:tplc="2F4E34F0">
      <w:numFmt w:val="decimal"/>
      <w:lvlText w:val=""/>
      <w:lvlJc w:val="left"/>
    </w:lvl>
    <w:lvl w:ilvl="3" w:tplc="394457E2">
      <w:numFmt w:val="decimal"/>
      <w:lvlText w:val=""/>
      <w:lvlJc w:val="left"/>
    </w:lvl>
    <w:lvl w:ilvl="4" w:tplc="0CAA3A60">
      <w:numFmt w:val="decimal"/>
      <w:lvlText w:val=""/>
      <w:lvlJc w:val="left"/>
    </w:lvl>
    <w:lvl w:ilvl="5" w:tplc="0016C4FE">
      <w:numFmt w:val="decimal"/>
      <w:lvlText w:val=""/>
      <w:lvlJc w:val="left"/>
    </w:lvl>
    <w:lvl w:ilvl="6" w:tplc="ECAAF950">
      <w:numFmt w:val="decimal"/>
      <w:lvlText w:val=""/>
      <w:lvlJc w:val="left"/>
    </w:lvl>
    <w:lvl w:ilvl="7" w:tplc="F6AE1884">
      <w:numFmt w:val="decimal"/>
      <w:lvlText w:val=""/>
      <w:lvlJc w:val="left"/>
    </w:lvl>
    <w:lvl w:ilvl="8" w:tplc="F478253E">
      <w:numFmt w:val="decimal"/>
      <w:lvlText w:val=""/>
      <w:lvlJc w:val="left"/>
    </w:lvl>
  </w:abstractNum>
  <w:abstractNum w:abstractNumId="4" w15:restartNumberingAfterBreak="0">
    <w:nsid w:val="2F000003"/>
    <w:multiLevelType w:val="hybridMultilevel"/>
    <w:tmpl w:val="5B3903FB"/>
    <w:lvl w:ilvl="0" w:tplc="368CE872">
      <w:start w:val="1"/>
      <w:numFmt w:val="bullet"/>
      <w:lvlText w:val="Ø"/>
      <w:lvlJc w:val="left"/>
      <w:pPr>
        <w:tabs>
          <w:tab w:val="left" w:pos="0"/>
        </w:tabs>
        <w:ind w:left="720" w:hanging="360"/>
        <w:jc w:val="both"/>
      </w:pPr>
      <w:rPr>
        <w:rFonts w:ascii="Wingdings" w:eastAsia="Wingdings" w:hAnsi="Wingdings"/>
        <w:w w:val="100"/>
        <w:sz w:val="20"/>
        <w:szCs w:val="20"/>
        <w:shd w:val="clear" w:color="000000" w:fill="auto"/>
      </w:rPr>
    </w:lvl>
    <w:lvl w:ilvl="1" w:tplc="097C410A">
      <w:start w:val="1"/>
      <w:numFmt w:val="bullet"/>
      <w:lvlText w:val="o"/>
      <w:lvlJc w:val="left"/>
      <w:pPr>
        <w:tabs>
          <w:tab w:val="left" w:pos="0"/>
        </w:tabs>
        <w:ind w:left="1440" w:hanging="360"/>
        <w:jc w:val="both"/>
      </w:pPr>
      <w:rPr>
        <w:rFonts w:ascii="Courier New" w:eastAsia="Courier New" w:hAnsi="Courier New"/>
        <w:w w:val="100"/>
        <w:sz w:val="20"/>
        <w:szCs w:val="20"/>
        <w:shd w:val="clear" w:color="000000" w:fill="auto"/>
      </w:rPr>
    </w:lvl>
    <w:lvl w:ilvl="2" w:tplc="9E385798">
      <w:start w:val="1"/>
      <w:numFmt w:val="bullet"/>
      <w:lvlText w:val="§"/>
      <w:lvlJc w:val="left"/>
      <w:pPr>
        <w:tabs>
          <w:tab w:val="left" w:pos="0"/>
        </w:tabs>
        <w:ind w:left="2160" w:hanging="360"/>
        <w:jc w:val="both"/>
      </w:pPr>
      <w:rPr>
        <w:rFonts w:ascii="Wingdings" w:eastAsia="Wingdings" w:hAnsi="Wingdings"/>
        <w:w w:val="100"/>
        <w:sz w:val="20"/>
        <w:szCs w:val="20"/>
        <w:shd w:val="clear" w:color="000000" w:fill="auto"/>
      </w:rPr>
    </w:lvl>
    <w:lvl w:ilvl="3" w:tplc="F530CBF4">
      <w:start w:val="1"/>
      <w:numFmt w:val="bullet"/>
      <w:lvlText w:val="·"/>
      <w:lvlJc w:val="left"/>
      <w:pPr>
        <w:tabs>
          <w:tab w:val="left" w:pos="0"/>
        </w:tabs>
        <w:ind w:left="2880" w:hanging="360"/>
        <w:jc w:val="both"/>
      </w:pPr>
      <w:rPr>
        <w:rFonts w:ascii="Symbol" w:eastAsia="Symbol" w:hAnsi="Symbol"/>
        <w:w w:val="100"/>
        <w:sz w:val="20"/>
        <w:szCs w:val="20"/>
        <w:shd w:val="clear" w:color="000000" w:fill="auto"/>
      </w:rPr>
    </w:lvl>
    <w:lvl w:ilvl="4" w:tplc="ECEEE962">
      <w:start w:val="1"/>
      <w:numFmt w:val="bullet"/>
      <w:lvlText w:val="o"/>
      <w:lvlJc w:val="left"/>
      <w:pPr>
        <w:tabs>
          <w:tab w:val="left" w:pos="0"/>
        </w:tabs>
        <w:ind w:left="3600" w:hanging="360"/>
        <w:jc w:val="both"/>
      </w:pPr>
      <w:rPr>
        <w:rFonts w:ascii="Courier New" w:eastAsia="Courier New" w:hAnsi="Courier New"/>
        <w:w w:val="100"/>
        <w:sz w:val="20"/>
        <w:szCs w:val="20"/>
        <w:shd w:val="clear" w:color="000000" w:fill="auto"/>
      </w:rPr>
    </w:lvl>
    <w:lvl w:ilvl="5" w:tplc="F90E3AA4">
      <w:start w:val="1"/>
      <w:numFmt w:val="bullet"/>
      <w:lvlText w:val="§"/>
      <w:lvlJc w:val="left"/>
      <w:pPr>
        <w:tabs>
          <w:tab w:val="left" w:pos="0"/>
        </w:tabs>
        <w:ind w:left="4320" w:hanging="360"/>
        <w:jc w:val="both"/>
      </w:pPr>
      <w:rPr>
        <w:rFonts w:ascii="Wingdings" w:eastAsia="Wingdings" w:hAnsi="Wingdings"/>
        <w:w w:val="100"/>
        <w:sz w:val="20"/>
        <w:szCs w:val="20"/>
        <w:shd w:val="clear" w:color="000000" w:fill="auto"/>
      </w:rPr>
    </w:lvl>
    <w:lvl w:ilvl="6" w:tplc="EFFAD57E">
      <w:start w:val="1"/>
      <w:numFmt w:val="bullet"/>
      <w:lvlText w:val="·"/>
      <w:lvlJc w:val="left"/>
      <w:pPr>
        <w:tabs>
          <w:tab w:val="left" w:pos="0"/>
        </w:tabs>
        <w:ind w:left="5040" w:hanging="360"/>
        <w:jc w:val="both"/>
      </w:pPr>
      <w:rPr>
        <w:rFonts w:ascii="Symbol" w:eastAsia="Symbol" w:hAnsi="Symbol"/>
        <w:w w:val="100"/>
        <w:sz w:val="20"/>
        <w:szCs w:val="20"/>
        <w:shd w:val="clear" w:color="000000" w:fill="auto"/>
      </w:rPr>
    </w:lvl>
    <w:lvl w:ilvl="7" w:tplc="EFEE388C">
      <w:start w:val="1"/>
      <w:numFmt w:val="bullet"/>
      <w:lvlText w:val="o"/>
      <w:lvlJc w:val="left"/>
      <w:pPr>
        <w:tabs>
          <w:tab w:val="left" w:pos="0"/>
        </w:tabs>
        <w:ind w:left="5760" w:hanging="360"/>
        <w:jc w:val="both"/>
      </w:pPr>
      <w:rPr>
        <w:rFonts w:ascii="Courier New" w:eastAsia="Courier New" w:hAnsi="Courier New"/>
        <w:w w:val="100"/>
        <w:sz w:val="20"/>
        <w:szCs w:val="20"/>
        <w:shd w:val="clear" w:color="000000" w:fill="auto"/>
      </w:rPr>
    </w:lvl>
    <w:lvl w:ilvl="8" w:tplc="BD04F90E">
      <w:start w:val="1"/>
      <w:numFmt w:val="bullet"/>
      <w:lvlText w:val="§"/>
      <w:lvlJc w:val="left"/>
      <w:pPr>
        <w:tabs>
          <w:tab w:val="left" w:pos="0"/>
        </w:tabs>
        <w:ind w:left="6480" w:hanging="360"/>
        <w:jc w:val="both"/>
      </w:pPr>
      <w:rPr>
        <w:rFonts w:ascii="Wingdings" w:eastAsia="Wingdings" w:hAnsi="Wingdings"/>
        <w:w w:val="100"/>
        <w:sz w:val="20"/>
        <w:szCs w:val="20"/>
        <w:shd w:val="clear" w:color="000000" w:fill="auto"/>
      </w:rPr>
    </w:lvl>
  </w:abstractNum>
  <w:abstractNum w:abstractNumId="5" w15:restartNumberingAfterBreak="0">
    <w:nsid w:val="2F000004"/>
    <w:multiLevelType w:val="hybridMultilevel"/>
    <w:tmpl w:val="22349374"/>
    <w:lvl w:ilvl="0" w:tplc="60E247DE">
      <w:start w:val="1"/>
      <w:numFmt w:val="bullet"/>
      <w:lvlText w:val="·"/>
      <w:lvlJc w:val="left"/>
      <w:pPr>
        <w:ind w:left="720" w:hanging="360"/>
        <w:jc w:val="both"/>
      </w:pPr>
      <w:rPr>
        <w:rFonts w:ascii="Symbol" w:eastAsia="Symbol" w:hAnsi="Symbol"/>
        <w:w w:val="100"/>
        <w:sz w:val="20"/>
        <w:szCs w:val="20"/>
        <w:shd w:val="clear" w:color="000000" w:fill="auto"/>
      </w:rPr>
    </w:lvl>
    <w:lvl w:ilvl="1" w:tplc="9404ED2E">
      <w:start w:val="1"/>
      <w:numFmt w:val="bullet"/>
      <w:lvlText w:val="·"/>
      <w:lvlJc w:val="left"/>
      <w:pPr>
        <w:ind w:left="1440" w:hanging="360"/>
        <w:jc w:val="both"/>
      </w:pPr>
      <w:rPr>
        <w:rFonts w:ascii="Symbol" w:eastAsia="Symbol" w:hAnsi="Symbol"/>
        <w:w w:val="100"/>
        <w:sz w:val="20"/>
        <w:szCs w:val="20"/>
        <w:shd w:val="clear" w:color="000000" w:fill="auto"/>
      </w:rPr>
    </w:lvl>
    <w:lvl w:ilvl="2" w:tplc="8FEA6DB6">
      <w:start w:val="1"/>
      <w:numFmt w:val="lowerRoman"/>
      <w:lvlText w:val="%3."/>
      <w:lvlJc w:val="right"/>
      <w:pPr>
        <w:ind w:left="2160" w:hanging="180"/>
        <w:jc w:val="both"/>
      </w:pPr>
    </w:lvl>
    <w:lvl w:ilvl="3" w:tplc="672A3E78">
      <w:start w:val="1"/>
      <w:numFmt w:val="decimal"/>
      <w:lvlText w:val="%4."/>
      <w:lvlJc w:val="left"/>
      <w:pPr>
        <w:ind w:left="2880" w:hanging="360"/>
        <w:jc w:val="both"/>
      </w:pPr>
    </w:lvl>
    <w:lvl w:ilvl="4" w:tplc="FEB85FD4">
      <w:start w:val="1"/>
      <w:numFmt w:val="lowerLetter"/>
      <w:lvlText w:val="%5."/>
      <w:lvlJc w:val="left"/>
      <w:pPr>
        <w:ind w:left="3600" w:hanging="360"/>
        <w:jc w:val="both"/>
      </w:pPr>
    </w:lvl>
    <w:lvl w:ilvl="5" w:tplc="AF96A514">
      <w:start w:val="1"/>
      <w:numFmt w:val="lowerRoman"/>
      <w:lvlText w:val="%6."/>
      <w:lvlJc w:val="right"/>
      <w:pPr>
        <w:ind w:left="4320" w:hanging="180"/>
        <w:jc w:val="both"/>
      </w:pPr>
    </w:lvl>
    <w:lvl w:ilvl="6" w:tplc="6CC092C0">
      <w:start w:val="1"/>
      <w:numFmt w:val="decimal"/>
      <w:lvlText w:val="%7."/>
      <w:lvlJc w:val="left"/>
      <w:pPr>
        <w:ind w:left="5040" w:hanging="360"/>
        <w:jc w:val="both"/>
      </w:pPr>
    </w:lvl>
    <w:lvl w:ilvl="7" w:tplc="6B96EF00">
      <w:start w:val="1"/>
      <w:numFmt w:val="lowerLetter"/>
      <w:lvlText w:val="%8."/>
      <w:lvlJc w:val="left"/>
      <w:pPr>
        <w:ind w:left="5760" w:hanging="360"/>
        <w:jc w:val="both"/>
      </w:pPr>
    </w:lvl>
    <w:lvl w:ilvl="8" w:tplc="8070B45E">
      <w:start w:val="1"/>
      <w:numFmt w:val="lowerRoman"/>
      <w:lvlText w:val="%9."/>
      <w:lvlJc w:val="right"/>
      <w:pPr>
        <w:ind w:left="6480" w:hanging="180"/>
        <w:jc w:val="both"/>
      </w:pPr>
    </w:lvl>
  </w:abstractNum>
  <w:abstractNum w:abstractNumId="6" w15:restartNumberingAfterBreak="0">
    <w:nsid w:val="2F000005"/>
    <w:multiLevelType w:val="hybridMultilevel"/>
    <w:tmpl w:val="4FBCA650"/>
    <w:lvl w:ilvl="0" w:tplc="BC468328">
      <w:start w:val="1"/>
      <w:numFmt w:val="bullet"/>
      <w:lvlText w:val="·"/>
      <w:lvlJc w:val="left"/>
      <w:pPr>
        <w:ind w:left="720" w:hanging="360"/>
        <w:jc w:val="both"/>
      </w:pPr>
      <w:rPr>
        <w:rFonts w:ascii="Symbol" w:eastAsia="Symbol" w:hAnsi="Symbol"/>
        <w:w w:val="100"/>
        <w:sz w:val="20"/>
        <w:szCs w:val="20"/>
        <w:shd w:val="clear" w:color="000000" w:fill="auto"/>
      </w:rPr>
    </w:lvl>
    <w:lvl w:ilvl="1" w:tplc="374A6484">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A8C87632">
      <w:start w:val="1"/>
      <w:numFmt w:val="bullet"/>
      <w:lvlText w:val="§"/>
      <w:lvlJc w:val="left"/>
      <w:pPr>
        <w:ind w:left="2160" w:hanging="360"/>
        <w:jc w:val="both"/>
      </w:pPr>
      <w:rPr>
        <w:rFonts w:ascii="Wingdings" w:eastAsia="Wingdings" w:hAnsi="Wingdings"/>
        <w:w w:val="100"/>
        <w:sz w:val="20"/>
        <w:szCs w:val="20"/>
        <w:shd w:val="clear" w:color="000000" w:fill="auto"/>
      </w:rPr>
    </w:lvl>
    <w:lvl w:ilvl="3" w:tplc="E1CCD14A">
      <w:start w:val="1"/>
      <w:numFmt w:val="bullet"/>
      <w:lvlText w:val="·"/>
      <w:lvlJc w:val="left"/>
      <w:pPr>
        <w:ind w:left="2880" w:hanging="360"/>
        <w:jc w:val="both"/>
      </w:pPr>
      <w:rPr>
        <w:rFonts w:ascii="Symbol" w:eastAsia="Symbol" w:hAnsi="Symbol"/>
        <w:w w:val="100"/>
        <w:sz w:val="20"/>
        <w:szCs w:val="20"/>
        <w:shd w:val="clear" w:color="000000" w:fill="auto"/>
      </w:rPr>
    </w:lvl>
    <w:lvl w:ilvl="4" w:tplc="91C0ED9C">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34DAD930">
      <w:start w:val="1"/>
      <w:numFmt w:val="bullet"/>
      <w:lvlText w:val="§"/>
      <w:lvlJc w:val="left"/>
      <w:pPr>
        <w:ind w:left="4320" w:hanging="360"/>
        <w:jc w:val="both"/>
      </w:pPr>
      <w:rPr>
        <w:rFonts w:ascii="Wingdings" w:eastAsia="Wingdings" w:hAnsi="Wingdings"/>
        <w:w w:val="100"/>
        <w:sz w:val="20"/>
        <w:szCs w:val="20"/>
        <w:shd w:val="clear" w:color="000000" w:fill="auto"/>
      </w:rPr>
    </w:lvl>
    <w:lvl w:ilvl="6" w:tplc="C780F104">
      <w:start w:val="1"/>
      <w:numFmt w:val="bullet"/>
      <w:lvlText w:val="·"/>
      <w:lvlJc w:val="left"/>
      <w:pPr>
        <w:ind w:left="5040" w:hanging="360"/>
        <w:jc w:val="both"/>
      </w:pPr>
      <w:rPr>
        <w:rFonts w:ascii="Symbol" w:eastAsia="Symbol" w:hAnsi="Symbol"/>
        <w:w w:val="100"/>
        <w:sz w:val="20"/>
        <w:szCs w:val="20"/>
        <w:shd w:val="clear" w:color="000000" w:fill="auto"/>
      </w:rPr>
    </w:lvl>
    <w:lvl w:ilvl="7" w:tplc="BB7E6456">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D434625A">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7" w15:restartNumberingAfterBreak="0">
    <w:nsid w:val="2F000006"/>
    <w:multiLevelType w:val="hybridMultilevel"/>
    <w:tmpl w:val="504B0802"/>
    <w:lvl w:ilvl="0" w:tplc="9808D722">
      <w:numFmt w:val="bullet"/>
      <w:lvlText w:val="-"/>
      <w:lvlJc w:val="left"/>
      <w:pPr>
        <w:ind w:left="360" w:hanging="360"/>
        <w:jc w:val="both"/>
      </w:pPr>
      <w:rPr>
        <w:rFonts w:ascii="Calibri" w:eastAsia="Calibri" w:hAnsi="Calibri"/>
        <w:w w:val="100"/>
        <w:sz w:val="20"/>
        <w:szCs w:val="20"/>
        <w:shd w:val="clear" w:color="000000" w:fill="auto"/>
      </w:rPr>
    </w:lvl>
    <w:lvl w:ilvl="1" w:tplc="E2BE3780">
      <w:start w:val="1"/>
      <w:numFmt w:val="bullet"/>
      <w:lvlText w:val="o"/>
      <w:lvlJc w:val="left"/>
      <w:pPr>
        <w:ind w:left="1080" w:hanging="360"/>
        <w:jc w:val="both"/>
      </w:pPr>
      <w:rPr>
        <w:rFonts w:ascii="Courier New" w:eastAsia="Courier New" w:hAnsi="Courier New"/>
        <w:w w:val="100"/>
        <w:sz w:val="20"/>
        <w:szCs w:val="20"/>
        <w:shd w:val="clear" w:color="000000" w:fill="auto"/>
      </w:rPr>
    </w:lvl>
    <w:lvl w:ilvl="2" w:tplc="A6C2EED6">
      <w:start w:val="1"/>
      <w:numFmt w:val="bullet"/>
      <w:lvlText w:val="§"/>
      <w:lvlJc w:val="left"/>
      <w:pPr>
        <w:ind w:left="1800" w:hanging="360"/>
        <w:jc w:val="both"/>
      </w:pPr>
      <w:rPr>
        <w:rFonts w:ascii="Wingdings" w:eastAsia="Wingdings" w:hAnsi="Wingdings"/>
        <w:w w:val="100"/>
        <w:sz w:val="20"/>
        <w:szCs w:val="20"/>
        <w:shd w:val="clear" w:color="000000" w:fill="auto"/>
      </w:rPr>
    </w:lvl>
    <w:lvl w:ilvl="3" w:tplc="45043716">
      <w:start w:val="1"/>
      <w:numFmt w:val="bullet"/>
      <w:lvlText w:val="·"/>
      <w:lvlJc w:val="left"/>
      <w:pPr>
        <w:ind w:left="2520" w:hanging="360"/>
        <w:jc w:val="both"/>
      </w:pPr>
      <w:rPr>
        <w:rFonts w:ascii="Symbol" w:eastAsia="Symbol" w:hAnsi="Symbol"/>
        <w:w w:val="100"/>
        <w:sz w:val="20"/>
        <w:szCs w:val="20"/>
        <w:shd w:val="clear" w:color="000000" w:fill="auto"/>
      </w:rPr>
    </w:lvl>
    <w:lvl w:ilvl="4" w:tplc="B64AB404">
      <w:start w:val="1"/>
      <w:numFmt w:val="bullet"/>
      <w:lvlText w:val="o"/>
      <w:lvlJc w:val="left"/>
      <w:pPr>
        <w:ind w:left="3240" w:hanging="360"/>
        <w:jc w:val="both"/>
      </w:pPr>
      <w:rPr>
        <w:rFonts w:ascii="Courier New" w:eastAsia="Courier New" w:hAnsi="Courier New"/>
        <w:w w:val="100"/>
        <w:sz w:val="20"/>
        <w:szCs w:val="20"/>
        <w:shd w:val="clear" w:color="000000" w:fill="auto"/>
      </w:rPr>
    </w:lvl>
    <w:lvl w:ilvl="5" w:tplc="99D4ECC6">
      <w:start w:val="1"/>
      <w:numFmt w:val="bullet"/>
      <w:lvlText w:val="§"/>
      <w:lvlJc w:val="left"/>
      <w:pPr>
        <w:ind w:left="3960" w:hanging="360"/>
        <w:jc w:val="both"/>
      </w:pPr>
      <w:rPr>
        <w:rFonts w:ascii="Wingdings" w:eastAsia="Wingdings" w:hAnsi="Wingdings"/>
        <w:w w:val="100"/>
        <w:sz w:val="20"/>
        <w:szCs w:val="20"/>
        <w:shd w:val="clear" w:color="000000" w:fill="auto"/>
      </w:rPr>
    </w:lvl>
    <w:lvl w:ilvl="6" w:tplc="1C8460C2">
      <w:start w:val="1"/>
      <w:numFmt w:val="bullet"/>
      <w:lvlText w:val="·"/>
      <w:lvlJc w:val="left"/>
      <w:pPr>
        <w:ind w:left="4680" w:hanging="360"/>
        <w:jc w:val="both"/>
      </w:pPr>
      <w:rPr>
        <w:rFonts w:ascii="Symbol" w:eastAsia="Symbol" w:hAnsi="Symbol"/>
        <w:w w:val="100"/>
        <w:sz w:val="20"/>
        <w:szCs w:val="20"/>
        <w:shd w:val="clear" w:color="000000" w:fill="auto"/>
      </w:rPr>
    </w:lvl>
    <w:lvl w:ilvl="7" w:tplc="46BCF7EC">
      <w:start w:val="1"/>
      <w:numFmt w:val="bullet"/>
      <w:lvlText w:val="o"/>
      <w:lvlJc w:val="left"/>
      <w:pPr>
        <w:ind w:left="5400" w:hanging="360"/>
        <w:jc w:val="both"/>
      </w:pPr>
      <w:rPr>
        <w:rFonts w:ascii="Courier New" w:eastAsia="Courier New" w:hAnsi="Courier New"/>
        <w:w w:val="100"/>
        <w:sz w:val="20"/>
        <w:szCs w:val="20"/>
        <w:shd w:val="clear" w:color="000000" w:fill="auto"/>
      </w:rPr>
    </w:lvl>
    <w:lvl w:ilvl="8" w:tplc="9C12D32A">
      <w:start w:val="1"/>
      <w:numFmt w:val="bullet"/>
      <w:lvlText w:val="§"/>
      <w:lvlJc w:val="left"/>
      <w:pPr>
        <w:ind w:left="6120" w:hanging="360"/>
        <w:jc w:val="both"/>
      </w:pPr>
      <w:rPr>
        <w:rFonts w:ascii="Wingdings" w:eastAsia="Wingdings" w:hAnsi="Wingdings"/>
        <w:w w:val="100"/>
        <w:sz w:val="20"/>
        <w:szCs w:val="20"/>
        <w:shd w:val="clear" w:color="000000" w:fill="auto"/>
      </w:rPr>
    </w:lvl>
  </w:abstractNum>
  <w:abstractNum w:abstractNumId="8" w15:restartNumberingAfterBreak="0">
    <w:nsid w:val="2F000007"/>
    <w:multiLevelType w:val="hybridMultilevel"/>
    <w:tmpl w:val="53FAF569"/>
    <w:lvl w:ilvl="0" w:tplc="488A3B40">
      <w:start w:val="1"/>
      <w:numFmt w:val="lowerLetter"/>
      <w:lvlText w:val="%1."/>
      <w:lvlJc w:val="left"/>
      <w:pPr>
        <w:ind w:left="1080" w:hanging="360"/>
        <w:jc w:val="both"/>
      </w:pPr>
    </w:lvl>
    <w:lvl w:ilvl="1" w:tplc="6234D256">
      <w:start w:val="1"/>
      <w:numFmt w:val="lowerLetter"/>
      <w:lvlText w:val="%2."/>
      <w:lvlJc w:val="left"/>
      <w:pPr>
        <w:ind w:left="1440" w:hanging="360"/>
        <w:jc w:val="both"/>
      </w:pPr>
    </w:lvl>
    <w:lvl w:ilvl="2" w:tplc="D9E60886">
      <w:start w:val="1"/>
      <w:numFmt w:val="lowerRoman"/>
      <w:lvlText w:val="%3."/>
      <w:lvlJc w:val="right"/>
      <w:pPr>
        <w:ind w:left="2160" w:hanging="180"/>
        <w:jc w:val="both"/>
      </w:pPr>
    </w:lvl>
    <w:lvl w:ilvl="3" w:tplc="7F4C2CE0">
      <w:start w:val="1"/>
      <w:numFmt w:val="decimal"/>
      <w:lvlText w:val="%4."/>
      <w:lvlJc w:val="left"/>
      <w:pPr>
        <w:ind w:left="2880" w:hanging="360"/>
        <w:jc w:val="both"/>
      </w:pPr>
    </w:lvl>
    <w:lvl w:ilvl="4" w:tplc="F884AA1A">
      <w:start w:val="1"/>
      <w:numFmt w:val="lowerLetter"/>
      <w:lvlText w:val="%5."/>
      <w:lvlJc w:val="left"/>
      <w:pPr>
        <w:ind w:left="3600" w:hanging="360"/>
        <w:jc w:val="both"/>
      </w:pPr>
    </w:lvl>
    <w:lvl w:ilvl="5" w:tplc="3D741EC4">
      <w:start w:val="1"/>
      <w:numFmt w:val="lowerRoman"/>
      <w:lvlText w:val="%6."/>
      <w:lvlJc w:val="right"/>
      <w:pPr>
        <w:ind w:left="4320" w:hanging="180"/>
        <w:jc w:val="both"/>
      </w:pPr>
    </w:lvl>
    <w:lvl w:ilvl="6" w:tplc="B044D5E0">
      <w:start w:val="1"/>
      <w:numFmt w:val="decimal"/>
      <w:lvlText w:val="%7."/>
      <w:lvlJc w:val="left"/>
      <w:pPr>
        <w:ind w:left="5040" w:hanging="360"/>
        <w:jc w:val="both"/>
      </w:pPr>
    </w:lvl>
    <w:lvl w:ilvl="7" w:tplc="9A2CEF5E">
      <w:start w:val="1"/>
      <w:numFmt w:val="lowerLetter"/>
      <w:lvlText w:val="%8."/>
      <w:lvlJc w:val="left"/>
      <w:pPr>
        <w:ind w:left="5760" w:hanging="360"/>
        <w:jc w:val="both"/>
      </w:pPr>
    </w:lvl>
    <w:lvl w:ilvl="8" w:tplc="76AC47B8">
      <w:start w:val="1"/>
      <w:numFmt w:val="lowerRoman"/>
      <w:lvlText w:val="%9."/>
      <w:lvlJc w:val="right"/>
      <w:pPr>
        <w:ind w:left="6480" w:hanging="180"/>
        <w:jc w:val="both"/>
      </w:pPr>
    </w:lvl>
  </w:abstractNum>
  <w:abstractNum w:abstractNumId="9" w15:restartNumberingAfterBreak="0">
    <w:nsid w:val="2F000008"/>
    <w:multiLevelType w:val="hybridMultilevel"/>
    <w:tmpl w:val="2705FC7F"/>
    <w:lvl w:ilvl="0" w:tplc="CEB2056C">
      <w:start w:val="1"/>
      <w:numFmt w:val="bullet"/>
      <w:lvlText w:val="·"/>
      <w:lvlJc w:val="left"/>
      <w:pPr>
        <w:ind w:left="720" w:hanging="360"/>
        <w:jc w:val="both"/>
      </w:pPr>
      <w:rPr>
        <w:rFonts w:ascii="Symbol" w:eastAsia="Symbol" w:hAnsi="Symbol"/>
        <w:w w:val="100"/>
        <w:sz w:val="20"/>
        <w:szCs w:val="20"/>
        <w:shd w:val="clear" w:color="000000" w:fill="auto"/>
      </w:rPr>
    </w:lvl>
    <w:lvl w:ilvl="1" w:tplc="7CD8F8D4">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74848720">
      <w:start w:val="1"/>
      <w:numFmt w:val="bullet"/>
      <w:lvlText w:val="§"/>
      <w:lvlJc w:val="left"/>
      <w:pPr>
        <w:ind w:left="2160" w:hanging="360"/>
        <w:jc w:val="both"/>
      </w:pPr>
      <w:rPr>
        <w:rFonts w:ascii="Wingdings" w:eastAsia="Wingdings" w:hAnsi="Wingdings"/>
        <w:w w:val="100"/>
        <w:sz w:val="20"/>
        <w:szCs w:val="20"/>
        <w:shd w:val="clear" w:color="000000" w:fill="auto"/>
      </w:rPr>
    </w:lvl>
    <w:lvl w:ilvl="3" w:tplc="7E5ABA6A">
      <w:start w:val="1"/>
      <w:numFmt w:val="bullet"/>
      <w:lvlText w:val="·"/>
      <w:lvlJc w:val="left"/>
      <w:pPr>
        <w:ind w:left="2880" w:hanging="360"/>
        <w:jc w:val="both"/>
      </w:pPr>
      <w:rPr>
        <w:rFonts w:ascii="Symbol" w:eastAsia="Symbol" w:hAnsi="Symbol"/>
        <w:w w:val="100"/>
        <w:sz w:val="20"/>
        <w:szCs w:val="20"/>
        <w:shd w:val="clear" w:color="000000" w:fill="auto"/>
      </w:rPr>
    </w:lvl>
    <w:lvl w:ilvl="4" w:tplc="EE909C6E">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BAEED28A">
      <w:start w:val="1"/>
      <w:numFmt w:val="bullet"/>
      <w:lvlText w:val="§"/>
      <w:lvlJc w:val="left"/>
      <w:pPr>
        <w:ind w:left="4320" w:hanging="360"/>
        <w:jc w:val="both"/>
      </w:pPr>
      <w:rPr>
        <w:rFonts w:ascii="Wingdings" w:eastAsia="Wingdings" w:hAnsi="Wingdings"/>
        <w:w w:val="100"/>
        <w:sz w:val="20"/>
        <w:szCs w:val="20"/>
        <w:shd w:val="clear" w:color="000000" w:fill="auto"/>
      </w:rPr>
    </w:lvl>
    <w:lvl w:ilvl="6" w:tplc="A4F244DC">
      <w:start w:val="1"/>
      <w:numFmt w:val="bullet"/>
      <w:lvlText w:val="·"/>
      <w:lvlJc w:val="left"/>
      <w:pPr>
        <w:ind w:left="5040" w:hanging="360"/>
        <w:jc w:val="both"/>
      </w:pPr>
      <w:rPr>
        <w:rFonts w:ascii="Symbol" w:eastAsia="Symbol" w:hAnsi="Symbol"/>
        <w:w w:val="100"/>
        <w:sz w:val="20"/>
        <w:szCs w:val="20"/>
        <w:shd w:val="clear" w:color="000000" w:fill="auto"/>
      </w:rPr>
    </w:lvl>
    <w:lvl w:ilvl="7" w:tplc="126042A8">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BA5A7CC8">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10" w15:restartNumberingAfterBreak="0">
    <w:nsid w:val="2F000009"/>
    <w:multiLevelType w:val="hybridMultilevel"/>
    <w:tmpl w:val="2003F9F6"/>
    <w:lvl w:ilvl="0" w:tplc="E25EBE84">
      <w:start w:val="1"/>
      <w:numFmt w:val="bullet"/>
      <w:lvlText w:val="·"/>
      <w:lvlJc w:val="left"/>
      <w:pPr>
        <w:ind w:left="720" w:hanging="360"/>
        <w:jc w:val="both"/>
      </w:pPr>
      <w:rPr>
        <w:rFonts w:ascii="Symbol" w:eastAsia="Symbol" w:hAnsi="Symbol"/>
        <w:w w:val="100"/>
        <w:sz w:val="20"/>
        <w:szCs w:val="20"/>
        <w:shd w:val="clear" w:color="000000" w:fill="auto"/>
      </w:rPr>
    </w:lvl>
    <w:lvl w:ilvl="1" w:tplc="52F61A4E">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7A50CA38">
      <w:start w:val="1"/>
      <w:numFmt w:val="bullet"/>
      <w:lvlText w:val="§"/>
      <w:lvlJc w:val="left"/>
      <w:pPr>
        <w:ind w:left="2160" w:hanging="360"/>
        <w:jc w:val="both"/>
      </w:pPr>
      <w:rPr>
        <w:rFonts w:ascii="Wingdings" w:eastAsia="Wingdings" w:hAnsi="Wingdings"/>
        <w:w w:val="100"/>
        <w:sz w:val="20"/>
        <w:szCs w:val="20"/>
        <w:shd w:val="clear" w:color="000000" w:fill="auto"/>
      </w:rPr>
    </w:lvl>
    <w:lvl w:ilvl="3" w:tplc="7A8A75CE">
      <w:start w:val="1"/>
      <w:numFmt w:val="bullet"/>
      <w:lvlText w:val="·"/>
      <w:lvlJc w:val="left"/>
      <w:pPr>
        <w:ind w:left="2880" w:hanging="360"/>
        <w:jc w:val="both"/>
      </w:pPr>
      <w:rPr>
        <w:rFonts w:ascii="Symbol" w:eastAsia="Symbol" w:hAnsi="Symbol"/>
        <w:w w:val="100"/>
        <w:sz w:val="20"/>
        <w:szCs w:val="20"/>
        <w:shd w:val="clear" w:color="000000" w:fill="auto"/>
      </w:rPr>
    </w:lvl>
    <w:lvl w:ilvl="4" w:tplc="D88C210E">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9EAA7FF4">
      <w:start w:val="1"/>
      <w:numFmt w:val="bullet"/>
      <w:lvlText w:val="§"/>
      <w:lvlJc w:val="left"/>
      <w:pPr>
        <w:ind w:left="4320" w:hanging="360"/>
        <w:jc w:val="both"/>
      </w:pPr>
      <w:rPr>
        <w:rFonts w:ascii="Wingdings" w:eastAsia="Wingdings" w:hAnsi="Wingdings"/>
        <w:w w:val="100"/>
        <w:sz w:val="20"/>
        <w:szCs w:val="20"/>
        <w:shd w:val="clear" w:color="000000" w:fill="auto"/>
      </w:rPr>
    </w:lvl>
    <w:lvl w:ilvl="6" w:tplc="54A6FF66">
      <w:start w:val="1"/>
      <w:numFmt w:val="bullet"/>
      <w:lvlText w:val="·"/>
      <w:lvlJc w:val="left"/>
      <w:pPr>
        <w:ind w:left="5040" w:hanging="360"/>
        <w:jc w:val="both"/>
      </w:pPr>
      <w:rPr>
        <w:rFonts w:ascii="Symbol" w:eastAsia="Symbol" w:hAnsi="Symbol"/>
        <w:w w:val="100"/>
        <w:sz w:val="20"/>
        <w:szCs w:val="20"/>
        <w:shd w:val="clear" w:color="000000" w:fill="auto"/>
      </w:rPr>
    </w:lvl>
    <w:lvl w:ilvl="7" w:tplc="7452D970">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296427F2">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11" w15:restartNumberingAfterBreak="0">
    <w:nsid w:val="2F00000A"/>
    <w:multiLevelType w:val="hybridMultilevel"/>
    <w:tmpl w:val="4B0FA6D2"/>
    <w:lvl w:ilvl="0" w:tplc="FE104A5A">
      <w:start w:val="1"/>
      <w:numFmt w:val="bullet"/>
      <w:lvlText w:val="·"/>
      <w:lvlJc w:val="left"/>
      <w:pPr>
        <w:ind w:left="720" w:hanging="360"/>
        <w:jc w:val="both"/>
      </w:pPr>
      <w:rPr>
        <w:rFonts w:ascii="Symbol" w:eastAsia="Symbol" w:hAnsi="Symbol"/>
        <w:w w:val="100"/>
        <w:sz w:val="20"/>
        <w:szCs w:val="20"/>
        <w:shd w:val="clear" w:color="000000" w:fill="auto"/>
      </w:rPr>
    </w:lvl>
    <w:lvl w:ilvl="1" w:tplc="E0781296">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720A47A8">
      <w:start w:val="1"/>
      <w:numFmt w:val="bullet"/>
      <w:lvlText w:val="§"/>
      <w:lvlJc w:val="left"/>
      <w:pPr>
        <w:ind w:left="2160" w:hanging="360"/>
        <w:jc w:val="both"/>
      </w:pPr>
      <w:rPr>
        <w:rFonts w:ascii="Wingdings" w:eastAsia="Wingdings" w:hAnsi="Wingdings"/>
        <w:w w:val="100"/>
        <w:sz w:val="20"/>
        <w:szCs w:val="20"/>
        <w:shd w:val="clear" w:color="000000" w:fill="auto"/>
      </w:rPr>
    </w:lvl>
    <w:lvl w:ilvl="3" w:tplc="6D802224">
      <w:start w:val="1"/>
      <w:numFmt w:val="bullet"/>
      <w:lvlText w:val="·"/>
      <w:lvlJc w:val="left"/>
      <w:pPr>
        <w:ind w:left="2880" w:hanging="360"/>
        <w:jc w:val="both"/>
      </w:pPr>
      <w:rPr>
        <w:rFonts w:ascii="Symbol" w:eastAsia="Symbol" w:hAnsi="Symbol"/>
        <w:w w:val="100"/>
        <w:sz w:val="20"/>
        <w:szCs w:val="20"/>
        <w:shd w:val="clear" w:color="000000" w:fill="auto"/>
      </w:rPr>
    </w:lvl>
    <w:lvl w:ilvl="4" w:tplc="1AFEC46C">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0E4A6C5A">
      <w:start w:val="1"/>
      <w:numFmt w:val="bullet"/>
      <w:lvlText w:val="§"/>
      <w:lvlJc w:val="left"/>
      <w:pPr>
        <w:ind w:left="4320" w:hanging="360"/>
        <w:jc w:val="both"/>
      </w:pPr>
      <w:rPr>
        <w:rFonts w:ascii="Wingdings" w:eastAsia="Wingdings" w:hAnsi="Wingdings"/>
        <w:w w:val="100"/>
        <w:sz w:val="20"/>
        <w:szCs w:val="20"/>
        <w:shd w:val="clear" w:color="000000" w:fill="auto"/>
      </w:rPr>
    </w:lvl>
    <w:lvl w:ilvl="6" w:tplc="3BAEF4E8">
      <w:start w:val="1"/>
      <w:numFmt w:val="bullet"/>
      <w:lvlText w:val="·"/>
      <w:lvlJc w:val="left"/>
      <w:pPr>
        <w:ind w:left="5040" w:hanging="360"/>
        <w:jc w:val="both"/>
      </w:pPr>
      <w:rPr>
        <w:rFonts w:ascii="Symbol" w:eastAsia="Symbol" w:hAnsi="Symbol"/>
        <w:w w:val="100"/>
        <w:sz w:val="20"/>
        <w:szCs w:val="20"/>
        <w:shd w:val="clear" w:color="000000" w:fill="auto"/>
      </w:rPr>
    </w:lvl>
    <w:lvl w:ilvl="7" w:tplc="FCB8DEB8">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D812B2CA">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12" w15:restartNumberingAfterBreak="0">
    <w:nsid w:val="2F00000B"/>
    <w:multiLevelType w:val="hybridMultilevel"/>
    <w:tmpl w:val="56915C6A"/>
    <w:lvl w:ilvl="0" w:tplc="B68A39E0">
      <w:start w:val="1"/>
      <w:numFmt w:val="decimal"/>
      <w:lvlText w:val="%1)"/>
      <w:lvlJc w:val="left"/>
      <w:pPr>
        <w:ind w:left="360" w:hanging="360"/>
        <w:jc w:val="both"/>
      </w:pPr>
      <w:rPr>
        <w:w w:val="100"/>
        <w:sz w:val="20"/>
        <w:szCs w:val="20"/>
        <w:shd w:val="clear" w:color="000000" w:fill="auto"/>
      </w:rPr>
    </w:lvl>
    <w:lvl w:ilvl="1" w:tplc="BADAD6B6">
      <w:start w:val="1"/>
      <w:numFmt w:val="bullet"/>
      <w:lvlText w:val="o"/>
      <w:lvlJc w:val="left"/>
      <w:pPr>
        <w:ind w:left="1080" w:hanging="360"/>
        <w:jc w:val="both"/>
      </w:pPr>
      <w:rPr>
        <w:rFonts w:ascii="Courier New" w:eastAsia="Courier New" w:hAnsi="Courier New"/>
        <w:w w:val="100"/>
        <w:sz w:val="20"/>
        <w:szCs w:val="20"/>
        <w:shd w:val="clear" w:color="000000" w:fill="auto"/>
      </w:rPr>
    </w:lvl>
    <w:lvl w:ilvl="2" w:tplc="C2C0F296">
      <w:start w:val="1"/>
      <w:numFmt w:val="bullet"/>
      <w:lvlText w:val="§"/>
      <w:lvlJc w:val="left"/>
      <w:pPr>
        <w:ind w:left="1800" w:hanging="360"/>
        <w:jc w:val="both"/>
      </w:pPr>
      <w:rPr>
        <w:rFonts w:ascii="Wingdings" w:eastAsia="Wingdings" w:hAnsi="Wingdings"/>
        <w:w w:val="100"/>
        <w:sz w:val="20"/>
        <w:szCs w:val="20"/>
        <w:shd w:val="clear" w:color="000000" w:fill="auto"/>
      </w:rPr>
    </w:lvl>
    <w:lvl w:ilvl="3" w:tplc="25AECCF0">
      <w:start w:val="1"/>
      <w:numFmt w:val="bullet"/>
      <w:lvlText w:val="·"/>
      <w:lvlJc w:val="left"/>
      <w:pPr>
        <w:ind w:left="2520" w:hanging="360"/>
        <w:jc w:val="both"/>
      </w:pPr>
      <w:rPr>
        <w:rFonts w:ascii="Symbol" w:eastAsia="Symbol" w:hAnsi="Symbol"/>
        <w:w w:val="100"/>
        <w:sz w:val="20"/>
        <w:szCs w:val="20"/>
        <w:shd w:val="clear" w:color="000000" w:fill="auto"/>
      </w:rPr>
    </w:lvl>
    <w:lvl w:ilvl="4" w:tplc="903CBCF8">
      <w:start w:val="1"/>
      <w:numFmt w:val="bullet"/>
      <w:lvlText w:val="o"/>
      <w:lvlJc w:val="left"/>
      <w:pPr>
        <w:ind w:left="3240" w:hanging="360"/>
        <w:jc w:val="both"/>
      </w:pPr>
      <w:rPr>
        <w:rFonts w:ascii="Courier New" w:eastAsia="Courier New" w:hAnsi="Courier New"/>
        <w:w w:val="100"/>
        <w:sz w:val="20"/>
        <w:szCs w:val="20"/>
        <w:shd w:val="clear" w:color="000000" w:fill="auto"/>
      </w:rPr>
    </w:lvl>
    <w:lvl w:ilvl="5" w:tplc="2DE2975E">
      <w:start w:val="1"/>
      <w:numFmt w:val="bullet"/>
      <w:lvlText w:val="§"/>
      <w:lvlJc w:val="left"/>
      <w:pPr>
        <w:ind w:left="3960" w:hanging="360"/>
        <w:jc w:val="both"/>
      </w:pPr>
      <w:rPr>
        <w:rFonts w:ascii="Wingdings" w:eastAsia="Wingdings" w:hAnsi="Wingdings"/>
        <w:w w:val="100"/>
        <w:sz w:val="20"/>
        <w:szCs w:val="20"/>
        <w:shd w:val="clear" w:color="000000" w:fill="auto"/>
      </w:rPr>
    </w:lvl>
    <w:lvl w:ilvl="6" w:tplc="7546673C">
      <w:start w:val="1"/>
      <w:numFmt w:val="bullet"/>
      <w:lvlText w:val="·"/>
      <w:lvlJc w:val="left"/>
      <w:pPr>
        <w:ind w:left="4680" w:hanging="360"/>
        <w:jc w:val="both"/>
      </w:pPr>
      <w:rPr>
        <w:rFonts w:ascii="Symbol" w:eastAsia="Symbol" w:hAnsi="Symbol"/>
        <w:w w:val="100"/>
        <w:sz w:val="20"/>
        <w:szCs w:val="20"/>
        <w:shd w:val="clear" w:color="000000" w:fill="auto"/>
      </w:rPr>
    </w:lvl>
    <w:lvl w:ilvl="7" w:tplc="CB8A21BC">
      <w:start w:val="1"/>
      <w:numFmt w:val="bullet"/>
      <w:lvlText w:val="o"/>
      <w:lvlJc w:val="left"/>
      <w:pPr>
        <w:ind w:left="5400" w:hanging="360"/>
        <w:jc w:val="both"/>
      </w:pPr>
      <w:rPr>
        <w:rFonts w:ascii="Courier New" w:eastAsia="Courier New" w:hAnsi="Courier New"/>
        <w:w w:val="100"/>
        <w:sz w:val="20"/>
        <w:szCs w:val="20"/>
        <w:shd w:val="clear" w:color="000000" w:fill="auto"/>
      </w:rPr>
    </w:lvl>
    <w:lvl w:ilvl="8" w:tplc="9D24102C">
      <w:start w:val="1"/>
      <w:numFmt w:val="bullet"/>
      <w:lvlText w:val="§"/>
      <w:lvlJc w:val="left"/>
      <w:pPr>
        <w:ind w:left="6120" w:hanging="360"/>
        <w:jc w:val="both"/>
      </w:pPr>
      <w:rPr>
        <w:rFonts w:ascii="Wingdings" w:eastAsia="Wingdings" w:hAnsi="Wingdings"/>
        <w:w w:val="100"/>
        <w:sz w:val="20"/>
        <w:szCs w:val="20"/>
        <w:shd w:val="clear" w:color="000000" w:fill="auto"/>
      </w:rPr>
    </w:lvl>
  </w:abstractNum>
  <w:abstractNum w:abstractNumId="13" w15:restartNumberingAfterBreak="0">
    <w:nsid w:val="2F00000C"/>
    <w:multiLevelType w:val="hybridMultilevel"/>
    <w:tmpl w:val="474A7079"/>
    <w:lvl w:ilvl="0" w:tplc="522AADD8">
      <w:start w:val="1"/>
      <w:numFmt w:val="bullet"/>
      <w:lvlText w:val="·"/>
      <w:lvlJc w:val="left"/>
      <w:pPr>
        <w:ind w:left="720" w:hanging="360"/>
        <w:jc w:val="both"/>
      </w:pPr>
      <w:rPr>
        <w:rFonts w:ascii="Symbol" w:eastAsia="Symbol" w:hAnsi="Symbol"/>
        <w:w w:val="100"/>
        <w:sz w:val="20"/>
        <w:szCs w:val="20"/>
        <w:shd w:val="clear" w:color="000000" w:fill="auto"/>
      </w:rPr>
    </w:lvl>
    <w:lvl w:ilvl="1" w:tplc="BAE0A46A">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EC284BA2">
      <w:start w:val="1"/>
      <w:numFmt w:val="bullet"/>
      <w:lvlText w:val="§"/>
      <w:lvlJc w:val="left"/>
      <w:pPr>
        <w:ind w:left="2160" w:hanging="360"/>
        <w:jc w:val="both"/>
      </w:pPr>
      <w:rPr>
        <w:rFonts w:ascii="Wingdings" w:eastAsia="Wingdings" w:hAnsi="Wingdings"/>
        <w:w w:val="100"/>
        <w:sz w:val="20"/>
        <w:szCs w:val="20"/>
        <w:shd w:val="clear" w:color="000000" w:fill="auto"/>
      </w:rPr>
    </w:lvl>
    <w:lvl w:ilvl="3" w:tplc="F140CF02">
      <w:start w:val="1"/>
      <w:numFmt w:val="bullet"/>
      <w:lvlText w:val="·"/>
      <w:lvlJc w:val="left"/>
      <w:pPr>
        <w:ind w:left="2880" w:hanging="360"/>
        <w:jc w:val="both"/>
      </w:pPr>
      <w:rPr>
        <w:rFonts w:ascii="Symbol" w:eastAsia="Symbol" w:hAnsi="Symbol"/>
        <w:w w:val="100"/>
        <w:sz w:val="20"/>
        <w:szCs w:val="20"/>
        <w:shd w:val="clear" w:color="000000" w:fill="auto"/>
      </w:rPr>
    </w:lvl>
    <w:lvl w:ilvl="4" w:tplc="159C5FCC">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72546368">
      <w:start w:val="1"/>
      <w:numFmt w:val="bullet"/>
      <w:lvlText w:val="§"/>
      <w:lvlJc w:val="left"/>
      <w:pPr>
        <w:ind w:left="4320" w:hanging="360"/>
        <w:jc w:val="both"/>
      </w:pPr>
      <w:rPr>
        <w:rFonts w:ascii="Wingdings" w:eastAsia="Wingdings" w:hAnsi="Wingdings"/>
        <w:w w:val="100"/>
        <w:sz w:val="20"/>
        <w:szCs w:val="20"/>
        <w:shd w:val="clear" w:color="000000" w:fill="auto"/>
      </w:rPr>
    </w:lvl>
    <w:lvl w:ilvl="6" w:tplc="0000816A">
      <w:start w:val="1"/>
      <w:numFmt w:val="bullet"/>
      <w:lvlText w:val="·"/>
      <w:lvlJc w:val="left"/>
      <w:pPr>
        <w:ind w:left="5040" w:hanging="360"/>
        <w:jc w:val="both"/>
      </w:pPr>
      <w:rPr>
        <w:rFonts w:ascii="Symbol" w:eastAsia="Symbol" w:hAnsi="Symbol"/>
        <w:w w:val="100"/>
        <w:sz w:val="20"/>
        <w:szCs w:val="20"/>
        <w:shd w:val="clear" w:color="000000" w:fill="auto"/>
      </w:rPr>
    </w:lvl>
    <w:lvl w:ilvl="7" w:tplc="656686B4">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39C840A0">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14" w15:restartNumberingAfterBreak="0">
    <w:nsid w:val="2F00000D"/>
    <w:multiLevelType w:val="hybridMultilevel"/>
    <w:tmpl w:val="4E1E4D6C"/>
    <w:lvl w:ilvl="0" w:tplc="D9CA9FE6">
      <w:start w:val="1"/>
      <w:numFmt w:val="decimal"/>
      <w:lvlText w:val="%1."/>
      <w:lvlJc w:val="left"/>
      <w:pPr>
        <w:ind w:left="360" w:hanging="360"/>
        <w:jc w:val="both"/>
      </w:pPr>
    </w:lvl>
    <w:lvl w:ilvl="1" w:tplc="E092054E">
      <w:start w:val="1"/>
      <w:numFmt w:val="lowerLetter"/>
      <w:lvlText w:val="%2."/>
      <w:lvlJc w:val="left"/>
      <w:pPr>
        <w:ind w:left="1080" w:hanging="360"/>
        <w:jc w:val="both"/>
      </w:pPr>
    </w:lvl>
    <w:lvl w:ilvl="2" w:tplc="E03CFE0E">
      <w:start w:val="1"/>
      <w:numFmt w:val="lowerRoman"/>
      <w:lvlText w:val="%3."/>
      <w:lvlJc w:val="right"/>
      <w:pPr>
        <w:ind w:left="1800" w:hanging="180"/>
        <w:jc w:val="both"/>
      </w:pPr>
    </w:lvl>
    <w:lvl w:ilvl="3" w:tplc="0E309326">
      <w:start w:val="1"/>
      <w:numFmt w:val="decimal"/>
      <w:lvlText w:val="%4."/>
      <w:lvlJc w:val="left"/>
      <w:pPr>
        <w:ind w:left="2520" w:hanging="360"/>
        <w:jc w:val="both"/>
      </w:pPr>
    </w:lvl>
    <w:lvl w:ilvl="4" w:tplc="81A86F8C">
      <w:start w:val="1"/>
      <w:numFmt w:val="lowerLetter"/>
      <w:lvlText w:val="%5."/>
      <w:lvlJc w:val="left"/>
      <w:pPr>
        <w:ind w:left="3240" w:hanging="360"/>
        <w:jc w:val="both"/>
      </w:pPr>
    </w:lvl>
    <w:lvl w:ilvl="5" w:tplc="EBF48266">
      <w:start w:val="1"/>
      <w:numFmt w:val="lowerRoman"/>
      <w:lvlText w:val="%6."/>
      <w:lvlJc w:val="right"/>
      <w:pPr>
        <w:ind w:left="3960" w:hanging="180"/>
        <w:jc w:val="both"/>
      </w:pPr>
    </w:lvl>
    <w:lvl w:ilvl="6" w:tplc="26D88FEC">
      <w:start w:val="1"/>
      <w:numFmt w:val="decimal"/>
      <w:lvlText w:val="%7."/>
      <w:lvlJc w:val="left"/>
      <w:pPr>
        <w:ind w:left="4680" w:hanging="360"/>
        <w:jc w:val="both"/>
      </w:pPr>
    </w:lvl>
    <w:lvl w:ilvl="7" w:tplc="C972CA3A">
      <w:start w:val="1"/>
      <w:numFmt w:val="lowerLetter"/>
      <w:lvlText w:val="%8."/>
      <w:lvlJc w:val="left"/>
      <w:pPr>
        <w:ind w:left="5400" w:hanging="360"/>
        <w:jc w:val="both"/>
      </w:pPr>
    </w:lvl>
    <w:lvl w:ilvl="8" w:tplc="98DCBF54">
      <w:start w:val="1"/>
      <w:numFmt w:val="lowerRoman"/>
      <w:lvlText w:val="%9."/>
      <w:lvlJc w:val="right"/>
      <w:pPr>
        <w:ind w:left="6120" w:hanging="180"/>
        <w:jc w:val="both"/>
      </w:pPr>
    </w:lvl>
  </w:abstractNum>
  <w:abstractNum w:abstractNumId="15" w15:restartNumberingAfterBreak="0">
    <w:nsid w:val="2F00000E"/>
    <w:multiLevelType w:val="hybridMultilevel"/>
    <w:tmpl w:val="4D6D2672"/>
    <w:lvl w:ilvl="0" w:tplc="FBF0AD86">
      <w:start w:val="1"/>
      <w:numFmt w:val="lowerLetter"/>
      <w:lvlText w:val="%1."/>
      <w:lvlJc w:val="left"/>
      <w:pPr>
        <w:ind w:left="720" w:hanging="360"/>
        <w:jc w:val="both"/>
      </w:pPr>
    </w:lvl>
    <w:lvl w:ilvl="1" w:tplc="81F07B16">
      <w:start w:val="1"/>
      <w:numFmt w:val="lowerLetter"/>
      <w:lvlText w:val="%2."/>
      <w:lvlJc w:val="left"/>
      <w:pPr>
        <w:ind w:left="1440" w:hanging="360"/>
        <w:jc w:val="both"/>
      </w:pPr>
    </w:lvl>
    <w:lvl w:ilvl="2" w:tplc="9AF2B3D6">
      <w:start w:val="1"/>
      <w:numFmt w:val="lowerRoman"/>
      <w:lvlText w:val="%3."/>
      <w:lvlJc w:val="right"/>
      <w:pPr>
        <w:ind w:left="2160" w:hanging="180"/>
        <w:jc w:val="both"/>
      </w:pPr>
    </w:lvl>
    <w:lvl w:ilvl="3" w:tplc="ADB690F6">
      <w:start w:val="1"/>
      <w:numFmt w:val="decimal"/>
      <w:lvlText w:val="%4."/>
      <w:lvlJc w:val="left"/>
      <w:pPr>
        <w:ind w:left="2880" w:hanging="360"/>
        <w:jc w:val="both"/>
      </w:pPr>
    </w:lvl>
    <w:lvl w:ilvl="4" w:tplc="B0C636BA">
      <w:start w:val="1"/>
      <w:numFmt w:val="lowerLetter"/>
      <w:lvlText w:val="%5."/>
      <w:lvlJc w:val="left"/>
      <w:pPr>
        <w:ind w:left="3600" w:hanging="360"/>
        <w:jc w:val="both"/>
      </w:pPr>
    </w:lvl>
    <w:lvl w:ilvl="5" w:tplc="F6B656F6">
      <w:start w:val="1"/>
      <w:numFmt w:val="lowerRoman"/>
      <w:lvlText w:val="%6."/>
      <w:lvlJc w:val="right"/>
      <w:pPr>
        <w:ind w:left="4320" w:hanging="180"/>
        <w:jc w:val="both"/>
      </w:pPr>
    </w:lvl>
    <w:lvl w:ilvl="6" w:tplc="A1502152">
      <w:start w:val="1"/>
      <w:numFmt w:val="decimal"/>
      <w:lvlText w:val="%7."/>
      <w:lvlJc w:val="left"/>
      <w:pPr>
        <w:ind w:left="5040" w:hanging="360"/>
        <w:jc w:val="both"/>
      </w:pPr>
    </w:lvl>
    <w:lvl w:ilvl="7" w:tplc="C1902AAE">
      <w:start w:val="1"/>
      <w:numFmt w:val="lowerLetter"/>
      <w:lvlText w:val="%8."/>
      <w:lvlJc w:val="left"/>
      <w:pPr>
        <w:ind w:left="5760" w:hanging="360"/>
        <w:jc w:val="both"/>
      </w:pPr>
    </w:lvl>
    <w:lvl w:ilvl="8" w:tplc="CC94DBEA">
      <w:start w:val="1"/>
      <w:numFmt w:val="lowerRoman"/>
      <w:lvlText w:val="%9."/>
      <w:lvlJc w:val="right"/>
      <w:pPr>
        <w:ind w:left="6480" w:hanging="180"/>
        <w:jc w:val="both"/>
      </w:pPr>
    </w:lvl>
  </w:abstractNum>
  <w:abstractNum w:abstractNumId="16" w15:restartNumberingAfterBreak="0">
    <w:nsid w:val="2F00000F"/>
    <w:multiLevelType w:val="hybridMultilevel"/>
    <w:tmpl w:val="5EF71E2D"/>
    <w:lvl w:ilvl="0" w:tplc="0E5C2352">
      <w:start w:val="1"/>
      <w:numFmt w:val="lowerLetter"/>
      <w:lvlText w:val="%1."/>
      <w:lvlJc w:val="left"/>
      <w:pPr>
        <w:ind w:left="720" w:hanging="360"/>
        <w:jc w:val="both"/>
      </w:pPr>
    </w:lvl>
    <w:lvl w:ilvl="1" w:tplc="7924DE06">
      <w:start w:val="1"/>
      <w:numFmt w:val="lowerLetter"/>
      <w:lvlText w:val="%2."/>
      <w:lvlJc w:val="left"/>
      <w:pPr>
        <w:ind w:left="1440" w:hanging="360"/>
        <w:jc w:val="both"/>
      </w:pPr>
    </w:lvl>
    <w:lvl w:ilvl="2" w:tplc="128E406E">
      <w:start w:val="1"/>
      <w:numFmt w:val="lowerRoman"/>
      <w:lvlText w:val="%3."/>
      <w:lvlJc w:val="right"/>
      <w:pPr>
        <w:ind w:left="2160" w:hanging="180"/>
        <w:jc w:val="both"/>
      </w:pPr>
    </w:lvl>
    <w:lvl w:ilvl="3" w:tplc="472EFC5E">
      <w:start w:val="1"/>
      <w:numFmt w:val="decimal"/>
      <w:lvlText w:val="%4."/>
      <w:lvlJc w:val="left"/>
      <w:pPr>
        <w:ind w:left="2880" w:hanging="360"/>
        <w:jc w:val="both"/>
      </w:pPr>
    </w:lvl>
    <w:lvl w:ilvl="4" w:tplc="4C34B476">
      <w:start w:val="1"/>
      <w:numFmt w:val="lowerLetter"/>
      <w:lvlText w:val="%5."/>
      <w:lvlJc w:val="left"/>
      <w:pPr>
        <w:ind w:left="3600" w:hanging="360"/>
        <w:jc w:val="both"/>
      </w:pPr>
    </w:lvl>
    <w:lvl w:ilvl="5" w:tplc="8188E3C6">
      <w:start w:val="1"/>
      <w:numFmt w:val="lowerRoman"/>
      <w:lvlText w:val="%6."/>
      <w:lvlJc w:val="right"/>
      <w:pPr>
        <w:ind w:left="4320" w:hanging="180"/>
        <w:jc w:val="both"/>
      </w:pPr>
    </w:lvl>
    <w:lvl w:ilvl="6" w:tplc="CE4E10C8">
      <w:start w:val="1"/>
      <w:numFmt w:val="decimal"/>
      <w:lvlText w:val="%7."/>
      <w:lvlJc w:val="left"/>
      <w:pPr>
        <w:ind w:left="5040" w:hanging="360"/>
        <w:jc w:val="both"/>
      </w:pPr>
    </w:lvl>
    <w:lvl w:ilvl="7" w:tplc="0C2A2774">
      <w:start w:val="1"/>
      <w:numFmt w:val="lowerLetter"/>
      <w:lvlText w:val="%8."/>
      <w:lvlJc w:val="left"/>
      <w:pPr>
        <w:ind w:left="5760" w:hanging="360"/>
        <w:jc w:val="both"/>
      </w:pPr>
    </w:lvl>
    <w:lvl w:ilvl="8" w:tplc="D76CD25C">
      <w:start w:val="1"/>
      <w:numFmt w:val="lowerRoman"/>
      <w:lvlText w:val="%9."/>
      <w:lvlJc w:val="right"/>
      <w:pPr>
        <w:ind w:left="6480" w:hanging="180"/>
        <w:jc w:val="both"/>
      </w:pPr>
    </w:lvl>
  </w:abstractNum>
  <w:abstractNum w:abstractNumId="17" w15:restartNumberingAfterBreak="0">
    <w:nsid w:val="2F000010"/>
    <w:multiLevelType w:val="hybridMultilevel"/>
    <w:tmpl w:val="57DE5DFD"/>
    <w:lvl w:ilvl="0" w:tplc="D46834D0">
      <w:start w:val="1"/>
      <w:numFmt w:val="lowerRoman"/>
      <w:lvlText w:val="(%1)"/>
      <w:lvlJc w:val="left"/>
      <w:pPr>
        <w:ind w:left="1080" w:hanging="720"/>
        <w:jc w:val="both"/>
      </w:pPr>
      <w:rPr>
        <w:w w:val="100"/>
        <w:sz w:val="20"/>
        <w:szCs w:val="20"/>
        <w:shd w:val="clear" w:color="000000" w:fill="auto"/>
      </w:rPr>
    </w:lvl>
    <w:lvl w:ilvl="1" w:tplc="8FAC247A">
      <w:start w:val="1"/>
      <w:numFmt w:val="lowerLetter"/>
      <w:lvlText w:val="%2."/>
      <w:lvlJc w:val="left"/>
      <w:pPr>
        <w:ind w:left="1440" w:hanging="360"/>
        <w:jc w:val="both"/>
      </w:pPr>
    </w:lvl>
    <w:lvl w:ilvl="2" w:tplc="E474D7F6">
      <w:start w:val="1"/>
      <w:numFmt w:val="lowerRoman"/>
      <w:lvlText w:val="%3."/>
      <w:lvlJc w:val="right"/>
      <w:pPr>
        <w:ind w:left="2160" w:hanging="180"/>
        <w:jc w:val="both"/>
      </w:pPr>
    </w:lvl>
    <w:lvl w:ilvl="3" w:tplc="7A523268">
      <w:start w:val="1"/>
      <w:numFmt w:val="decimal"/>
      <w:lvlText w:val="%4."/>
      <w:lvlJc w:val="left"/>
      <w:pPr>
        <w:ind w:left="2880" w:hanging="360"/>
        <w:jc w:val="both"/>
      </w:pPr>
    </w:lvl>
    <w:lvl w:ilvl="4" w:tplc="09542334">
      <w:start w:val="1"/>
      <w:numFmt w:val="lowerLetter"/>
      <w:lvlText w:val="%5."/>
      <w:lvlJc w:val="left"/>
      <w:pPr>
        <w:ind w:left="3600" w:hanging="360"/>
        <w:jc w:val="both"/>
      </w:pPr>
    </w:lvl>
    <w:lvl w:ilvl="5" w:tplc="F86AB2E0">
      <w:start w:val="1"/>
      <w:numFmt w:val="lowerRoman"/>
      <w:lvlText w:val="%6."/>
      <w:lvlJc w:val="right"/>
      <w:pPr>
        <w:ind w:left="4320" w:hanging="180"/>
        <w:jc w:val="both"/>
      </w:pPr>
    </w:lvl>
    <w:lvl w:ilvl="6" w:tplc="E48C670C">
      <w:start w:val="1"/>
      <w:numFmt w:val="decimal"/>
      <w:lvlText w:val="%7."/>
      <w:lvlJc w:val="left"/>
      <w:pPr>
        <w:ind w:left="5040" w:hanging="360"/>
        <w:jc w:val="both"/>
      </w:pPr>
    </w:lvl>
    <w:lvl w:ilvl="7" w:tplc="CB26078A">
      <w:start w:val="1"/>
      <w:numFmt w:val="lowerLetter"/>
      <w:lvlText w:val="%8."/>
      <w:lvlJc w:val="left"/>
      <w:pPr>
        <w:ind w:left="5760" w:hanging="360"/>
        <w:jc w:val="both"/>
      </w:pPr>
    </w:lvl>
    <w:lvl w:ilvl="8" w:tplc="ACD884DA">
      <w:start w:val="1"/>
      <w:numFmt w:val="lowerRoman"/>
      <w:lvlText w:val="%9."/>
      <w:lvlJc w:val="right"/>
      <w:pPr>
        <w:ind w:left="6480" w:hanging="180"/>
        <w:jc w:val="both"/>
      </w:pPr>
    </w:lvl>
  </w:abstractNum>
  <w:abstractNum w:abstractNumId="18" w15:restartNumberingAfterBreak="0">
    <w:nsid w:val="2F000011"/>
    <w:multiLevelType w:val="hybridMultilevel"/>
    <w:tmpl w:val="2DECAA36"/>
    <w:lvl w:ilvl="0" w:tplc="C54ED30C">
      <w:start w:val="1"/>
      <w:numFmt w:val="decimal"/>
      <w:lvlText w:val="%1."/>
      <w:lvlJc w:val="left"/>
      <w:pPr>
        <w:ind w:left="720" w:hanging="360"/>
        <w:jc w:val="both"/>
      </w:pPr>
      <w:rPr>
        <w:w w:val="100"/>
        <w:sz w:val="20"/>
        <w:szCs w:val="20"/>
        <w:shd w:val="clear" w:color="000000" w:fill="auto"/>
      </w:rPr>
    </w:lvl>
    <w:lvl w:ilvl="1" w:tplc="281C4604">
      <w:start w:val="1"/>
      <w:numFmt w:val="lowerLetter"/>
      <w:lvlText w:val="%2."/>
      <w:lvlJc w:val="left"/>
      <w:pPr>
        <w:ind w:left="1440" w:hanging="360"/>
        <w:jc w:val="both"/>
      </w:pPr>
    </w:lvl>
    <w:lvl w:ilvl="2" w:tplc="8FF07398">
      <w:start w:val="1"/>
      <w:numFmt w:val="lowerRoman"/>
      <w:lvlText w:val="%3."/>
      <w:lvlJc w:val="right"/>
      <w:pPr>
        <w:ind w:left="2160" w:hanging="180"/>
        <w:jc w:val="both"/>
      </w:pPr>
    </w:lvl>
    <w:lvl w:ilvl="3" w:tplc="2D489996">
      <w:start w:val="1"/>
      <w:numFmt w:val="decimal"/>
      <w:lvlText w:val="%4."/>
      <w:lvlJc w:val="left"/>
      <w:pPr>
        <w:ind w:left="2880" w:hanging="360"/>
        <w:jc w:val="both"/>
      </w:pPr>
    </w:lvl>
    <w:lvl w:ilvl="4" w:tplc="B26C57C6">
      <w:start w:val="1"/>
      <w:numFmt w:val="lowerLetter"/>
      <w:lvlText w:val="%5."/>
      <w:lvlJc w:val="left"/>
      <w:pPr>
        <w:ind w:left="3600" w:hanging="360"/>
        <w:jc w:val="both"/>
      </w:pPr>
    </w:lvl>
    <w:lvl w:ilvl="5" w:tplc="AC7A6CE0">
      <w:start w:val="1"/>
      <w:numFmt w:val="lowerRoman"/>
      <w:lvlText w:val="%6."/>
      <w:lvlJc w:val="right"/>
      <w:pPr>
        <w:ind w:left="4320" w:hanging="180"/>
        <w:jc w:val="both"/>
      </w:pPr>
    </w:lvl>
    <w:lvl w:ilvl="6" w:tplc="2F1828CC">
      <w:start w:val="1"/>
      <w:numFmt w:val="decimal"/>
      <w:lvlText w:val="%7."/>
      <w:lvlJc w:val="left"/>
      <w:pPr>
        <w:ind w:left="5040" w:hanging="360"/>
        <w:jc w:val="both"/>
      </w:pPr>
    </w:lvl>
    <w:lvl w:ilvl="7" w:tplc="9F8E9020">
      <w:start w:val="1"/>
      <w:numFmt w:val="lowerLetter"/>
      <w:lvlText w:val="%8."/>
      <w:lvlJc w:val="left"/>
      <w:pPr>
        <w:ind w:left="5760" w:hanging="360"/>
        <w:jc w:val="both"/>
      </w:pPr>
    </w:lvl>
    <w:lvl w:ilvl="8" w:tplc="8116BF24">
      <w:start w:val="1"/>
      <w:numFmt w:val="lowerRoman"/>
      <w:lvlText w:val="%9."/>
      <w:lvlJc w:val="right"/>
      <w:pPr>
        <w:ind w:left="6480" w:hanging="180"/>
        <w:jc w:val="both"/>
      </w:pPr>
    </w:lvl>
  </w:abstractNum>
  <w:abstractNum w:abstractNumId="19" w15:restartNumberingAfterBreak="0">
    <w:nsid w:val="2F000012"/>
    <w:multiLevelType w:val="hybridMultilevel"/>
    <w:tmpl w:val="329AC6E1"/>
    <w:lvl w:ilvl="0" w:tplc="4BFA38E8">
      <w:start w:val="1"/>
      <w:numFmt w:val="bullet"/>
      <w:lvlText w:val="·"/>
      <w:lvlJc w:val="left"/>
      <w:pPr>
        <w:ind w:left="720" w:hanging="360"/>
        <w:jc w:val="both"/>
      </w:pPr>
      <w:rPr>
        <w:rFonts w:ascii="Symbol" w:eastAsia="Symbol" w:hAnsi="Symbol"/>
        <w:w w:val="100"/>
        <w:sz w:val="20"/>
        <w:szCs w:val="20"/>
        <w:shd w:val="clear" w:color="000000" w:fill="auto"/>
      </w:rPr>
    </w:lvl>
    <w:lvl w:ilvl="1" w:tplc="A8FC7168">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17765A36">
      <w:start w:val="1"/>
      <w:numFmt w:val="bullet"/>
      <w:lvlText w:val="§"/>
      <w:lvlJc w:val="left"/>
      <w:pPr>
        <w:ind w:left="2160" w:hanging="360"/>
        <w:jc w:val="both"/>
      </w:pPr>
      <w:rPr>
        <w:rFonts w:ascii="Wingdings" w:eastAsia="Wingdings" w:hAnsi="Wingdings"/>
        <w:w w:val="100"/>
        <w:sz w:val="20"/>
        <w:szCs w:val="20"/>
        <w:shd w:val="clear" w:color="000000" w:fill="auto"/>
      </w:rPr>
    </w:lvl>
    <w:lvl w:ilvl="3" w:tplc="46AEE90A">
      <w:start w:val="1"/>
      <w:numFmt w:val="bullet"/>
      <w:lvlText w:val="·"/>
      <w:lvlJc w:val="left"/>
      <w:pPr>
        <w:ind w:left="2880" w:hanging="360"/>
        <w:jc w:val="both"/>
      </w:pPr>
      <w:rPr>
        <w:rFonts w:ascii="Symbol" w:eastAsia="Symbol" w:hAnsi="Symbol"/>
        <w:w w:val="100"/>
        <w:sz w:val="20"/>
        <w:szCs w:val="20"/>
        <w:shd w:val="clear" w:color="000000" w:fill="auto"/>
      </w:rPr>
    </w:lvl>
    <w:lvl w:ilvl="4" w:tplc="B33CBA60">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8E62B9EC">
      <w:start w:val="1"/>
      <w:numFmt w:val="bullet"/>
      <w:lvlText w:val="§"/>
      <w:lvlJc w:val="left"/>
      <w:pPr>
        <w:ind w:left="4320" w:hanging="360"/>
        <w:jc w:val="both"/>
      </w:pPr>
      <w:rPr>
        <w:rFonts w:ascii="Wingdings" w:eastAsia="Wingdings" w:hAnsi="Wingdings"/>
        <w:w w:val="100"/>
        <w:sz w:val="20"/>
        <w:szCs w:val="20"/>
        <w:shd w:val="clear" w:color="000000" w:fill="auto"/>
      </w:rPr>
    </w:lvl>
    <w:lvl w:ilvl="6" w:tplc="04325E06">
      <w:start w:val="1"/>
      <w:numFmt w:val="bullet"/>
      <w:lvlText w:val="·"/>
      <w:lvlJc w:val="left"/>
      <w:pPr>
        <w:ind w:left="5040" w:hanging="360"/>
        <w:jc w:val="both"/>
      </w:pPr>
      <w:rPr>
        <w:rFonts w:ascii="Symbol" w:eastAsia="Symbol" w:hAnsi="Symbol"/>
        <w:w w:val="100"/>
        <w:sz w:val="20"/>
        <w:szCs w:val="20"/>
        <w:shd w:val="clear" w:color="000000" w:fill="auto"/>
      </w:rPr>
    </w:lvl>
    <w:lvl w:ilvl="7" w:tplc="9BBC002A">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C7209458">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20" w15:restartNumberingAfterBreak="0">
    <w:nsid w:val="2F000013"/>
    <w:multiLevelType w:val="hybridMultilevel"/>
    <w:tmpl w:val="357708A8"/>
    <w:lvl w:ilvl="0" w:tplc="5DC60752">
      <w:start w:val="1"/>
      <w:numFmt w:val="bullet"/>
      <w:lvlText w:val="·"/>
      <w:lvlJc w:val="left"/>
      <w:pPr>
        <w:ind w:left="720" w:hanging="360"/>
        <w:jc w:val="both"/>
      </w:pPr>
      <w:rPr>
        <w:rFonts w:ascii="Symbol" w:eastAsia="Symbol" w:hAnsi="Symbol"/>
        <w:w w:val="100"/>
        <w:sz w:val="20"/>
        <w:szCs w:val="20"/>
        <w:shd w:val="clear" w:color="000000" w:fill="auto"/>
      </w:rPr>
    </w:lvl>
    <w:lvl w:ilvl="1" w:tplc="55422B94">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3E1E820A">
      <w:start w:val="1"/>
      <w:numFmt w:val="bullet"/>
      <w:lvlText w:val="§"/>
      <w:lvlJc w:val="left"/>
      <w:pPr>
        <w:ind w:left="2160" w:hanging="360"/>
        <w:jc w:val="both"/>
      </w:pPr>
      <w:rPr>
        <w:rFonts w:ascii="Wingdings" w:eastAsia="Wingdings" w:hAnsi="Wingdings"/>
        <w:w w:val="100"/>
        <w:sz w:val="20"/>
        <w:szCs w:val="20"/>
        <w:shd w:val="clear" w:color="000000" w:fill="auto"/>
      </w:rPr>
    </w:lvl>
    <w:lvl w:ilvl="3" w:tplc="2E5ABD78">
      <w:start w:val="1"/>
      <w:numFmt w:val="bullet"/>
      <w:lvlText w:val="·"/>
      <w:lvlJc w:val="left"/>
      <w:pPr>
        <w:ind w:left="2880" w:hanging="360"/>
        <w:jc w:val="both"/>
      </w:pPr>
      <w:rPr>
        <w:rFonts w:ascii="Symbol" w:eastAsia="Symbol" w:hAnsi="Symbol"/>
        <w:w w:val="100"/>
        <w:sz w:val="20"/>
        <w:szCs w:val="20"/>
        <w:shd w:val="clear" w:color="000000" w:fill="auto"/>
      </w:rPr>
    </w:lvl>
    <w:lvl w:ilvl="4" w:tplc="42B0E172">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6CD838E0">
      <w:start w:val="1"/>
      <w:numFmt w:val="bullet"/>
      <w:lvlText w:val="§"/>
      <w:lvlJc w:val="left"/>
      <w:pPr>
        <w:ind w:left="4320" w:hanging="360"/>
        <w:jc w:val="both"/>
      </w:pPr>
      <w:rPr>
        <w:rFonts w:ascii="Wingdings" w:eastAsia="Wingdings" w:hAnsi="Wingdings"/>
        <w:w w:val="100"/>
        <w:sz w:val="20"/>
        <w:szCs w:val="20"/>
        <w:shd w:val="clear" w:color="000000" w:fill="auto"/>
      </w:rPr>
    </w:lvl>
    <w:lvl w:ilvl="6" w:tplc="6EDE9BF8">
      <w:start w:val="1"/>
      <w:numFmt w:val="bullet"/>
      <w:lvlText w:val="·"/>
      <w:lvlJc w:val="left"/>
      <w:pPr>
        <w:ind w:left="5040" w:hanging="360"/>
        <w:jc w:val="both"/>
      </w:pPr>
      <w:rPr>
        <w:rFonts w:ascii="Symbol" w:eastAsia="Symbol" w:hAnsi="Symbol"/>
        <w:w w:val="100"/>
        <w:sz w:val="20"/>
        <w:szCs w:val="20"/>
        <w:shd w:val="clear" w:color="000000" w:fill="auto"/>
      </w:rPr>
    </w:lvl>
    <w:lvl w:ilvl="7" w:tplc="0B5891DA">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F70E9830">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21" w15:restartNumberingAfterBreak="0">
    <w:nsid w:val="2F000014"/>
    <w:multiLevelType w:val="hybridMultilevel"/>
    <w:tmpl w:val="3FD979F1"/>
    <w:lvl w:ilvl="0" w:tplc="1AC449FE">
      <w:start w:val="3"/>
      <w:numFmt w:val="lowerLetter"/>
      <w:lvlText w:val="%1."/>
      <w:lvlJc w:val="left"/>
      <w:pPr>
        <w:ind w:left="720" w:hanging="360"/>
        <w:jc w:val="both"/>
      </w:pPr>
      <w:rPr>
        <w:w w:val="100"/>
        <w:sz w:val="20"/>
        <w:szCs w:val="20"/>
        <w:shd w:val="clear" w:color="000000" w:fill="auto"/>
      </w:rPr>
    </w:lvl>
    <w:lvl w:ilvl="1" w:tplc="E79E387A">
      <w:start w:val="1"/>
      <w:numFmt w:val="lowerLetter"/>
      <w:lvlText w:val="%2."/>
      <w:lvlJc w:val="left"/>
      <w:pPr>
        <w:ind w:left="1440" w:hanging="360"/>
        <w:jc w:val="both"/>
      </w:pPr>
    </w:lvl>
    <w:lvl w:ilvl="2" w:tplc="19FE6BFE">
      <w:start w:val="1"/>
      <w:numFmt w:val="lowerRoman"/>
      <w:lvlText w:val="%3."/>
      <w:lvlJc w:val="right"/>
      <w:pPr>
        <w:ind w:left="2160" w:hanging="180"/>
        <w:jc w:val="both"/>
      </w:pPr>
    </w:lvl>
    <w:lvl w:ilvl="3" w:tplc="67000654">
      <w:start w:val="1"/>
      <w:numFmt w:val="decimal"/>
      <w:lvlText w:val="%4."/>
      <w:lvlJc w:val="left"/>
      <w:pPr>
        <w:ind w:left="2880" w:hanging="360"/>
        <w:jc w:val="both"/>
      </w:pPr>
    </w:lvl>
    <w:lvl w:ilvl="4" w:tplc="1F10EDFE">
      <w:start w:val="1"/>
      <w:numFmt w:val="lowerLetter"/>
      <w:lvlText w:val="%5."/>
      <w:lvlJc w:val="left"/>
      <w:pPr>
        <w:ind w:left="3600" w:hanging="360"/>
        <w:jc w:val="both"/>
      </w:pPr>
    </w:lvl>
    <w:lvl w:ilvl="5" w:tplc="E60AAD66">
      <w:start w:val="1"/>
      <w:numFmt w:val="lowerRoman"/>
      <w:lvlText w:val="%6."/>
      <w:lvlJc w:val="right"/>
      <w:pPr>
        <w:ind w:left="4320" w:hanging="180"/>
        <w:jc w:val="both"/>
      </w:pPr>
    </w:lvl>
    <w:lvl w:ilvl="6" w:tplc="9BACBF3E">
      <w:start w:val="1"/>
      <w:numFmt w:val="decimal"/>
      <w:lvlText w:val="%7."/>
      <w:lvlJc w:val="left"/>
      <w:pPr>
        <w:ind w:left="5040" w:hanging="360"/>
        <w:jc w:val="both"/>
      </w:pPr>
    </w:lvl>
    <w:lvl w:ilvl="7" w:tplc="2D3CD590">
      <w:start w:val="1"/>
      <w:numFmt w:val="lowerLetter"/>
      <w:lvlText w:val="%8."/>
      <w:lvlJc w:val="left"/>
      <w:pPr>
        <w:ind w:left="5760" w:hanging="360"/>
        <w:jc w:val="both"/>
      </w:pPr>
    </w:lvl>
    <w:lvl w:ilvl="8" w:tplc="96D61960">
      <w:start w:val="1"/>
      <w:numFmt w:val="lowerRoman"/>
      <w:lvlText w:val="%9."/>
      <w:lvlJc w:val="right"/>
      <w:pPr>
        <w:ind w:left="6480" w:hanging="180"/>
        <w:jc w:val="both"/>
      </w:pPr>
    </w:lvl>
  </w:abstractNum>
  <w:abstractNum w:abstractNumId="22" w15:restartNumberingAfterBreak="0">
    <w:nsid w:val="2F000015"/>
    <w:multiLevelType w:val="hybridMultilevel"/>
    <w:tmpl w:val="44D4CE10"/>
    <w:lvl w:ilvl="0" w:tplc="AFD89FE6">
      <w:start w:val="1"/>
      <w:numFmt w:val="bullet"/>
      <w:lvlText w:val="·"/>
      <w:lvlJc w:val="left"/>
      <w:pPr>
        <w:ind w:left="720" w:hanging="360"/>
        <w:jc w:val="both"/>
      </w:pPr>
      <w:rPr>
        <w:rFonts w:ascii="Symbol" w:eastAsia="Symbol" w:hAnsi="Symbol"/>
        <w:w w:val="100"/>
        <w:sz w:val="20"/>
        <w:szCs w:val="20"/>
        <w:shd w:val="clear" w:color="000000" w:fill="auto"/>
      </w:rPr>
    </w:lvl>
    <w:lvl w:ilvl="1" w:tplc="A8462B4A">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249CD8E0">
      <w:start w:val="1"/>
      <w:numFmt w:val="bullet"/>
      <w:lvlText w:val="§"/>
      <w:lvlJc w:val="left"/>
      <w:pPr>
        <w:ind w:left="2160" w:hanging="360"/>
        <w:jc w:val="both"/>
      </w:pPr>
      <w:rPr>
        <w:rFonts w:ascii="Wingdings" w:eastAsia="Wingdings" w:hAnsi="Wingdings"/>
        <w:w w:val="100"/>
        <w:sz w:val="20"/>
        <w:szCs w:val="20"/>
        <w:shd w:val="clear" w:color="000000" w:fill="auto"/>
      </w:rPr>
    </w:lvl>
    <w:lvl w:ilvl="3" w:tplc="A418DF8E">
      <w:start w:val="1"/>
      <w:numFmt w:val="bullet"/>
      <w:lvlText w:val="·"/>
      <w:lvlJc w:val="left"/>
      <w:pPr>
        <w:ind w:left="2880" w:hanging="360"/>
        <w:jc w:val="both"/>
      </w:pPr>
      <w:rPr>
        <w:rFonts w:ascii="Symbol" w:eastAsia="Symbol" w:hAnsi="Symbol"/>
        <w:w w:val="100"/>
        <w:sz w:val="20"/>
        <w:szCs w:val="20"/>
        <w:shd w:val="clear" w:color="000000" w:fill="auto"/>
      </w:rPr>
    </w:lvl>
    <w:lvl w:ilvl="4" w:tplc="DDC68D0A">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2C10EE00">
      <w:start w:val="1"/>
      <w:numFmt w:val="bullet"/>
      <w:lvlText w:val="§"/>
      <w:lvlJc w:val="left"/>
      <w:pPr>
        <w:ind w:left="4320" w:hanging="360"/>
        <w:jc w:val="both"/>
      </w:pPr>
      <w:rPr>
        <w:rFonts w:ascii="Wingdings" w:eastAsia="Wingdings" w:hAnsi="Wingdings"/>
        <w:w w:val="100"/>
        <w:sz w:val="20"/>
        <w:szCs w:val="20"/>
        <w:shd w:val="clear" w:color="000000" w:fill="auto"/>
      </w:rPr>
    </w:lvl>
    <w:lvl w:ilvl="6" w:tplc="27D8F62C">
      <w:start w:val="1"/>
      <w:numFmt w:val="bullet"/>
      <w:lvlText w:val="·"/>
      <w:lvlJc w:val="left"/>
      <w:pPr>
        <w:ind w:left="5040" w:hanging="360"/>
        <w:jc w:val="both"/>
      </w:pPr>
      <w:rPr>
        <w:rFonts w:ascii="Symbol" w:eastAsia="Symbol" w:hAnsi="Symbol"/>
        <w:w w:val="100"/>
        <w:sz w:val="20"/>
        <w:szCs w:val="20"/>
        <w:shd w:val="clear" w:color="000000" w:fill="auto"/>
      </w:rPr>
    </w:lvl>
    <w:lvl w:ilvl="7" w:tplc="80164E30">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009E2946">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23" w15:restartNumberingAfterBreak="0">
    <w:nsid w:val="2F000016"/>
    <w:multiLevelType w:val="hybridMultilevel"/>
    <w:tmpl w:val="55248FD7"/>
    <w:lvl w:ilvl="0" w:tplc="46F456A6">
      <w:numFmt w:val="bullet"/>
      <w:lvlText w:val="-"/>
      <w:lvlJc w:val="left"/>
      <w:pPr>
        <w:ind w:left="720" w:hanging="360"/>
        <w:jc w:val="both"/>
      </w:pPr>
      <w:rPr>
        <w:rFonts w:ascii="Calibri" w:eastAsia="Calibri" w:hAnsi="Calibri"/>
        <w:w w:val="100"/>
        <w:sz w:val="20"/>
        <w:szCs w:val="20"/>
        <w:shd w:val="clear" w:color="000000" w:fill="auto"/>
      </w:rPr>
    </w:lvl>
    <w:lvl w:ilvl="1" w:tplc="8744C9F2">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F40AD0BA">
      <w:start w:val="1"/>
      <w:numFmt w:val="bullet"/>
      <w:lvlText w:val="§"/>
      <w:lvlJc w:val="left"/>
      <w:pPr>
        <w:ind w:left="2160" w:hanging="360"/>
        <w:jc w:val="both"/>
      </w:pPr>
      <w:rPr>
        <w:rFonts w:ascii="Wingdings" w:eastAsia="Wingdings" w:hAnsi="Wingdings"/>
        <w:w w:val="100"/>
        <w:sz w:val="20"/>
        <w:szCs w:val="20"/>
        <w:shd w:val="clear" w:color="000000" w:fill="auto"/>
      </w:rPr>
    </w:lvl>
    <w:lvl w:ilvl="3" w:tplc="FC247672">
      <w:start w:val="1"/>
      <w:numFmt w:val="bullet"/>
      <w:lvlText w:val="·"/>
      <w:lvlJc w:val="left"/>
      <w:pPr>
        <w:ind w:left="2880" w:hanging="360"/>
        <w:jc w:val="both"/>
      </w:pPr>
      <w:rPr>
        <w:rFonts w:ascii="Symbol" w:eastAsia="Symbol" w:hAnsi="Symbol"/>
        <w:w w:val="100"/>
        <w:sz w:val="20"/>
        <w:szCs w:val="20"/>
        <w:shd w:val="clear" w:color="000000" w:fill="auto"/>
      </w:rPr>
    </w:lvl>
    <w:lvl w:ilvl="4" w:tplc="7744F1A6">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26B09306">
      <w:start w:val="1"/>
      <w:numFmt w:val="bullet"/>
      <w:lvlText w:val="§"/>
      <w:lvlJc w:val="left"/>
      <w:pPr>
        <w:ind w:left="4320" w:hanging="360"/>
        <w:jc w:val="both"/>
      </w:pPr>
      <w:rPr>
        <w:rFonts w:ascii="Wingdings" w:eastAsia="Wingdings" w:hAnsi="Wingdings"/>
        <w:w w:val="100"/>
        <w:sz w:val="20"/>
        <w:szCs w:val="20"/>
        <w:shd w:val="clear" w:color="000000" w:fill="auto"/>
      </w:rPr>
    </w:lvl>
    <w:lvl w:ilvl="6" w:tplc="B782A364">
      <w:start w:val="1"/>
      <w:numFmt w:val="bullet"/>
      <w:lvlText w:val="·"/>
      <w:lvlJc w:val="left"/>
      <w:pPr>
        <w:ind w:left="5040" w:hanging="360"/>
        <w:jc w:val="both"/>
      </w:pPr>
      <w:rPr>
        <w:rFonts w:ascii="Symbol" w:eastAsia="Symbol" w:hAnsi="Symbol"/>
        <w:w w:val="100"/>
        <w:sz w:val="20"/>
        <w:szCs w:val="20"/>
        <w:shd w:val="clear" w:color="000000" w:fill="auto"/>
      </w:rPr>
    </w:lvl>
    <w:lvl w:ilvl="7" w:tplc="DEDA1198">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4A52B44A">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24" w15:restartNumberingAfterBreak="0">
    <w:nsid w:val="2F000017"/>
    <w:multiLevelType w:val="hybridMultilevel"/>
    <w:tmpl w:val="395F8806"/>
    <w:lvl w:ilvl="0" w:tplc="411666D4">
      <w:start w:val="1"/>
      <w:numFmt w:val="decimal"/>
      <w:lvlText w:val="%1)"/>
      <w:lvlJc w:val="left"/>
      <w:pPr>
        <w:ind w:left="720" w:hanging="360"/>
        <w:jc w:val="both"/>
      </w:pPr>
      <w:rPr>
        <w:w w:val="100"/>
        <w:sz w:val="20"/>
        <w:szCs w:val="20"/>
        <w:shd w:val="clear" w:color="000000" w:fill="auto"/>
      </w:rPr>
    </w:lvl>
    <w:lvl w:ilvl="1" w:tplc="4714271C">
      <w:start w:val="1"/>
      <w:numFmt w:val="lowerLetter"/>
      <w:lvlText w:val="%2."/>
      <w:lvlJc w:val="left"/>
      <w:pPr>
        <w:ind w:left="1440" w:hanging="360"/>
        <w:jc w:val="both"/>
      </w:pPr>
    </w:lvl>
    <w:lvl w:ilvl="2" w:tplc="AFD86B68">
      <w:start w:val="1"/>
      <w:numFmt w:val="lowerRoman"/>
      <w:lvlText w:val="%3."/>
      <w:lvlJc w:val="right"/>
      <w:pPr>
        <w:ind w:left="2160" w:hanging="180"/>
        <w:jc w:val="both"/>
      </w:pPr>
    </w:lvl>
    <w:lvl w:ilvl="3" w:tplc="1422A9AE">
      <w:start w:val="1"/>
      <w:numFmt w:val="decimal"/>
      <w:lvlText w:val="%4."/>
      <w:lvlJc w:val="left"/>
      <w:pPr>
        <w:ind w:left="2880" w:hanging="360"/>
        <w:jc w:val="both"/>
      </w:pPr>
    </w:lvl>
    <w:lvl w:ilvl="4" w:tplc="1FF66D44">
      <w:start w:val="1"/>
      <w:numFmt w:val="lowerLetter"/>
      <w:lvlText w:val="%5."/>
      <w:lvlJc w:val="left"/>
      <w:pPr>
        <w:ind w:left="3600" w:hanging="360"/>
        <w:jc w:val="both"/>
      </w:pPr>
    </w:lvl>
    <w:lvl w:ilvl="5" w:tplc="3CE0EC70">
      <w:start w:val="1"/>
      <w:numFmt w:val="lowerRoman"/>
      <w:lvlText w:val="%6."/>
      <w:lvlJc w:val="right"/>
      <w:pPr>
        <w:ind w:left="4320" w:hanging="180"/>
        <w:jc w:val="both"/>
      </w:pPr>
    </w:lvl>
    <w:lvl w:ilvl="6" w:tplc="07FC8BC0">
      <w:start w:val="1"/>
      <w:numFmt w:val="decimal"/>
      <w:lvlText w:val="%7."/>
      <w:lvlJc w:val="left"/>
      <w:pPr>
        <w:ind w:left="5040" w:hanging="360"/>
        <w:jc w:val="both"/>
      </w:pPr>
    </w:lvl>
    <w:lvl w:ilvl="7" w:tplc="D2941DD8">
      <w:start w:val="1"/>
      <w:numFmt w:val="lowerLetter"/>
      <w:lvlText w:val="%8."/>
      <w:lvlJc w:val="left"/>
      <w:pPr>
        <w:ind w:left="5760" w:hanging="360"/>
        <w:jc w:val="both"/>
      </w:pPr>
    </w:lvl>
    <w:lvl w:ilvl="8" w:tplc="3216F5C4">
      <w:start w:val="1"/>
      <w:numFmt w:val="lowerRoman"/>
      <w:lvlText w:val="%9."/>
      <w:lvlJc w:val="right"/>
      <w:pPr>
        <w:ind w:left="6480" w:hanging="180"/>
        <w:jc w:val="both"/>
      </w:pPr>
    </w:lvl>
  </w:abstractNum>
  <w:abstractNum w:abstractNumId="25" w15:restartNumberingAfterBreak="0">
    <w:nsid w:val="2F000018"/>
    <w:multiLevelType w:val="hybridMultilevel"/>
    <w:tmpl w:val="54DB4F70"/>
    <w:lvl w:ilvl="0" w:tplc="F716B0DA">
      <w:start w:val="1"/>
      <w:numFmt w:val="bullet"/>
      <w:lvlText w:val="·"/>
      <w:lvlJc w:val="left"/>
      <w:pPr>
        <w:ind w:left="720" w:hanging="360"/>
        <w:jc w:val="both"/>
      </w:pPr>
      <w:rPr>
        <w:rFonts w:ascii="Symbol" w:eastAsia="Symbol" w:hAnsi="Symbol"/>
        <w:w w:val="100"/>
        <w:sz w:val="20"/>
        <w:szCs w:val="20"/>
        <w:shd w:val="clear" w:color="000000" w:fill="auto"/>
      </w:rPr>
    </w:lvl>
    <w:lvl w:ilvl="1" w:tplc="15302FEA">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999C689A">
      <w:start w:val="1"/>
      <w:numFmt w:val="bullet"/>
      <w:lvlText w:val="§"/>
      <w:lvlJc w:val="left"/>
      <w:pPr>
        <w:ind w:left="2160" w:hanging="360"/>
        <w:jc w:val="both"/>
      </w:pPr>
      <w:rPr>
        <w:rFonts w:ascii="Wingdings" w:eastAsia="Wingdings" w:hAnsi="Wingdings"/>
        <w:w w:val="100"/>
        <w:sz w:val="20"/>
        <w:szCs w:val="20"/>
        <w:shd w:val="clear" w:color="000000" w:fill="auto"/>
      </w:rPr>
    </w:lvl>
    <w:lvl w:ilvl="3" w:tplc="66C861BE">
      <w:start w:val="1"/>
      <w:numFmt w:val="bullet"/>
      <w:lvlText w:val="·"/>
      <w:lvlJc w:val="left"/>
      <w:pPr>
        <w:ind w:left="2880" w:hanging="360"/>
        <w:jc w:val="both"/>
      </w:pPr>
      <w:rPr>
        <w:rFonts w:ascii="Symbol" w:eastAsia="Symbol" w:hAnsi="Symbol"/>
        <w:w w:val="100"/>
        <w:sz w:val="20"/>
        <w:szCs w:val="20"/>
        <w:shd w:val="clear" w:color="000000" w:fill="auto"/>
      </w:rPr>
    </w:lvl>
    <w:lvl w:ilvl="4" w:tplc="433E1DEA">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066A6BEA">
      <w:start w:val="1"/>
      <w:numFmt w:val="bullet"/>
      <w:lvlText w:val="§"/>
      <w:lvlJc w:val="left"/>
      <w:pPr>
        <w:ind w:left="4320" w:hanging="360"/>
        <w:jc w:val="both"/>
      </w:pPr>
      <w:rPr>
        <w:rFonts w:ascii="Wingdings" w:eastAsia="Wingdings" w:hAnsi="Wingdings"/>
        <w:w w:val="100"/>
        <w:sz w:val="20"/>
        <w:szCs w:val="20"/>
        <w:shd w:val="clear" w:color="000000" w:fill="auto"/>
      </w:rPr>
    </w:lvl>
    <w:lvl w:ilvl="6" w:tplc="8FFC4AE4">
      <w:start w:val="1"/>
      <w:numFmt w:val="bullet"/>
      <w:lvlText w:val="·"/>
      <w:lvlJc w:val="left"/>
      <w:pPr>
        <w:ind w:left="5040" w:hanging="360"/>
        <w:jc w:val="both"/>
      </w:pPr>
      <w:rPr>
        <w:rFonts w:ascii="Symbol" w:eastAsia="Symbol" w:hAnsi="Symbol"/>
        <w:w w:val="100"/>
        <w:sz w:val="20"/>
        <w:szCs w:val="20"/>
        <w:shd w:val="clear" w:color="000000" w:fill="auto"/>
      </w:rPr>
    </w:lvl>
    <w:lvl w:ilvl="7" w:tplc="7458C8F4">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B400FB68">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26" w15:restartNumberingAfterBreak="0">
    <w:nsid w:val="2F000019"/>
    <w:multiLevelType w:val="multilevel"/>
    <w:tmpl w:val="303C7E83"/>
    <w:lvl w:ilvl="0">
      <w:start w:val="1"/>
      <w:numFmt w:val="decimal"/>
      <w:pStyle w:val="Heading1"/>
      <w:lvlText w:val="%1."/>
      <w:lvlJc w:val="left"/>
      <w:pPr>
        <w:tabs>
          <w:tab w:val="left" w:pos="482"/>
        </w:tabs>
        <w:ind w:left="482" w:hanging="482"/>
        <w:jc w:val="both"/>
      </w:pPr>
    </w:lvl>
    <w:lvl w:ilvl="1">
      <w:start w:val="1"/>
      <w:numFmt w:val="decimal"/>
      <w:pStyle w:val="Heading2"/>
      <w:lvlText w:val="%1.%2."/>
      <w:lvlJc w:val="left"/>
      <w:pPr>
        <w:tabs>
          <w:tab w:val="left" w:pos="1077"/>
        </w:tabs>
        <w:ind w:left="1077" w:hanging="601"/>
        <w:jc w:val="both"/>
      </w:pPr>
    </w:lvl>
    <w:lvl w:ilvl="2">
      <w:start w:val="1"/>
      <w:numFmt w:val="decimal"/>
      <w:pStyle w:val="Heading3"/>
      <w:lvlText w:val="%1.%2.%3."/>
      <w:lvlJc w:val="left"/>
      <w:pPr>
        <w:tabs>
          <w:tab w:val="left" w:pos="1690"/>
        </w:tabs>
        <w:ind w:left="1690" w:hanging="839"/>
        <w:jc w:val="both"/>
      </w:pPr>
    </w:lvl>
    <w:lvl w:ilvl="3">
      <w:start w:val="1"/>
      <w:numFmt w:val="decimal"/>
      <w:pStyle w:val="Heading4"/>
      <w:lvlText w:val="%1.%2.%3.%4."/>
      <w:lvlJc w:val="left"/>
      <w:pPr>
        <w:tabs>
          <w:tab w:val="left" w:pos="2880"/>
        </w:tabs>
        <w:ind w:left="2880" w:hanging="958"/>
        <w:jc w:val="both"/>
      </w:pPr>
    </w:lvl>
    <w:lvl w:ilvl="4">
      <w:start w:val="1"/>
      <w:numFmt w:val="decimal"/>
      <w:pStyle w:val="Heading5"/>
      <w:lvlText w:val="%1.%2.%3.%4.%5."/>
      <w:lvlJc w:val="left"/>
      <w:pPr>
        <w:tabs>
          <w:tab w:val="left" w:pos="2880"/>
        </w:tabs>
        <w:ind w:left="3838" w:hanging="958"/>
        <w:jc w:val="both"/>
      </w:pPr>
    </w:lvl>
    <w:lvl w:ilvl="5">
      <w:start w:val="1"/>
      <w:numFmt w:val="decimal"/>
      <w:pStyle w:val="Heading6"/>
      <w:lvlText w:val="%1.%2.%3.%4.%5.%6."/>
      <w:lvlJc w:val="left"/>
      <w:pPr>
        <w:tabs>
          <w:tab w:val="left" w:pos="2880"/>
        </w:tabs>
        <w:ind w:left="3838" w:hanging="958"/>
        <w:jc w:val="both"/>
      </w:pPr>
    </w:lvl>
    <w:lvl w:ilvl="6">
      <w:start w:val="1"/>
      <w:numFmt w:val="decimal"/>
      <w:pStyle w:val="Heading7"/>
      <w:lvlText w:val="%1.%2.%3.%4.%5.%6.%7."/>
      <w:lvlJc w:val="left"/>
      <w:pPr>
        <w:tabs>
          <w:tab w:val="left" w:pos="2880"/>
        </w:tabs>
        <w:ind w:left="3838" w:hanging="958"/>
        <w:jc w:val="both"/>
      </w:pPr>
    </w:lvl>
    <w:lvl w:ilvl="7">
      <w:start w:val="1"/>
      <w:numFmt w:val="decimal"/>
      <w:pStyle w:val="Heading8"/>
      <w:lvlText w:val="%1.%2.%3.%4.%5.%6.%7.%8."/>
      <w:lvlJc w:val="left"/>
      <w:pPr>
        <w:tabs>
          <w:tab w:val="left" w:pos="2880"/>
        </w:tabs>
        <w:ind w:left="3838" w:hanging="958"/>
        <w:jc w:val="both"/>
      </w:pPr>
    </w:lvl>
    <w:lvl w:ilvl="8">
      <w:start w:val="1"/>
      <w:numFmt w:val="decimal"/>
      <w:pStyle w:val="Heading9"/>
      <w:lvlText w:val="%1.%2.%3.%4.%5.%6.%7.%8.%9."/>
      <w:lvlJc w:val="left"/>
      <w:pPr>
        <w:tabs>
          <w:tab w:val="left" w:pos="2880"/>
        </w:tabs>
        <w:ind w:left="3838" w:hanging="958"/>
        <w:jc w:val="both"/>
      </w:pPr>
    </w:lvl>
  </w:abstractNum>
  <w:abstractNum w:abstractNumId="27" w15:restartNumberingAfterBreak="0">
    <w:nsid w:val="2F00001A"/>
    <w:multiLevelType w:val="hybridMultilevel"/>
    <w:tmpl w:val="3995D34C"/>
    <w:lvl w:ilvl="0" w:tplc="21B2FA16">
      <w:start w:val="1"/>
      <w:numFmt w:val="bullet"/>
      <w:lvlText w:val="·"/>
      <w:lvlJc w:val="left"/>
      <w:pPr>
        <w:ind w:left="720" w:hanging="360"/>
        <w:jc w:val="both"/>
      </w:pPr>
      <w:rPr>
        <w:rFonts w:ascii="Symbol" w:eastAsia="Symbol" w:hAnsi="Symbol"/>
        <w:w w:val="100"/>
        <w:sz w:val="20"/>
        <w:szCs w:val="20"/>
        <w:shd w:val="clear" w:color="000000" w:fill="auto"/>
      </w:rPr>
    </w:lvl>
    <w:lvl w:ilvl="1" w:tplc="C28281B0">
      <w:start w:val="1"/>
      <w:numFmt w:val="bullet"/>
      <w:lvlText w:val="o"/>
      <w:lvlJc w:val="left"/>
      <w:pPr>
        <w:ind w:left="1440" w:hanging="360"/>
        <w:jc w:val="both"/>
      </w:pPr>
      <w:rPr>
        <w:rFonts w:ascii="Courier New" w:eastAsia="Courier New" w:hAnsi="Courier New"/>
        <w:w w:val="100"/>
        <w:sz w:val="20"/>
        <w:szCs w:val="20"/>
        <w:shd w:val="clear" w:color="000000" w:fill="auto"/>
      </w:rPr>
    </w:lvl>
    <w:lvl w:ilvl="2" w:tplc="CD745854">
      <w:start w:val="1"/>
      <w:numFmt w:val="bullet"/>
      <w:lvlText w:val="§"/>
      <w:lvlJc w:val="left"/>
      <w:pPr>
        <w:ind w:left="2160" w:hanging="360"/>
        <w:jc w:val="both"/>
      </w:pPr>
      <w:rPr>
        <w:rFonts w:ascii="Wingdings" w:eastAsia="Wingdings" w:hAnsi="Wingdings"/>
        <w:w w:val="100"/>
        <w:sz w:val="20"/>
        <w:szCs w:val="20"/>
        <w:shd w:val="clear" w:color="000000" w:fill="auto"/>
      </w:rPr>
    </w:lvl>
    <w:lvl w:ilvl="3" w:tplc="2048EA9E">
      <w:start w:val="1"/>
      <w:numFmt w:val="bullet"/>
      <w:lvlText w:val="·"/>
      <w:lvlJc w:val="left"/>
      <w:pPr>
        <w:ind w:left="2880" w:hanging="360"/>
        <w:jc w:val="both"/>
      </w:pPr>
      <w:rPr>
        <w:rFonts w:ascii="Symbol" w:eastAsia="Symbol" w:hAnsi="Symbol"/>
        <w:w w:val="100"/>
        <w:sz w:val="20"/>
        <w:szCs w:val="20"/>
        <w:shd w:val="clear" w:color="000000" w:fill="auto"/>
      </w:rPr>
    </w:lvl>
    <w:lvl w:ilvl="4" w:tplc="68D6408E">
      <w:start w:val="1"/>
      <w:numFmt w:val="bullet"/>
      <w:lvlText w:val="o"/>
      <w:lvlJc w:val="left"/>
      <w:pPr>
        <w:ind w:left="3600" w:hanging="360"/>
        <w:jc w:val="both"/>
      </w:pPr>
      <w:rPr>
        <w:rFonts w:ascii="Courier New" w:eastAsia="Courier New" w:hAnsi="Courier New"/>
        <w:w w:val="100"/>
        <w:sz w:val="20"/>
        <w:szCs w:val="20"/>
        <w:shd w:val="clear" w:color="000000" w:fill="auto"/>
      </w:rPr>
    </w:lvl>
    <w:lvl w:ilvl="5" w:tplc="DF14C0FC">
      <w:start w:val="1"/>
      <w:numFmt w:val="bullet"/>
      <w:lvlText w:val="§"/>
      <w:lvlJc w:val="left"/>
      <w:pPr>
        <w:ind w:left="4320" w:hanging="360"/>
        <w:jc w:val="both"/>
      </w:pPr>
      <w:rPr>
        <w:rFonts w:ascii="Wingdings" w:eastAsia="Wingdings" w:hAnsi="Wingdings"/>
        <w:w w:val="100"/>
        <w:sz w:val="20"/>
        <w:szCs w:val="20"/>
        <w:shd w:val="clear" w:color="000000" w:fill="auto"/>
      </w:rPr>
    </w:lvl>
    <w:lvl w:ilvl="6" w:tplc="F3FEDF7E">
      <w:start w:val="1"/>
      <w:numFmt w:val="bullet"/>
      <w:lvlText w:val="·"/>
      <w:lvlJc w:val="left"/>
      <w:pPr>
        <w:ind w:left="5040" w:hanging="360"/>
        <w:jc w:val="both"/>
      </w:pPr>
      <w:rPr>
        <w:rFonts w:ascii="Symbol" w:eastAsia="Symbol" w:hAnsi="Symbol"/>
        <w:w w:val="100"/>
        <w:sz w:val="20"/>
        <w:szCs w:val="20"/>
        <w:shd w:val="clear" w:color="000000" w:fill="auto"/>
      </w:rPr>
    </w:lvl>
    <w:lvl w:ilvl="7" w:tplc="A39E654A">
      <w:start w:val="1"/>
      <w:numFmt w:val="bullet"/>
      <w:lvlText w:val="o"/>
      <w:lvlJc w:val="left"/>
      <w:pPr>
        <w:ind w:left="5760" w:hanging="360"/>
        <w:jc w:val="both"/>
      </w:pPr>
      <w:rPr>
        <w:rFonts w:ascii="Courier New" w:eastAsia="Courier New" w:hAnsi="Courier New"/>
        <w:w w:val="100"/>
        <w:sz w:val="20"/>
        <w:szCs w:val="20"/>
        <w:shd w:val="clear" w:color="000000" w:fill="auto"/>
      </w:rPr>
    </w:lvl>
    <w:lvl w:ilvl="8" w:tplc="645E0850">
      <w:start w:val="1"/>
      <w:numFmt w:val="bullet"/>
      <w:lvlText w:val="§"/>
      <w:lvlJc w:val="left"/>
      <w:pPr>
        <w:ind w:left="6480" w:hanging="360"/>
        <w:jc w:val="both"/>
      </w:pPr>
      <w:rPr>
        <w:rFonts w:ascii="Wingdings" w:eastAsia="Wingdings" w:hAnsi="Wingdings"/>
        <w:w w:val="100"/>
        <w:sz w:val="20"/>
        <w:szCs w:val="20"/>
        <w:shd w:val="clear" w:color="000000" w:fill="auto"/>
      </w:rPr>
    </w:lvl>
  </w:abstractNum>
  <w:abstractNum w:abstractNumId="28" w15:restartNumberingAfterBreak="0">
    <w:nsid w:val="2F00001B"/>
    <w:multiLevelType w:val="hybridMultilevel"/>
    <w:tmpl w:val="41633036"/>
    <w:lvl w:ilvl="0" w:tplc="03424366">
      <w:start w:val="9"/>
      <w:numFmt w:val="bullet"/>
      <w:lvlText w:val="-"/>
      <w:lvlJc w:val="left"/>
      <w:pPr>
        <w:ind w:left="720" w:hanging="360"/>
        <w:jc w:val="both"/>
      </w:pPr>
      <w:rPr>
        <w:rFonts w:ascii="Calibri" w:eastAsia="Calibri" w:hAnsi="Calibri"/>
        <w:w w:val="100"/>
        <w:sz w:val="20"/>
        <w:szCs w:val="20"/>
        <w:shd w:val="clear" w:color="auto" w:fill="auto"/>
      </w:rPr>
    </w:lvl>
    <w:lvl w:ilvl="1" w:tplc="1568B822">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811EE64C">
      <w:start w:val="1"/>
      <w:numFmt w:val="bullet"/>
      <w:lvlText w:val="§"/>
      <w:lvlJc w:val="left"/>
      <w:pPr>
        <w:ind w:left="2160" w:hanging="360"/>
        <w:jc w:val="both"/>
      </w:pPr>
      <w:rPr>
        <w:rFonts w:ascii="Wingdings" w:eastAsia="Wingdings" w:hAnsi="Wingdings"/>
        <w:w w:val="100"/>
        <w:sz w:val="20"/>
        <w:szCs w:val="20"/>
        <w:shd w:val="clear" w:color="auto" w:fill="auto"/>
      </w:rPr>
    </w:lvl>
    <w:lvl w:ilvl="3" w:tplc="85EE8828">
      <w:start w:val="1"/>
      <w:numFmt w:val="bullet"/>
      <w:lvlText w:val="·"/>
      <w:lvlJc w:val="left"/>
      <w:pPr>
        <w:ind w:left="2880" w:hanging="360"/>
        <w:jc w:val="both"/>
      </w:pPr>
      <w:rPr>
        <w:rFonts w:ascii="Symbol" w:eastAsia="Symbol" w:hAnsi="Symbol"/>
        <w:w w:val="100"/>
        <w:sz w:val="20"/>
        <w:szCs w:val="20"/>
        <w:shd w:val="clear" w:color="auto" w:fill="auto"/>
      </w:rPr>
    </w:lvl>
    <w:lvl w:ilvl="4" w:tplc="08ECC824">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A3161204">
      <w:start w:val="1"/>
      <w:numFmt w:val="bullet"/>
      <w:lvlText w:val="§"/>
      <w:lvlJc w:val="left"/>
      <w:pPr>
        <w:ind w:left="4320" w:hanging="360"/>
        <w:jc w:val="both"/>
      </w:pPr>
      <w:rPr>
        <w:rFonts w:ascii="Wingdings" w:eastAsia="Wingdings" w:hAnsi="Wingdings"/>
        <w:w w:val="100"/>
        <w:sz w:val="20"/>
        <w:szCs w:val="20"/>
        <w:shd w:val="clear" w:color="auto" w:fill="auto"/>
      </w:rPr>
    </w:lvl>
    <w:lvl w:ilvl="6" w:tplc="79B219D4">
      <w:start w:val="1"/>
      <w:numFmt w:val="bullet"/>
      <w:lvlText w:val="·"/>
      <w:lvlJc w:val="left"/>
      <w:pPr>
        <w:ind w:left="5040" w:hanging="360"/>
        <w:jc w:val="both"/>
      </w:pPr>
      <w:rPr>
        <w:rFonts w:ascii="Symbol" w:eastAsia="Symbol" w:hAnsi="Symbol"/>
        <w:w w:val="100"/>
        <w:sz w:val="20"/>
        <w:szCs w:val="20"/>
        <w:shd w:val="clear" w:color="auto" w:fill="auto"/>
      </w:rPr>
    </w:lvl>
    <w:lvl w:ilvl="7" w:tplc="23D60A92">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E43C8858">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29" w15:restartNumberingAfterBreak="0">
    <w:nsid w:val="2F00001C"/>
    <w:multiLevelType w:val="hybridMultilevel"/>
    <w:tmpl w:val="3CF25BB0"/>
    <w:lvl w:ilvl="0" w:tplc="BA76D6E6">
      <w:start w:val="1"/>
      <w:numFmt w:val="bullet"/>
      <w:lvlText w:val="·"/>
      <w:lvlJc w:val="left"/>
      <w:pPr>
        <w:ind w:left="360" w:hanging="360"/>
        <w:jc w:val="both"/>
      </w:pPr>
      <w:rPr>
        <w:rFonts w:ascii="Symbol" w:eastAsia="Symbol" w:hAnsi="Symbol"/>
        <w:w w:val="100"/>
        <w:sz w:val="20"/>
        <w:szCs w:val="20"/>
        <w:shd w:val="clear" w:color="auto" w:fill="auto"/>
      </w:rPr>
    </w:lvl>
    <w:lvl w:ilvl="1" w:tplc="D982D496">
      <w:start w:val="1"/>
      <w:numFmt w:val="bullet"/>
      <w:lvlText w:val="o"/>
      <w:lvlJc w:val="left"/>
      <w:pPr>
        <w:ind w:left="1080" w:hanging="360"/>
        <w:jc w:val="both"/>
      </w:pPr>
      <w:rPr>
        <w:rFonts w:ascii="Courier New" w:eastAsia="Courier New" w:hAnsi="Courier New"/>
        <w:w w:val="100"/>
        <w:sz w:val="20"/>
        <w:szCs w:val="20"/>
        <w:shd w:val="clear" w:color="auto" w:fill="auto"/>
      </w:rPr>
    </w:lvl>
    <w:lvl w:ilvl="2" w:tplc="0B7A9950">
      <w:start w:val="1"/>
      <w:numFmt w:val="bullet"/>
      <w:lvlText w:val="§"/>
      <w:lvlJc w:val="left"/>
      <w:pPr>
        <w:ind w:left="1800" w:hanging="360"/>
        <w:jc w:val="both"/>
      </w:pPr>
      <w:rPr>
        <w:rFonts w:ascii="Wingdings" w:eastAsia="Wingdings" w:hAnsi="Wingdings"/>
        <w:w w:val="100"/>
        <w:sz w:val="20"/>
        <w:szCs w:val="20"/>
        <w:shd w:val="clear" w:color="auto" w:fill="auto"/>
      </w:rPr>
    </w:lvl>
    <w:lvl w:ilvl="3" w:tplc="FD346F94">
      <w:start w:val="1"/>
      <w:numFmt w:val="bullet"/>
      <w:lvlText w:val="·"/>
      <w:lvlJc w:val="left"/>
      <w:pPr>
        <w:ind w:left="2520" w:hanging="360"/>
        <w:jc w:val="both"/>
      </w:pPr>
      <w:rPr>
        <w:rFonts w:ascii="Symbol" w:eastAsia="Symbol" w:hAnsi="Symbol"/>
        <w:w w:val="100"/>
        <w:sz w:val="20"/>
        <w:szCs w:val="20"/>
        <w:shd w:val="clear" w:color="auto" w:fill="auto"/>
      </w:rPr>
    </w:lvl>
    <w:lvl w:ilvl="4" w:tplc="09601E40">
      <w:start w:val="1"/>
      <w:numFmt w:val="bullet"/>
      <w:lvlText w:val="o"/>
      <w:lvlJc w:val="left"/>
      <w:pPr>
        <w:ind w:left="3240" w:hanging="360"/>
        <w:jc w:val="both"/>
      </w:pPr>
      <w:rPr>
        <w:rFonts w:ascii="Courier New" w:eastAsia="Courier New" w:hAnsi="Courier New"/>
        <w:w w:val="100"/>
        <w:sz w:val="20"/>
        <w:szCs w:val="20"/>
        <w:shd w:val="clear" w:color="auto" w:fill="auto"/>
      </w:rPr>
    </w:lvl>
    <w:lvl w:ilvl="5" w:tplc="FAB82A52">
      <w:start w:val="1"/>
      <w:numFmt w:val="bullet"/>
      <w:lvlText w:val="§"/>
      <w:lvlJc w:val="left"/>
      <w:pPr>
        <w:ind w:left="3960" w:hanging="360"/>
        <w:jc w:val="both"/>
      </w:pPr>
      <w:rPr>
        <w:rFonts w:ascii="Wingdings" w:eastAsia="Wingdings" w:hAnsi="Wingdings"/>
        <w:w w:val="100"/>
        <w:sz w:val="20"/>
        <w:szCs w:val="20"/>
        <w:shd w:val="clear" w:color="auto" w:fill="auto"/>
      </w:rPr>
    </w:lvl>
    <w:lvl w:ilvl="6" w:tplc="CEF4FAF0">
      <w:start w:val="1"/>
      <w:numFmt w:val="bullet"/>
      <w:lvlText w:val="·"/>
      <w:lvlJc w:val="left"/>
      <w:pPr>
        <w:ind w:left="4680" w:hanging="360"/>
        <w:jc w:val="both"/>
      </w:pPr>
      <w:rPr>
        <w:rFonts w:ascii="Symbol" w:eastAsia="Symbol" w:hAnsi="Symbol"/>
        <w:w w:val="100"/>
        <w:sz w:val="20"/>
        <w:szCs w:val="20"/>
        <w:shd w:val="clear" w:color="auto" w:fill="auto"/>
      </w:rPr>
    </w:lvl>
    <w:lvl w:ilvl="7" w:tplc="55F4CB3C">
      <w:start w:val="1"/>
      <w:numFmt w:val="bullet"/>
      <w:lvlText w:val="o"/>
      <w:lvlJc w:val="left"/>
      <w:pPr>
        <w:ind w:left="5400" w:hanging="360"/>
        <w:jc w:val="both"/>
      </w:pPr>
      <w:rPr>
        <w:rFonts w:ascii="Courier New" w:eastAsia="Courier New" w:hAnsi="Courier New"/>
        <w:w w:val="100"/>
        <w:sz w:val="20"/>
        <w:szCs w:val="20"/>
        <w:shd w:val="clear" w:color="auto" w:fill="auto"/>
      </w:rPr>
    </w:lvl>
    <w:lvl w:ilvl="8" w:tplc="6D889C78">
      <w:start w:val="1"/>
      <w:numFmt w:val="bullet"/>
      <w:lvlText w:val="§"/>
      <w:lvlJc w:val="left"/>
      <w:pPr>
        <w:ind w:left="6120" w:hanging="360"/>
        <w:jc w:val="both"/>
      </w:pPr>
      <w:rPr>
        <w:rFonts w:ascii="Wingdings" w:eastAsia="Wingdings" w:hAnsi="Wingdings"/>
        <w:w w:val="100"/>
        <w:sz w:val="20"/>
        <w:szCs w:val="20"/>
        <w:shd w:val="clear" w:color="auto" w:fill="auto"/>
      </w:rPr>
    </w:lvl>
  </w:abstractNum>
  <w:abstractNum w:abstractNumId="30" w15:restartNumberingAfterBreak="0">
    <w:nsid w:val="2F00001D"/>
    <w:multiLevelType w:val="hybridMultilevel"/>
    <w:tmpl w:val="3161AFFF"/>
    <w:lvl w:ilvl="0" w:tplc="C5388102">
      <w:start w:val="16"/>
      <w:numFmt w:val="bullet"/>
      <w:lvlText w:val="-"/>
      <w:lvlJc w:val="left"/>
      <w:pPr>
        <w:ind w:left="720" w:hanging="360"/>
        <w:jc w:val="both"/>
      </w:pPr>
      <w:rPr>
        <w:rFonts w:ascii="Calibri" w:eastAsia="Calibri" w:hAnsi="Calibri"/>
        <w:w w:val="100"/>
        <w:sz w:val="20"/>
        <w:szCs w:val="20"/>
        <w:shd w:val="clear" w:color="auto" w:fill="auto"/>
      </w:rPr>
    </w:lvl>
    <w:lvl w:ilvl="1" w:tplc="AEF434E8">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324CDA52">
      <w:start w:val="1"/>
      <w:numFmt w:val="bullet"/>
      <w:lvlText w:val="§"/>
      <w:lvlJc w:val="left"/>
      <w:pPr>
        <w:ind w:left="2160" w:hanging="360"/>
        <w:jc w:val="both"/>
      </w:pPr>
      <w:rPr>
        <w:rFonts w:ascii="Wingdings" w:eastAsia="Wingdings" w:hAnsi="Wingdings"/>
        <w:w w:val="100"/>
        <w:sz w:val="20"/>
        <w:szCs w:val="20"/>
        <w:shd w:val="clear" w:color="auto" w:fill="auto"/>
      </w:rPr>
    </w:lvl>
    <w:lvl w:ilvl="3" w:tplc="29D64A50">
      <w:start w:val="1"/>
      <w:numFmt w:val="bullet"/>
      <w:lvlText w:val="·"/>
      <w:lvlJc w:val="left"/>
      <w:pPr>
        <w:ind w:left="2880" w:hanging="360"/>
        <w:jc w:val="both"/>
      </w:pPr>
      <w:rPr>
        <w:rFonts w:ascii="Symbol" w:eastAsia="Symbol" w:hAnsi="Symbol"/>
        <w:w w:val="100"/>
        <w:sz w:val="20"/>
        <w:szCs w:val="20"/>
        <w:shd w:val="clear" w:color="auto" w:fill="auto"/>
      </w:rPr>
    </w:lvl>
    <w:lvl w:ilvl="4" w:tplc="57DCFB82">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4288CCBA">
      <w:start w:val="1"/>
      <w:numFmt w:val="bullet"/>
      <w:lvlText w:val="§"/>
      <w:lvlJc w:val="left"/>
      <w:pPr>
        <w:ind w:left="4320" w:hanging="360"/>
        <w:jc w:val="both"/>
      </w:pPr>
      <w:rPr>
        <w:rFonts w:ascii="Wingdings" w:eastAsia="Wingdings" w:hAnsi="Wingdings"/>
        <w:w w:val="100"/>
        <w:sz w:val="20"/>
        <w:szCs w:val="20"/>
        <w:shd w:val="clear" w:color="auto" w:fill="auto"/>
      </w:rPr>
    </w:lvl>
    <w:lvl w:ilvl="6" w:tplc="764C9FF4">
      <w:start w:val="1"/>
      <w:numFmt w:val="bullet"/>
      <w:lvlText w:val="·"/>
      <w:lvlJc w:val="left"/>
      <w:pPr>
        <w:ind w:left="5040" w:hanging="360"/>
        <w:jc w:val="both"/>
      </w:pPr>
      <w:rPr>
        <w:rFonts w:ascii="Symbol" w:eastAsia="Symbol" w:hAnsi="Symbol"/>
        <w:w w:val="100"/>
        <w:sz w:val="20"/>
        <w:szCs w:val="20"/>
        <w:shd w:val="clear" w:color="auto" w:fill="auto"/>
      </w:rPr>
    </w:lvl>
    <w:lvl w:ilvl="7" w:tplc="BEA66E8C">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82FEEDE6">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31" w15:restartNumberingAfterBreak="0">
    <w:nsid w:val="2F00001E"/>
    <w:multiLevelType w:val="hybridMultilevel"/>
    <w:tmpl w:val="2A69B89A"/>
    <w:lvl w:ilvl="0" w:tplc="0D1AD884">
      <w:numFmt w:val="bullet"/>
      <w:lvlText w:val="-"/>
      <w:lvlJc w:val="left"/>
      <w:pPr>
        <w:ind w:left="720" w:hanging="360"/>
        <w:jc w:val="both"/>
      </w:pPr>
      <w:rPr>
        <w:rFonts w:ascii="Calibri" w:eastAsia="Calibri" w:hAnsi="Calibri"/>
        <w:w w:val="100"/>
        <w:sz w:val="20"/>
        <w:szCs w:val="20"/>
        <w:shd w:val="clear" w:color="000000" w:fill="auto"/>
      </w:rPr>
    </w:lvl>
    <w:lvl w:ilvl="1" w:tplc="DB96B470">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DB98F874">
      <w:start w:val="1"/>
      <w:numFmt w:val="bullet"/>
      <w:lvlText w:val="§"/>
      <w:lvlJc w:val="left"/>
      <w:pPr>
        <w:ind w:left="2160" w:hanging="360"/>
        <w:jc w:val="both"/>
      </w:pPr>
      <w:rPr>
        <w:rFonts w:ascii="Wingdings" w:eastAsia="Wingdings" w:hAnsi="Wingdings"/>
        <w:w w:val="100"/>
        <w:sz w:val="20"/>
        <w:szCs w:val="20"/>
        <w:shd w:val="clear" w:color="auto" w:fill="auto"/>
      </w:rPr>
    </w:lvl>
    <w:lvl w:ilvl="3" w:tplc="05C257FC">
      <w:start w:val="1"/>
      <w:numFmt w:val="bullet"/>
      <w:lvlText w:val="·"/>
      <w:lvlJc w:val="left"/>
      <w:pPr>
        <w:ind w:left="2880" w:hanging="360"/>
        <w:jc w:val="both"/>
      </w:pPr>
      <w:rPr>
        <w:rFonts w:ascii="Symbol" w:eastAsia="Symbol" w:hAnsi="Symbol"/>
        <w:w w:val="100"/>
        <w:sz w:val="20"/>
        <w:szCs w:val="20"/>
        <w:shd w:val="clear" w:color="auto" w:fill="auto"/>
      </w:rPr>
    </w:lvl>
    <w:lvl w:ilvl="4" w:tplc="DEA2A534">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4FBC68A4">
      <w:start w:val="1"/>
      <w:numFmt w:val="bullet"/>
      <w:lvlText w:val="§"/>
      <w:lvlJc w:val="left"/>
      <w:pPr>
        <w:ind w:left="4320" w:hanging="360"/>
        <w:jc w:val="both"/>
      </w:pPr>
      <w:rPr>
        <w:rFonts w:ascii="Wingdings" w:eastAsia="Wingdings" w:hAnsi="Wingdings"/>
        <w:w w:val="100"/>
        <w:sz w:val="20"/>
        <w:szCs w:val="20"/>
        <w:shd w:val="clear" w:color="auto" w:fill="auto"/>
      </w:rPr>
    </w:lvl>
    <w:lvl w:ilvl="6" w:tplc="E01C3AD6">
      <w:start w:val="1"/>
      <w:numFmt w:val="bullet"/>
      <w:lvlText w:val="·"/>
      <w:lvlJc w:val="left"/>
      <w:pPr>
        <w:ind w:left="5040" w:hanging="360"/>
        <w:jc w:val="both"/>
      </w:pPr>
      <w:rPr>
        <w:rFonts w:ascii="Symbol" w:eastAsia="Symbol" w:hAnsi="Symbol"/>
        <w:w w:val="100"/>
        <w:sz w:val="20"/>
        <w:szCs w:val="20"/>
        <w:shd w:val="clear" w:color="auto" w:fill="auto"/>
      </w:rPr>
    </w:lvl>
    <w:lvl w:ilvl="7" w:tplc="A7FE29BA">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0B18E214">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32" w15:restartNumberingAfterBreak="0">
    <w:nsid w:val="2F00001F"/>
    <w:multiLevelType w:val="hybridMultilevel"/>
    <w:tmpl w:val="28D68C50"/>
    <w:lvl w:ilvl="0" w:tplc="DEA4FEAE">
      <w:start w:val="2"/>
      <w:numFmt w:val="bullet"/>
      <w:lvlText w:val="-"/>
      <w:lvlJc w:val="left"/>
      <w:pPr>
        <w:ind w:left="720" w:hanging="360"/>
        <w:jc w:val="both"/>
      </w:pPr>
      <w:rPr>
        <w:rFonts w:ascii="Times New Roman" w:eastAsia="Times New Roman" w:hAnsi="Times New Roman"/>
        <w:w w:val="100"/>
        <w:sz w:val="20"/>
        <w:szCs w:val="20"/>
        <w:shd w:val="clear" w:color="auto" w:fill="auto"/>
      </w:rPr>
    </w:lvl>
    <w:lvl w:ilvl="1" w:tplc="E7A0722E">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D1FC3724">
      <w:start w:val="1"/>
      <w:numFmt w:val="bullet"/>
      <w:lvlText w:val="§"/>
      <w:lvlJc w:val="left"/>
      <w:pPr>
        <w:ind w:left="2160" w:hanging="360"/>
        <w:jc w:val="both"/>
      </w:pPr>
      <w:rPr>
        <w:rFonts w:ascii="Wingdings" w:eastAsia="Wingdings" w:hAnsi="Wingdings"/>
        <w:w w:val="100"/>
        <w:sz w:val="20"/>
        <w:szCs w:val="20"/>
        <w:shd w:val="clear" w:color="auto" w:fill="auto"/>
      </w:rPr>
    </w:lvl>
    <w:lvl w:ilvl="3" w:tplc="B66CFCC0">
      <w:start w:val="1"/>
      <w:numFmt w:val="bullet"/>
      <w:lvlText w:val="·"/>
      <w:lvlJc w:val="left"/>
      <w:pPr>
        <w:ind w:left="2880" w:hanging="360"/>
        <w:jc w:val="both"/>
      </w:pPr>
      <w:rPr>
        <w:rFonts w:ascii="Symbol" w:eastAsia="Symbol" w:hAnsi="Symbol"/>
        <w:w w:val="100"/>
        <w:sz w:val="20"/>
        <w:szCs w:val="20"/>
        <w:shd w:val="clear" w:color="auto" w:fill="auto"/>
      </w:rPr>
    </w:lvl>
    <w:lvl w:ilvl="4" w:tplc="F6FE2E08">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6C44E310">
      <w:start w:val="1"/>
      <w:numFmt w:val="bullet"/>
      <w:lvlText w:val="§"/>
      <w:lvlJc w:val="left"/>
      <w:pPr>
        <w:ind w:left="4320" w:hanging="360"/>
        <w:jc w:val="both"/>
      </w:pPr>
      <w:rPr>
        <w:rFonts w:ascii="Wingdings" w:eastAsia="Wingdings" w:hAnsi="Wingdings"/>
        <w:w w:val="100"/>
        <w:sz w:val="20"/>
        <w:szCs w:val="20"/>
        <w:shd w:val="clear" w:color="auto" w:fill="auto"/>
      </w:rPr>
    </w:lvl>
    <w:lvl w:ilvl="6" w:tplc="769CCF92">
      <w:start w:val="1"/>
      <w:numFmt w:val="bullet"/>
      <w:lvlText w:val="·"/>
      <w:lvlJc w:val="left"/>
      <w:pPr>
        <w:ind w:left="5040" w:hanging="360"/>
        <w:jc w:val="both"/>
      </w:pPr>
      <w:rPr>
        <w:rFonts w:ascii="Symbol" w:eastAsia="Symbol" w:hAnsi="Symbol"/>
        <w:w w:val="100"/>
        <w:sz w:val="20"/>
        <w:szCs w:val="20"/>
        <w:shd w:val="clear" w:color="auto" w:fill="auto"/>
      </w:rPr>
    </w:lvl>
    <w:lvl w:ilvl="7" w:tplc="B51A4AF2">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A13E71E6">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33" w15:restartNumberingAfterBreak="0">
    <w:nsid w:val="2F000020"/>
    <w:multiLevelType w:val="hybridMultilevel"/>
    <w:tmpl w:val="4395FE0F"/>
    <w:lvl w:ilvl="0" w:tplc="EC2E53F2">
      <w:start w:val="1"/>
      <w:numFmt w:val="bullet"/>
      <w:lvlText w:val="·"/>
      <w:lvlJc w:val="left"/>
      <w:pPr>
        <w:ind w:left="360" w:hanging="360"/>
        <w:jc w:val="both"/>
      </w:pPr>
      <w:rPr>
        <w:rFonts w:ascii="Symbol" w:eastAsia="Symbol" w:hAnsi="Symbol"/>
        <w:w w:val="100"/>
        <w:sz w:val="20"/>
        <w:szCs w:val="20"/>
        <w:shd w:val="clear" w:color="auto" w:fill="auto"/>
      </w:rPr>
    </w:lvl>
    <w:lvl w:ilvl="1" w:tplc="DDA83100">
      <w:start w:val="1"/>
      <w:numFmt w:val="bullet"/>
      <w:lvlText w:val="o"/>
      <w:lvlJc w:val="left"/>
      <w:pPr>
        <w:ind w:left="1080" w:hanging="360"/>
        <w:jc w:val="both"/>
      </w:pPr>
      <w:rPr>
        <w:rFonts w:ascii="Courier New" w:eastAsia="Courier New" w:hAnsi="Courier New"/>
        <w:w w:val="100"/>
        <w:sz w:val="20"/>
        <w:szCs w:val="20"/>
        <w:shd w:val="clear" w:color="auto" w:fill="auto"/>
      </w:rPr>
    </w:lvl>
    <w:lvl w:ilvl="2" w:tplc="38AC6A18">
      <w:start w:val="1"/>
      <w:numFmt w:val="bullet"/>
      <w:lvlText w:val="§"/>
      <w:lvlJc w:val="left"/>
      <w:pPr>
        <w:ind w:left="1800" w:hanging="360"/>
        <w:jc w:val="both"/>
      </w:pPr>
      <w:rPr>
        <w:rFonts w:ascii="Wingdings" w:eastAsia="Wingdings" w:hAnsi="Wingdings"/>
        <w:w w:val="100"/>
        <w:sz w:val="20"/>
        <w:szCs w:val="20"/>
        <w:shd w:val="clear" w:color="auto" w:fill="auto"/>
      </w:rPr>
    </w:lvl>
    <w:lvl w:ilvl="3" w:tplc="9BEE734E">
      <w:start w:val="1"/>
      <w:numFmt w:val="bullet"/>
      <w:lvlText w:val="·"/>
      <w:lvlJc w:val="left"/>
      <w:pPr>
        <w:ind w:left="2520" w:hanging="360"/>
        <w:jc w:val="both"/>
      </w:pPr>
      <w:rPr>
        <w:rFonts w:ascii="Symbol" w:eastAsia="Symbol" w:hAnsi="Symbol"/>
        <w:w w:val="100"/>
        <w:sz w:val="20"/>
        <w:szCs w:val="20"/>
        <w:shd w:val="clear" w:color="auto" w:fill="auto"/>
      </w:rPr>
    </w:lvl>
    <w:lvl w:ilvl="4" w:tplc="035A12A8">
      <w:start w:val="1"/>
      <w:numFmt w:val="bullet"/>
      <w:lvlText w:val="o"/>
      <w:lvlJc w:val="left"/>
      <w:pPr>
        <w:ind w:left="3240" w:hanging="360"/>
        <w:jc w:val="both"/>
      </w:pPr>
      <w:rPr>
        <w:rFonts w:ascii="Courier New" w:eastAsia="Courier New" w:hAnsi="Courier New"/>
        <w:w w:val="100"/>
        <w:sz w:val="20"/>
        <w:szCs w:val="20"/>
        <w:shd w:val="clear" w:color="auto" w:fill="auto"/>
      </w:rPr>
    </w:lvl>
    <w:lvl w:ilvl="5" w:tplc="23167D82">
      <w:start w:val="1"/>
      <w:numFmt w:val="bullet"/>
      <w:lvlText w:val="§"/>
      <w:lvlJc w:val="left"/>
      <w:pPr>
        <w:ind w:left="3960" w:hanging="360"/>
        <w:jc w:val="both"/>
      </w:pPr>
      <w:rPr>
        <w:rFonts w:ascii="Wingdings" w:eastAsia="Wingdings" w:hAnsi="Wingdings"/>
        <w:w w:val="100"/>
        <w:sz w:val="20"/>
        <w:szCs w:val="20"/>
        <w:shd w:val="clear" w:color="auto" w:fill="auto"/>
      </w:rPr>
    </w:lvl>
    <w:lvl w:ilvl="6" w:tplc="4F421B78">
      <w:start w:val="1"/>
      <w:numFmt w:val="bullet"/>
      <w:lvlText w:val="·"/>
      <w:lvlJc w:val="left"/>
      <w:pPr>
        <w:ind w:left="4680" w:hanging="360"/>
        <w:jc w:val="both"/>
      </w:pPr>
      <w:rPr>
        <w:rFonts w:ascii="Symbol" w:eastAsia="Symbol" w:hAnsi="Symbol"/>
        <w:w w:val="100"/>
        <w:sz w:val="20"/>
        <w:szCs w:val="20"/>
        <w:shd w:val="clear" w:color="auto" w:fill="auto"/>
      </w:rPr>
    </w:lvl>
    <w:lvl w:ilvl="7" w:tplc="173CA944">
      <w:start w:val="1"/>
      <w:numFmt w:val="bullet"/>
      <w:lvlText w:val="o"/>
      <w:lvlJc w:val="left"/>
      <w:pPr>
        <w:ind w:left="5400" w:hanging="360"/>
        <w:jc w:val="both"/>
      </w:pPr>
      <w:rPr>
        <w:rFonts w:ascii="Courier New" w:eastAsia="Courier New" w:hAnsi="Courier New"/>
        <w:w w:val="100"/>
        <w:sz w:val="20"/>
        <w:szCs w:val="20"/>
        <w:shd w:val="clear" w:color="auto" w:fill="auto"/>
      </w:rPr>
    </w:lvl>
    <w:lvl w:ilvl="8" w:tplc="40A8BFE6">
      <w:start w:val="1"/>
      <w:numFmt w:val="bullet"/>
      <w:lvlText w:val="§"/>
      <w:lvlJc w:val="left"/>
      <w:pPr>
        <w:ind w:left="6120" w:hanging="360"/>
        <w:jc w:val="both"/>
      </w:pPr>
      <w:rPr>
        <w:rFonts w:ascii="Wingdings" w:eastAsia="Wingdings" w:hAnsi="Wingdings"/>
        <w:w w:val="100"/>
        <w:sz w:val="20"/>
        <w:szCs w:val="20"/>
        <w:shd w:val="clear" w:color="auto" w:fill="auto"/>
      </w:rPr>
    </w:lvl>
  </w:abstractNum>
  <w:abstractNum w:abstractNumId="34" w15:restartNumberingAfterBreak="0">
    <w:nsid w:val="2F000021"/>
    <w:multiLevelType w:val="hybridMultilevel"/>
    <w:tmpl w:val="525A9D8C"/>
    <w:lvl w:ilvl="0" w:tplc="3272CD64">
      <w:numFmt w:val="bullet"/>
      <w:lvlText w:val="-"/>
      <w:lvlJc w:val="left"/>
      <w:pPr>
        <w:ind w:left="720" w:hanging="360"/>
        <w:jc w:val="both"/>
      </w:pPr>
      <w:rPr>
        <w:rFonts w:ascii="Calibri" w:eastAsia="Calibri" w:hAnsi="Calibri"/>
        <w:w w:val="100"/>
        <w:sz w:val="20"/>
        <w:szCs w:val="20"/>
        <w:shd w:val="clear" w:color="auto" w:fill="auto"/>
      </w:rPr>
    </w:lvl>
    <w:lvl w:ilvl="1" w:tplc="F15E6C7A">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15C6C086">
      <w:start w:val="1"/>
      <w:numFmt w:val="bullet"/>
      <w:lvlText w:val="§"/>
      <w:lvlJc w:val="left"/>
      <w:pPr>
        <w:ind w:left="2160" w:hanging="360"/>
        <w:jc w:val="both"/>
      </w:pPr>
      <w:rPr>
        <w:rFonts w:ascii="Wingdings" w:eastAsia="Wingdings" w:hAnsi="Wingdings"/>
        <w:w w:val="100"/>
        <w:sz w:val="20"/>
        <w:szCs w:val="20"/>
        <w:shd w:val="clear" w:color="auto" w:fill="auto"/>
      </w:rPr>
    </w:lvl>
    <w:lvl w:ilvl="3" w:tplc="8A9CE334">
      <w:start w:val="1"/>
      <w:numFmt w:val="bullet"/>
      <w:lvlText w:val="·"/>
      <w:lvlJc w:val="left"/>
      <w:pPr>
        <w:ind w:left="2880" w:hanging="360"/>
        <w:jc w:val="both"/>
      </w:pPr>
      <w:rPr>
        <w:rFonts w:ascii="Symbol" w:eastAsia="Symbol" w:hAnsi="Symbol"/>
        <w:w w:val="100"/>
        <w:sz w:val="20"/>
        <w:szCs w:val="20"/>
        <w:shd w:val="clear" w:color="auto" w:fill="auto"/>
      </w:rPr>
    </w:lvl>
    <w:lvl w:ilvl="4" w:tplc="D1F8C6A4">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31E468BA">
      <w:start w:val="1"/>
      <w:numFmt w:val="bullet"/>
      <w:lvlText w:val="§"/>
      <w:lvlJc w:val="left"/>
      <w:pPr>
        <w:ind w:left="4320" w:hanging="360"/>
        <w:jc w:val="both"/>
      </w:pPr>
      <w:rPr>
        <w:rFonts w:ascii="Wingdings" w:eastAsia="Wingdings" w:hAnsi="Wingdings"/>
        <w:w w:val="100"/>
        <w:sz w:val="20"/>
        <w:szCs w:val="20"/>
        <w:shd w:val="clear" w:color="auto" w:fill="auto"/>
      </w:rPr>
    </w:lvl>
    <w:lvl w:ilvl="6" w:tplc="111A8AEA">
      <w:start w:val="1"/>
      <w:numFmt w:val="bullet"/>
      <w:lvlText w:val="·"/>
      <w:lvlJc w:val="left"/>
      <w:pPr>
        <w:ind w:left="5040" w:hanging="360"/>
        <w:jc w:val="both"/>
      </w:pPr>
      <w:rPr>
        <w:rFonts w:ascii="Symbol" w:eastAsia="Symbol" w:hAnsi="Symbol"/>
        <w:w w:val="100"/>
        <w:sz w:val="20"/>
        <w:szCs w:val="20"/>
        <w:shd w:val="clear" w:color="auto" w:fill="auto"/>
      </w:rPr>
    </w:lvl>
    <w:lvl w:ilvl="7" w:tplc="A4001394">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9A0C6EDE">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35" w15:restartNumberingAfterBreak="0">
    <w:nsid w:val="2F000022"/>
    <w:multiLevelType w:val="hybridMultilevel"/>
    <w:tmpl w:val="211D8D7E"/>
    <w:lvl w:ilvl="0" w:tplc="4A143246">
      <w:start w:val="1"/>
      <w:numFmt w:val="bullet"/>
      <w:lvlText w:val="·"/>
      <w:lvlJc w:val="left"/>
      <w:pPr>
        <w:ind w:left="720" w:hanging="360"/>
        <w:jc w:val="both"/>
      </w:pPr>
      <w:rPr>
        <w:rFonts w:ascii="Symbol" w:eastAsia="Symbol" w:hAnsi="Symbol"/>
        <w:w w:val="100"/>
        <w:sz w:val="20"/>
        <w:szCs w:val="20"/>
        <w:shd w:val="clear" w:color="auto" w:fill="auto"/>
      </w:rPr>
    </w:lvl>
    <w:lvl w:ilvl="1" w:tplc="FB24465E">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00FAC7D0">
      <w:start w:val="1"/>
      <w:numFmt w:val="bullet"/>
      <w:lvlText w:val="§"/>
      <w:lvlJc w:val="left"/>
      <w:pPr>
        <w:ind w:left="2160" w:hanging="360"/>
        <w:jc w:val="both"/>
      </w:pPr>
      <w:rPr>
        <w:rFonts w:ascii="Wingdings" w:eastAsia="Wingdings" w:hAnsi="Wingdings"/>
        <w:w w:val="100"/>
        <w:sz w:val="20"/>
        <w:szCs w:val="20"/>
        <w:shd w:val="clear" w:color="auto" w:fill="auto"/>
      </w:rPr>
    </w:lvl>
    <w:lvl w:ilvl="3" w:tplc="EBBE69A4">
      <w:start w:val="1"/>
      <w:numFmt w:val="bullet"/>
      <w:lvlText w:val="·"/>
      <w:lvlJc w:val="left"/>
      <w:pPr>
        <w:ind w:left="2880" w:hanging="360"/>
        <w:jc w:val="both"/>
      </w:pPr>
      <w:rPr>
        <w:rFonts w:ascii="Symbol" w:eastAsia="Symbol" w:hAnsi="Symbol"/>
        <w:w w:val="100"/>
        <w:sz w:val="20"/>
        <w:szCs w:val="20"/>
        <w:shd w:val="clear" w:color="auto" w:fill="auto"/>
      </w:rPr>
    </w:lvl>
    <w:lvl w:ilvl="4" w:tplc="34B4250A">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7CD0A496">
      <w:start w:val="1"/>
      <w:numFmt w:val="bullet"/>
      <w:lvlText w:val="§"/>
      <w:lvlJc w:val="left"/>
      <w:pPr>
        <w:ind w:left="4320" w:hanging="360"/>
        <w:jc w:val="both"/>
      </w:pPr>
      <w:rPr>
        <w:rFonts w:ascii="Wingdings" w:eastAsia="Wingdings" w:hAnsi="Wingdings"/>
        <w:w w:val="100"/>
        <w:sz w:val="20"/>
        <w:szCs w:val="20"/>
        <w:shd w:val="clear" w:color="auto" w:fill="auto"/>
      </w:rPr>
    </w:lvl>
    <w:lvl w:ilvl="6" w:tplc="99D05C36">
      <w:start w:val="1"/>
      <w:numFmt w:val="bullet"/>
      <w:lvlText w:val="·"/>
      <w:lvlJc w:val="left"/>
      <w:pPr>
        <w:ind w:left="5040" w:hanging="360"/>
        <w:jc w:val="both"/>
      </w:pPr>
      <w:rPr>
        <w:rFonts w:ascii="Symbol" w:eastAsia="Symbol" w:hAnsi="Symbol"/>
        <w:w w:val="100"/>
        <w:sz w:val="20"/>
        <w:szCs w:val="20"/>
        <w:shd w:val="clear" w:color="auto" w:fill="auto"/>
      </w:rPr>
    </w:lvl>
    <w:lvl w:ilvl="7" w:tplc="ED3CA0A8">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BDDC122A">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36" w15:restartNumberingAfterBreak="0">
    <w:nsid w:val="2F000023"/>
    <w:multiLevelType w:val="hybridMultilevel"/>
    <w:tmpl w:val="41346D1B"/>
    <w:lvl w:ilvl="0" w:tplc="07B06754">
      <w:numFmt w:val="bullet"/>
      <w:lvlText w:val="-"/>
      <w:lvlJc w:val="left"/>
      <w:pPr>
        <w:ind w:left="720" w:hanging="360"/>
        <w:jc w:val="both"/>
      </w:pPr>
      <w:rPr>
        <w:rFonts w:ascii="Calibri" w:eastAsia="Calibri" w:hAnsi="Calibri"/>
        <w:w w:val="100"/>
        <w:sz w:val="20"/>
        <w:szCs w:val="20"/>
        <w:shd w:val="clear" w:color="auto" w:fill="auto"/>
      </w:rPr>
    </w:lvl>
    <w:lvl w:ilvl="1" w:tplc="7BB44BEA">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A11EABF6">
      <w:start w:val="1"/>
      <w:numFmt w:val="bullet"/>
      <w:lvlText w:val="§"/>
      <w:lvlJc w:val="left"/>
      <w:pPr>
        <w:ind w:left="2160" w:hanging="360"/>
        <w:jc w:val="both"/>
      </w:pPr>
      <w:rPr>
        <w:rFonts w:ascii="Wingdings" w:eastAsia="Wingdings" w:hAnsi="Wingdings"/>
        <w:w w:val="100"/>
        <w:sz w:val="20"/>
        <w:szCs w:val="20"/>
        <w:shd w:val="clear" w:color="auto" w:fill="auto"/>
      </w:rPr>
    </w:lvl>
    <w:lvl w:ilvl="3" w:tplc="871EFEF4">
      <w:start w:val="1"/>
      <w:numFmt w:val="bullet"/>
      <w:lvlText w:val="·"/>
      <w:lvlJc w:val="left"/>
      <w:pPr>
        <w:ind w:left="2880" w:hanging="360"/>
        <w:jc w:val="both"/>
      </w:pPr>
      <w:rPr>
        <w:rFonts w:ascii="Symbol" w:eastAsia="Symbol" w:hAnsi="Symbol"/>
        <w:w w:val="100"/>
        <w:sz w:val="20"/>
        <w:szCs w:val="20"/>
        <w:shd w:val="clear" w:color="auto" w:fill="auto"/>
      </w:rPr>
    </w:lvl>
    <w:lvl w:ilvl="4" w:tplc="95DC8EEE">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AEB24F1C">
      <w:start w:val="1"/>
      <w:numFmt w:val="bullet"/>
      <w:lvlText w:val="§"/>
      <w:lvlJc w:val="left"/>
      <w:pPr>
        <w:ind w:left="4320" w:hanging="360"/>
        <w:jc w:val="both"/>
      </w:pPr>
      <w:rPr>
        <w:rFonts w:ascii="Wingdings" w:eastAsia="Wingdings" w:hAnsi="Wingdings"/>
        <w:w w:val="100"/>
        <w:sz w:val="20"/>
        <w:szCs w:val="20"/>
        <w:shd w:val="clear" w:color="auto" w:fill="auto"/>
      </w:rPr>
    </w:lvl>
    <w:lvl w:ilvl="6" w:tplc="53F68C1A">
      <w:start w:val="1"/>
      <w:numFmt w:val="bullet"/>
      <w:lvlText w:val="·"/>
      <w:lvlJc w:val="left"/>
      <w:pPr>
        <w:ind w:left="5040" w:hanging="360"/>
        <w:jc w:val="both"/>
      </w:pPr>
      <w:rPr>
        <w:rFonts w:ascii="Symbol" w:eastAsia="Symbol" w:hAnsi="Symbol"/>
        <w:w w:val="100"/>
        <w:sz w:val="20"/>
        <w:szCs w:val="20"/>
        <w:shd w:val="clear" w:color="auto" w:fill="auto"/>
      </w:rPr>
    </w:lvl>
    <w:lvl w:ilvl="7" w:tplc="5D88A50E">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90F6BCAC">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37" w15:restartNumberingAfterBreak="0">
    <w:nsid w:val="64670AA5"/>
    <w:multiLevelType w:val="hybridMultilevel"/>
    <w:tmpl w:val="1AA8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387D9B"/>
    <w:multiLevelType w:val="multilevel"/>
    <w:tmpl w:val="FA1229E4"/>
    <w:lvl w:ilvl="0">
      <w:start w:val="4"/>
      <w:numFmt w:val="decimal"/>
      <w:lvlText w:val="%1"/>
      <w:lvlJc w:val="left"/>
      <w:pPr>
        <w:ind w:left="480" w:hanging="480"/>
      </w:pPr>
      <w:rPr>
        <w:rFonts w:hint="default"/>
      </w:rPr>
    </w:lvl>
    <w:lvl w:ilvl="1">
      <w:start w:val="3"/>
      <w:numFmt w:val="decimal"/>
      <w:lvlText w:val="%1.%2"/>
      <w:lvlJc w:val="left"/>
      <w:pPr>
        <w:ind w:left="1325" w:hanging="480"/>
      </w:pPr>
      <w:rPr>
        <w:rFonts w:hint="default"/>
      </w:rPr>
    </w:lvl>
    <w:lvl w:ilvl="2">
      <w:start w:val="6"/>
      <w:numFmt w:val="decimal"/>
      <w:lvlText w:val="%1.%2.%3"/>
      <w:lvlJc w:val="left"/>
      <w:pPr>
        <w:ind w:left="2410" w:hanging="720"/>
      </w:pPr>
      <w:rPr>
        <w:rFonts w:hint="default"/>
      </w:rPr>
    </w:lvl>
    <w:lvl w:ilvl="3">
      <w:start w:val="1"/>
      <w:numFmt w:val="decimal"/>
      <w:lvlText w:val="%1.%2.%3.%4"/>
      <w:lvlJc w:val="left"/>
      <w:pPr>
        <w:ind w:left="3255" w:hanging="720"/>
      </w:pPr>
      <w:rPr>
        <w:rFonts w:hint="default"/>
      </w:rPr>
    </w:lvl>
    <w:lvl w:ilvl="4">
      <w:start w:val="1"/>
      <w:numFmt w:val="decimal"/>
      <w:lvlText w:val="%1.%2.%3.%4.%5"/>
      <w:lvlJc w:val="left"/>
      <w:pPr>
        <w:ind w:left="4460" w:hanging="1080"/>
      </w:pPr>
      <w:rPr>
        <w:rFonts w:hint="default"/>
      </w:rPr>
    </w:lvl>
    <w:lvl w:ilvl="5">
      <w:start w:val="1"/>
      <w:numFmt w:val="decimal"/>
      <w:lvlText w:val="%1.%2.%3.%4.%5.%6"/>
      <w:lvlJc w:val="left"/>
      <w:pPr>
        <w:ind w:left="5305" w:hanging="1080"/>
      </w:pPr>
      <w:rPr>
        <w:rFonts w:hint="default"/>
      </w:rPr>
    </w:lvl>
    <w:lvl w:ilvl="6">
      <w:start w:val="1"/>
      <w:numFmt w:val="decimal"/>
      <w:lvlText w:val="%1.%2.%3.%4.%5.%6.%7"/>
      <w:lvlJc w:val="left"/>
      <w:pPr>
        <w:ind w:left="6510" w:hanging="1440"/>
      </w:pPr>
      <w:rPr>
        <w:rFonts w:hint="default"/>
      </w:rPr>
    </w:lvl>
    <w:lvl w:ilvl="7">
      <w:start w:val="1"/>
      <w:numFmt w:val="decimal"/>
      <w:lvlText w:val="%1.%2.%3.%4.%5.%6.%7.%8"/>
      <w:lvlJc w:val="left"/>
      <w:pPr>
        <w:ind w:left="7355" w:hanging="1440"/>
      </w:pPr>
      <w:rPr>
        <w:rFonts w:hint="default"/>
      </w:rPr>
    </w:lvl>
    <w:lvl w:ilvl="8">
      <w:start w:val="1"/>
      <w:numFmt w:val="decimal"/>
      <w:lvlText w:val="%1.%2.%3.%4.%5.%6.%7.%8.%9"/>
      <w:lvlJc w:val="left"/>
      <w:pPr>
        <w:ind w:left="8560" w:hanging="1800"/>
      </w:pPr>
      <w:rPr>
        <w:rFonts w:hint="default"/>
      </w:rPr>
    </w:lvl>
  </w:abstractNum>
  <w:abstractNum w:abstractNumId="39" w15:restartNumberingAfterBreak="0">
    <w:nsid w:val="79E46E01"/>
    <w:multiLevelType w:val="hybridMultilevel"/>
    <w:tmpl w:val="DE24C9E8"/>
    <w:lvl w:ilvl="0" w:tplc="EBA0F11E">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10"/>
  </w:num>
  <w:num w:numId="4">
    <w:abstractNumId w:val="27"/>
  </w:num>
  <w:num w:numId="5">
    <w:abstractNumId w:val="18"/>
  </w:num>
  <w:num w:numId="6">
    <w:abstractNumId w:val="13"/>
  </w:num>
  <w:num w:numId="7">
    <w:abstractNumId w:val="8"/>
  </w:num>
  <w:num w:numId="8">
    <w:abstractNumId w:val="11"/>
  </w:num>
  <w:num w:numId="9">
    <w:abstractNumId w:val="9"/>
  </w:num>
  <w:num w:numId="10">
    <w:abstractNumId w:val="25"/>
  </w:num>
  <w:num w:numId="11">
    <w:abstractNumId w:val="5"/>
  </w:num>
  <w:num w:numId="12">
    <w:abstractNumId w:val="6"/>
  </w:num>
  <w:num w:numId="13">
    <w:abstractNumId w:val="15"/>
  </w:num>
  <w:num w:numId="14">
    <w:abstractNumId w:val="19"/>
  </w:num>
  <w:num w:numId="15">
    <w:abstractNumId w:val="22"/>
  </w:num>
  <w:num w:numId="16">
    <w:abstractNumId w:val="12"/>
  </w:num>
  <w:num w:numId="17">
    <w:abstractNumId w:val="17"/>
  </w:num>
  <w:num w:numId="18">
    <w:abstractNumId w:val="3"/>
  </w:num>
  <w:num w:numId="19">
    <w:abstractNumId w:val="13"/>
  </w:num>
  <w:num w:numId="20">
    <w:abstractNumId w:val="10"/>
  </w:num>
  <w:num w:numId="21">
    <w:abstractNumId w:val="27"/>
  </w:num>
  <w:num w:numId="22">
    <w:abstractNumId w:val="24"/>
  </w:num>
  <w:num w:numId="23">
    <w:abstractNumId w:val="20"/>
  </w:num>
  <w:num w:numId="24">
    <w:abstractNumId w:val="23"/>
  </w:num>
  <w:num w:numId="25">
    <w:abstractNumId w:val="16"/>
  </w:num>
  <w:num w:numId="26">
    <w:abstractNumId w:val="21"/>
  </w:num>
  <w:num w:numId="27">
    <w:abstractNumId w:val="7"/>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2"/>
  </w:num>
  <w:num w:numId="31">
    <w:abstractNumId w:val="31"/>
  </w:num>
  <w:num w:numId="32">
    <w:abstractNumId w:val="1"/>
  </w:num>
  <w:num w:numId="33">
    <w:abstractNumId w:val="28"/>
  </w:num>
  <w:num w:numId="34">
    <w:abstractNumId w:val="30"/>
  </w:num>
  <w:num w:numId="35">
    <w:abstractNumId w:val="29"/>
  </w:num>
  <w:num w:numId="36">
    <w:abstractNumId w:val="35"/>
  </w:num>
  <w:num w:numId="37">
    <w:abstractNumId w:val="33"/>
  </w:num>
  <w:num w:numId="38">
    <w:abstractNumId w:val="34"/>
  </w:num>
  <w:num w:numId="39">
    <w:abstractNumId w:val="32"/>
  </w:num>
  <w:num w:numId="40">
    <w:abstractNumId w:val="36"/>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0"/>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SpellingErrors/>
  <w:hideGrammaticalErrors/>
  <w:defaultTabStop w:val="720"/>
  <w:hyphenationZone w:val="425"/>
  <w:displayHorizontalDrawingGridEvery w:val="0"/>
  <w:displayVertic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2A1265C-273B-4862-B113-3EF3418DCDD0"/>
    <w:docVar w:name="LW_COVERPAGE_TYPE" w:val="1"/>
    <w:docVar w:name="LW_CROSSREFERENCE" w:val="&lt;UNUSED&gt;"/>
    <w:docVar w:name="LW_DocType" w:val="NORMAL"/>
    <w:docVar w:name="LW_EMISSION" w:val="14.1.2020"/>
    <w:docVar w:name="LW_EMISSION_ISODATE" w:val="2020-01-14"/>
    <w:docVar w:name="LW_EMISSION_LOCATION" w:val="BRX"/>
    <w:docVar w:name="LW_EMISSION_PREFIX" w:val="Brussels, "/>
    <w:docVar w:name="LW_EMISSION_SUFFIX" w:val=" "/>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0) 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ustainable Europe Investment Plan_x000d__x000b__x000d__x000b_European Green Deal Investment Plan"/>
    <w:docVar w:name="LW_TYPE.DOC.CP" w:val="COMMUNICATION FROM THE COMMISSION TO THE EUROPEAN PARLIAMENT, THE COUNCIL, THE EUROPEAN ECONOMIC AND SOCIAL COMMITTEE AND THE COMMITTEE OF THE REGIONS"/>
    <w:docVar w:name="LW_TYPE.DOC.CP.USERTEXT" w:val="&lt;EMPTY&gt;"/>
  </w:docVars>
  <w:rsids>
    <w:rsidRoot w:val="002C1206"/>
    <w:rsid w:val="002C1206"/>
    <w:rsid w:val="006969C2"/>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2EB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8"/>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7"/>
    <w:qFormat/>
    <w:pPr>
      <w:keepNext/>
      <w:numPr>
        <w:numId w:val="1"/>
      </w:numPr>
      <w:outlineLvl w:val="0"/>
    </w:pPr>
    <w:rPr>
      <w:rFonts w:ascii="Times New Roman" w:hAnsi="Times New Roman"/>
      <w:b/>
      <w:smallCaps/>
      <w:sz w:val="24"/>
      <w:szCs w:val="24"/>
    </w:rPr>
  </w:style>
  <w:style w:type="paragraph" w:styleId="Heading2">
    <w:name w:val="heading 2"/>
    <w:basedOn w:val="Normal"/>
    <w:link w:val="Heading2Char"/>
    <w:uiPriority w:val="8"/>
    <w:qFormat/>
    <w:pPr>
      <w:keepNext/>
      <w:numPr>
        <w:ilvl w:val="1"/>
        <w:numId w:val="1"/>
      </w:numPr>
      <w:tabs>
        <w:tab w:val="left" w:pos="482"/>
      </w:tabs>
      <w:outlineLvl w:val="1"/>
    </w:pPr>
    <w:rPr>
      <w:rFonts w:ascii="Times New Roman" w:hAnsi="Times New Roman"/>
      <w:b/>
      <w:sz w:val="24"/>
      <w:szCs w:val="24"/>
    </w:rPr>
  </w:style>
  <w:style w:type="paragraph" w:styleId="Heading3">
    <w:name w:val="heading 3"/>
    <w:basedOn w:val="Normal"/>
    <w:next w:val="Normal"/>
    <w:link w:val="Heading3Char"/>
    <w:uiPriority w:val="9"/>
    <w:qFormat/>
    <w:pPr>
      <w:keepNext/>
      <w:numPr>
        <w:ilvl w:val="2"/>
        <w:numId w:val="1"/>
      </w:numPr>
      <w:tabs>
        <w:tab w:val="left" w:pos="482"/>
      </w:tabs>
      <w:outlineLvl w:val="2"/>
    </w:pPr>
    <w:rPr>
      <w:rFonts w:ascii="Times New Roman" w:hAnsi="Times New Roman"/>
      <w:i/>
      <w:sz w:val="24"/>
      <w:szCs w:val="24"/>
    </w:rPr>
  </w:style>
  <w:style w:type="paragraph" w:styleId="Heading4">
    <w:name w:val="heading 4"/>
    <w:basedOn w:val="Normal"/>
    <w:next w:val="Normal"/>
    <w:link w:val="Heading4Char"/>
    <w:uiPriority w:val="10"/>
    <w:qFormat/>
    <w:pPr>
      <w:keepNext/>
      <w:numPr>
        <w:ilvl w:val="3"/>
        <w:numId w:val="1"/>
      </w:numPr>
      <w:tabs>
        <w:tab w:val="left" w:pos="482"/>
      </w:tabs>
      <w:outlineLvl w:val="3"/>
    </w:pPr>
    <w:rPr>
      <w:rFonts w:ascii="Times New Roman" w:hAnsi="Times New Roman"/>
      <w:sz w:val="24"/>
      <w:szCs w:val="24"/>
    </w:rPr>
  </w:style>
  <w:style w:type="paragraph" w:styleId="Heading5">
    <w:name w:val="heading 5"/>
    <w:basedOn w:val="Normal"/>
    <w:next w:val="Normal"/>
    <w:link w:val="Heading5Char"/>
    <w:uiPriority w:val="11"/>
    <w:semiHidden/>
    <w:pPr>
      <w:keepNext/>
      <w:numPr>
        <w:ilvl w:val="4"/>
        <w:numId w:val="1"/>
      </w:numPr>
      <w:tabs>
        <w:tab w:val="left" w:pos="482"/>
      </w:tabs>
      <w:outlineLvl w:val="4"/>
    </w:pPr>
    <w:rPr>
      <w:rFonts w:ascii="Times New Roman" w:hAnsi="Times New Roman"/>
      <w:sz w:val="24"/>
      <w:szCs w:val="24"/>
    </w:rPr>
  </w:style>
  <w:style w:type="paragraph" w:styleId="Heading6">
    <w:name w:val="heading 6"/>
    <w:basedOn w:val="Normal"/>
    <w:next w:val="Normal"/>
    <w:link w:val="Heading6Char"/>
    <w:uiPriority w:val="12"/>
    <w:semiHidden/>
    <w:pPr>
      <w:keepNext/>
      <w:numPr>
        <w:ilvl w:val="5"/>
        <w:numId w:val="1"/>
      </w:numPr>
      <w:tabs>
        <w:tab w:val="left" w:pos="482"/>
      </w:tabs>
      <w:outlineLvl w:val="5"/>
    </w:pPr>
    <w:rPr>
      <w:rFonts w:ascii="Times New Roman" w:hAnsi="Times New Roman"/>
      <w:sz w:val="24"/>
      <w:szCs w:val="24"/>
    </w:rPr>
  </w:style>
  <w:style w:type="paragraph" w:styleId="Heading7">
    <w:name w:val="heading 7"/>
    <w:basedOn w:val="Normal"/>
    <w:next w:val="Normal"/>
    <w:link w:val="Heading7Char"/>
    <w:uiPriority w:val="13"/>
    <w:semiHidden/>
    <w:pPr>
      <w:keepNext/>
      <w:numPr>
        <w:ilvl w:val="6"/>
        <w:numId w:val="1"/>
      </w:numPr>
      <w:tabs>
        <w:tab w:val="left" w:pos="482"/>
      </w:tabs>
      <w:outlineLvl w:val="6"/>
    </w:pPr>
    <w:rPr>
      <w:rFonts w:ascii="Times New Roman" w:hAnsi="Times New Roman"/>
      <w:sz w:val="24"/>
      <w:szCs w:val="24"/>
    </w:rPr>
  </w:style>
  <w:style w:type="paragraph" w:styleId="Heading8">
    <w:name w:val="heading 8"/>
    <w:basedOn w:val="Normal"/>
    <w:next w:val="Normal"/>
    <w:link w:val="Heading8Char"/>
    <w:uiPriority w:val="14"/>
    <w:semiHidden/>
    <w:pPr>
      <w:keepNext/>
      <w:numPr>
        <w:ilvl w:val="7"/>
        <w:numId w:val="1"/>
      </w:numPr>
      <w:tabs>
        <w:tab w:val="left" w:pos="482"/>
      </w:tabs>
      <w:outlineLvl w:val="7"/>
    </w:pPr>
    <w:rPr>
      <w:rFonts w:ascii="Times New Roman" w:hAnsi="Times New Roman"/>
      <w:sz w:val="24"/>
      <w:szCs w:val="24"/>
    </w:rPr>
  </w:style>
  <w:style w:type="paragraph" w:styleId="Heading9">
    <w:name w:val="heading 9"/>
    <w:basedOn w:val="Normal"/>
    <w:next w:val="Normal"/>
    <w:link w:val="Heading9Char"/>
    <w:uiPriority w:val="15"/>
    <w:semiHidden/>
    <w:pPr>
      <w:keepNext/>
      <w:numPr>
        <w:ilvl w:val="8"/>
        <w:numId w:val="1"/>
      </w:numPr>
      <w:tabs>
        <w:tab w:val="left" w:pos="482"/>
      </w:tabs>
      <w:outlineLvl w:val="8"/>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0"/>
    <w:qFormat/>
    <w:rPr>
      <w:b/>
      <w:w w:val="100"/>
      <w:sz w:val="20"/>
      <w:szCs w:val="20"/>
      <w:shd w:val="clear" w:color="000000" w:fill="auto"/>
    </w:rPr>
  </w:style>
  <w:style w:type="paragraph" w:styleId="ListParagraph">
    <w:name w:val="List Paragraph"/>
    <w:basedOn w:val="Normal"/>
    <w:link w:val="ListParagraphChar"/>
    <w:uiPriority w:val="26"/>
    <w:qFormat/>
    <w:pPr>
      <w:ind w:left="720"/>
    </w:pPr>
  </w:style>
  <w:style w:type="table" w:styleId="TableGrid">
    <w:name w:val="Table Grid"/>
    <w:basedOn w:val="TableNormal"/>
    <w:uiPriority w:val="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w w:val="100"/>
      <w:sz w:val="20"/>
      <w:szCs w:val="20"/>
      <w:shd w:val="clear" w:color="000000" w:fill="auto"/>
    </w:rPr>
  </w:style>
  <w:style w:type="paragraph" w:customStyle="1" w:styleId="Pagedecouverture">
    <w:name w:val="Page de couverture"/>
    <w:basedOn w:val="Normal"/>
    <w:next w:val="Normal"/>
    <w:pPr>
      <w:jc w:val="both"/>
    </w:pPr>
    <w:rPr>
      <w:rFonts w:ascii="Times New Roman" w:hAnsi="Times New Roman"/>
      <w:sz w:val="24"/>
      <w:szCs w:val="24"/>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rPr>
  </w:style>
  <w:style w:type="paragraph" w:customStyle="1" w:styleId="HeaderSensitivityRight">
    <w:name w:val="Header Sensitivity Right"/>
    <w:basedOn w:val="Normal"/>
    <w:link w:val="HeaderSensitivityRightChar"/>
    <w:pPr>
      <w:spacing w:after="120"/>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character" w:customStyle="1" w:styleId="Heading1Char">
    <w:name w:val="Heading 1 Char"/>
    <w:basedOn w:val="DefaultParagraphFont"/>
    <w:link w:val="Heading1"/>
    <w:rPr>
      <w:rFonts w:ascii="Times New Roman" w:eastAsia="Times New Roman" w:hAnsi="Times New Roman"/>
      <w:b/>
      <w:smallCaps/>
      <w:w w:val="100"/>
      <w:sz w:val="24"/>
      <w:szCs w:val="24"/>
      <w:shd w:val="clear" w:color="000000" w:fill="auto"/>
    </w:rPr>
  </w:style>
  <w:style w:type="character" w:customStyle="1" w:styleId="Heading2Char">
    <w:name w:val="Heading 2 Char"/>
    <w:basedOn w:val="DefaultParagraphFont"/>
    <w:link w:val="Heading2"/>
    <w:uiPriority w:val="8"/>
    <w:rPr>
      <w:rFonts w:ascii="Times New Roman" w:eastAsia="Times New Roman" w:hAnsi="Times New Roman"/>
      <w:b/>
      <w:w w:val="100"/>
      <w:sz w:val="24"/>
      <w:szCs w:val="24"/>
      <w:shd w:val="clear" w:color="000000" w:fill="auto"/>
    </w:rPr>
  </w:style>
  <w:style w:type="character" w:customStyle="1" w:styleId="Heading3Char">
    <w:name w:val="Heading 3 Char"/>
    <w:basedOn w:val="DefaultParagraphFont"/>
    <w:link w:val="Heading3"/>
    <w:rPr>
      <w:rFonts w:ascii="Times New Roman" w:eastAsia="Times New Roman" w:hAnsi="Times New Roman"/>
      <w:i/>
      <w:w w:val="100"/>
      <w:sz w:val="24"/>
      <w:szCs w:val="24"/>
      <w:shd w:val="clear" w:color="000000" w:fill="auto"/>
    </w:rPr>
  </w:style>
  <w:style w:type="character" w:customStyle="1" w:styleId="Heading4Char">
    <w:name w:val="Heading 4 Char"/>
    <w:basedOn w:val="DefaultParagraphFont"/>
    <w:link w:val="Heading4"/>
    <w:rPr>
      <w:rFonts w:ascii="Times New Roman" w:eastAsia="Times New Roman" w:hAnsi="Times New Roman"/>
      <w:w w:val="100"/>
      <w:sz w:val="24"/>
      <w:szCs w:val="24"/>
      <w:shd w:val="clear" w:color="000000" w:fill="auto"/>
    </w:rPr>
  </w:style>
  <w:style w:type="character" w:customStyle="1" w:styleId="Heading5Char">
    <w:name w:val="Heading 5 Char"/>
    <w:basedOn w:val="DefaultParagraphFont"/>
    <w:link w:val="Heading5"/>
    <w:semiHidden/>
    <w:rPr>
      <w:rFonts w:ascii="Times New Roman" w:eastAsia="Times New Roman" w:hAnsi="Times New Roman"/>
      <w:w w:val="100"/>
      <w:sz w:val="24"/>
      <w:szCs w:val="24"/>
      <w:shd w:val="clear" w:color="000000" w:fill="auto"/>
    </w:rPr>
  </w:style>
  <w:style w:type="character" w:customStyle="1" w:styleId="Heading6Char">
    <w:name w:val="Heading 6 Char"/>
    <w:basedOn w:val="DefaultParagraphFont"/>
    <w:link w:val="Heading6"/>
    <w:semiHidden/>
    <w:rPr>
      <w:rFonts w:ascii="Times New Roman" w:eastAsia="Times New Roman" w:hAnsi="Times New Roman"/>
      <w:w w:val="100"/>
      <w:sz w:val="24"/>
      <w:szCs w:val="24"/>
      <w:shd w:val="clear" w:color="000000" w:fill="auto"/>
    </w:rPr>
  </w:style>
  <w:style w:type="character" w:customStyle="1" w:styleId="Heading7Char">
    <w:name w:val="Heading 7 Char"/>
    <w:basedOn w:val="DefaultParagraphFont"/>
    <w:link w:val="Heading7"/>
    <w:semiHidden/>
    <w:rPr>
      <w:rFonts w:ascii="Times New Roman" w:eastAsia="Times New Roman" w:hAnsi="Times New Roman"/>
      <w:w w:val="100"/>
      <w:sz w:val="24"/>
      <w:szCs w:val="24"/>
      <w:shd w:val="clear" w:color="000000" w:fill="auto"/>
    </w:rPr>
  </w:style>
  <w:style w:type="character" w:customStyle="1" w:styleId="Heading8Char">
    <w:name w:val="Heading 8 Char"/>
    <w:basedOn w:val="DefaultParagraphFont"/>
    <w:link w:val="Heading8"/>
    <w:semiHidden/>
    <w:rPr>
      <w:rFonts w:ascii="Times New Roman" w:eastAsia="Times New Roman" w:hAnsi="Times New Roman"/>
      <w:w w:val="100"/>
      <w:sz w:val="24"/>
      <w:szCs w:val="24"/>
      <w:shd w:val="clear" w:color="000000" w:fill="auto"/>
    </w:rPr>
  </w:style>
  <w:style w:type="character" w:customStyle="1" w:styleId="Heading9Char">
    <w:name w:val="Heading 9 Char"/>
    <w:basedOn w:val="DefaultParagraphFont"/>
    <w:link w:val="Heading9"/>
    <w:semiHidden/>
    <w:rPr>
      <w:rFonts w:ascii="Times New Roman" w:eastAsia="Times New Roman" w:hAnsi="Times New Roman"/>
      <w:w w:val="100"/>
      <w:sz w:val="24"/>
      <w:szCs w:val="24"/>
      <w:shd w:val="clear" w:color="000000" w:fill="auto"/>
    </w:rPr>
  </w:style>
  <w:style w:type="paragraph" w:styleId="FootnoteText">
    <w:name w:val="footnote text"/>
    <w:basedOn w:val="Normal"/>
    <w:link w:val="FootnoteTextChar"/>
    <w:qFormat/>
    <w:pPr>
      <w:ind w:left="357" w:hanging="357"/>
      <w:jc w:val="both"/>
    </w:pPr>
    <w:rPr>
      <w:rFonts w:ascii="Times New Roman" w:hAnsi="Times New Roman"/>
      <w:sz w:val="20"/>
      <w:szCs w:val="20"/>
    </w:rPr>
  </w:style>
  <w:style w:type="character" w:customStyle="1" w:styleId="FootnoteTextChar">
    <w:name w:val="Footnote Text Char"/>
    <w:basedOn w:val="DefaultParagraphFont"/>
    <w:link w:val="FootnoteText"/>
    <w:qFormat/>
    <w:rPr>
      <w:rFonts w:ascii="Times New Roman" w:eastAsia="Times New Roman" w:hAnsi="Times New Roman"/>
      <w:w w:val="100"/>
      <w:sz w:val="20"/>
      <w:szCs w:val="20"/>
      <w:shd w:val="clear" w:color="000000" w:fill="auto"/>
    </w:rPr>
  </w:style>
  <w:style w:type="paragraph" w:customStyle="1" w:styleId="Text1">
    <w:name w:val="Text 1"/>
    <w:basedOn w:val="Normal"/>
    <w:qFormat/>
    <w:pPr>
      <w:ind w:left="482"/>
      <w:jc w:val="both"/>
    </w:pPr>
    <w:rPr>
      <w:rFonts w:ascii="Times New Roman" w:hAnsi="Times New Roman"/>
      <w:sz w:val="24"/>
      <w:szCs w:val="24"/>
    </w:rPr>
  </w:style>
  <w:style w:type="paragraph" w:customStyle="1" w:styleId="Text2">
    <w:name w:val="Text 2"/>
    <w:basedOn w:val="Normal"/>
    <w:qFormat/>
    <w:pPr>
      <w:ind w:left="1077"/>
      <w:jc w:val="both"/>
    </w:pPr>
    <w:rPr>
      <w:rFonts w:ascii="Times New Roman" w:hAnsi="Times New Roman"/>
      <w:sz w:val="24"/>
      <w:szCs w:val="24"/>
    </w:rPr>
  </w:style>
  <w:style w:type="character" w:customStyle="1" w:styleId="ListParagraphChar">
    <w:name w:val="List Paragraph Char"/>
    <w:basedOn w:val="DefaultParagraphFont"/>
    <w:link w:val="ListParagraph"/>
    <w:uiPriority w:val="26"/>
    <w:qFormat/>
  </w:style>
  <w:style w:type="character" w:customStyle="1" w:styleId="BriefingtextChar">
    <w:name w:val="Briefing text Char"/>
    <w:basedOn w:val="DefaultParagraphFont"/>
    <w:link w:val="Briefingtext"/>
    <w:rPr>
      <w:rFonts w:ascii="Arial" w:eastAsia="Arial" w:hAnsi="Arial"/>
      <w:w w:val="100"/>
      <w:sz w:val="20"/>
      <w:szCs w:val="20"/>
      <w:shd w:val="clear" w:color="000000" w:fill="auto"/>
    </w:rPr>
  </w:style>
  <w:style w:type="paragraph" w:customStyle="1" w:styleId="Briefingtext">
    <w:name w:val="Briefing text"/>
    <w:basedOn w:val="Normal"/>
    <w:link w:val="BriefingtextChar"/>
    <w:pPr>
      <w:jc w:val="both"/>
    </w:pPr>
    <w:rPr>
      <w:rFonts w:ascii="Arial" w:eastAsia="Arial" w:hAnsi="Arial"/>
      <w:sz w:val="20"/>
      <w:szCs w:val="20"/>
    </w:rPr>
  </w:style>
  <w:style w:type="character" w:styleId="FootnoteReference">
    <w:name w:val="footnote reference"/>
    <w:basedOn w:val="DefaultParagraphFont"/>
    <w:link w:val="SUPERSCharCharCharCharCharCharCharChar"/>
    <w:unhideWhenUsed/>
    <w:qFormat/>
    <w:rPr>
      <w:w w:val="100"/>
      <w:sz w:val="20"/>
      <w:szCs w:val="20"/>
      <w:shd w:val="clear" w:color="000000" w:fill="auto"/>
      <w:vertAlign w:val="superscript"/>
    </w:rPr>
  </w:style>
  <w:style w:type="paragraph" w:customStyle="1" w:styleId="SUPERSCharCharCharCharCharCharCharChar">
    <w:name w:val="SUPERS Char Char Char Char Char Char Char Char"/>
    <w:basedOn w:val="Normal"/>
    <w:link w:val="FootnoteReference"/>
    <w:rPr>
      <w:sz w:val="20"/>
      <w:szCs w:val="20"/>
      <w:vertAlign w:val="superscript"/>
    </w:rPr>
  </w:style>
  <w:style w:type="character" w:customStyle="1" w:styleId="Bodytext2">
    <w:name w:val="Body text|2_"/>
    <w:basedOn w:val="DefaultParagraphFont"/>
    <w:link w:val="Bodytext20"/>
    <w:rPr>
      <w:w w:val="100"/>
      <w:sz w:val="20"/>
      <w:szCs w:val="20"/>
      <w:shd w:val="clear" w:color="000000" w:fill="FFFFFF"/>
    </w:rPr>
  </w:style>
  <w:style w:type="paragraph" w:customStyle="1" w:styleId="Bodytext20">
    <w:name w:val="Body text|2"/>
    <w:basedOn w:val="Normal"/>
    <w:link w:val="Bodytext2"/>
    <w:qFormat/>
    <w:pPr>
      <w:shd w:val="clear" w:color="000000" w:fill="FFFFFF"/>
      <w:ind w:hanging="460"/>
      <w:jc w:val="both"/>
    </w:pPr>
  </w:style>
  <w:style w:type="paragraph" w:styleId="NormalWeb">
    <w:name w:val="Normal (Web)"/>
    <w:basedOn w:val="Normal"/>
    <w:unhideWhenUsed/>
    <w:rPr>
      <w:rFonts w:ascii="Times New Roman" w:hAnsi="Times New Roman"/>
      <w:sz w:val="24"/>
      <w:szCs w:val="24"/>
    </w:rPr>
  </w:style>
  <w:style w:type="character" w:styleId="CommentReference">
    <w:name w:val="annotation reference"/>
    <w:basedOn w:val="DefaultParagraphFont"/>
    <w:semiHidden/>
    <w:unhideWhenUsed/>
    <w:rPr>
      <w:w w:val="100"/>
      <w:sz w:val="16"/>
      <w:szCs w:val="16"/>
      <w:shd w:val="clear" w:color="000000" w:fill="auto"/>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w w:val="100"/>
      <w:sz w:val="20"/>
      <w:szCs w:val="20"/>
      <w:shd w:val="clear" w:color="000000" w:fill="auto"/>
    </w:rPr>
  </w:style>
  <w:style w:type="paragraph" w:styleId="CommentSubject">
    <w:name w:val="annotation subject"/>
    <w:basedOn w:val="CommentText"/>
    <w:next w:val="CommentText"/>
    <w:link w:val="CommentSubjectChar"/>
    <w:semiHidden/>
    <w:unhideWhenUsed/>
    <w:rPr>
      <w:b/>
    </w:rPr>
  </w:style>
  <w:style w:type="character" w:customStyle="1" w:styleId="CommentSubjectChar">
    <w:name w:val="Comment Subject Char"/>
    <w:basedOn w:val="CommentTextChar"/>
    <w:link w:val="CommentSubject"/>
    <w:semiHidden/>
    <w:rPr>
      <w:b/>
      <w:w w:val="100"/>
      <w:sz w:val="20"/>
      <w:szCs w:val="20"/>
      <w:shd w:val="clear" w:color="000000" w:fill="auto"/>
    </w:rPr>
  </w:style>
  <w:style w:type="paragraph" w:styleId="BalloonText">
    <w:name w:val="Balloon Text"/>
    <w:basedOn w:val="Normal"/>
    <w:link w:val="BalloonTextChar"/>
    <w:semiHidden/>
    <w:unhideWhenUsed/>
    <w:rPr>
      <w:rFonts w:ascii="Segoe UI" w:eastAsia="Segoe UI" w:hAnsi="Segoe UI"/>
      <w:sz w:val="18"/>
      <w:szCs w:val="18"/>
    </w:rPr>
  </w:style>
  <w:style w:type="character" w:customStyle="1" w:styleId="BalloonTextChar">
    <w:name w:val="Balloon Text Char"/>
    <w:basedOn w:val="DefaultParagraphFont"/>
    <w:link w:val="BalloonText"/>
    <w:semiHidden/>
    <w:rPr>
      <w:rFonts w:ascii="Segoe UI" w:eastAsia="Segoe UI" w:hAnsi="Segoe UI"/>
      <w:w w:val="100"/>
      <w:sz w:val="18"/>
      <w:szCs w:val="18"/>
      <w:shd w:val="clear" w:color="000000" w:fill="auto"/>
    </w:rPr>
  </w:style>
  <w:style w:type="paragraph" w:customStyle="1" w:styleId="FootnotesymbolCarZchn">
    <w:name w:val="Footnote symbol Car Zchn"/>
    <w:basedOn w:val="Normal"/>
    <w:pPr>
      <w:jc w:val="both"/>
    </w:pPr>
    <w:rPr>
      <w:sz w:val="20"/>
      <w:szCs w:val="20"/>
      <w:vertAlign w:val="superscript"/>
    </w:rPr>
  </w:style>
  <w:style w:type="paragraph" w:customStyle="1" w:styleId="Default">
    <w:name w:val="Default"/>
    <w:pPr>
      <w:autoSpaceDE w:val="0"/>
      <w:autoSpaceDN w:val="0"/>
    </w:pPr>
    <w:rPr>
      <w:rFonts w:ascii="EYInterstate" w:eastAsia="EYInterstate" w:hAnsi="EYInterstate"/>
      <w:color w:val="000000"/>
      <w:sz w:val="24"/>
      <w:szCs w:val="24"/>
    </w:rPr>
  </w:style>
  <w:style w:type="character" w:styleId="Hyperlink">
    <w:name w:val="Hyperlink"/>
    <w:basedOn w:val="DefaultParagraphFont"/>
    <w:unhideWhenUsed/>
    <w:rPr>
      <w:color w:val="0000FF" w:themeColor="hyperlink"/>
      <w:w w:val="100"/>
      <w:sz w:val="20"/>
      <w:szCs w:val="20"/>
      <w:u w:val="single"/>
      <w:shd w:val="clear" w:color="000000" w:fill="auto"/>
    </w:rPr>
  </w:style>
  <w:style w:type="paragraph" w:styleId="Revision">
    <w:name w:val="Revision"/>
    <w:semiHidden/>
  </w:style>
  <w:style w:type="table" w:customStyle="1" w:styleId="TableGrid1">
    <w:name w:val="Table Grid1"/>
    <w:basedOn w:val="TableNormal"/>
    <w:next w:val="TableGrid"/>
    <w:uiPriority w:val="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732775">
      <w:bodyDiv w:val="1"/>
      <w:marLeft w:val="0"/>
      <w:marRight w:val="0"/>
      <w:marTop w:val="0"/>
      <w:marBottom w:val="0"/>
      <w:divBdr>
        <w:top w:val="none" w:sz="0" w:space="0" w:color="auto"/>
        <w:left w:val="none" w:sz="0" w:space="0" w:color="auto"/>
        <w:bottom w:val="none" w:sz="0" w:space="0" w:color="auto"/>
        <w:right w:val="none" w:sz="0" w:space="0" w:color="auto"/>
      </w:divBdr>
    </w:div>
    <w:div w:id="530920188">
      <w:bodyDiv w:val="1"/>
      <w:marLeft w:val="0"/>
      <w:marRight w:val="0"/>
      <w:marTop w:val="0"/>
      <w:marBottom w:val="0"/>
      <w:divBdr>
        <w:top w:val="none" w:sz="0" w:space="0" w:color="auto"/>
        <w:left w:val="none" w:sz="0" w:space="0" w:color="auto"/>
        <w:bottom w:val="none" w:sz="0" w:space="0" w:color="auto"/>
        <w:right w:val="none" w:sz="0" w:space="0" w:color="auto"/>
      </w:divBdr>
    </w:div>
    <w:div w:id="534465212">
      <w:bodyDiv w:val="1"/>
      <w:marLeft w:val="0"/>
      <w:marRight w:val="0"/>
      <w:marTop w:val="0"/>
      <w:marBottom w:val="0"/>
      <w:divBdr>
        <w:top w:val="none" w:sz="0" w:space="0" w:color="auto"/>
        <w:left w:val="none" w:sz="0" w:space="0" w:color="auto"/>
        <w:bottom w:val="none" w:sz="0" w:space="0" w:color="auto"/>
        <w:right w:val="none" w:sz="0" w:space="0" w:color="auto"/>
      </w:divBdr>
      <w:divsChild>
        <w:div w:id="354045454">
          <w:marLeft w:val="0"/>
          <w:marRight w:val="0"/>
          <w:marTop w:val="0"/>
          <w:marBottom w:val="0"/>
          <w:divBdr>
            <w:top w:val="none" w:sz="0" w:space="0" w:color="auto"/>
            <w:left w:val="none" w:sz="0" w:space="0" w:color="auto"/>
            <w:bottom w:val="none" w:sz="0" w:space="0" w:color="auto"/>
            <w:right w:val="none" w:sz="0" w:space="0" w:color="auto"/>
          </w:divBdr>
          <w:divsChild>
            <w:div w:id="446436634">
              <w:marLeft w:val="0"/>
              <w:marRight w:val="0"/>
              <w:marTop w:val="0"/>
              <w:marBottom w:val="450"/>
              <w:divBdr>
                <w:top w:val="none" w:sz="0" w:space="0" w:color="auto"/>
                <w:left w:val="none" w:sz="0" w:space="0" w:color="auto"/>
                <w:bottom w:val="none" w:sz="0" w:space="0" w:color="auto"/>
                <w:right w:val="none" w:sz="0" w:space="0" w:color="auto"/>
              </w:divBdr>
              <w:divsChild>
                <w:div w:id="290598809">
                  <w:marLeft w:val="0"/>
                  <w:marRight w:val="0"/>
                  <w:marTop w:val="0"/>
                  <w:marBottom w:val="0"/>
                  <w:divBdr>
                    <w:top w:val="none" w:sz="0" w:space="0" w:color="auto"/>
                    <w:left w:val="none" w:sz="0" w:space="0" w:color="auto"/>
                    <w:bottom w:val="none" w:sz="0" w:space="0" w:color="auto"/>
                    <w:right w:val="none" w:sz="0" w:space="0" w:color="auto"/>
                  </w:divBdr>
                  <w:divsChild>
                    <w:div w:id="454326304">
                      <w:marLeft w:val="-225"/>
                      <w:marRight w:val="-225"/>
                      <w:marTop w:val="0"/>
                      <w:marBottom w:val="0"/>
                      <w:divBdr>
                        <w:top w:val="none" w:sz="0" w:space="0" w:color="auto"/>
                        <w:left w:val="none" w:sz="0" w:space="0" w:color="auto"/>
                        <w:bottom w:val="none" w:sz="0" w:space="0" w:color="auto"/>
                        <w:right w:val="none" w:sz="0" w:space="0" w:color="auto"/>
                      </w:divBdr>
                      <w:divsChild>
                        <w:div w:id="775640184">
                          <w:marLeft w:val="0"/>
                          <w:marRight w:val="0"/>
                          <w:marTop w:val="0"/>
                          <w:marBottom w:val="0"/>
                          <w:divBdr>
                            <w:top w:val="none" w:sz="0" w:space="0" w:color="auto"/>
                            <w:left w:val="none" w:sz="0" w:space="0" w:color="auto"/>
                            <w:bottom w:val="none" w:sz="0" w:space="0" w:color="auto"/>
                            <w:right w:val="none" w:sz="0" w:space="0" w:color="auto"/>
                          </w:divBdr>
                          <w:divsChild>
                            <w:div w:id="1479222469">
                              <w:marLeft w:val="0"/>
                              <w:marRight w:val="0"/>
                              <w:marTop w:val="0"/>
                              <w:marBottom w:val="0"/>
                              <w:divBdr>
                                <w:top w:val="none" w:sz="0" w:space="0" w:color="auto"/>
                                <w:left w:val="none" w:sz="0" w:space="0" w:color="auto"/>
                                <w:bottom w:val="none" w:sz="0" w:space="0" w:color="auto"/>
                                <w:right w:val="none" w:sz="0" w:space="0" w:color="auto"/>
                              </w:divBdr>
                              <w:divsChild>
                                <w:div w:id="1748770080">
                                  <w:marLeft w:val="-225"/>
                                  <w:marRight w:val="-225"/>
                                  <w:marTop w:val="0"/>
                                  <w:marBottom w:val="0"/>
                                  <w:divBdr>
                                    <w:top w:val="none" w:sz="0" w:space="0" w:color="auto"/>
                                    <w:left w:val="none" w:sz="0" w:space="0" w:color="auto"/>
                                    <w:bottom w:val="none" w:sz="0" w:space="0" w:color="auto"/>
                                    <w:right w:val="none" w:sz="0" w:space="0" w:color="auto"/>
                                  </w:divBdr>
                                  <w:divsChild>
                                    <w:div w:id="130439907">
                                      <w:marLeft w:val="0"/>
                                      <w:marRight w:val="0"/>
                                      <w:marTop w:val="0"/>
                                      <w:marBottom w:val="0"/>
                                      <w:divBdr>
                                        <w:top w:val="none" w:sz="0" w:space="0" w:color="auto"/>
                                        <w:left w:val="none" w:sz="0" w:space="0" w:color="auto"/>
                                        <w:bottom w:val="none" w:sz="0" w:space="0" w:color="auto"/>
                                        <w:right w:val="none" w:sz="0" w:space="0" w:color="auto"/>
                                      </w:divBdr>
                                      <w:divsChild>
                                        <w:div w:id="1596281155">
                                          <w:marLeft w:val="0"/>
                                          <w:marRight w:val="0"/>
                                          <w:marTop w:val="0"/>
                                          <w:marBottom w:val="0"/>
                                          <w:divBdr>
                                            <w:top w:val="none" w:sz="0" w:space="0" w:color="auto"/>
                                            <w:left w:val="none" w:sz="0" w:space="0" w:color="auto"/>
                                            <w:bottom w:val="none" w:sz="0" w:space="0" w:color="auto"/>
                                            <w:right w:val="none" w:sz="0" w:space="0" w:color="auto"/>
                                          </w:divBdr>
                                          <w:divsChild>
                                            <w:div w:id="1049457745">
                                              <w:marLeft w:val="0"/>
                                              <w:marRight w:val="0"/>
                                              <w:marTop w:val="0"/>
                                              <w:marBottom w:val="0"/>
                                              <w:divBdr>
                                                <w:top w:val="none" w:sz="0" w:space="0" w:color="auto"/>
                                                <w:left w:val="none" w:sz="0" w:space="0" w:color="auto"/>
                                                <w:bottom w:val="none" w:sz="0" w:space="0" w:color="auto"/>
                                                <w:right w:val="none" w:sz="0" w:space="0" w:color="auto"/>
                                              </w:divBdr>
                                              <w:divsChild>
                                                <w:div w:id="1512797247">
                                                  <w:marLeft w:val="0"/>
                                                  <w:marRight w:val="0"/>
                                                  <w:marTop w:val="0"/>
                                                  <w:marBottom w:val="0"/>
                                                  <w:divBdr>
                                                    <w:top w:val="none" w:sz="0" w:space="0" w:color="auto"/>
                                                    <w:left w:val="none" w:sz="0" w:space="0" w:color="auto"/>
                                                    <w:bottom w:val="none" w:sz="0" w:space="0" w:color="auto"/>
                                                    <w:right w:val="none" w:sz="0" w:space="0" w:color="auto"/>
                                                  </w:divBdr>
                                                  <w:divsChild>
                                                    <w:div w:id="247858932">
                                                      <w:marLeft w:val="0"/>
                                                      <w:marRight w:val="0"/>
                                                      <w:marTop w:val="0"/>
                                                      <w:marBottom w:val="0"/>
                                                      <w:divBdr>
                                                        <w:top w:val="none" w:sz="0" w:space="0" w:color="auto"/>
                                                        <w:left w:val="none" w:sz="0" w:space="0" w:color="auto"/>
                                                        <w:bottom w:val="none" w:sz="0" w:space="0" w:color="auto"/>
                                                        <w:right w:val="none" w:sz="0" w:space="0" w:color="auto"/>
                                                      </w:divBdr>
                                                      <w:divsChild>
                                                        <w:div w:id="1858612981">
                                                          <w:marLeft w:val="0"/>
                                                          <w:marRight w:val="0"/>
                                                          <w:marTop w:val="0"/>
                                                          <w:marBottom w:val="0"/>
                                                          <w:divBdr>
                                                            <w:top w:val="none" w:sz="0" w:space="0" w:color="auto"/>
                                                            <w:left w:val="none" w:sz="0" w:space="0" w:color="auto"/>
                                                            <w:bottom w:val="none" w:sz="0" w:space="0" w:color="auto"/>
                                                            <w:right w:val="none" w:sz="0" w:space="0" w:color="auto"/>
                                                          </w:divBdr>
                                                          <w:divsChild>
                                                            <w:div w:id="473177483">
                                                              <w:marLeft w:val="0"/>
                                                              <w:marRight w:val="0"/>
                                                              <w:marTop w:val="0"/>
                                                              <w:marBottom w:val="0"/>
                                                              <w:divBdr>
                                                                <w:top w:val="none" w:sz="0" w:space="0" w:color="auto"/>
                                                                <w:left w:val="none" w:sz="0" w:space="0" w:color="auto"/>
                                                                <w:bottom w:val="none" w:sz="0" w:space="0" w:color="auto"/>
                                                                <w:right w:val="none" w:sz="0" w:space="0" w:color="auto"/>
                                                              </w:divBdr>
                                                              <w:divsChild>
                                                                <w:div w:id="19478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0457506">
      <w:bodyDiv w:val="1"/>
      <w:marLeft w:val="0"/>
      <w:marRight w:val="0"/>
      <w:marTop w:val="0"/>
      <w:marBottom w:val="0"/>
      <w:divBdr>
        <w:top w:val="none" w:sz="0" w:space="0" w:color="auto"/>
        <w:left w:val="none" w:sz="0" w:space="0" w:color="auto"/>
        <w:bottom w:val="none" w:sz="0" w:space="0" w:color="auto"/>
        <w:right w:val="none" w:sz="0" w:space="0" w:color="auto"/>
      </w:divBdr>
    </w:div>
    <w:div w:id="616831639">
      <w:bodyDiv w:val="1"/>
      <w:marLeft w:val="0"/>
      <w:marRight w:val="0"/>
      <w:marTop w:val="0"/>
      <w:marBottom w:val="0"/>
      <w:divBdr>
        <w:top w:val="none" w:sz="0" w:space="0" w:color="auto"/>
        <w:left w:val="none" w:sz="0" w:space="0" w:color="auto"/>
        <w:bottom w:val="none" w:sz="0" w:space="0" w:color="auto"/>
        <w:right w:val="none" w:sz="0" w:space="0" w:color="auto"/>
      </w:divBdr>
    </w:div>
    <w:div w:id="622856318">
      <w:bodyDiv w:val="1"/>
      <w:marLeft w:val="0"/>
      <w:marRight w:val="0"/>
      <w:marTop w:val="0"/>
      <w:marBottom w:val="0"/>
      <w:divBdr>
        <w:top w:val="none" w:sz="0" w:space="0" w:color="auto"/>
        <w:left w:val="none" w:sz="0" w:space="0" w:color="auto"/>
        <w:bottom w:val="none" w:sz="0" w:space="0" w:color="auto"/>
        <w:right w:val="none" w:sz="0" w:space="0" w:color="auto"/>
      </w:divBdr>
    </w:div>
    <w:div w:id="796262671">
      <w:bodyDiv w:val="1"/>
      <w:marLeft w:val="0"/>
      <w:marRight w:val="0"/>
      <w:marTop w:val="0"/>
      <w:marBottom w:val="0"/>
      <w:divBdr>
        <w:top w:val="none" w:sz="0" w:space="0" w:color="auto"/>
        <w:left w:val="none" w:sz="0" w:space="0" w:color="auto"/>
        <w:bottom w:val="none" w:sz="0" w:space="0" w:color="auto"/>
        <w:right w:val="none" w:sz="0" w:space="0" w:color="auto"/>
      </w:divBdr>
    </w:div>
    <w:div w:id="1033068842">
      <w:bodyDiv w:val="1"/>
      <w:marLeft w:val="0"/>
      <w:marRight w:val="0"/>
      <w:marTop w:val="0"/>
      <w:marBottom w:val="0"/>
      <w:divBdr>
        <w:top w:val="none" w:sz="0" w:space="0" w:color="auto"/>
        <w:left w:val="none" w:sz="0" w:space="0" w:color="auto"/>
        <w:bottom w:val="none" w:sz="0" w:space="0" w:color="auto"/>
        <w:right w:val="none" w:sz="0" w:space="0" w:color="auto"/>
      </w:divBdr>
    </w:div>
    <w:div w:id="1286041767">
      <w:bodyDiv w:val="1"/>
      <w:marLeft w:val="0"/>
      <w:marRight w:val="0"/>
      <w:marTop w:val="0"/>
      <w:marBottom w:val="0"/>
      <w:divBdr>
        <w:top w:val="none" w:sz="0" w:space="0" w:color="auto"/>
        <w:left w:val="none" w:sz="0" w:space="0" w:color="auto"/>
        <w:bottom w:val="none" w:sz="0" w:space="0" w:color="auto"/>
        <w:right w:val="none" w:sz="0" w:space="0" w:color="auto"/>
      </w:divBdr>
    </w:div>
    <w:div w:id="1470249602">
      <w:bodyDiv w:val="1"/>
      <w:marLeft w:val="0"/>
      <w:marRight w:val="0"/>
      <w:marTop w:val="0"/>
      <w:marBottom w:val="0"/>
      <w:divBdr>
        <w:top w:val="none" w:sz="0" w:space="0" w:color="auto"/>
        <w:left w:val="none" w:sz="0" w:space="0" w:color="auto"/>
        <w:bottom w:val="none" w:sz="0" w:space="0" w:color="auto"/>
        <w:right w:val="none" w:sz="0" w:space="0" w:color="auto"/>
      </w:divBdr>
    </w:div>
    <w:div w:id="1672102341">
      <w:bodyDiv w:val="1"/>
      <w:marLeft w:val="0"/>
      <w:marRight w:val="0"/>
      <w:marTop w:val="0"/>
      <w:marBottom w:val="0"/>
      <w:divBdr>
        <w:top w:val="none" w:sz="0" w:space="0" w:color="auto"/>
        <w:left w:val="none" w:sz="0" w:space="0" w:color="auto"/>
        <w:bottom w:val="none" w:sz="0" w:space="0" w:color="auto"/>
        <w:right w:val="none" w:sz="0" w:space="0" w:color="auto"/>
      </w:divBdr>
    </w:div>
    <w:div w:id="1739787477">
      <w:bodyDiv w:val="1"/>
      <w:marLeft w:val="0"/>
      <w:marRight w:val="0"/>
      <w:marTop w:val="0"/>
      <w:marBottom w:val="0"/>
      <w:divBdr>
        <w:top w:val="none" w:sz="0" w:space="0" w:color="auto"/>
        <w:left w:val="none" w:sz="0" w:space="0" w:color="auto"/>
        <w:bottom w:val="none" w:sz="0" w:space="0" w:color="auto"/>
        <w:right w:val="none" w:sz="0" w:space="0" w:color="auto"/>
      </w:divBdr>
    </w:div>
    <w:div w:id="1797723413">
      <w:bodyDiv w:val="1"/>
      <w:marLeft w:val="0"/>
      <w:marRight w:val="0"/>
      <w:marTop w:val="0"/>
      <w:marBottom w:val="0"/>
      <w:divBdr>
        <w:top w:val="none" w:sz="0" w:space="0" w:color="auto"/>
        <w:left w:val="none" w:sz="0" w:space="0" w:color="auto"/>
        <w:bottom w:val="none" w:sz="0" w:space="0" w:color="auto"/>
        <w:right w:val="none" w:sz="0" w:space="0" w:color="auto"/>
      </w:divBdr>
    </w:div>
    <w:div w:id="1886868868">
      <w:bodyDiv w:val="1"/>
      <w:marLeft w:val="0"/>
      <w:marRight w:val="0"/>
      <w:marTop w:val="0"/>
      <w:marBottom w:val="0"/>
      <w:divBdr>
        <w:top w:val="none" w:sz="0" w:space="0" w:color="auto"/>
        <w:left w:val="none" w:sz="0" w:space="0" w:color="auto"/>
        <w:bottom w:val="none" w:sz="0" w:space="0" w:color="auto"/>
        <w:right w:val="none" w:sz="0" w:space="0" w:color="auto"/>
      </w:divBdr>
    </w:div>
    <w:div w:id="1909146796">
      <w:bodyDiv w:val="1"/>
      <w:marLeft w:val="0"/>
      <w:marRight w:val="0"/>
      <w:marTop w:val="0"/>
      <w:marBottom w:val="0"/>
      <w:divBdr>
        <w:top w:val="none" w:sz="0" w:space="0" w:color="auto"/>
        <w:left w:val="none" w:sz="0" w:space="0" w:color="auto"/>
        <w:bottom w:val="none" w:sz="0" w:space="0" w:color="auto"/>
        <w:right w:val="none" w:sz="0" w:space="0" w:color="auto"/>
      </w:divBdr>
    </w:div>
    <w:div w:id="213047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D6BDA-F98C-4737-90FD-6C8563A30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9464</Words>
  <Characters>53378</Characters>
  <Application>Microsoft Office Word</Application>
  <DocSecurity>0</DocSecurity>
  <Lines>847</Lines>
  <Paragraphs>203</Paragraphs>
  <MMClips>0</MMClips>
  <ScaleCrop>false</ScaleCrop>
  <HeadingPairs>
    <vt:vector size="6" baseType="variant">
      <vt:variant>
        <vt:lpstr>Title</vt:lpstr>
      </vt:variant>
      <vt:variant>
        <vt:i4>1</vt:i4>
      </vt:variant>
      <vt:variant>
        <vt:lpstr>Titre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62639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2020-01-13T17:20:00Z</dcterms:created>
  <dcterms:modified xsi:type="dcterms:W3CDTF">2020-01-14T11:34:00Z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 Build 20190717</vt:lpwstr>
  </property>
  <property fmtid="{D5CDD505-2E9C-101B-9397-08002B2CF9AE}" pid="8" name="Created using">
    <vt:lpwstr>LW 7.0, Build 20190717</vt:lpwstr>
  </property>
</Properties>
</file>